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76660" w14:textId="6A4F35D8" w:rsidR="00A5102B" w:rsidRPr="0040294B" w:rsidRDefault="00C76AAF" w:rsidP="00A5102B">
      <w:pPr>
        <w:rPr>
          <w:rFonts w:ascii="Work Sans" w:hAnsi="Work Sans"/>
          <w:sz w:val="24"/>
          <w:szCs w:val="24"/>
        </w:rPr>
      </w:pPr>
      <w:r>
        <w:rPr>
          <w:noProof/>
        </w:rPr>
        <w:drawing>
          <wp:anchor distT="0" distB="0" distL="114300" distR="114300" simplePos="0" relativeHeight="251658240" behindDoc="1" locked="0" layoutInCell="1" allowOverlap="1" wp14:anchorId="2326957D" wp14:editId="5368CBC6">
            <wp:simplePos x="0" y="0"/>
            <wp:positionH relativeFrom="margin">
              <wp:align>center</wp:align>
            </wp:positionH>
            <wp:positionV relativeFrom="paragraph">
              <wp:posOffset>-908698</wp:posOffset>
            </wp:positionV>
            <wp:extent cx="7725600" cy="10922400"/>
            <wp:effectExtent l="0" t="0" r="8890" b="0"/>
            <wp:wrapNone/>
            <wp:docPr id="9" name="Picture 9"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r w:rsidR="00A5102B">
        <w:rPr>
          <w:noProof/>
        </w:rPr>
        <w:drawing>
          <wp:inline distT="0" distB="0" distL="0" distR="0" wp14:anchorId="778710B9" wp14:editId="583FA244">
            <wp:extent cx="2441749" cy="460926"/>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p>
    <w:p w14:paraId="235F573B" w14:textId="18549160" w:rsidR="00A5102B" w:rsidRPr="00F0686F" w:rsidRDefault="00A5102B" w:rsidP="00A5102B">
      <w:pPr>
        <w:rPr>
          <w:rFonts w:ascii="Work Sans" w:hAnsi="Work Sans"/>
          <w:sz w:val="24"/>
          <w:szCs w:val="24"/>
        </w:rPr>
      </w:pPr>
    </w:p>
    <w:p w14:paraId="1BA22AB5" w14:textId="0851CD77" w:rsidR="00A5102B" w:rsidRPr="00F0686F" w:rsidRDefault="00A5102B" w:rsidP="00A5102B">
      <w:pPr>
        <w:rPr>
          <w:rFonts w:ascii="Work Sans" w:hAnsi="Work Sans"/>
          <w:sz w:val="24"/>
          <w:szCs w:val="24"/>
        </w:rPr>
      </w:pPr>
    </w:p>
    <w:p w14:paraId="374D250A" w14:textId="653C00DC" w:rsidR="00A5102B" w:rsidRDefault="00A5102B" w:rsidP="004477FF">
      <w:pPr>
        <w:pStyle w:val="CGCNumberedPara"/>
        <w:numPr>
          <w:ilvl w:val="0"/>
          <w:numId w:val="0"/>
        </w:numPr>
        <w:ind w:left="567" w:hanging="567"/>
      </w:pPr>
    </w:p>
    <w:p w14:paraId="269F61E6" w14:textId="1710E8D3" w:rsidR="00246686" w:rsidRDefault="00246686" w:rsidP="00AB13AF">
      <w:pPr>
        <w:tabs>
          <w:tab w:val="clear" w:pos="567"/>
          <w:tab w:val="left" w:pos="2515"/>
        </w:tabs>
        <w:rPr>
          <w:rFonts w:ascii="Work Sans" w:hAnsi="Work Sans"/>
          <w:sz w:val="24"/>
          <w:szCs w:val="24"/>
        </w:rPr>
      </w:pPr>
    </w:p>
    <w:p w14:paraId="064369F7" w14:textId="2CD50AD4" w:rsidR="00F2521E" w:rsidRPr="00F2521E" w:rsidRDefault="000D01AA" w:rsidP="004E10E4">
      <w:pPr>
        <w:rPr>
          <w:rFonts w:ascii="Work Sans" w:hAnsi="Work Sans"/>
          <w:sz w:val="24"/>
          <w:szCs w:val="24"/>
        </w:rPr>
      </w:pPr>
      <w:r w:rsidRPr="00962EFF">
        <w:rPr>
          <w:noProof/>
        </w:rPr>
        <mc:AlternateContent>
          <mc:Choice Requires="wps">
            <w:drawing>
              <wp:anchor distT="0" distB="0" distL="114300" distR="114300" simplePos="0" relativeHeight="251658242" behindDoc="0" locked="0" layoutInCell="1" allowOverlap="1" wp14:anchorId="2A12564A" wp14:editId="19A38971">
                <wp:simplePos x="0" y="0"/>
                <wp:positionH relativeFrom="margin">
                  <wp:posOffset>0</wp:posOffset>
                </wp:positionH>
                <wp:positionV relativeFrom="page">
                  <wp:posOffset>2618513</wp:posOffset>
                </wp:positionV>
                <wp:extent cx="6000750" cy="77697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6000750" cy="776975"/>
                        </a:xfrm>
                        <a:prstGeom prst="rect">
                          <a:avLst/>
                        </a:prstGeom>
                        <a:noFill/>
                        <a:ln w="6350">
                          <a:noFill/>
                        </a:ln>
                      </wps:spPr>
                      <wps:txbx>
                        <w:txbxContent>
                          <w:p w14:paraId="41C4D45C"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3713A6AA"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2564A" id="_x0000_t202" coordsize="21600,21600" o:spt="202" path="m,l,21600r21600,l21600,xe">
                <v:stroke joinstyle="miter"/>
                <v:path gradientshapeok="t" o:connecttype="rect"/>
              </v:shapetype>
              <v:shape id="Text Box 31" o:spid="_x0000_s1026" type="#_x0000_t202" style="position:absolute;margin-left:0;margin-top:206.2pt;width:472.5pt;height:61.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" filled="f" stroked="f" strokeweight=".5pt">
                <v:textbox>
                  <w:txbxContent>
                    <w:p w14:paraId="41C4D45C"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3713A6AA"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v:textbox>
                <w10:wrap anchorx="margin" anchory="page"/>
              </v:shape>
            </w:pict>
          </mc:Fallback>
        </mc:AlternateContent>
      </w:r>
    </w:p>
    <w:p w14:paraId="1ECBD88A" w14:textId="0E6D6E7B" w:rsidR="00A5102B" w:rsidRPr="00F0686F" w:rsidRDefault="00A5102B" w:rsidP="00545F2D">
      <w:pPr>
        <w:rPr>
          <w:rFonts w:ascii="Work Sans" w:hAnsi="Work Sans"/>
          <w:sz w:val="24"/>
          <w:szCs w:val="24"/>
        </w:rPr>
      </w:pPr>
    </w:p>
    <w:p w14:paraId="0D3EE3BA" w14:textId="07CDAAA3" w:rsidR="00A5102B" w:rsidRDefault="00A5102B" w:rsidP="00A5102B">
      <w:pPr>
        <w:rPr>
          <w:rFonts w:ascii="Work Sans" w:hAnsi="Work Sans"/>
          <w:sz w:val="24"/>
          <w:szCs w:val="24"/>
        </w:rPr>
      </w:pPr>
    </w:p>
    <w:p w14:paraId="40B315E3" w14:textId="4E4D0A70" w:rsidR="00A5102B" w:rsidRDefault="00A5102B" w:rsidP="00A5102B">
      <w:pPr>
        <w:rPr>
          <w:rFonts w:ascii="Work Sans" w:hAnsi="Work Sans"/>
          <w:sz w:val="24"/>
          <w:szCs w:val="24"/>
        </w:rPr>
      </w:pPr>
    </w:p>
    <w:p w14:paraId="315B6B99" w14:textId="5526D785" w:rsidR="00A5102B" w:rsidRDefault="00A5102B" w:rsidP="00A5102B">
      <w:pPr>
        <w:rPr>
          <w:rFonts w:ascii="Work Sans" w:hAnsi="Work Sans"/>
          <w:sz w:val="24"/>
          <w:szCs w:val="24"/>
        </w:rPr>
      </w:pPr>
    </w:p>
    <w:p w14:paraId="5A834DDF" w14:textId="104375ED" w:rsidR="00A5102B" w:rsidRDefault="00A5102B" w:rsidP="00A5102B">
      <w:pPr>
        <w:rPr>
          <w:rFonts w:ascii="Work Sans" w:hAnsi="Work Sans"/>
          <w:sz w:val="24"/>
          <w:szCs w:val="24"/>
        </w:rPr>
      </w:pPr>
    </w:p>
    <w:p w14:paraId="7A4F42CB" w14:textId="007B85F7" w:rsidR="00A5102B" w:rsidRDefault="00E062B6" w:rsidP="00A5102B">
      <w:pPr>
        <w:rPr>
          <w:rFonts w:ascii="Work Sans" w:hAnsi="Work Sans"/>
          <w:sz w:val="24"/>
          <w:szCs w:val="24"/>
        </w:rPr>
      </w:pPr>
      <w:r w:rsidRPr="00962EFF">
        <w:rPr>
          <w:noProof/>
        </w:rPr>
        <mc:AlternateContent>
          <mc:Choice Requires="wps">
            <w:drawing>
              <wp:anchor distT="0" distB="0" distL="114300" distR="114300" simplePos="0" relativeHeight="251658241" behindDoc="0" locked="0" layoutInCell="1" allowOverlap="1" wp14:anchorId="7AFE5877" wp14:editId="28304550">
                <wp:simplePos x="0" y="0"/>
                <wp:positionH relativeFrom="margin">
                  <wp:posOffset>0</wp:posOffset>
                </wp:positionH>
                <wp:positionV relativeFrom="page">
                  <wp:posOffset>4203043</wp:posOffset>
                </wp:positionV>
                <wp:extent cx="6000750" cy="1971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00750" cy="1971040"/>
                        </a:xfrm>
                        <a:prstGeom prst="rect">
                          <a:avLst/>
                        </a:prstGeom>
                        <a:noFill/>
                        <a:ln w="6350">
                          <a:noFill/>
                        </a:ln>
                      </wps:spPr>
                      <wps:txbx>
                        <w:txbxContent>
                          <w:p w14:paraId="22E476B0" w14:textId="00D5833D" w:rsidR="0036633A" w:rsidRPr="0036633A" w:rsidRDefault="0036633A" w:rsidP="0036633A">
                            <w:pPr>
                              <w:jc w:val="center"/>
                              <w:rPr>
                                <w:rFonts w:ascii="Work Sans" w:hAnsi="Work Sans" w:cs="Open Sans"/>
                                <w:color w:val="FFFFFF"/>
                                <w:sz w:val="52"/>
                                <w:szCs w:val="56"/>
                              </w:rPr>
                            </w:pPr>
                            <w:r>
                              <w:rPr>
                                <w:rFonts w:ascii="Work Sans" w:hAnsi="Work Sans" w:cs="Open Sans"/>
                                <w:color w:val="FFFFFF"/>
                                <w:sz w:val="52"/>
                                <w:szCs w:val="56"/>
                              </w:rPr>
                              <w:t>Health</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E5877" id="Text Box 29" o:spid="_x0000_s1027" type="#_x0000_t202" style="position:absolute;margin-left:0;margin-top:330.95pt;width:472.5pt;height:155.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" filled="f" stroked="f" strokeweight=".5pt">
                <v:textbox>
                  <w:txbxContent>
                    <w:p w14:paraId="22E476B0" w14:textId="00D5833D" w:rsidR="0036633A" w:rsidRPr="0036633A" w:rsidRDefault="0036633A" w:rsidP="0036633A">
                      <w:pPr>
                        <w:jc w:val="center"/>
                        <w:rPr>
                          <w:rFonts w:ascii="Work Sans" w:hAnsi="Work Sans" w:cs="Open Sans"/>
                          <w:color w:val="FFFFFF"/>
                          <w:sz w:val="52"/>
                          <w:szCs w:val="56"/>
                        </w:rPr>
                      </w:pPr>
                      <w:r>
                        <w:rPr>
                          <w:rFonts w:ascii="Work Sans" w:hAnsi="Work Sans" w:cs="Open Sans"/>
                          <w:color w:val="FFFFFF"/>
                          <w:sz w:val="52"/>
                          <w:szCs w:val="56"/>
                        </w:rPr>
                        <w:t>Health</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paper</w:t>
                      </w:r>
                    </w:p>
                  </w:txbxContent>
                </v:textbox>
                <w10:wrap anchorx="margin" anchory="page"/>
              </v:shape>
            </w:pict>
          </mc:Fallback>
        </mc:AlternateContent>
      </w:r>
    </w:p>
    <w:p w14:paraId="4DC25D55" w14:textId="7189B55F" w:rsidR="00A5102B" w:rsidRDefault="00A5102B" w:rsidP="002A45B1">
      <w:pPr>
        <w:jc w:val="center"/>
        <w:rPr>
          <w:rFonts w:ascii="Work Sans" w:hAnsi="Work Sans"/>
          <w:sz w:val="24"/>
          <w:szCs w:val="24"/>
        </w:rPr>
      </w:pPr>
    </w:p>
    <w:p w14:paraId="64CDD92E" w14:textId="12B56322" w:rsidR="00A5102B" w:rsidRDefault="00A5102B" w:rsidP="00704788">
      <w:pPr>
        <w:rPr>
          <w:rFonts w:ascii="Work Sans" w:hAnsi="Work Sans" w:cs="Open Sans"/>
          <w:color w:val="FFFFFF"/>
          <w:sz w:val="28"/>
          <w:szCs w:val="28"/>
        </w:rPr>
      </w:pPr>
    </w:p>
    <w:p w14:paraId="7E59A079" w14:textId="7903B41B" w:rsidR="00704788" w:rsidRDefault="00704788" w:rsidP="00704788">
      <w:pPr>
        <w:rPr>
          <w:rFonts w:ascii="Work Sans" w:hAnsi="Work Sans" w:cs="Open Sans"/>
          <w:color w:val="FFFFFF"/>
          <w:sz w:val="28"/>
          <w:szCs w:val="28"/>
        </w:rPr>
      </w:pPr>
    </w:p>
    <w:p w14:paraId="55A4BCC7" w14:textId="107DB04E" w:rsidR="00704788" w:rsidRDefault="00704788" w:rsidP="00704788">
      <w:pPr>
        <w:rPr>
          <w:rFonts w:ascii="Work Sans" w:hAnsi="Work Sans" w:cs="Open Sans"/>
          <w:color w:val="FFFFFF"/>
          <w:sz w:val="28"/>
          <w:szCs w:val="28"/>
        </w:rPr>
      </w:pPr>
    </w:p>
    <w:p w14:paraId="736B7D6C" w14:textId="77777777" w:rsidR="00704788" w:rsidRDefault="00704788" w:rsidP="00704788">
      <w:pPr>
        <w:rPr>
          <w:rFonts w:ascii="Work Sans" w:hAnsi="Work Sans" w:cs="Open Sans"/>
          <w:color w:val="FFFFFF"/>
          <w:sz w:val="28"/>
          <w:szCs w:val="28"/>
        </w:rPr>
      </w:pPr>
    </w:p>
    <w:p w14:paraId="05014DA7" w14:textId="406BB4F7" w:rsidR="00704788" w:rsidRDefault="00704788" w:rsidP="00704788">
      <w:pPr>
        <w:rPr>
          <w:rFonts w:ascii="Work Sans" w:hAnsi="Work Sans" w:cs="Open Sans"/>
          <w:color w:val="FFFFFF"/>
          <w:sz w:val="28"/>
          <w:szCs w:val="28"/>
        </w:rPr>
      </w:pPr>
    </w:p>
    <w:p w14:paraId="66477ADF" w14:textId="25FF837F" w:rsidR="00704788" w:rsidRDefault="00704788" w:rsidP="00704788">
      <w:pPr>
        <w:rPr>
          <w:rFonts w:ascii="Work Sans" w:hAnsi="Work Sans" w:cs="Open Sans"/>
          <w:color w:val="FFFFFF"/>
          <w:sz w:val="28"/>
          <w:szCs w:val="28"/>
        </w:rPr>
      </w:pPr>
    </w:p>
    <w:p w14:paraId="77697FA2" w14:textId="7BD18D29" w:rsidR="00704788" w:rsidRDefault="00BA4C59" w:rsidP="00E062B6">
      <w:pPr>
        <w:jc w:val="center"/>
        <w:rPr>
          <w:rFonts w:ascii="Work Sans" w:hAnsi="Work Sans" w:cs="Open Sans"/>
          <w:color w:val="FFFFFF"/>
          <w:sz w:val="28"/>
          <w:szCs w:val="28"/>
        </w:rPr>
      </w:pPr>
      <w:r w:rsidRPr="00962EFF">
        <w:rPr>
          <w:noProof/>
        </w:rPr>
        <mc:AlternateContent>
          <mc:Choice Requires="wps">
            <w:drawing>
              <wp:anchor distT="0" distB="0" distL="114300" distR="114300" simplePos="0" relativeHeight="251658243" behindDoc="0" locked="0" layoutInCell="1" allowOverlap="1" wp14:anchorId="17E2D963" wp14:editId="31215B1A">
                <wp:simplePos x="0" y="0"/>
                <wp:positionH relativeFrom="margin">
                  <wp:align>center</wp:align>
                </wp:positionH>
                <wp:positionV relativeFrom="page">
                  <wp:posOffset>6528021</wp:posOffset>
                </wp:positionV>
                <wp:extent cx="1704975" cy="4387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4975" cy="438785"/>
                        </a:xfrm>
                        <a:prstGeom prst="rect">
                          <a:avLst/>
                        </a:prstGeom>
                        <a:noFill/>
                        <a:ln w="6350">
                          <a:noFill/>
                        </a:ln>
                      </wps:spPr>
                      <wps:txbx>
                        <w:txbxContent>
                          <w:p w14:paraId="548B99E5" w14:textId="488FC91D" w:rsidR="00BA4C59" w:rsidRPr="00BA4C59" w:rsidRDefault="00F34429" w:rsidP="00BA4C59">
                            <w:pPr>
                              <w:jc w:val="center"/>
                              <w:rPr>
                                <w:rFonts w:ascii="Work Sans" w:hAnsi="Work Sans" w:cs="Open Sans"/>
                                <w:color w:val="FFFFFF"/>
                                <w:sz w:val="28"/>
                                <w:szCs w:val="28"/>
                              </w:rPr>
                            </w:pPr>
                            <w:r>
                              <w:rPr>
                                <w:rFonts w:ascii="Work Sans" w:hAnsi="Work Sans" w:cs="Open Sans"/>
                                <w:color w:val="FFFFFF"/>
                                <w:sz w:val="28"/>
                                <w:szCs w:val="28"/>
                              </w:rPr>
                              <w:t>June</w:t>
                            </w:r>
                            <w:r w:rsidR="00BA4C59" w:rsidRPr="00BA4C59">
                              <w:rPr>
                                <w:rFonts w:ascii="Work Sans" w:hAnsi="Work Sans" w:cs="Open Sans"/>
                                <w:color w:val="FFFFFF"/>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D963" id="Text Box 30" o:spid="_x0000_s1028" type="#_x0000_t202" style="position:absolute;left:0;text-align:left;margin-left:0;margin-top:514pt;width:134.25pt;height:34.5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WGwIAADM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" filled="f" stroked="f" strokeweight=".5pt">
                <v:textbox>
                  <w:txbxContent>
                    <w:p w14:paraId="548B99E5" w14:textId="488FC91D" w:rsidR="00BA4C59" w:rsidRPr="00BA4C59" w:rsidRDefault="00F34429" w:rsidP="00BA4C59">
                      <w:pPr>
                        <w:jc w:val="center"/>
                        <w:rPr>
                          <w:rFonts w:ascii="Work Sans" w:hAnsi="Work Sans" w:cs="Open Sans"/>
                          <w:color w:val="FFFFFF"/>
                          <w:sz w:val="28"/>
                          <w:szCs w:val="28"/>
                        </w:rPr>
                      </w:pPr>
                      <w:r>
                        <w:rPr>
                          <w:rFonts w:ascii="Work Sans" w:hAnsi="Work Sans" w:cs="Open Sans"/>
                          <w:color w:val="FFFFFF"/>
                          <w:sz w:val="28"/>
                          <w:szCs w:val="28"/>
                        </w:rPr>
                        <w:t>June</w:t>
                      </w:r>
                      <w:r w:rsidR="00BA4C59" w:rsidRPr="00BA4C59">
                        <w:rPr>
                          <w:rFonts w:ascii="Work Sans" w:hAnsi="Work Sans" w:cs="Open Sans"/>
                          <w:color w:val="FFFFFF"/>
                          <w:sz w:val="28"/>
                          <w:szCs w:val="28"/>
                        </w:rPr>
                        <w:t xml:space="preserve"> 2023</w:t>
                      </w:r>
                    </w:p>
                  </w:txbxContent>
                </v:textbox>
                <w10:wrap anchorx="margin" anchory="page"/>
              </v:shape>
            </w:pict>
          </mc:Fallback>
        </mc:AlternateContent>
      </w:r>
    </w:p>
    <w:p w14:paraId="6484FACC" w14:textId="43661E3A" w:rsidR="00704788" w:rsidRDefault="00704788" w:rsidP="00DB5889">
      <w:pPr>
        <w:rPr>
          <w:rFonts w:ascii="Work Sans" w:hAnsi="Work Sans" w:cs="Open Sans"/>
          <w:color w:val="FFFFFF"/>
          <w:sz w:val="28"/>
          <w:szCs w:val="28"/>
        </w:rPr>
      </w:pPr>
    </w:p>
    <w:p w14:paraId="7D74C04A" w14:textId="46F132F8" w:rsidR="00DB5889" w:rsidRPr="00704788" w:rsidRDefault="00DB5889" w:rsidP="00DB5889">
      <w:pPr>
        <w:rPr>
          <w:rFonts w:ascii="Work Sans" w:hAnsi="Work Sans" w:cs="Open Sans"/>
          <w:color w:val="FFFFFF"/>
          <w:sz w:val="28"/>
          <w:szCs w:val="28"/>
        </w:rPr>
      </w:pPr>
    </w:p>
    <w:p w14:paraId="4811AF7F" w14:textId="57E305C6" w:rsidR="00A5102B" w:rsidRDefault="00A5102B" w:rsidP="00210D9C">
      <w:pPr>
        <w:pStyle w:val="Heading1"/>
        <w:jc w:val="center"/>
        <w:sectPr w:rsidR="00A5102B" w:rsidSect="003A0403">
          <w:footerReference w:type="default" r:id="rId13"/>
          <w:pgSz w:w="11906" w:h="16838"/>
          <w:pgMar w:top="1440" w:right="1440" w:bottom="1440" w:left="1440" w:header="708" w:footer="708" w:gutter="0"/>
          <w:cols w:space="708"/>
          <w:docGrid w:linePitch="360"/>
        </w:sectPr>
      </w:pPr>
    </w:p>
    <w:p w14:paraId="698689A7" w14:textId="7ACBF807" w:rsidR="00A5102B" w:rsidRPr="005B6B61" w:rsidRDefault="00A5102B" w:rsidP="005B6B61"/>
    <w:p w14:paraId="695BC8CC" w14:textId="77777777" w:rsidR="00A5102B" w:rsidRPr="005B6B61" w:rsidRDefault="00A5102B" w:rsidP="005B6B61"/>
    <w:p w14:paraId="013320FD" w14:textId="77777777" w:rsidR="00A5102B" w:rsidRPr="005B6B61" w:rsidRDefault="00A5102B" w:rsidP="005B6B61"/>
    <w:p w14:paraId="21854C73" w14:textId="77777777" w:rsidR="00A5102B" w:rsidRPr="005B6B61" w:rsidRDefault="00A5102B" w:rsidP="005B6B61"/>
    <w:p w14:paraId="11D296A6" w14:textId="77777777" w:rsidR="00A5102B" w:rsidRPr="005B6B61" w:rsidRDefault="00A5102B" w:rsidP="005B6B61"/>
    <w:p w14:paraId="56EA0621" w14:textId="77777777" w:rsidR="00A5102B" w:rsidRPr="005B6B61" w:rsidRDefault="00A5102B" w:rsidP="005B6B61"/>
    <w:p w14:paraId="6AF9FB70" w14:textId="77777777" w:rsidR="00A5102B" w:rsidRPr="005B6B61" w:rsidRDefault="00A5102B" w:rsidP="005B6B61"/>
    <w:p w14:paraId="308B9AFA" w14:textId="42485454" w:rsidR="003119A7" w:rsidRDefault="003119A7" w:rsidP="005B6B61"/>
    <w:p w14:paraId="6BD7ED02" w14:textId="10166582" w:rsidR="004F0684" w:rsidRDefault="004F0684" w:rsidP="005B6B61"/>
    <w:p w14:paraId="4640F7D4" w14:textId="4570646B" w:rsidR="004F0684" w:rsidRDefault="004F0684" w:rsidP="005B6B61"/>
    <w:p w14:paraId="03C94600" w14:textId="5B8F1B68" w:rsidR="004F0684" w:rsidRDefault="004F0684" w:rsidP="005B6B61"/>
    <w:p w14:paraId="1C1B4178" w14:textId="5CAB6685" w:rsidR="004F0684" w:rsidRDefault="004F0684" w:rsidP="005B6B61"/>
    <w:p w14:paraId="10045F88" w14:textId="0F0CDBA5" w:rsidR="004F0684" w:rsidRPr="005B6B61" w:rsidRDefault="004F0684" w:rsidP="005B6B61"/>
    <w:p w14:paraId="07C94883" w14:textId="4FEF769F" w:rsidR="003119A7" w:rsidRPr="005B6B61" w:rsidRDefault="003119A7" w:rsidP="005B6B61"/>
    <w:p w14:paraId="30A691F9" w14:textId="77777777" w:rsidR="003119A7" w:rsidRPr="005B6B61" w:rsidRDefault="003119A7" w:rsidP="005B6B61"/>
    <w:p w14:paraId="2DA28D10" w14:textId="51E92A66" w:rsidR="00A5102B" w:rsidRPr="005B6B61" w:rsidRDefault="00A5102B" w:rsidP="005B6B61"/>
    <w:p w14:paraId="3B22A318" w14:textId="77777777" w:rsidR="00A5102B" w:rsidRPr="005B6B61" w:rsidRDefault="00A5102B" w:rsidP="005B6B61"/>
    <w:tbl>
      <w:tblPr>
        <w:tblStyle w:val="TableGrid"/>
        <w:tblW w:w="0" w:type="auto"/>
        <w:tblLook w:val="04A0" w:firstRow="1" w:lastRow="0" w:firstColumn="1" w:lastColumn="0" w:noHBand="0" w:noVBand="1"/>
      </w:tblPr>
      <w:tblGrid>
        <w:gridCol w:w="2972"/>
        <w:gridCol w:w="6044"/>
      </w:tblGrid>
      <w:tr w:rsidR="00A5102B" w14:paraId="7EB20388" w14:textId="77777777" w:rsidTr="003A0403">
        <w:tc>
          <w:tcPr>
            <w:tcW w:w="2972" w:type="dxa"/>
          </w:tcPr>
          <w:p w14:paraId="3AD798D9" w14:textId="77777777" w:rsidR="00A5102B" w:rsidRPr="003119A7" w:rsidRDefault="00A5102B" w:rsidP="003A0403">
            <w:pPr>
              <w:rPr>
                <w:rFonts w:ascii="Work Sans" w:hAnsi="Work Sans"/>
                <w:szCs w:val="20"/>
              </w:rPr>
            </w:pPr>
            <w:r w:rsidRPr="003119A7">
              <w:rPr>
                <w:rFonts w:ascii="Work Sans" w:hAnsi="Work Sans"/>
                <w:szCs w:val="20"/>
              </w:rPr>
              <w:t>Paper issued</w:t>
            </w:r>
          </w:p>
        </w:tc>
        <w:tc>
          <w:tcPr>
            <w:tcW w:w="6044" w:type="dxa"/>
          </w:tcPr>
          <w:p w14:paraId="7C0FA175" w14:textId="4F233BDF" w:rsidR="00A5102B" w:rsidRPr="003119A7" w:rsidRDefault="00097245" w:rsidP="003A0403">
            <w:pPr>
              <w:rPr>
                <w:rFonts w:ascii="Work Sans" w:hAnsi="Work Sans"/>
                <w:szCs w:val="20"/>
              </w:rPr>
            </w:pPr>
            <w:r>
              <w:rPr>
                <w:rFonts w:ascii="Work Sans" w:hAnsi="Work Sans"/>
                <w:szCs w:val="20"/>
              </w:rPr>
              <w:t>2</w:t>
            </w:r>
            <w:r w:rsidR="00207FF8" w:rsidRPr="00207FF8">
              <w:rPr>
                <w:rFonts w:ascii="Work Sans" w:hAnsi="Work Sans"/>
                <w:szCs w:val="20"/>
              </w:rPr>
              <w:t>7</w:t>
            </w:r>
            <w:r w:rsidR="007439CC" w:rsidRPr="00207FF8">
              <w:rPr>
                <w:rFonts w:ascii="Work Sans" w:hAnsi="Work Sans"/>
                <w:szCs w:val="20"/>
              </w:rPr>
              <w:t xml:space="preserve"> </w:t>
            </w:r>
            <w:r w:rsidR="0010018B" w:rsidRPr="00207FF8">
              <w:rPr>
                <w:rFonts w:ascii="Work Sans" w:hAnsi="Work Sans"/>
                <w:szCs w:val="20"/>
              </w:rPr>
              <w:t>June</w:t>
            </w:r>
            <w:r w:rsidR="0010018B" w:rsidRPr="00B7451F">
              <w:rPr>
                <w:rFonts w:ascii="Work Sans" w:hAnsi="Work Sans"/>
                <w:szCs w:val="20"/>
              </w:rPr>
              <w:t xml:space="preserve"> 2023</w:t>
            </w:r>
          </w:p>
        </w:tc>
      </w:tr>
      <w:tr w:rsidR="00B7451F" w14:paraId="11365DE9" w14:textId="77777777" w:rsidTr="003A0403">
        <w:tc>
          <w:tcPr>
            <w:tcW w:w="2972" w:type="dxa"/>
          </w:tcPr>
          <w:p w14:paraId="0E3E6654" w14:textId="77777777" w:rsidR="00B7451F" w:rsidRPr="003119A7" w:rsidRDefault="00B7451F" w:rsidP="00B7451F">
            <w:pPr>
              <w:rPr>
                <w:rFonts w:ascii="Work Sans" w:hAnsi="Work Sans"/>
                <w:szCs w:val="20"/>
              </w:rPr>
            </w:pPr>
            <w:r w:rsidRPr="003119A7">
              <w:rPr>
                <w:rFonts w:ascii="Work Sans" w:hAnsi="Work Sans"/>
                <w:szCs w:val="20"/>
              </w:rPr>
              <w:t>Commission contact officer</w:t>
            </w:r>
          </w:p>
        </w:tc>
        <w:tc>
          <w:tcPr>
            <w:tcW w:w="6044" w:type="dxa"/>
          </w:tcPr>
          <w:p w14:paraId="0AE869FA" w14:textId="03C4D4E9" w:rsidR="00B7451F" w:rsidRPr="003119A7" w:rsidRDefault="00B7451F" w:rsidP="00B7451F">
            <w:pPr>
              <w:rPr>
                <w:rFonts w:ascii="Work Sans" w:hAnsi="Work Sans"/>
                <w:szCs w:val="20"/>
              </w:rPr>
            </w:pPr>
            <w:r>
              <w:rPr>
                <w:rFonts w:ascii="Work Sans" w:hAnsi="Work Sans"/>
                <w:szCs w:val="20"/>
              </w:rPr>
              <w:t xml:space="preserve">Annie Abello, 02 6218 5713, </w:t>
            </w:r>
            <w:r w:rsidRPr="000F3FBF">
              <w:rPr>
                <w:rFonts w:ascii="Work Sans" w:hAnsi="Work Sans"/>
                <w:szCs w:val="20"/>
              </w:rPr>
              <w:t>Annie.Abello@cgc.gov.au</w:t>
            </w:r>
          </w:p>
        </w:tc>
      </w:tr>
      <w:tr w:rsidR="00B7451F" w14:paraId="066C2520" w14:textId="77777777" w:rsidTr="003A0403">
        <w:tc>
          <w:tcPr>
            <w:tcW w:w="2972" w:type="dxa"/>
          </w:tcPr>
          <w:p w14:paraId="6DBD6F0F" w14:textId="77777777" w:rsidR="00B7451F" w:rsidRPr="003119A7" w:rsidRDefault="00B7451F" w:rsidP="00B7451F">
            <w:pPr>
              <w:rPr>
                <w:rFonts w:ascii="Work Sans" w:hAnsi="Work Sans"/>
                <w:szCs w:val="20"/>
              </w:rPr>
            </w:pPr>
            <w:r w:rsidRPr="003119A7">
              <w:rPr>
                <w:rFonts w:ascii="Work Sans" w:hAnsi="Work Sans"/>
                <w:szCs w:val="20"/>
              </w:rPr>
              <w:t>Submissions sought by</w:t>
            </w:r>
          </w:p>
        </w:tc>
        <w:tc>
          <w:tcPr>
            <w:tcW w:w="6044" w:type="dxa"/>
          </w:tcPr>
          <w:p w14:paraId="0E76D454" w14:textId="67622956" w:rsidR="00B7451F" w:rsidRDefault="00B7451F" w:rsidP="00B7451F">
            <w:pPr>
              <w:rPr>
                <w:rFonts w:ascii="Work Sans" w:hAnsi="Work Sans"/>
                <w:szCs w:val="20"/>
              </w:rPr>
            </w:pPr>
            <w:r w:rsidRPr="00B7451F">
              <w:rPr>
                <w:rFonts w:ascii="Work Sans" w:hAnsi="Work Sans"/>
                <w:szCs w:val="20"/>
              </w:rPr>
              <w:t>13 October 2023</w:t>
            </w:r>
            <w:r w:rsidRPr="003119A7">
              <w:rPr>
                <w:rFonts w:ascii="Work Sans" w:hAnsi="Work Sans"/>
                <w:szCs w:val="20"/>
              </w:rPr>
              <w:t xml:space="preserve"> </w:t>
            </w:r>
          </w:p>
          <w:p w14:paraId="08F53FA1" w14:textId="2C0F8981" w:rsidR="00B7451F" w:rsidRPr="003119A7" w:rsidRDefault="00B7451F" w:rsidP="00B7451F">
            <w:pPr>
              <w:rPr>
                <w:rFonts w:ascii="Work Sans" w:hAnsi="Work Sans"/>
                <w:szCs w:val="20"/>
              </w:rPr>
            </w:pPr>
            <w:r w:rsidRPr="003119A7">
              <w:rPr>
                <w:rFonts w:ascii="Work Sans" w:hAnsi="Work Sans"/>
                <w:szCs w:val="20"/>
              </w:rPr>
              <w:t xml:space="preserve">Submissions should be placed in your private state channel in CGC Engagement Teams, with a post notifying </w:t>
            </w:r>
            <w:r w:rsidR="000F3FBF">
              <w:rPr>
                <w:rFonts w:ascii="Work Sans" w:hAnsi="Work Sans"/>
                <w:szCs w:val="20"/>
              </w:rPr>
              <w:t>Katrina Baldock</w:t>
            </w:r>
            <w:r w:rsidRPr="003119A7">
              <w:rPr>
                <w:rFonts w:ascii="Work Sans" w:hAnsi="Work Sans"/>
                <w:szCs w:val="20"/>
              </w:rPr>
              <w:t>.</w:t>
            </w:r>
          </w:p>
          <w:p w14:paraId="4396ACB3" w14:textId="3853E1B4" w:rsidR="00B7451F" w:rsidRPr="003119A7" w:rsidRDefault="00B7451F" w:rsidP="00B7451F">
            <w:pPr>
              <w:rPr>
                <w:rFonts w:ascii="Work Sans" w:hAnsi="Work Sans"/>
                <w:szCs w:val="20"/>
              </w:rPr>
            </w:pPr>
            <w:r w:rsidRPr="003119A7">
              <w:rPr>
                <w:rFonts w:ascii="Work Sans" w:hAnsi="Work Sans"/>
                <w:szCs w:val="20"/>
              </w:rPr>
              <w:t xml:space="preserve">Submissions </w:t>
            </w:r>
            <w:r>
              <w:rPr>
                <w:rFonts w:ascii="Work Sans" w:hAnsi="Work Sans"/>
                <w:szCs w:val="20"/>
              </w:rPr>
              <w:t xml:space="preserve">should be in Word format and posted in the relevant state channel of the CGC engagement Team. Submissions </w:t>
            </w:r>
            <w:r w:rsidRPr="003119A7">
              <w:rPr>
                <w:rFonts w:ascii="Work Sans" w:hAnsi="Work Sans"/>
                <w:szCs w:val="20"/>
              </w:rPr>
              <w:t>more than 10 pages in length should include a summary section.</w:t>
            </w:r>
          </w:p>
        </w:tc>
      </w:tr>
      <w:tr w:rsidR="00B7451F" w14:paraId="4A2C2E7B" w14:textId="77777777" w:rsidTr="003A0403">
        <w:tc>
          <w:tcPr>
            <w:tcW w:w="2972" w:type="dxa"/>
          </w:tcPr>
          <w:p w14:paraId="7DD8E4C8" w14:textId="77777777" w:rsidR="00B7451F" w:rsidRPr="003119A7" w:rsidRDefault="00B7451F" w:rsidP="00B7451F">
            <w:pPr>
              <w:rPr>
                <w:rFonts w:ascii="Work Sans" w:hAnsi="Work Sans"/>
                <w:szCs w:val="20"/>
              </w:rPr>
            </w:pPr>
            <w:r w:rsidRPr="003119A7">
              <w:rPr>
                <w:rFonts w:ascii="Work Sans" w:hAnsi="Work Sans"/>
                <w:szCs w:val="20"/>
              </w:rPr>
              <w:t>Confidential material</w:t>
            </w:r>
          </w:p>
        </w:tc>
        <w:tc>
          <w:tcPr>
            <w:tcW w:w="6044" w:type="dxa"/>
          </w:tcPr>
          <w:p w14:paraId="04CDDAA6" w14:textId="463DA92D" w:rsidR="00B7451F" w:rsidRPr="003119A7" w:rsidRDefault="00B7451F" w:rsidP="00B7451F">
            <w:pPr>
              <w:rPr>
                <w:rFonts w:ascii="Work Sans" w:hAnsi="Work Sans"/>
                <w:szCs w:val="20"/>
              </w:rPr>
            </w:pPr>
            <w:r w:rsidRPr="003119A7">
              <w:rPr>
                <w:rFonts w:ascii="Work Sans" w:hAnsi="Work Sans"/>
                <w:szCs w:val="20"/>
              </w:rPr>
              <w:t xml:space="preserve">It is the </w:t>
            </w:r>
            <w:r>
              <w:rPr>
                <w:rFonts w:ascii="Work Sans" w:hAnsi="Work Sans"/>
                <w:szCs w:val="20"/>
              </w:rPr>
              <w:t>C</w:t>
            </w:r>
            <w:r w:rsidRPr="003119A7">
              <w:rPr>
                <w:rFonts w:ascii="Work Sans" w:hAnsi="Work Sans"/>
                <w:szCs w:val="20"/>
              </w:rPr>
              <w:t xml:space="preserve">ommission’s normal practice to make state submissions available on its website under the CC BY licence, allowing free use of content by third parties. </w:t>
            </w:r>
          </w:p>
          <w:p w14:paraId="6849CDDF" w14:textId="77777777" w:rsidR="00B7451F" w:rsidRPr="003119A7" w:rsidRDefault="00B7451F" w:rsidP="00B7451F">
            <w:pPr>
              <w:rPr>
                <w:rFonts w:ascii="Work Sans" w:hAnsi="Work Sans"/>
                <w:szCs w:val="20"/>
              </w:rPr>
            </w:pPr>
            <w:r w:rsidRPr="003119A7">
              <w:rPr>
                <w:noProof/>
                <w:szCs w:val="20"/>
                <w:lang w:eastAsia="en-AU"/>
              </w:rPr>
              <w:drawing>
                <wp:inline distT="0" distB="0" distL="0" distR="0" wp14:anchorId="007C1E09" wp14:editId="3498F777">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726BCD5C" w14:textId="77777777" w:rsidR="00B7451F" w:rsidRPr="003119A7" w:rsidRDefault="00B7451F" w:rsidP="00B7451F">
            <w:pPr>
              <w:rPr>
                <w:rFonts w:ascii="Work Sans" w:hAnsi="Work Sans"/>
                <w:szCs w:val="20"/>
              </w:rPr>
            </w:pPr>
            <w:r w:rsidRPr="003119A7">
              <w:rPr>
                <w:rFonts w:ascii="Work Sans" w:hAnsi="Work Sans"/>
                <w:szCs w:val="20"/>
              </w:rPr>
              <w:t xml:space="preserve">Further information on the CC BY licence can be found on the Creative Commons website (http://creativecommons.org). </w:t>
            </w:r>
          </w:p>
          <w:p w14:paraId="2CB22B19" w14:textId="13515C32" w:rsidR="00B7451F" w:rsidRPr="003119A7" w:rsidRDefault="00B7451F" w:rsidP="00B7451F">
            <w:pPr>
              <w:rPr>
                <w:rFonts w:ascii="Work Sans" w:hAnsi="Work Sans"/>
                <w:szCs w:val="20"/>
              </w:rPr>
            </w:pPr>
            <w:r w:rsidRPr="003119A7">
              <w:rPr>
                <w:rFonts w:ascii="Work Sans" w:hAnsi="Work Sans"/>
                <w:szCs w:val="20"/>
              </w:rPr>
              <w:t xml:space="preserve">Confidential material contained in submissions must be clearly identified or included in separate attachment/s, and details provided in the covering email. Identified confidential material will not be published on the </w:t>
            </w:r>
            <w:r>
              <w:rPr>
                <w:rFonts w:ascii="Work Sans" w:hAnsi="Work Sans"/>
                <w:szCs w:val="20"/>
              </w:rPr>
              <w:t>C</w:t>
            </w:r>
            <w:r w:rsidRPr="003119A7">
              <w:rPr>
                <w:rFonts w:ascii="Work Sans" w:hAnsi="Work Sans"/>
                <w:szCs w:val="20"/>
              </w:rPr>
              <w:t>ommission’s website.</w:t>
            </w:r>
          </w:p>
        </w:tc>
      </w:tr>
    </w:tbl>
    <w:p w14:paraId="5B36DCBD" w14:textId="77777777" w:rsidR="005B6B61" w:rsidRDefault="005B6B61" w:rsidP="00DF1879">
      <w:pPr>
        <w:sectPr w:rsidR="005B6B61" w:rsidSect="004F0684">
          <w:headerReference w:type="default" r:id="rId15"/>
          <w:footerReference w:type="first" r:id="rId16"/>
          <w:pgSz w:w="11906" w:h="16838" w:code="9"/>
          <w:pgMar w:top="1440" w:right="1440" w:bottom="1440" w:left="1440" w:header="720" w:footer="720" w:gutter="0"/>
          <w:cols w:space="720"/>
          <w:docGrid w:linePitch="272"/>
        </w:sectPr>
      </w:pPr>
    </w:p>
    <w:sdt>
      <w:sdtPr>
        <w:rPr>
          <w:rFonts w:ascii="Open Sans Light" w:eastAsiaTheme="minorHAnsi" w:hAnsi="Open Sans Light" w:cstheme="minorBidi"/>
          <w:b w:val="0"/>
          <w:bCs w:val="0"/>
          <w:caps w:val="0"/>
          <w:color w:val="auto"/>
          <w:sz w:val="20"/>
          <w:szCs w:val="22"/>
        </w:rPr>
        <w:id w:val="2028664566"/>
        <w:docPartObj>
          <w:docPartGallery w:val="Table of Contents"/>
          <w:docPartUnique/>
        </w:docPartObj>
      </w:sdtPr>
      <w:sdtEndPr>
        <w:rPr>
          <w:noProof/>
        </w:rPr>
      </w:sdtEndPr>
      <w:sdtContent>
        <w:p w14:paraId="62BF2D2D" w14:textId="74E6270F" w:rsidR="005B6B61" w:rsidRDefault="005B6B61">
          <w:pPr>
            <w:pStyle w:val="TOCHeading"/>
          </w:pPr>
          <w:r>
            <w:t>Contents</w:t>
          </w:r>
        </w:p>
        <w:p w14:paraId="61E40B6D" w14:textId="195507E6" w:rsidR="00C27F3E" w:rsidRDefault="005B6B61">
          <w:pPr>
            <w:pStyle w:val="TOC2"/>
            <w:rPr>
              <w:rFonts w:asciiTheme="minorHAnsi" w:eastAsiaTheme="minorEastAsia" w:hAnsiTheme="minorHAnsi"/>
              <w:bC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38753175" w:history="1">
            <w:r w:rsidR="00C27F3E" w:rsidRPr="00433197">
              <w:rPr>
                <w:rStyle w:val="Hyperlink"/>
                <w:noProof/>
              </w:rPr>
              <w:t>Overview of category</w:t>
            </w:r>
            <w:r w:rsidR="00C27F3E">
              <w:rPr>
                <w:noProof/>
                <w:webHidden/>
              </w:rPr>
              <w:tab/>
            </w:r>
            <w:r w:rsidR="00C27F3E">
              <w:rPr>
                <w:noProof/>
                <w:webHidden/>
              </w:rPr>
              <w:fldChar w:fldCharType="begin"/>
            </w:r>
            <w:r w:rsidR="00C27F3E">
              <w:rPr>
                <w:noProof/>
                <w:webHidden/>
              </w:rPr>
              <w:instrText xml:space="preserve"> PAGEREF _Toc138753175 \h </w:instrText>
            </w:r>
            <w:r w:rsidR="00C27F3E">
              <w:rPr>
                <w:noProof/>
                <w:webHidden/>
              </w:rPr>
            </w:r>
            <w:r w:rsidR="00C27F3E">
              <w:rPr>
                <w:noProof/>
                <w:webHidden/>
              </w:rPr>
              <w:fldChar w:fldCharType="separate"/>
            </w:r>
            <w:r w:rsidR="00312054">
              <w:rPr>
                <w:noProof/>
                <w:webHidden/>
              </w:rPr>
              <w:t>4</w:t>
            </w:r>
            <w:r w:rsidR="00C27F3E">
              <w:rPr>
                <w:noProof/>
                <w:webHidden/>
              </w:rPr>
              <w:fldChar w:fldCharType="end"/>
            </w:r>
          </w:hyperlink>
        </w:p>
        <w:p w14:paraId="04973316" w14:textId="26A4D67A" w:rsidR="00C27F3E"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753176" w:history="1">
            <w:r w:rsidR="00C27F3E" w:rsidRPr="00433197">
              <w:rPr>
                <w:rStyle w:val="Hyperlink"/>
                <w:noProof/>
              </w:rPr>
              <w:t>Current assessment method – 2020 Review</w:t>
            </w:r>
            <w:r w:rsidR="00C27F3E">
              <w:rPr>
                <w:noProof/>
                <w:webHidden/>
              </w:rPr>
              <w:tab/>
            </w:r>
            <w:r w:rsidR="00C27F3E">
              <w:rPr>
                <w:noProof/>
                <w:webHidden/>
              </w:rPr>
              <w:fldChar w:fldCharType="begin"/>
            </w:r>
            <w:r w:rsidR="00C27F3E">
              <w:rPr>
                <w:noProof/>
                <w:webHidden/>
              </w:rPr>
              <w:instrText xml:space="preserve"> PAGEREF _Toc138753176 \h </w:instrText>
            </w:r>
            <w:r w:rsidR="00C27F3E">
              <w:rPr>
                <w:noProof/>
                <w:webHidden/>
              </w:rPr>
            </w:r>
            <w:r w:rsidR="00C27F3E">
              <w:rPr>
                <w:noProof/>
                <w:webHidden/>
              </w:rPr>
              <w:fldChar w:fldCharType="separate"/>
            </w:r>
            <w:r w:rsidR="00312054">
              <w:rPr>
                <w:noProof/>
                <w:webHidden/>
              </w:rPr>
              <w:t>4</w:t>
            </w:r>
            <w:r w:rsidR="00C27F3E">
              <w:rPr>
                <w:noProof/>
                <w:webHidden/>
              </w:rPr>
              <w:fldChar w:fldCharType="end"/>
            </w:r>
          </w:hyperlink>
        </w:p>
        <w:p w14:paraId="378F8858" w14:textId="4537B4D4"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77" w:history="1">
            <w:r w:rsidR="00C27F3E" w:rsidRPr="00433197">
              <w:rPr>
                <w:rStyle w:val="Hyperlink"/>
                <w:noProof/>
              </w:rPr>
              <w:t>Data used in the assessment</w:t>
            </w:r>
            <w:r w:rsidR="00C27F3E">
              <w:rPr>
                <w:noProof/>
                <w:webHidden/>
              </w:rPr>
              <w:tab/>
            </w:r>
            <w:r w:rsidR="00C27F3E">
              <w:rPr>
                <w:noProof/>
                <w:webHidden/>
              </w:rPr>
              <w:fldChar w:fldCharType="begin"/>
            </w:r>
            <w:r w:rsidR="00C27F3E">
              <w:rPr>
                <w:noProof/>
                <w:webHidden/>
              </w:rPr>
              <w:instrText xml:space="preserve"> PAGEREF _Toc138753177 \h </w:instrText>
            </w:r>
            <w:r w:rsidR="00C27F3E">
              <w:rPr>
                <w:noProof/>
                <w:webHidden/>
              </w:rPr>
            </w:r>
            <w:r w:rsidR="00C27F3E">
              <w:rPr>
                <w:noProof/>
                <w:webHidden/>
              </w:rPr>
              <w:fldChar w:fldCharType="separate"/>
            </w:r>
            <w:r w:rsidR="00312054">
              <w:rPr>
                <w:noProof/>
                <w:webHidden/>
              </w:rPr>
              <w:t>4</w:t>
            </w:r>
            <w:r w:rsidR="00C27F3E">
              <w:rPr>
                <w:noProof/>
                <w:webHidden/>
              </w:rPr>
              <w:fldChar w:fldCharType="end"/>
            </w:r>
          </w:hyperlink>
        </w:p>
        <w:p w14:paraId="186E5809" w14:textId="5F2F54F4"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78" w:history="1">
            <w:r w:rsidR="00C27F3E" w:rsidRPr="00433197">
              <w:rPr>
                <w:rStyle w:val="Hyperlink"/>
                <w:noProof/>
              </w:rPr>
              <w:t>Category and component expenses</w:t>
            </w:r>
            <w:r w:rsidR="00C27F3E">
              <w:rPr>
                <w:noProof/>
                <w:webHidden/>
              </w:rPr>
              <w:tab/>
            </w:r>
            <w:r w:rsidR="00C27F3E">
              <w:rPr>
                <w:noProof/>
                <w:webHidden/>
              </w:rPr>
              <w:fldChar w:fldCharType="begin"/>
            </w:r>
            <w:r w:rsidR="00C27F3E">
              <w:rPr>
                <w:noProof/>
                <w:webHidden/>
              </w:rPr>
              <w:instrText xml:space="preserve"> PAGEREF _Toc138753178 \h </w:instrText>
            </w:r>
            <w:r w:rsidR="00C27F3E">
              <w:rPr>
                <w:noProof/>
                <w:webHidden/>
              </w:rPr>
            </w:r>
            <w:r w:rsidR="00C27F3E">
              <w:rPr>
                <w:noProof/>
                <w:webHidden/>
              </w:rPr>
              <w:fldChar w:fldCharType="separate"/>
            </w:r>
            <w:r w:rsidR="00312054">
              <w:rPr>
                <w:noProof/>
                <w:webHidden/>
              </w:rPr>
              <w:t>5</w:t>
            </w:r>
            <w:r w:rsidR="00C27F3E">
              <w:rPr>
                <w:noProof/>
                <w:webHidden/>
              </w:rPr>
              <w:fldChar w:fldCharType="end"/>
            </w:r>
          </w:hyperlink>
        </w:p>
        <w:p w14:paraId="5C34105C" w14:textId="2BA26EDB"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79" w:history="1">
            <w:r w:rsidR="00C27F3E" w:rsidRPr="00433197">
              <w:rPr>
                <w:rStyle w:val="Hyperlink"/>
                <w:noProof/>
              </w:rPr>
              <w:t>GST distribution in the 2023 Update</w:t>
            </w:r>
            <w:r w:rsidR="00C27F3E">
              <w:rPr>
                <w:noProof/>
                <w:webHidden/>
              </w:rPr>
              <w:tab/>
            </w:r>
            <w:r w:rsidR="00C27F3E">
              <w:rPr>
                <w:noProof/>
                <w:webHidden/>
              </w:rPr>
              <w:fldChar w:fldCharType="begin"/>
            </w:r>
            <w:r w:rsidR="00C27F3E">
              <w:rPr>
                <w:noProof/>
                <w:webHidden/>
              </w:rPr>
              <w:instrText xml:space="preserve"> PAGEREF _Toc138753179 \h </w:instrText>
            </w:r>
            <w:r w:rsidR="00C27F3E">
              <w:rPr>
                <w:noProof/>
                <w:webHidden/>
              </w:rPr>
            </w:r>
            <w:r w:rsidR="00C27F3E">
              <w:rPr>
                <w:noProof/>
                <w:webHidden/>
              </w:rPr>
              <w:fldChar w:fldCharType="separate"/>
            </w:r>
            <w:r w:rsidR="00312054">
              <w:rPr>
                <w:noProof/>
                <w:webHidden/>
              </w:rPr>
              <w:t>7</w:t>
            </w:r>
            <w:r w:rsidR="00C27F3E">
              <w:rPr>
                <w:noProof/>
                <w:webHidden/>
              </w:rPr>
              <w:fldChar w:fldCharType="end"/>
            </w:r>
          </w:hyperlink>
        </w:p>
        <w:p w14:paraId="54647103" w14:textId="006F27C4" w:rsidR="00C27F3E"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753180" w:history="1">
            <w:r w:rsidR="00C27F3E" w:rsidRPr="00433197">
              <w:rPr>
                <w:rStyle w:val="Hyperlink"/>
                <w:noProof/>
              </w:rPr>
              <w:t>What has changed since the 2020 Review?</w:t>
            </w:r>
            <w:r w:rsidR="00C27F3E">
              <w:rPr>
                <w:noProof/>
                <w:webHidden/>
              </w:rPr>
              <w:tab/>
            </w:r>
            <w:r w:rsidR="00C27F3E">
              <w:rPr>
                <w:noProof/>
                <w:webHidden/>
              </w:rPr>
              <w:fldChar w:fldCharType="begin"/>
            </w:r>
            <w:r w:rsidR="00C27F3E">
              <w:rPr>
                <w:noProof/>
                <w:webHidden/>
              </w:rPr>
              <w:instrText xml:space="preserve"> PAGEREF _Toc138753180 \h </w:instrText>
            </w:r>
            <w:r w:rsidR="00C27F3E">
              <w:rPr>
                <w:noProof/>
                <w:webHidden/>
              </w:rPr>
            </w:r>
            <w:r w:rsidR="00C27F3E">
              <w:rPr>
                <w:noProof/>
                <w:webHidden/>
              </w:rPr>
              <w:fldChar w:fldCharType="separate"/>
            </w:r>
            <w:r w:rsidR="00312054">
              <w:rPr>
                <w:noProof/>
                <w:webHidden/>
              </w:rPr>
              <w:t>7</w:t>
            </w:r>
            <w:r w:rsidR="00C27F3E">
              <w:rPr>
                <w:noProof/>
                <w:webHidden/>
              </w:rPr>
              <w:fldChar w:fldCharType="end"/>
            </w:r>
          </w:hyperlink>
        </w:p>
        <w:p w14:paraId="2C5066E5" w14:textId="39F23973"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81" w:history="1">
            <w:r w:rsidR="00C27F3E" w:rsidRPr="00433197">
              <w:rPr>
                <w:rStyle w:val="Hyperlink"/>
                <w:noProof/>
              </w:rPr>
              <w:t>There was a COVID-19 pandemic</w:t>
            </w:r>
            <w:r w:rsidR="00C27F3E">
              <w:rPr>
                <w:noProof/>
                <w:webHidden/>
              </w:rPr>
              <w:tab/>
            </w:r>
            <w:r w:rsidR="00C27F3E">
              <w:rPr>
                <w:noProof/>
                <w:webHidden/>
              </w:rPr>
              <w:fldChar w:fldCharType="begin"/>
            </w:r>
            <w:r w:rsidR="00C27F3E">
              <w:rPr>
                <w:noProof/>
                <w:webHidden/>
              </w:rPr>
              <w:instrText xml:space="preserve"> PAGEREF _Toc138753181 \h </w:instrText>
            </w:r>
            <w:r w:rsidR="00C27F3E">
              <w:rPr>
                <w:noProof/>
                <w:webHidden/>
              </w:rPr>
            </w:r>
            <w:r w:rsidR="00C27F3E">
              <w:rPr>
                <w:noProof/>
                <w:webHidden/>
              </w:rPr>
              <w:fldChar w:fldCharType="separate"/>
            </w:r>
            <w:r w:rsidR="00312054">
              <w:rPr>
                <w:noProof/>
                <w:webHidden/>
              </w:rPr>
              <w:t>7</w:t>
            </w:r>
            <w:r w:rsidR="00C27F3E">
              <w:rPr>
                <w:noProof/>
                <w:webHidden/>
              </w:rPr>
              <w:fldChar w:fldCharType="end"/>
            </w:r>
          </w:hyperlink>
        </w:p>
        <w:p w14:paraId="23881AC3" w14:textId="4842AC40"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82" w:history="1">
            <w:r w:rsidR="00C27F3E" w:rsidRPr="00433197">
              <w:rPr>
                <w:rStyle w:val="Hyperlink"/>
                <w:noProof/>
              </w:rPr>
              <w:t>Improved activity data on community mental health services are available</w:t>
            </w:r>
            <w:r w:rsidR="00C27F3E">
              <w:rPr>
                <w:noProof/>
                <w:webHidden/>
              </w:rPr>
              <w:tab/>
            </w:r>
            <w:r w:rsidR="00C27F3E">
              <w:rPr>
                <w:noProof/>
                <w:webHidden/>
              </w:rPr>
              <w:fldChar w:fldCharType="begin"/>
            </w:r>
            <w:r w:rsidR="00C27F3E">
              <w:rPr>
                <w:noProof/>
                <w:webHidden/>
              </w:rPr>
              <w:instrText xml:space="preserve"> PAGEREF _Toc138753182 \h </w:instrText>
            </w:r>
            <w:r w:rsidR="00C27F3E">
              <w:rPr>
                <w:noProof/>
                <w:webHidden/>
              </w:rPr>
            </w:r>
            <w:r w:rsidR="00C27F3E">
              <w:rPr>
                <w:noProof/>
                <w:webHidden/>
              </w:rPr>
              <w:fldChar w:fldCharType="separate"/>
            </w:r>
            <w:r w:rsidR="00312054">
              <w:rPr>
                <w:noProof/>
                <w:webHidden/>
              </w:rPr>
              <w:t>8</w:t>
            </w:r>
            <w:r w:rsidR="00C27F3E">
              <w:rPr>
                <w:noProof/>
                <w:webHidden/>
              </w:rPr>
              <w:fldChar w:fldCharType="end"/>
            </w:r>
          </w:hyperlink>
        </w:p>
        <w:p w14:paraId="37776DD4" w14:textId="0E8F1156"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83" w:history="1">
            <w:r w:rsidR="00C27F3E" w:rsidRPr="00433197">
              <w:rPr>
                <w:rStyle w:val="Hyperlink"/>
                <w:noProof/>
              </w:rPr>
              <w:t>An alternative data source is needed to estimate substitutability between emergency departments and non</w:t>
            </w:r>
            <w:r w:rsidR="00C27F3E" w:rsidRPr="00433197">
              <w:rPr>
                <w:rStyle w:val="Hyperlink"/>
                <w:noProof/>
              </w:rPr>
              <w:noBreakHyphen/>
              <w:t>state health services</w:t>
            </w:r>
            <w:r w:rsidR="00C27F3E">
              <w:rPr>
                <w:noProof/>
                <w:webHidden/>
              </w:rPr>
              <w:tab/>
            </w:r>
            <w:r w:rsidR="00C27F3E">
              <w:rPr>
                <w:noProof/>
                <w:webHidden/>
              </w:rPr>
              <w:fldChar w:fldCharType="begin"/>
            </w:r>
            <w:r w:rsidR="00C27F3E">
              <w:rPr>
                <w:noProof/>
                <w:webHidden/>
              </w:rPr>
              <w:instrText xml:space="preserve"> PAGEREF _Toc138753183 \h </w:instrText>
            </w:r>
            <w:r w:rsidR="00C27F3E">
              <w:rPr>
                <w:noProof/>
                <w:webHidden/>
              </w:rPr>
            </w:r>
            <w:r w:rsidR="00C27F3E">
              <w:rPr>
                <w:noProof/>
                <w:webHidden/>
              </w:rPr>
              <w:fldChar w:fldCharType="separate"/>
            </w:r>
            <w:r w:rsidR="00312054">
              <w:rPr>
                <w:noProof/>
                <w:webHidden/>
              </w:rPr>
              <w:t>8</w:t>
            </w:r>
            <w:r w:rsidR="00C27F3E">
              <w:rPr>
                <w:noProof/>
                <w:webHidden/>
              </w:rPr>
              <w:fldChar w:fldCharType="end"/>
            </w:r>
          </w:hyperlink>
        </w:p>
        <w:p w14:paraId="7BBD2053" w14:textId="7BC1A536" w:rsidR="00C27F3E"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753184" w:history="1">
            <w:r w:rsidR="00C27F3E" w:rsidRPr="00433197">
              <w:rPr>
                <w:rStyle w:val="Hyperlink"/>
                <w:noProof/>
              </w:rPr>
              <w:t>Implications for assessment</w:t>
            </w:r>
            <w:r w:rsidR="00C27F3E">
              <w:rPr>
                <w:noProof/>
                <w:webHidden/>
              </w:rPr>
              <w:tab/>
            </w:r>
            <w:r w:rsidR="00C27F3E">
              <w:rPr>
                <w:noProof/>
                <w:webHidden/>
              </w:rPr>
              <w:fldChar w:fldCharType="begin"/>
            </w:r>
            <w:r w:rsidR="00C27F3E">
              <w:rPr>
                <w:noProof/>
                <w:webHidden/>
              </w:rPr>
              <w:instrText xml:space="preserve"> PAGEREF _Toc138753184 \h </w:instrText>
            </w:r>
            <w:r w:rsidR="00C27F3E">
              <w:rPr>
                <w:noProof/>
                <w:webHidden/>
              </w:rPr>
            </w:r>
            <w:r w:rsidR="00C27F3E">
              <w:rPr>
                <w:noProof/>
                <w:webHidden/>
              </w:rPr>
              <w:fldChar w:fldCharType="separate"/>
            </w:r>
            <w:r w:rsidR="00312054">
              <w:rPr>
                <w:noProof/>
                <w:webHidden/>
              </w:rPr>
              <w:t>8</w:t>
            </w:r>
            <w:r w:rsidR="00C27F3E">
              <w:rPr>
                <w:noProof/>
                <w:webHidden/>
              </w:rPr>
              <w:fldChar w:fldCharType="end"/>
            </w:r>
          </w:hyperlink>
        </w:p>
        <w:p w14:paraId="218E06D7" w14:textId="505D4F23"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85" w:history="1">
            <w:r w:rsidR="00C27F3E" w:rsidRPr="00433197">
              <w:rPr>
                <w:rStyle w:val="Hyperlink"/>
                <w:noProof/>
              </w:rPr>
              <w:t>Is there new evidence from the COVID-19 experience that supports changes to the assessment methodology?</w:t>
            </w:r>
            <w:r w:rsidR="00C27F3E">
              <w:rPr>
                <w:noProof/>
                <w:webHidden/>
              </w:rPr>
              <w:tab/>
            </w:r>
            <w:r w:rsidR="00C27F3E">
              <w:rPr>
                <w:noProof/>
                <w:webHidden/>
              </w:rPr>
              <w:fldChar w:fldCharType="begin"/>
            </w:r>
            <w:r w:rsidR="00C27F3E">
              <w:rPr>
                <w:noProof/>
                <w:webHidden/>
              </w:rPr>
              <w:instrText xml:space="preserve"> PAGEREF _Toc138753185 \h </w:instrText>
            </w:r>
            <w:r w:rsidR="00C27F3E">
              <w:rPr>
                <w:noProof/>
                <w:webHidden/>
              </w:rPr>
            </w:r>
            <w:r w:rsidR="00C27F3E">
              <w:rPr>
                <w:noProof/>
                <w:webHidden/>
              </w:rPr>
              <w:fldChar w:fldCharType="separate"/>
            </w:r>
            <w:r w:rsidR="00312054">
              <w:rPr>
                <w:noProof/>
                <w:webHidden/>
              </w:rPr>
              <w:t>8</w:t>
            </w:r>
            <w:r w:rsidR="00C27F3E">
              <w:rPr>
                <w:noProof/>
                <w:webHidden/>
              </w:rPr>
              <w:fldChar w:fldCharType="end"/>
            </w:r>
          </w:hyperlink>
        </w:p>
        <w:p w14:paraId="60A93527" w14:textId="0D2B8026"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86" w:history="1">
            <w:r w:rsidR="00C27F3E" w:rsidRPr="00433197">
              <w:rPr>
                <w:rStyle w:val="Hyperlink"/>
                <w:noProof/>
              </w:rPr>
              <w:t>Can the measure of service use and cost by socio-demographic group in the community and public health assessment be improved?</w:t>
            </w:r>
            <w:r w:rsidR="00C27F3E">
              <w:rPr>
                <w:noProof/>
                <w:webHidden/>
              </w:rPr>
              <w:tab/>
            </w:r>
            <w:r w:rsidR="00C27F3E">
              <w:rPr>
                <w:noProof/>
                <w:webHidden/>
              </w:rPr>
              <w:fldChar w:fldCharType="begin"/>
            </w:r>
            <w:r w:rsidR="00C27F3E">
              <w:rPr>
                <w:noProof/>
                <w:webHidden/>
              </w:rPr>
              <w:instrText xml:space="preserve"> PAGEREF _Toc138753186 \h </w:instrText>
            </w:r>
            <w:r w:rsidR="00C27F3E">
              <w:rPr>
                <w:noProof/>
                <w:webHidden/>
              </w:rPr>
            </w:r>
            <w:r w:rsidR="00C27F3E">
              <w:rPr>
                <w:noProof/>
                <w:webHidden/>
              </w:rPr>
              <w:fldChar w:fldCharType="separate"/>
            </w:r>
            <w:r w:rsidR="00312054">
              <w:rPr>
                <w:noProof/>
                <w:webHidden/>
              </w:rPr>
              <w:t>10</w:t>
            </w:r>
            <w:r w:rsidR="00C27F3E">
              <w:rPr>
                <w:noProof/>
                <w:webHidden/>
              </w:rPr>
              <w:fldChar w:fldCharType="end"/>
            </w:r>
          </w:hyperlink>
        </w:p>
        <w:p w14:paraId="56690B35" w14:textId="23880902"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87" w:history="1">
            <w:r w:rsidR="00C27F3E" w:rsidRPr="00433197">
              <w:rPr>
                <w:rStyle w:val="Hyperlink"/>
                <w:noProof/>
              </w:rPr>
              <w:t>Should an alternative data source be used to update the substitutability level for emergency department services?</w:t>
            </w:r>
            <w:r w:rsidR="00C27F3E">
              <w:rPr>
                <w:noProof/>
                <w:webHidden/>
              </w:rPr>
              <w:tab/>
            </w:r>
            <w:r w:rsidR="00C27F3E">
              <w:rPr>
                <w:noProof/>
                <w:webHidden/>
              </w:rPr>
              <w:fldChar w:fldCharType="begin"/>
            </w:r>
            <w:r w:rsidR="00C27F3E">
              <w:rPr>
                <w:noProof/>
                <w:webHidden/>
              </w:rPr>
              <w:instrText xml:space="preserve"> PAGEREF _Toc138753187 \h </w:instrText>
            </w:r>
            <w:r w:rsidR="00C27F3E">
              <w:rPr>
                <w:noProof/>
                <w:webHidden/>
              </w:rPr>
            </w:r>
            <w:r w:rsidR="00C27F3E">
              <w:rPr>
                <w:noProof/>
                <w:webHidden/>
              </w:rPr>
              <w:fldChar w:fldCharType="separate"/>
            </w:r>
            <w:r w:rsidR="00312054">
              <w:rPr>
                <w:noProof/>
                <w:webHidden/>
              </w:rPr>
              <w:t>17</w:t>
            </w:r>
            <w:r w:rsidR="00C27F3E">
              <w:rPr>
                <w:noProof/>
                <w:webHidden/>
              </w:rPr>
              <w:fldChar w:fldCharType="end"/>
            </w:r>
          </w:hyperlink>
        </w:p>
        <w:p w14:paraId="16DFDBA1" w14:textId="6997BE2C" w:rsidR="00C27F3E"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753188" w:history="1">
            <w:r w:rsidR="00C27F3E" w:rsidRPr="00433197">
              <w:rPr>
                <w:rStyle w:val="Hyperlink"/>
                <w:noProof/>
              </w:rPr>
              <w:t>Proposed assessment</w:t>
            </w:r>
            <w:r w:rsidR="00C27F3E">
              <w:rPr>
                <w:noProof/>
                <w:webHidden/>
              </w:rPr>
              <w:tab/>
            </w:r>
            <w:r w:rsidR="00C27F3E">
              <w:rPr>
                <w:noProof/>
                <w:webHidden/>
              </w:rPr>
              <w:fldChar w:fldCharType="begin"/>
            </w:r>
            <w:r w:rsidR="00C27F3E">
              <w:rPr>
                <w:noProof/>
                <w:webHidden/>
              </w:rPr>
              <w:instrText xml:space="preserve"> PAGEREF _Toc138753188 \h </w:instrText>
            </w:r>
            <w:r w:rsidR="00C27F3E">
              <w:rPr>
                <w:noProof/>
                <w:webHidden/>
              </w:rPr>
            </w:r>
            <w:r w:rsidR="00C27F3E">
              <w:rPr>
                <w:noProof/>
                <w:webHidden/>
              </w:rPr>
              <w:fldChar w:fldCharType="separate"/>
            </w:r>
            <w:r w:rsidR="00312054">
              <w:rPr>
                <w:noProof/>
                <w:webHidden/>
              </w:rPr>
              <w:t>20</w:t>
            </w:r>
            <w:r w:rsidR="00C27F3E">
              <w:rPr>
                <w:noProof/>
                <w:webHidden/>
              </w:rPr>
              <w:fldChar w:fldCharType="end"/>
            </w:r>
          </w:hyperlink>
        </w:p>
        <w:p w14:paraId="24F96E21" w14:textId="069A7DC0"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89" w:history="1">
            <w:r w:rsidR="00C27F3E" w:rsidRPr="00433197">
              <w:rPr>
                <w:rStyle w:val="Hyperlink"/>
                <w:noProof/>
              </w:rPr>
              <w:t>Differences from the 2020 Review approach</w:t>
            </w:r>
            <w:r w:rsidR="00C27F3E">
              <w:rPr>
                <w:noProof/>
                <w:webHidden/>
              </w:rPr>
              <w:tab/>
            </w:r>
            <w:r w:rsidR="00C27F3E">
              <w:rPr>
                <w:noProof/>
                <w:webHidden/>
              </w:rPr>
              <w:fldChar w:fldCharType="begin"/>
            </w:r>
            <w:r w:rsidR="00C27F3E">
              <w:rPr>
                <w:noProof/>
                <w:webHidden/>
              </w:rPr>
              <w:instrText xml:space="preserve"> PAGEREF _Toc138753189 \h </w:instrText>
            </w:r>
            <w:r w:rsidR="00C27F3E">
              <w:rPr>
                <w:noProof/>
                <w:webHidden/>
              </w:rPr>
            </w:r>
            <w:r w:rsidR="00C27F3E">
              <w:rPr>
                <w:noProof/>
                <w:webHidden/>
              </w:rPr>
              <w:fldChar w:fldCharType="separate"/>
            </w:r>
            <w:r w:rsidR="00312054">
              <w:rPr>
                <w:noProof/>
                <w:webHidden/>
              </w:rPr>
              <w:t>20</w:t>
            </w:r>
            <w:r w:rsidR="00C27F3E">
              <w:rPr>
                <w:noProof/>
                <w:webHidden/>
              </w:rPr>
              <w:fldChar w:fldCharType="end"/>
            </w:r>
          </w:hyperlink>
        </w:p>
        <w:p w14:paraId="1002BC23" w14:textId="20082FE2"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90" w:history="1">
            <w:r w:rsidR="00C27F3E" w:rsidRPr="00433197">
              <w:rPr>
                <w:rStyle w:val="Hyperlink"/>
                <w:noProof/>
              </w:rPr>
              <w:t>Proposed assessment structure</w:t>
            </w:r>
            <w:r w:rsidR="00C27F3E">
              <w:rPr>
                <w:noProof/>
                <w:webHidden/>
              </w:rPr>
              <w:tab/>
            </w:r>
            <w:r w:rsidR="00C27F3E">
              <w:rPr>
                <w:noProof/>
                <w:webHidden/>
              </w:rPr>
              <w:fldChar w:fldCharType="begin"/>
            </w:r>
            <w:r w:rsidR="00C27F3E">
              <w:rPr>
                <w:noProof/>
                <w:webHidden/>
              </w:rPr>
              <w:instrText xml:space="preserve"> PAGEREF _Toc138753190 \h </w:instrText>
            </w:r>
            <w:r w:rsidR="00C27F3E">
              <w:rPr>
                <w:noProof/>
                <w:webHidden/>
              </w:rPr>
            </w:r>
            <w:r w:rsidR="00C27F3E">
              <w:rPr>
                <w:noProof/>
                <w:webHidden/>
              </w:rPr>
              <w:fldChar w:fldCharType="separate"/>
            </w:r>
            <w:r w:rsidR="00312054">
              <w:rPr>
                <w:noProof/>
                <w:webHidden/>
              </w:rPr>
              <w:t>21</w:t>
            </w:r>
            <w:r w:rsidR="00C27F3E">
              <w:rPr>
                <w:noProof/>
                <w:webHidden/>
              </w:rPr>
              <w:fldChar w:fldCharType="end"/>
            </w:r>
          </w:hyperlink>
        </w:p>
        <w:p w14:paraId="53F83D84" w14:textId="2BD25877" w:rsidR="00C27F3E" w:rsidRDefault="00000000">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753191" w:history="1">
            <w:r w:rsidR="00C27F3E" w:rsidRPr="00433197">
              <w:rPr>
                <w:rStyle w:val="Hyperlink"/>
                <w:noProof/>
              </w:rPr>
              <w:t>New data requirements</w:t>
            </w:r>
            <w:r w:rsidR="00C27F3E">
              <w:rPr>
                <w:noProof/>
                <w:webHidden/>
              </w:rPr>
              <w:tab/>
            </w:r>
            <w:r w:rsidR="00C27F3E">
              <w:rPr>
                <w:noProof/>
                <w:webHidden/>
              </w:rPr>
              <w:fldChar w:fldCharType="begin"/>
            </w:r>
            <w:r w:rsidR="00C27F3E">
              <w:rPr>
                <w:noProof/>
                <w:webHidden/>
              </w:rPr>
              <w:instrText xml:space="preserve"> PAGEREF _Toc138753191 \h </w:instrText>
            </w:r>
            <w:r w:rsidR="00C27F3E">
              <w:rPr>
                <w:noProof/>
                <w:webHidden/>
              </w:rPr>
            </w:r>
            <w:r w:rsidR="00C27F3E">
              <w:rPr>
                <w:noProof/>
                <w:webHidden/>
              </w:rPr>
              <w:fldChar w:fldCharType="separate"/>
            </w:r>
            <w:r w:rsidR="00312054">
              <w:rPr>
                <w:noProof/>
                <w:webHidden/>
              </w:rPr>
              <w:t>22</w:t>
            </w:r>
            <w:r w:rsidR="00C27F3E">
              <w:rPr>
                <w:noProof/>
                <w:webHidden/>
              </w:rPr>
              <w:fldChar w:fldCharType="end"/>
            </w:r>
          </w:hyperlink>
        </w:p>
        <w:p w14:paraId="755CD0A2" w14:textId="5E59AEB1" w:rsidR="00C27F3E"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753192" w:history="1">
            <w:r w:rsidR="00C27F3E" w:rsidRPr="00433197">
              <w:rPr>
                <w:rStyle w:val="Hyperlink"/>
                <w:noProof/>
              </w:rPr>
              <w:t>Consultation</w:t>
            </w:r>
            <w:r w:rsidR="00C27F3E">
              <w:rPr>
                <w:noProof/>
                <w:webHidden/>
              </w:rPr>
              <w:tab/>
            </w:r>
            <w:r w:rsidR="00C27F3E">
              <w:rPr>
                <w:noProof/>
                <w:webHidden/>
              </w:rPr>
              <w:fldChar w:fldCharType="begin"/>
            </w:r>
            <w:r w:rsidR="00C27F3E">
              <w:rPr>
                <w:noProof/>
                <w:webHidden/>
              </w:rPr>
              <w:instrText xml:space="preserve"> PAGEREF _Toc138753192 \h </w:instrText>
            </w:r>
            <w:r w:rsidR="00C27F3E">
              <w:rPr>
                <w:noProof/>
                <w:webHidden/>
              </w:rPr>
            </w:r>
            <w:r w:rsidR="00C27F3E">
              <w:rPr>
                <w:noProof/>
                <w:webHidden/>
              </w:rPr>
              <w:fldChar w:fldCharType="separate"/>
            </w:r>
            <w:r w:rsidR="00312054">
              <w:rPr>
                <w:noProof/>
                <w:webHidden/>
              </w:rPr>
              <w:t>22</w:t>
            </w:r>
            <w:r w:rsidR="00C27F3E">
              <w:rPr>
                <w:noProof/>
                <w:webHidden/>
              </w:rPr>
              <w:fldChar w:fldCharType="end"/>
            </w:r>
          </w:hyperlink>
        </w:p>
        <w:p w14:paraId="04BCD556" w14:textId="6FB5CFC3" w:rsidR="00C27F3E"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753193" w:history="1">
            <w:r w:rsidR="00C27F3E" w:rsidRPr="00433197">
              <w:rPr>
                <w:rStyle w:val="Hyperlink"/>
                <w:b/>
                <w:noProof/>
              </w:rPr>
              <w:t>Attachment A:</w:t>
            </w:r>
            <w:r w:rsidR="00C27F3E" w:rsidRPr="00433197">
              <w:rPr>
                <w:rStyle w:val="Hyperlink"/>
                <w:noProof/>
              </w:rPr>
              <w:t xml:space="preserve"> Updating non-state sector substitutability levels</w:t>
            </w:r>
            <w:r w:rsidR="00C27F3E">
              <w:rPr>
                <w:noProof/>
                <w:webHidden/>
              </w:rPr>
              <w:tab/>
            </w:r>
            <w:r w:rsidR="00C27F3E">
              <w:rPr>
                <w:noProof/>
                <w:webHidden/>
              </w:rPr>
              <w:fldChar w:fldCharType="begin"/>
            </w:r>
            <w:r w:rsidR="00C27F3E">
              <w:rPr>
                <w:noProof/>
                <w:webHidden/>
              </w:rPr>
              <w:instrText xml:space="preserve"> PAGEREF _Toc138753193 \h </w:instrText>
            </w:r>
            <w:r w:rsidR="00C27F3E">
              <w:rPr>
                <w:noProof/>
                <w:webHidden/>
              </w:rPr>
            </w:r>
            <w:r w:rsidR="00C27F3E">
              <w:rPr>
                <w:noProof/>
                <w:webHidden/>
              </w:rPr>
              <w:fldChar w:fldCharType="separate"/>
            </w:r>
            <w:r w:rsidR="00312054">
              <w:rPr>
                <w:noProof/>
                <w:webHidden/>
              </w:rPr>
              <w:t>23</w:t>
            </w:r>
            <w:r w:rsidR="00C27F3E">
              <w:rPr>
                <w:noProof/>
                <w:webHidden/>
              </w:rPr>
              <w:fldChar w:fldCharType="end"/>
            </w:r>
          </w:hyperlink>
        </w:p>
        <w:p w14:paraId="5B50E8BB" w14:textId="1A34E45F" w:rsidR="00C27F3E"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753194" w:history="1">
            <w:r w:rsidR="00C27F3E" w:rsidRPr="00433197">
              <w:rPr>
                <w:rStyle w:val="Hyperlink"/>
                <w:b/>
                <w:noProof/>
              </w:rPr>
              <w:t>Attachment B:</w:t>
            </w:r>
            <w:r w:rsidR="00C27F3E" w:rsidRPr="00433197">
              <w:rPr>
                <w:rStyle w:val="Hyperlink"/>
                <w:noProof/>
              </w:rPr>
              <w:t xml:space="preserve"> Community health: Additional analysis of direct activity measure</w:t>
            </w:r>
            <w:r w:rsidR="00C27F3E">
              <w:rPr>
                <w:noProof/>
                <w:webHidden/>
              </w:rPr>
              <w:tab/>
            </w:r>
            <w:r w:rsidR="00C27F3E">
              <w:rPr>
                <w:noProof/>
                <w:webHidden/>
              </w:rPr>
              <w:fldChar w:fldCharType="begin"/>
            </w:r>
            <w:r w:rsidR="00C27F3E">
              <w:rPr>
                <w:noProof/>
                <w:webHidden/>
              </w:rPr>
              <w:instrText xml:space="preserve"> PAGEREF _Toc138753194 \h </w:instrText>
            </w:r>
            <w:r w:rsidR="00C27F3E">
              <w:rPr>
                <w:noProof/>
                <w:webHidden/>
              </w:rPr>
            </w:r>
            <w:r w:rsidR="00C27F3E">
              <w:rPr>
                <w:noProof/>
                <w:webHidden/>
              </w:rPr>
              <w:fldChar w:fldCharType="separate"/>
            </w:r>
            <w:r w:rsidR="00312054">
              <w:rPr>
                <w:noProof/>
                <w:webHidden/>
              </w:rPr>
              <w:t>27</w:t>
            </w:r>
            <w:r w:rsidR="00C27F3E">
              <w:rPr>
                <w:noProof/>
                <w:webHidden/>
              </w:rPr>
              <w:fldChar w:fldCharType="end"/>
            </w:r>
          </w:hyperlink>
        </w:p>
        <w:p w14:paraId="49FD3961" w14:textId="32898D77" w:rsidR="00C27F3E"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753195" w:history="1">
            <w:r w:rsidR="00C27F3E" w:rsidRPr="00433197">
              <w:rPr>
                <w:rStyle w:val="Hyperlink"/>
                <w:b/>
                <w:noProof/>
              </w:rPr>
              <w:t>Attachment C:</w:t>
            </w:r>
            <w:r w:rsidR="00C27F3E" w:rsidRPr="00433197">
              <w:rPr>
                <w:rStyle w:val="Hyperlink"/>
                <w:noProof/>
              </w:rPr>
              <w:t xml:space="preserve"> Alternative proxy indicator of community health activity based on a broader measure of hospital services</w:t>
            </w:r>
            <w:r w:rsidR="00C27F3E">
              <w:rPr>
                <w:noProof/>
                <w:webHidden/>
              </w:rPr>
              <w:tab/>
            </w:r>
            <w:r w:rsidR="00C27F3E">
              <w:rPr>
                <w:noProof/>
                <w:webHidden/>
              </w:rPr>
              <w:fldChar w:fldCharType="begin"/>
            </w:r>
            <w:r w:rsidR="00C27F3E">
              <w:rPr>
                <w:noProof/>
                <w:webHidden/>
              </w:rPr>
              <w:instrText xml:space="preserve"> PAGEREF _Toc138753195 \h </w:instrText>
            </w:r>
            <w:r w:rsidR="00C27F3E">
              <w:rPr>
                <w:noProof/>
                <w:webHidden/>
              </w:rPr>
            </w:r>
            <w:r w:rsidR="00C27F3E">
              <w:rPr>
                <w:noProof/>
                <w:webHidden/>
              </w:rPr>
              <w:fldChar w:fldCharType="separate"/>
            </w:r>
            <w:r w:rsidR="00312054">
              <w:rPr>
                <w:noProof/>
                <w:webHidden/>
              </w:rPr>
              <w:t>29</w:t>
            </w:r>
            <w:r w:rsidR="00C27F3E">
              <w:rPr>
                <w:noProof/>
                <w:webHidden/>
              </w:rPr>
              <w:fldChar w:fldCharType="end"/>
            </w:r>
          </w:hyperlink>
        </w:p>
        <w:p w14:paraId="128F2A37" w14:textId="7233819A" w:rsidR="00C27F3E" w:rsidRDefault="00000000">
          <w:pPr>
            <w:pStyle w:val="TOC2"/>
            <w:rPr>
              <w:rFonts w:asciiTheme="minorHAnsi" w:eastAsiaTheme="minorEastAsia" w:hAnsiTheme="minorHAnsi"/>
              <w:bCs w:val="0"/>
              <w:noProof/>
              <w:color w:val="auto"/>
              <w:kern w:val="2"/>
              <w:sz w:val="22"/>
              <w:szCs w:val="22"/>
              <w:lang w:eastAsia="en-AU"/>
              <w14:ligatures w14:val="standardContextual"/>
            </w:rPr>
          </w:pPr>
          <w:hyperlink w:anchor="_Toc138753196" w:history="1">
            <w:r w:rsidR="00C27F3E" w:rsidRPr="00433197">
              <w:rPr>
                <w:rStyle w:val="Hyperlink"/>
                <w:b/>
                <w:noProof/>
              </w:rPr>
              <w:t>Attachment D:</w:t>
            </w:r>
            <w:r w:rsidR="00C27F3E" w:rsidRPr="00433197">
              <w:rPr>
                <w:rStyle w:val="Hyperlink"/>
                <w:noProof/>
              </w:rPr>
              <w:t xml:space="preserve"> Draft data request: State data on non-hospital patient transport expenses</w:t>
            </w:r>
            <w:r w:rsidR="00C27F3E">
              <w:rPr>
                <w:noProof/>
                <w:webHidden/>
              </w:rPr>
              <w:tab/>
            </w:r>
            <w:r w:rsidR="00C27F3E">
              <w:rPr>
                <w:noProof/>
                <w:webHidden/>
              </w:rPr>
              <w:fldChar w:fldCharType="begin"/>
            </w:r>
            <w:r w:rsidR="00C27F3E">
              <w:rPr>
                <w:noProof/>
                <w:webHidden/>
              </w:rPr>
              <w:instrText xml:space="preserve"> PAGEREF _Toc138753196 \h </w:instrText>
            </w:r>
            <w:r w:rsidR="00C27F3E">
              <w:rPr>
                <w:noProof/>
                <w:webHidden/>
              </w:rPr>
            </w:r>
            <w:r w:rsidR="00C27F3E">
              <w:rPr>
                <w:noProof/>
                <w:webHidden/>
              </w:rPr>
              <w:fldChar w:fldCharType="separate"/>
            </w:r>
            <w:r w:rsidR="00312054">
              <w:rPr>
                <w:noProof/>
                <w:webHidden/>
              </w:rPr>
              <w:t>31</w:t>
            </w:r>
            <w:r w:rsidR="00C27F3E">
              <w:rPr>
                <w:noProof/>
                <w:webHidden/>
              </w:rPr>
              <w:fldChar w:fldCharType="end"/>
            </w:r>
          </w:hyperlink>
        </w:p>
        <w:p w14:paraId="5B35147A" w14:textId="195329A5" w:rsidR="005B6B61" w:rsidRDefault="005B6B61">
          <w:r>
            <w:rPr>
              <w:b/>
              <w:bCs/>
              <w:noProof/>
            </w:rPr>
            <w:fldChar w:fldCharType="end"/>
          </w:r>
        </w:p>
      </w:sdtContent>
    </w:sdt>
    <w:p w14:paraId="76C19AF3" w14:textId="77F72EB5" w:rsidR="00693888" w:rsidRPr="00DF1879" w:rsidRDefault="00693888" w:rsidP="00DF1879">
      <w:r>
        <w:br w:type="page"/>
      </w:r>
    </w:p>
    <w:p w14:paraId="4943E9E0" w14:textId="012EAD79" w:rsidR="00A5102B" w:rsidRPr="007C4D64" w:rsidRDefault="00C53513" w:rsidP="007C4D64">
      <w:pPr>
        <w:pStyle w:val="Heading2"/>
      </w:pPr>
      <w:bookmarkStart w:id="0" w:name="_Toc133236145"/>
      <w:bookmarkStart w:id="1" w:name="_Toc133236171"/>
      <w:bookmarkStart w:id="2" w:name="_Toc138753175"/>
      <w:r>
        <w:lastRenderedPageBreak/>
        <w:t>Overview of category</w:t>
      </w:r>
      <w:bookmarkEnd w:id="0"/>
      <w:bookmarkEnd w:id="1"/>
      <w:bookmarkEnd w:id="2"/>
    </w:p>
    <w:p w14:paraId="0D329C92" w14:textId="3BD2705E" w:rsidR="007C124F" w:rsidRPr="00A60CF4" w:rsidRDefault="007C124F" w:rsidP="004477FF">
      <w:pPr>
        <w:pStyle w:val="CGC2025ParaNumbers"/>
      </w:pPr>
      <w:r>
        <w:t xml:space="preserve">The </w:t>
      </w:r>
      <w:r w:rsidR="00D9113A">
        <w:t>h</w:t>
      </w:r>
      <w:r>
        <w:t>ealth assessment covers state and territory (state) expenditure on public hospitals and community and public health services. The health services include:</w:t>
      </w:r>
    </w:p>
    <w:p w14:paraId="69AD4323" w14:textId="2ECF2D46" w:rsidR="007C124F" w:rsidRPr="00927945" w:rsidRDefault="0063286A" w:rsidP="00A60CF4">
      <w:pPr>
        <w:pStyle w:val="CGC2025Bullet1"/>
      </w:pPr>
      <w:r>
        <w:t>a</w:t>
      </w:r>
      <w:r w:rsidR="007C124F" w:rsidRPr="00927945">
        <w:t>dmitted patient services</w:t>
      </w:r>
      <w:r w:rsidR="00766143">
        <w:t xml:space="preserve"> –</w:t>
      </w:r>
      <w:r w:rsidR="007C124F" w:rsidRPr="00927945">
        <w:t xml:space="preserve"> medical care for public patients admitted in public or private hospitals and land ambulance services </w:t>
      </w:r>
    </w:p>
    <w:p w14:paraId="36F57519" w14:textId="5BC66F7D" w:rsidR="007C124F" w:rsidRPr="00927945" w:rsidRDefault="0063286A" w:rsidP="00A60CF4">
      <w:pPr>
        <w:pStyle w:val="CGC2025Bullet1"/>
      </w:pPr>
      <w:r>
        <w:t>o</w:t>
      </w:r>
      <w:r w:rsidR="007C124F" w:rsidRPr="00927945">
        <w:t>utpatient services</w:t>
      </w:r>
      <w:r w:rsidR="006E1691">
        <w:t xml:space="preserve"> –</w:t>
      </w:r>
      <w:r w:rsidR="007C124F" w:rsidRPr="00927945">
        <w:t xml:space="preserve"> emergency department and non-admitted patient services </w:t>
      </w:r>
      <w:r w:rsidR="00FE1539">
        <w:t>(</w:t>
      </w:r>
      <w:r w:rsidR="0005213A">
        <w:t>t</w:t>
      </w:r>
      <w:r w:rsidR="007C124F" w:rsidRPr="00927945">
        <w:t>he latter includes non-emergency obstetrics, gynaecology, cardiology, pathology, and radiology and imaging services</w:t>
      </w:r>
      <w:r w:rsidR="00FE1539">
        <w:t>)</w:t>
      </w:r>
    </w:p>
    <w:p w14:paraId="019A22B1" w14:textId="098CA177" w:rsidR="007C124F" w:rsidRPr="00927945" w:rsidRDefault="0063286A" w:rsidP="00A60CF4">
      <w:pPr>
        <w:pStyle w:val="CGC2025Bullet1"/>
      </w:pPr>
      <w:r>
        <w:t>c</w:t>
      </w:r>
      <w:r w:rsidR="007C124F" w:rsidRPr="00927945">
        <w:t>ommunity and public health services</w:t>
      </w:r>
      <w:r w:rsidR="00533571">
        <w:t xml:space="preserve"> –</w:t>
      </w:r>
      <w:r w:rsidR="007C124F" w:rsidRPr="00927945">
        <w:t xml:space="preserve"> health services provided in a community setting, public health services, and research and development</w:t>
      </w:r>
    </w:p>
    <w:p w14:paraId="11319547" w14:textId="34789435" w:rsidR="007C124F" w:rsidRPr="00852B97" w:rsidRDefault="007C124F" w:rsidP="001A0F6B">
      <w:pPr>
        <w:pStyle w:val="CGC2025Bullet2"/>
      </w:pPr>
      <w:r w:rsidRPr="00852B97">
        <w:t xml:space="preserve">Community health centre services </w:t>
      </w:r>
      <w:r w:rsidR="00192CCE">
        <w:t>–</w:t>
      </w:r>
      <w:r w:rsidRPr="00852B97">
        <w:t xml:space="preserve"> a wide range of services such as nursing and dental services, baby clinics, mental health services, family planning, and alcohol and drug rehabilitation</w:t>
      </w:r>
    </w:p>
    <w:p w14:paraId="36388861" w14:textId="0F097DCE" w:rsidR="007C124F" w:rsidRPr="00927945" w:rsidRDefault="007C124F" w:rsidP="0012251F">
      <w:pPr>
        <w:pStyle w:val="CGC2025Bullet2"/>
      </w:pPr>
      <w:r w:rsidRPr="00852B97">
        <w:t xml:space="preserve">Public health services </w:t>
      </w:r>
      <w:r w:rsidR="00192CCE">
        <w:t>–</w:t>
      </w:r>
      <w:r w:rsidRPr="00852B97">
        <w:t xml:space="preserve"> activities for the protection and promotion of health and the prevention of disease, illness or injury. These include organised immunisation, health promotion, screening programs, communicable disease control, and prevention of </w:t>
      </w:r>
      <w:r w:rsidRPr="001D33AD">
        <w:t>hazardous and harmful drug use.</w:t>
      </w:r>
    </w:p>
    <w:p w14:paraId="7DB8C72A" w14:textId="731AF4FF" w:rsidR="00AD34F4" w:rsidRPr="00A60CF4" w:rsidRDefault="0063286A" w:rsidP="00852B97">
      <w:pPr>
        <w:pStyle w:val="CGC2025Bullet1"/>
      </w:pPr>
      <w:r>
        <w:t>n</w:t>
      </w:r>
      <w:r w:rsidR="007C124F" w:rsidRPr="00A60CF4">
        <w:t xml:space="preserve">on-hospital patient transport </w:t>
      </w:r>
      <w:r w:rsidR="00C707A9">
        <w:t>–</w:t>
      </w:r>
      <w:r w:rsidR="007C124F" w:rsidRPr="00A60CF4">
        <w:t xml:space="preserve"> aero-medical ambulance services and the reimbursement of costs through Patient Assisted Travel Schemes.</w:t>
      </w:r>
    </w:p>
    <w:p w14:paraId="7CD41C7D" w14:textId="7B4FD0DF" w:rsidR="001D33AD" w:rsidRPr="001D33AD" w:rsidRDefault="001D33AD" w:rsidP="0093066B">
      <w:pPr>
        <w:pStyle w:val="Heading2"/>
      </w:pPr>
      <w:bookmarkStart w:id="3" w:name="_Toc133236146"/>
      <w:bookmarkStart w:id="4" w:name="_Toc133236172"/>
      <w:bookmarkStart w:id="5" w:name="_Toc138753176"/>
      <w:r>
        <w:t xml:space="preserve">Current </w:t>
      </w:r>
      <w:r w:rsidR="0093066B">
        <w:t>assessment method – 2020 Review</w:t>
      </w:r>
      <w:bookmarkEnd w:id="3"/>
      <w:bookmarkEnd w:id="4"/>
      <w:bookmarkEnd w:id="5"/>
    </w:p>
    <w:p w14:paraId="5DDF406A" w14:textId="77777777" w:rsidR="00070D3C" w:rsidRDefault="00A75892" w:rsidP="004477FF">
      <w:pPr>
        <w:pStyle w:val="CGC2025ParaNumbers"/>
      </w:pPr>
      <w:r w:rsidRPr="00A75892">
        <w:t>In assessing state spending, the method recognises</w:t>
      </w:r>
      <w:r w:rsidR="00070D3C">
        <w:t>:</w:t>
      </w:r>
    </w:p>
    <w:p w14:paraId="02A57F19" w14:textId="7AF56DE4" w:rsidR="00070D3C" w:rsidRDefault="00070D3C" w:rsidP="00070D3C">
      <w:pPr>
        <w:pStyle w:val="CGC2025Bullet1"/>
      </w:pPr>
      <w:r>
        <w:t>the use and cost of providing public hospital and community health services varies by population group, so that states with concentrations of high use and high-cost groups (older people, First Nations peoples and low socio</w:t>
      </w:r>
      <w:r w:rsidR="00B074FA">
        <w:t>-</w:t>
      </w:r>
      <w:r>
        <w:t>economic status) need to spend more than the average</w:t>
      </w:r>
    </w:p>
    <w:p w14:paraId="22099A95" w14:textId="77777777" w:rsidR="00070D3C" w:rsidRDefault="00070D3C" w:rsidP="00070D3C">
      <w:pPr>
        <w:pStyle w:val="CGC2025Bullet1"/>
      </w:pPr>
      <w:r>
        <w:t>the geographic dispersion of state populations, with states facing higher costs if they have greater concentrations of people in remote areas, where the costs of delivering health services are higher, people are more reliant on state-provided services and patient transport costs are higher</w:t>
      </w:r>
    </w:p>
    <w:p w14:paraId="362C0F3B" w14:textId="77777777" w:rsidR="00070D3C" w:rsidRDefault="00070D3C" w:rsidP="00070D3C">
      <w:pPr>
        <w:pStyle w:val="CGC2025Bullet1"/>
      </w:pPr>
      <w:r>
        <w:t>the degree to which non-state health services, such as general practitioners, specialists, other private health professionals and Commonwealth-funded Aboriginal Community Controlled Health Services, affect state spending.</w:t>
      </w:r>
    </w:p>
    <w:p w14:paraId="29E71BB3" w14:textId="033E4AF5" w:rsidR="00070D3C" w:rsidRDefault="00070D3C" w:rsidP="00070D3C">
      <w:pPr>
        <w:pStyle w:val="CGC2025ParaNumbers"/>
      </w:pPr>
      <w:r w:rsidRPr="00070D3C">
        <w:t>The assessment also recognises differences in wage costs between states</w:t>
      </w:r>
      <w:r>
        <w:t>.</w:t>
      </w:r>
    </w:p>
    <w:p w14:paraId="6B787ADD" w14:textId="6648F8B8" w:rsidR="007A0F3F" w:rsidRDefault="00D71528" w:rsidP="00E3102A">
      <w:pPr>
        <w:pStyle w:val="Heading3"/>
      </w:pPr>
      <w:bookmarkStart w:id="6" w:name="_Toc133236147"/>
      <w:bookmarkStart w:id="7" w:name="_Toc133236173"/>
      <w:bookmarkStart w:id="8" w:name="_Toc138753177"/>
      <w:r>
        <w:t>Data used in the assessment</w:t>
      </w:r>
      <w:bookmarkEnd w:id="6"/>
      <w:bookmarkEnd w:id="7"/>
      <w:bookmarkEnd w:id="8"/>
    </w:p>
    <w:p w14:paraId="470FB59A" w14:textId="6350E9BF" w:rsidR="00B074FA" w:rsidRDefault="00B074FA" w:rsidP="00B074FA">
      <w:pPr>
        <w:pStyle w:val="CGC2025ParaNumbers"/>
      </w:pPr>
      <w:r>
        <w:t xml:space="preserve">This assessment uses patient data on national weighted activity units from the Independent Health and Aged Care Pricing Authority for the socio-demographic composition assessment for all hospital components and community health. The national weighted activity unit is a measure of hospital activity that incorporates both usage and cost disaggregated by population characteristics. </w:t>
      </w:r>
    </w:p>
    <w:p w14:paraId="40B6B0CF" w14:textId="3243BB62" w:rsidR="00B074FA" w:rsidRDefault="00B074FA" w:rsidP="00B074FA">
      <w:pPr>
        <w:pStyle w:val="CGC2025ParaNumbers"/>
      </w:pPr>
      <w:r>
        <w:lastRenderedPageBreak/>
        <w:t>The non-state sector assessments use data on Medicare benefits from Services Australia</w:t>
      </w:r>
      <w:r w:rsidR="0054148C">
        <w:t>,</w:t>
      </w:r>
      <w:r>
        <w:t xml:space="preserve"> data on grants to Aboriginal Community Controlled Health Services from the Australian Institute of Health and Welfare</w:t>
      </w:r>
      <w:r w:rsidR="0054148C">
        <w:t>,</w:t>
      </w:r>
      <w:r>
        <w:t xml:space="preserve"> and data on private patient hospital activity from the Australian Institute of Health and Welfare and the Australian Prudential Regulation Authority. Data on service use by residents of a different state (cross-border data) are sourced from the National Health Funding Body.</w:t>
      </w:r>
    </w:p>
    <w:p w14:paraId="3BA9C333" w14:textId="77777777" w:rsidR="00B074FA" w:rsidRDefault="00B074FA" w:rsidP="00B074FA">
      <w:pPr>
        <w:pStyle w:val="CGC2025ParaNumbers"/>
      </w:pPr>
      <w:r>
        <w:t xml:space="preserve">Health expense data, classified on a Government Finance Statistics basis, are sourced from the Australian Bureau of Statistics for the first 2 assessment years and states for the third assessment year. </w:t>
      </w:r>
    </w:p>
    <w:p w14:paraId="7AB258BC" w14:textId="1925EF0C" w:rsidR="00B074FA" w:rsidRDefault="00B074FA" w:rsidP="00B074FA">
      <w:pPr>
        <w:pStyle w:val="CGC2025ParaNumbers"/>
      </w:pPr>
      <w:bookmarkStart w:id="9" w:name="_Ref138753022"/>
      <w:r>
        <w:t xml:space="preserve">Some data used in the </w:t>
      </w:r>
      <w:r w:rsidR="00D309AC">
        <w:t>h</w:t>
      </w:r>
      <w:r>
        <w:t>ealth assessment are only updated every 5 years on the assumption that the nature of service provision is stable over time. This includes:</w:t>
      </w:r>
      <w:bookmarkEnd w:id="9"/>
      <w:r>
        <w:t xml:space="preserve"> </w:t>
      </w:r>
    </w:p>
    <w:p w14:paraId="2C0AF86E" w14:textId="77777777" w:rsidR="00B074FA" w:rsidRDefault="00B074FA" w:rsidP="00B074FA">
      <w:pPr>
        <w:pStyle w:val="CGC2025Bullet1"/>
      </w:pPr>
      <w:r>
        <w:t xml:space="preserve">data used to estimate non-state sector substitutability levels (updates to these data for the 2025 Review are discussed in Attachment A) </w:t>
      </w:r>
    </w:p>
    <w:p w14:paraId="3BE95021" w14:textId="26F90C1E" w:rsidR="00B074FA" w:rsidRDefault="00B074FA" w:rsidP="00B074FA">
      <w:pPr>
        <w:pStyle w:val="CGC2025Bullet1"/>
      </w:pPr>
      <w:r>
        <w:t>data used to estimate the split between hospital and non-hospital (aero-medical transport and Patient Assistance Travel Schemes) patient transport expenses.</w:t>
      </w:r>
    </w:p>
    <w:p w14:paraId="541A3048" w14:textId="77777777" w:rsidR="00361D06" w:rsidRPr="00927945" w:rsidRDefault="00361D06" w:rsidP="00554A84">
      <w:pPr>
        <w:pStyle w:val="Heading3"/>
      </w:pPr>
      <w:bookmarkStart w:id="10" w:name="_Toc132729100"/>
      <w:bookmarkStart w:id="11" w:name="_Toc133236148"/>
      <w:bookmarkStart w:id="12" w:name="_Toc133236174"/>
      <w:bookmarkStart w:id="13" w:name="_Toc138753178"/>
      <w:r w:rsidRPr="00927945">
        <w:t>Category and component expenses</w:t>
      </w:r>
      <w:bookmarkEnd w:id="10"/>
      <w:bookmarkEnd w:id="11"/>
      <w:bookmarkEnd w:id="12"/>
      <w:bookmarkEnd w:id="13"/>
    </w:p>
    <w:p w14:paraId="32C93C32" w14:textId="3D962D5D" w:rsidR="00EE28A4" w:rsidRPr="00DF784C" w:rsidRDefault="00DF784C" w:rsidP="004477FF">
      <w:pPr>
        <w:pStyle w:val="CGC2025ParaNumbers"/>
      </w:pPr>
      <w:r>
        <w:fldChar w:fldCharType="begin"/>
      </w:r>
      <w:r>
        <w:instrText xml:space="preserve"> REF _Ref138159720 \h </w:instrText>
      </w:r>
      <w:r>
        <w:fldChar w:fldCharType="separate"/>
      </w:r>
      <w:r w:rsidR="00312054" w:rsidRPr="00DF784C">
        <w:t xml:space="preserve">Table </w:t>
      </w:r>
      <w:r w:rsidR="00312054">
        <w:rPr>
          <w:noProof/>
        </w:rPr>
        <w:t>1</w:t>
      </w:r>
      <w:r>
        <w:fldChar w:fldCharType="end"/>
      </w:r>
      <w:r w:rsidR="00361D06" w:rsidRPr="00DF784C">
        <w:t xml:space="preserve"> shows total state spending on health services, net of user charges (mainly private patient hospital fees). The assessment represents approximately 30% of total state expenditure.</w:t>
      </w:r>
    </w:p>
    <w:p w14:paraId="6A1E3FAE" w14:textId="612848BF" w:rsidR="00B074FA" w:rsidRPr="00DF784C" w:rsidRDefault="00422156" w:rsidP="000F3FBF">
      <w:pPr>
        <w:pStyle w:val="CGC2025Caption"/>
        <w:tabs>
          <w:tab w:val="left" w:pos="1134"/>
        </w:tabs>
      </w:pPr>
      <w:bookmarkStart w:id="14" w:name="_Ref138159720"/>
      <w:r w:rsidRPr="00DF784C">
        <w:t xml:space="preserve">Table </w:t>
      </w:r>
      <w:fldSimple w:instr=" SEQ Table \* ARABIC ">
        <w:r w:rsidR="00312054">
          <w:rPr>
            <w:noProof/>
          </w:rPr>
          <w:t>1</w:t>
        </w:r>
      </w:fldSimple>
      <w:bookmarkEnd w:id="14"/>
      <w:r w:rsidR="00B074FA" w:rsidRPr="00DF784C">
        <w:tab/>
        <w:t>Health expenditure, 2018</w:t>
      </w:r>
      <w:r w:rsidR="00C30603">
        <w:t>–</w:t>
      </w:r>
      <w:r w:rsidR="00B074FA" w:rsidRPr="00DF784C">
        <w:t>19 to 2021</w:t>
      </w:r>
      <w:r w:rsidR="00C30603">
        <w:t>–</w:t>
      </w:r>
      <w:r w:rsidR="00B074FA" w:rsidRPr="00DF784C">
        <w:t>22</w:t>
      </w:r>
    </w:p>
    <w:tbl>
      <w:tblPr>
        <w:tblW w:w="8940" w:type="dxa"/>
        <w:tblLook w:val="04A0" w:firstRow="1" w:lastRow="0" w:firstColumn="1" w:lastColumn="0" w:noHBand="0" w:noVBand="1"/>
      </w:tblPr>
      <w:tblGrid>
        <w:gridCol w:w="3820"/>
        <w:gridCol w:w="1280"/>
        <w:gridCol w:w="1280"/>
        <w:gridCol w:w="1280"/>
        <w:gridCol w:w="1280"/>
      </w:tblGrid>
      <w:tr w:rsidR="004E184D" w:rsidRPr="00DF784C" w14:paraId="2512934E" w14:textId="77777777">
        <w:trPr>
          <w:trHeight w:val="379"/>
        </w:trPr>
        <w:tc>
          <w:tcPr>
            <w:tcW w:w="3820" w:type="dxa"/>
            <w:tcBorders>
              <w:top w:val="single" w:sz="4" w:space="0" w:color="ADD6EA"/>
              <w:left w:val="nil"/>
              <w:bottom w:val="single" w:sz="4" w:space="0" w:color="ADD6EA"/>
              <w:right w:val="nil"/>
            </w:tcBorders>
            <w:shd w:val="clear" w:color="000000" w:fill="006991"/>
            <w:noWrap/>
            <w:vAlign w:val="center"/>
            <w:hideMark/>
          </w:tcPr>
          <w:p w14:paraId="32B05A40" w14:textId="77777777" w:rsidR="004E184D" w:rsidRPr="00DF784C" w:rsidRDefault="004E184D">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DF784C">
              <w:rPr>
                <w:rFonts w:eastAsia="Times New Roman" w:cs="Open Sans Light"/>
                <w:b/>
                <w:color w:val="FFFFFF"/>
                <w:sz w:val="16"/>
                <w:szCs w:val="16"/>
                <w:lang w:eastAsia="en-AU"/>
              </w:rPr>
              <w:t> </w:t>
            </w:r>
          </w:p>
        </w:tc>
        <w:tc>
          <w:tcPr>
            <w:tcW w:w="1280" w:type="dxa"/>
            <w:tcBorders>
              <w:top w:val="single" w:sz="4" w:space="0" w:color="ADD6EA"/>
              <w:left w:val="nil"/>
              <w:bottom w:val="single" w:sz="4" w:space="0" w:color="ADD6EA"/>
              <w:right w:val="nil"/>
            </w:tcBorders>
            <w:shd w:val="clear" w:color="000000" w:fill="006991"/>
            <w:noWrap/>
            <w:vAlign w:val="center"/>
            <w:hideMark/>
          </w:tcPr>
          <w:p w14:paraId="32832171" w14:textId="77777777" w:rsidR="004E184D" w:rsidRPr="00DF784C" w:rsidRDefault="004E184D">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DF784C">
              <w:rPr>
                <w:rFonts w:eastAsia="Times New Roman" w:cs="Open Sans Light"/>
                <w:b/>
                <w:color w:val="FFFFFF"/>
                <w:sz w:val="16"/>
                <w:szCs w:val="16"/>
                <w:lang w:eastAsia="en-AU"/>
              </w:rPr>
              <w:t>2018-19</w:t>
            </w:r>
          </w:p>
        </w:tc>
        <w:tc>
          <w:tcPr>
            <w:tcW w:w="1280" w:type="dxa"/>
            <w:tcBorders>
              <w:top w:val="single" w:sz="4" w:space="0" w:color="ADD6EA"/>
              <w:left w:val="nil"/>
              <w:bottom w:val="single" w:sz="4" w:space="0" w:color="ADD6EA"/>
              <w:right w:val="nil"/>
            </w:tcBorders>
            <w:shd w:val="clear" w:color="000000" w:fill="006991"/>
            <w:noWrap/>
            <w:vAlign w:val="center"/>
            <w:hideMark/>
          </w:tcPr>
          <w:p w14:paraId="6BA6BDDF" w14:textId="77777777" w:rsidR="004E184D" w:rsidRPr="00DF784C" w:rsidRDefault="004E184D">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DF784C">
              <w:rPr>
                <w:rFonts w:eastAsia="Times New Roman" w:cs="Open Sans Light"/>
                <w:b/>
                <w:color w:val="FFFFFF"/>
                <w:sz w:val="16"/>
                <w:szCs w:val="16"/>
                <w:lang w:eastAsia="en-AU"/>
              </w:rPr>
              <w:t>2019-20</w:t>
            </w:r>
          </w:p>
        </w:tc>
        <w:tc>
          <w:tcPr>
            <w:tcW w:w="1280" w:type="dxa"/>
            <w:tcBorders>
              <w:top w:val="single" w:sz="4" w:space="0" w:color="ADD6EA"/>
              <w:left w:val="nil"/>
              <w:bottom w:val="single" w:sz="4" w:space="0" w:color="ADD6EA"/>
              <w:right w:val="nil"/>
            </w:tcBorders>
            <w:shd w:val="clear" w:color="000000" w:fill="006991"/>
            <w:noWrap/>
            <w:vAlign w:val="center"/>
            <w:hideMark/>
          </w:tcPr>
          <w:p w14:paraId="76CEFB56" w14:textId="77777777" w:rsidR="004E184D" w:rsidRPr="00DF784C" w:rsidRDefault="004E184D">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DF784C">
              <w:rPr>
                <w:rFonts w:eastAsia="Times New Roman" w:cs="Open Sans Light"/>
                <w:b/>
                <w:color w:val="FFFFFF"/>
                <w:sz w:val="16"/>
                <w:szCs w:val="16"/>
                <w:lang w:eastAsia="en-AU"/>
              </w:rPr>
              <w:t>2020-21</w:t>
            </w:r>
          </w:p>
        </w:tc>
        <w:tc>
          <w:tcPr>
            <w:tcW w:w="1280" w:type="dxa"/>
            <w:tcBorders>
              <w:top w:val="single" w:sz="4" w:space="0" w:color="ADD6EA"/>
              <w:left w:val="nil"/>
              <w:bottom w:val="single" w:sz="4" w:space="0" w:color="ADD6EA"/>
              <w:right w:val="nil"/>
            </w:tcBorders>
            <w:shd w:val="clear" w:color="000000" w:fill="006991"/>
            <w:noWrap/>
            <w:vAlign w:val="center"/>
            <w:hideMark/>
          </w:tcPr>
          <w:p w14:paraId="7D8CFEA9" w14:textId="77777777" w:rsidR="004E184D" w:rsidRPr="00DF784C" w:rsidRDefault="004E184D">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DF784C">
              <w:rPr>
                <w:rFonts w:eastAsia="Times New Roman" w:cs="Open Sans Light"/>
                <w:b/>
                <w:color w:val="FFFFFF"/>
                <w:sz w:val="16"/>
                <w:szCs w:val="16"/>
                <w:lang w:eastAsia="en-AU"/>
              </w:rPr>
              <w:t>2021-22</w:t>
            </w:r>
          </w:p>
        </w:tc>
      </w:tr>
      <w:tr w:rsidR="004E184D" w:rsidRPr="00DF784C" w14:paraId="05848E1F" w14:textId="77777777">
        <w:trPr>
          <w:trHeight w:val="319"/>
        </w:trPr>
        <w:tc>
          <w:tcPr>
            <w:tcW w:w="3820" w:type="dxa"/>
            <w:tcBorders>
              <w:top w:val="nil"/>
              <w:left w:val="nil"/>
              <w:bottom w:val="nil"/>
              <w:right w:val="nil"/>
            </w:tcBorders>
            <w:shd w:val="clear" w:color="auto" w:fill="auto"/>
            <w:vAlign w:val="bottom"/>
            <w:hideMark/>
          </w:tcPr>
          <w:p w14:paraId="54A9DF31" w14:textId="77777777" w:rsidR="004E184D" w:rsidRPr="001A0F6B" w:rsidRDefault="004E184D">
            <w:pPr>
              <w:keepNext/>
              <w:keepLines/>
              <w:widowControl w:val="0"/>
              <w:tabs>
                <w:tab w:val="clear" w:pos="567"/>
              </w:tabs>
              <w:spacing w:before="0" w:line="240" w:lineRule="auto"/>
              <w:ind w:hanging="100"/>
              <w:rPr>
                <w:rFonts w:eastAsia="Times New Roman" w:cs="Open Sans Light"/>
                <w:sz w:val="16"/>
                <w:szCs w:val="16"/>
                <w:lang w:eastAsia="en-AU"/>
              </w:rPr>
            </w:pPr>
            <w:r w:rsidRPr="001A0F6B">
              <w:rPr>
                <w:rFonts w:eastAsia="Times New Roman" w:cs="Open Sans Light"/>
                <w:sz w:val="16"/>
                <w:szCs w:val="16"/>
                <w:lang w:eastAsia="en-AU"/>
              </w:rPr>
              <w:t>Total expenditure ($m)</w:t>
            </w:r>
          </w:p>
        </w:tc>
        <w:tc>
          <w:tcPr>
            <w:tcW w:w="1280" w:type="dxa"/>
            <w:tcBorders>
              <w:top w:val="nil"/>
              <w:left w:val="nil"/>
              <w:bottom w:val="nil"/>
              <w:right w:val="nil"/>
            </w:tcBorders>
            <w:shd w:val="clear" w:color="auto" w:fill="auto"/>
            <w:vAlign w:val="bottom"/>
            <w:hideMark/>
          </w:tcPr>
          <w:p w14:paraId="13E43C10" w14:textId="77777777" w:rsidR="004E184D" w:rsidRPr="00DF784C" w:rsidRDefault="004E184D">
            <w:pPr>
              <w:keepNext/>
              <w:keepLines/>
              <w:widowControl w:val="0"/>
              <w:tabs>
                <w:tab w:val="clear" w:pos="567"/>
              </w:tabs>
              <w:spacing w:before="0" w:line="240" w:lineRule="auto"/>
              <w:jc w:val="right"/>
              <w:rPr>
                <w:rFonts w:ascii="Work Sans" w:eastAsia="Times New Roman" w:hAnsi="Work Sans" w:cs="Times New Roman"/>
                <w:sz w:val="16"/>
                <w:szCs w:val="16"/>
                <w:lang w:eastAsia="en-AU"/>
              </w:rPr>
            </w:pPr>
            <w:r w:rsidRPr="00DF784C">
              <w:rPr>
                <w:rFonts w:cs="Open Sans Light"/>
                <w:color w:val="000000"/>
                <w:sz w:val="16"/>
                <w:szCs w:val="16"/>
              </w:rPr>
              <w:t>68,788</w:t>
            </w:r>
          </w:p>
        </w:tc>
        <w:tc>
          <w:tcPr>
            <w:tcW w:w="1280" w:type="dxa"/>
            <w:tcBorders>
              <w:top w:val="nil"/>
              <w:left w:val="nil"/>
              <w:bottom w:val="nil"/>
              <w:right w:val="nil"/>
            </w:tcBorders>
            <w:shd w:val="clear" w:color="auto" w:fill="auto"/>
            <w:vAlign w:val="bottom"/>
            <w:hideMark/>
          </w:tcPr>
          <w:p w14:paraId="35E0DC73" w14:textId="77777777" w:rsidR="004E184D" w:rsidRPr="00DF784C" w:rsidRDefault="004E184D">
            <w:pPr>
              <w:keepNext/>
              <w:keepLines/>
              <w:widowControl w:val="0"/>
              <w:tabs>
                <w:tab w:val="clear" w:pos="567"/>
              </w:tabs>
              <w:spacing w:before="0" w:line="240" w:lineRule="auto"/>
              <w:jc w:val="right"/>
              <w:rPr>
                <w:rFonts w:ascii="Work Sans" w:eastAsia="Times New Roman" w:hAnsi="Work Sans" w:cs="Times New Roman"/>
                <w:sz w:val="16"/>
                <w:szCs w:val="16"/>
                <w:lang w:eastAsia="en-AU"/>
              </w:rPr>
            </w:pPr>
            <w:r w:rsidRPr="00DF784C">
              <w:rPr>
                <w:rFonts w:cs="Open Sans Light"/>
                <w:color w:val="000000"/>
                <w:sz w:val="16"/>
                <w:szCs w:val="16"/>
              </w:rPr>
              <w:t>71,703</w:t>
            </w:r>
          </w:p>
        </w:tc>
        <w:tc>
          <w:tcPr>
            <w:tcW w:w="1280" w:type="dxa"/>
            <w:tcBorders>
              <w:top w:val="nil"/>
              <w:left w:val="nil"/>
              <w:bottom w:val="nil"/>
              <w:right w:val="nil"/>
            </w:tcBorders>
            <w:shd w:val="clear" w:color="auto" w:fill="auto"/>
            <w:vAlign w:val="bottom"/>
            <w:hideMark/>
          </w:tcPr>
          <w:p w14:paraId="0E75E8D2" w14:textId="77777777" w:rsidR="004E184D" w:rsidRPr="00DF784C" w:rsidRDefault="004E184D">
            <w:pPr>
              <w:keepNext/>
              <w:keepLines/>
              <w:widowControl w:val="0"/>
              <w:tabs>
                <w:tab w:val="clear" w:pos="567"/>
              </w:tabs>
              <w:spacing w:before="0" w:line="240" w:lineRule="auto"/>
              <w:jc w:val="right"/>
              <w:rPr>
                <w:rFonts w:ascii="Work Sans" w:eastAsia="Times New Roman" w:hAnsi="Work Sans" w:cs="Times New Roman"/>
                <w:sz w:val="16"/>
                <w:szCs w:val="16"/>
                <w:lang w:eastAsia="en-AU"/>
              </w:rPr>
            </w:pPr>
            <w:r w:rsidRPr="00DF784C">
              <w:rPr>
                <w:rFonts w:cs="Open Sans Light"/>
                <w:color w:val="000000"/>
                <w:sz w:val="16"/>
                <w:szCs w:val="16"/>
              </w:rPr>
              <w:t>77,496</w:t>
            </w:r>
          </w:p>
        </w:tc>
        <w:tc>
          <w:tcPr>
            <w:tcW w:w="1280" w:type="dxa"/>
            <w:tcBorders>
              <w:top w:val="nil"/>
              <w:left w:val="nil"/>
              <w:bottom w:val="nil"/>
              <w:right w:val="nil"/>
            </w:tcBorders>
            <w:shd w:val="clear" w:color="auto" w:fill="auto"/>
            <w:vAlign w:val="bottom"/>
            <w:hideMark/>
          </w:tcPr>
          <w:p w14:paraId="5C7166E0" w14:textId="77777777" w:rsidR="004E184D" w:rsidRPr="00DF784C" w:rsidRDefault="004E184D">
            <w:pPr>
              <w:keepNext/>
              <w:keepLines/>
              <w:widowControl w:val="0"/>
              <w:tabs>
                <w:tab w:val="clear" w:pos="567"/>
              </w:tabs>
              <w:spacing w:before="0" w:line="240" w:lineRule="auto"/>
              <w:jc w:val="right"/>
              <w:rPr>
                <w:rFonts w:ascii="Work Sans" w:eastAsia="Times New Roman" w:hAnsi="Work Sans" w:cs="Times New Roman"/>
                <w:sz w:val="16"/>
                <w:szCs w:val="16"/>
                <w:lang w:eastAsia="en-AU"/>
              </w:rPr>
            </w:pPr>
            <w:r w:rsidRPr="00DF784C">
              <w:rPr>
                <w:rFonts w:cs="Open Sans Light"/>
                <w:color w:val="000000"/>
                <w:sz w:val="16"/>
                <w:szCs w:val="16"/>
              </w:rPr>
              <w:t>86,830</w:t>
            </w:r>
          </w:p>
        </w:tc>
      </w:tr>
      <w:tr w:rsidR="004E184D" w:rsidRPr="00DF784C" w14:paraId="496FF9B6" w14:textId="77777777">
        <w:trPr>
          <w:trHeight w:val="319"/>
        </w:trPr>
        <w:tc>
          <w:tcPr>
            <w:tcW w:w="3820" w:type="dxa"/>
            <w:tcBorders>
              <w:top w:val="single" w:sz="4" w:space="0" w:color="ADD6EA"/>
              <w:left w:val="nil"/>
              <w:bottom w:val="single" w:sz="4" w:space="0" w:color="ADD6EA"/>
              <w:right w:val="nil"/>
            </w:tcBorders>
            <w:shd w:val="clear" w:color="auto" w:fill="auto"/>
            <w:vAlign w:val="bottom"/>
            <w:hideMark/>
          </w:tcPr>
          <w:p w14:paraId="494D0092" w14:textId="77777777" w:rsidR="004E184D" w:rsidRPr="001A0F6B" w:rsidRDefault="004E184D">
            <w:pPr>
              <w:keepNext/>
              <w:keepLines/>
              <w:widowControl w:val="0"/>
              <w:tabs>
                <w:tab w:val="clear" w:pos="567"/>
              </w:tabs>
              <w:spacing w:before="0" w:line="240" w:lineRule="auto"/>
              <w:ind w:hanging="100"/>
              <w:rPr>
                <w:rFonts w:eastAsia="Times New Roman" w:cs="Open Sans Light"/>
                <w:sz w:val="16"/>
                <w:szCs w:val="16"/>
                <w:lang w:eastAsia="en-AU"/>
              </w:rPr>
            </w:pPr>
            <w:r w:rsidRPr="001A0F6B">
              <w:rPr>
                <w:rFonts w:eastAsia="Times New Roman" w:cs="Open Sans Light"/>
                <w:sz w:val="16"/>
                <w:szCs w:val="16"/>
                <w:lang w:eastAsia="en-AU"/>
              </w:rPr>
              <w:t>Proportion of state expenditure (%)</w:t>
            </w:r>
          </w:p>
        </w:tc>
        <w:tc>
          <w:tcPr>
            <w:tcW w:w="1280" w:type="dxa"/>
            <w:tcBorders>
              <w:top w:val="single" w:sz="4" w:space="0" w:color="ADD6EA"/>
              <w:left w:val="nil"/>
              <w:bottom w:val="single" w:sz="4" w:space="0" w:color="ADD6EA"/>
              <w:right w:val="nil"/>
            </w:tcBorders>
            <w:shd w:val="clear" w:color="auto" w:fill="auto"/>
            <w:vAlign w:val="bottom"/>
            <w:hideMark/>
          </w:tcPr>
          <w:p w14:paraId="2A1BBB8E" w14:textId="77777777" w:rsidR="004E184D" w:rsidRPr="00DF784C" w:rsidRDefault="004E184D">
            <w:pPr>
              <w:keepNext/>
              <w:keepLines/>
              <w:widowControl w:val="0"/>
              <w:tabs>
                <w:tab w:val="clear" w:pos="567"/>
              </w:tabs>
              <w:spacing w:before="0" w:line="240" w:lineRule="auto"/>
              <w:jc w:val="right"/>
              <w:rPr>
                <w:rFonts w:ascii="Work Sans" w:eastAsia="Times New Roman" w:hAnsi="Work Sans" w:cs="Times New Roman"/>
                <w:sz w:val="16"/>
                <w:szCs w:val="16"/>
                <w:lang w:eastAsia="en-AU"/>
              </w:rPr>
            </w:pPr>
            <w:r w:rsidRPr="00DF784C">
              <w:rPr>
                <w:rFonts w:cs="Open Sans Light"/>
                <w:color w:val="000000"/>
                <w:sz w:val="16"/>
                <w:szCs w:val="16"/>
              </w:rPr>
              <w:t>28.8</w:t>
            </w:r>
          </w:p>
        </w:tc>
        <w:tc>
          <w:tcPr>
            <w:tcW w:w="1280" w:type="dxa"/>
            <w:tcBorders>
              <w:top w:val="single" w:sz="4" w:space="0" w:color="ADD6EA"/>
              <w:left w:val="nil"/>
              <w:bottom w:val="single" w:sz="4" w:space="0" w:color="ADD6EA"/>
              <w:right w:val="nil"/>
            </w:tcBorders>
            <w:shd w:val="clear" w:color="auto" w:fill="auto"/>
            <w:vAlign w:val="bottom"/>
            <w:hideMark/>
          </w:tcPr>
          <w:p w14:paraId="04F6FA40" w14:textId="77777777" w:rsidR="004E184D" w:rsidRPr="00DF784C" w:rsidRDefault="004E184D">
            <w:pPr>
              <w:keepNext/>
              <w:keepLines/>
              <w:widowControl w:val="0"/>
              <w:tabs>
                <w:tab w:val="clear" w:pos="567"/>
              </w:tabs>
              <w:spacing w:before="0" w:line="240" w:lineRule="auto"/>
              <w:jc w:val="right"/>
              <w:rPr>
                <w:rFonts w:ascii="Work Sans" w:eastAsia="Times New Roman" w:hAnsi="Work Sans" w:cs="Times New Roman"/>
                <w:sz w:val="16"/>
                <w:szCs w:val="16"/>
                <w:lang w:eastAsia="en-AU"/>
              </w:rPr>
            </w:pPr>
            <w:r w:rsidRPr="00DF784C">
              <w:rPr>
                <w:rFonts w:cs="Open Sans Light"/>
                <w:color w:val="000000"/>
                <w:sz w:val="16"/>
                <w:szCs w:val="16"/>
              </w:rPr>
              <w:t>31.5</w:t>
            </w:r>
          </w:p>
        </w:tc>
        <w:tc>
          <w:tcPr>
            <w:tcW w:w="1280" w:type="dxa"/>
            <w:tcBorders>
              <w:top w:val="single" w:sz="4" w:space="0" w:color="ADD6EA"/>
              <w:left w:val="nil"/>
              <w:bottom w:val="single" w:sz="4" w:space="0" w:color="ADD6EA"/>
              <w:right w:val="nil"/>
            </w:tcBorders>
            <w:shd w:val="clear" w:color="auto" w:fill="auto"/>
            <w:vAlign w:val="bottom"/>
            <w:hideMark/>
          </w:tcPr>
          <w:p w14:paraId="11EB1D8E" w14:textId="77777777" w:rsidR="004E184D" w:rsidRPr="00DF784C" w:rsidRDefault="004E184D">
            <w:pPr>
              <w:keepNext/>
              <w:keepLines/>
              <w:widowControl w:val="0"/>
              <w:tabs>
                <w:tab w:val="clear" w:pos="567"/>
              </w:tabs>
              <w:spacing w:before="0" w:line="240" w:lineRule="auto"/>
              <w:jc w:val="right"/>
              <w:rPr>
                <w:rFonts w:ascii="Work Sans" w:eastAsia="Times New Roman" w:hAnsi="Work Sans" w:cs="Times New Roman"/>
                <w:sz w:val="16"/>
                <w:szCs w:val="16"/>
                <w:lang w:eastAsia="en-AU"/>
              </w:rPr>
            </w:pPr>
            <w:r w:rsidRPr="00DF784C">
              <w:rPr>
                <w:rFonts w:cs="Open Sans Light"/>
                <w:color w:val="000000"/>
                <w:sz w:val="16"/>
                <w:szCs w:val="16"/>
              </w:rPr>
              <w:t>30.6</w:t>
            </w:r>
          </w:p>
        </w:tc>
        <w:tc>
          <w:tcPr>
            <w:tcW w:w="1280" w:type="dxa"/>
            <w:tcBorders>
              <w:top w:val="single" w:sz="4" w:space="0" w:color="ADD6EA"/>
              <w:left w:val="nil"/>
              <w:bottom w:val="single" w:sz="4" w:space="0" w:color="ADD6EA"/>
              <w:right w:val="nil"/>
            </w:tcBorders>
            <w:shd w:val="clear" w:color="auto" w:fill="auto"/>
            <w:vAlign w:val="bottom"/>
            <w:hideMark/>
          </w:tcPr>
          <w:p w14:paraId="03D97BD3" w14:textId="77777777" w:rsidR="004E184D" w:rsidRPr="00DF784C" w:rsidRDefault="004E184D">
            <w:pPr>
              <w:keepNext/>
              <w:keepLines/>
              <w:widowControl w:val="0"/>
              <w:tabs>
                <w:tab w:val="clear" w:pos="567"/>
              </w:tabs>
              <w:spacing w:before="0" w:line="240" w:lineRule="auto"/>
              <w:jc w:val="right"/>
              <w:rPr>
                <w:rFonts w:ascii="Work Sans" w:eastAsia="Times New Roman" w:hAnsi="Work Sans" w:cs="Times New Roman"/>
                <w:sz w:val="16"/>
                <w:szCs w:val="16"/>
                <w:lang w:eastAsia="en-AU"/>
              </w:rPr>
            </w:pPr>
            <w:r w:rsidRPr="00DF784C">
              <w:rPr>
                <w:rFonts w:cs="Open Sans Light"/>
                <w:color w:val="000000"/>
                <w:sz w:val="16"/>
                <w:szCs w:val="16"/>
              </w:rPr>
              <w:t>30.2</w:t>
            </w:r>
          </w:p>
        </w:tc>
      </w:tr>
    </w:tbl>
    <w:p w14:paraId="67CB8D76" w14:textId="25B4D83B" w:rsidR="004E184D" w:rsidRPr="000F3FBF" w:rsidRDefault="004E184D" w:rsidP="004E184D">
      <w:pPr>
        <w:pStyle w:val="CGCTablenote"/>
        <w:rPr>
          <w:rFonts w:ascii="Work Sans" w:hAnsi="Work Sans"/>
        </w:rPr>
      </w:pPr>
      <w:r w:rsidRPr="000F3FBF">
        <w:rPr>
          <w:rFonts w:ascii="Work Sans" w:hAnsi="Work Sans"/>
        </w:rPr>
        <w:t>Source: Commission calculation, 2023 Update.</w:t>
      </w:r>
    </w:p>
    <w:p w14:paraId="7CC0CC0A" w14:textId="77D01ED7" w:rsidR="004E184D" w:rsidRPr="00DF784C" w:rsidRDefault="00DF784C" w:rsidP="004E184D">
      <w:pPr>
        <w:pStyle w:val="CGC2025ParaNumbers"/>
      </w:pPr>
      <w:r>
        <w:fldChar w:fldCharType="begin"/>
      </w:r>
      <w:r>
        <w:instrText xml:space="preserve"> REF _Ref138159738 \h </w:instrText>
      </w:r>
      <w:r>
        <w:fldChar w:fldCharType="separate"/>
      </w:r>
      <w:r w:rsidR="00312054" w:rsidRPr="00DF784C">
        <w:t xml:space="preserve">Table </w:t>
      </w:r>
      <w:r w:rsidR="00312054">
        <w:rPr>
          <w:noProof/>
        </w:rPr>
        <w:t>2</w:t>
      </w:r>
      <w:r>
        <w:fldChar w:fldCharType="end"/>
      </w:r>
      <w:r w:rsidR="004E184D" w:rsidRPr="00DF784C">
        <w:t xml:space="preserve"> shows total health expenses by state.</w:t>
      </w:r>
    </w:p>
    <w:p w14:paraId="3F625A8C" w14:textId="7F632E4F" w:rsidR="00B074FA" w:rsidRPr="00DF784C" w:rsidRDefault="007459A4" w:rsidP="000F3FBF">
      <w:pPr>
        <w:pStyle w:val="CGC2025Caption"/>
        <w:tabs>
          <w:tab w:val="left" w:pos="1134"/>
        </w:tabs>
      </w:pPr>
      <w:bookmarkStart w:id="15" w:name="_Ref138159738"/>
      <w:r w:rsidRPr="00DF784C">
        <w:t xml:space="preserve">Table </w:t>
      </w:r>
      <w:fldSimple w:instr=" SEQ Table \* ARABIC ">
        <w:r w:rsidR="00312054">
          <w:rPr>
            <w:noProof/>
          </w:rPr>
          <w:t>2</w:t>
        </w:r>
      </w:fldSimple>
      <w:bookmarkEnd w:id="15"/>
      <w:r w:rsidR="004E184D" w:rsidRPr="00DF784C">
        <w:tab/>
        <w:t>Health expenditure by state, 2021</w:t>
      </w:r>
      <w:r w:rsidR="00C30603">
        <w:t>–</w:t>
      </w:r>
      <w:r w:rsidR="004E184D" w:rsidRPr="00DF784C">
        <w:t>22</w:t>
      </w:r>
    </w:p>
    <w:tbl>
      <w:tblPr>
        <w:tblW w:w="8920" w:type="dxa"/>
        <w:tblLook w:val="04A0" w:firstRow="1" w:lastRow="0" w:firstColumn="1" w:lastColumn="0" w:noHBand="0" w:noVBand="1"/>
      </w:tblPr>
      <w:tblGrid>
        <w:gridCol w:w="2688"/>
        <w:gridCol w:w="708"/>
        <w:gridCol w:w="708"/>
        <w:gridCol w:w="708"/>
        <w:gridCol w:w="680"/>
        <w:gridCol w:w="680"/>
        <w:gridCol w:w="680"/>
        <w:gridCol w:w="680"/>
        <w:gridCol w:w="680"/>
        <w:gridCol w:w="708"/>
      </w:tblGrid>
      <w:tr w:rsidR="004E184D" w:rsidRPr="00DF784C" w14:paraId="48653A76" w14:textId="77777777">
        <w:trPr>
          <w:trHeight w:val="379"/>
        </w:trPr>
        <w:tc>
          <w:tcPr>
            <w:tcW w:w="2688" w:type="dxa"/>
            <w:tcBorders>
              <w:top w:val="nil"/>
              <w:left w:val="nil"/>
              <w:bottom w:val="nil"/>
              <w:right w:val="nil"/>
            </w:tcBorders>
            <w:shd w:val="clear" w:color="000000" w:fill="006991"/>
            <w:vAlign w:val="center"/>
            <w:hideMark/>
          </w:tcPr>
          <w:p w14:paraId="1F476AEB" w14:textId="77777777" w:rsidR="004E184D" w:rsidRPr="00DF784C" w:rsidRDefault="004E184D">
            <w:pPr>
              <w:keepNext/>
              <w:keepLines/>
              <w:tabs>
                <w:tab w:val="clear" w:pos="567"/>
              </w:tabs>
              <w:spacing w:before="0" w:line="240" w:lineRule="auto"/>
              <w:rPr>
                <w:rFonts w:eastAsia="Times New Roman" w:cs="Open Sans Light"/>
                <w:color w:val="FFFFFF"/>
                <w:sz w:val="16"/>
                <w:szCs w:val="16"/>
                <w:lang w:eastAsia="en-AU"/>
              </w:rPr>
            </w:pPr>
            <w:r w:rsidRPr="00DF784C">
              <w:rPr>
                <w:rFonts w:eastAsia="Times New Roman" w:cs="Open Sans Light"/>
                <w:color w:val="FFFFFF"/>
                <w:sz w:val="16"/>
                <w:szCs w:val="16"/>
                <w:lang w:eastAsia="en-AU"/>
              </w:rPr>
              <w:t> </w:t>
            </w:r>
          </w:p>
        </w:tc>
        <w:tc>
          <w:tcPr>
            <w:tcW w:w="708" w:type="dxa"/>
            <w:tcBorders>
              <w:top w:val="nil"/>
              <w:left w:val="nil"/>
              <w:bottom w:val="nil"/>
              <w:right w:val="nil"/>
            </w:tcBorders>
            <w:shd w:val="clear" w:color="000000" w:fill="006991"/>
            <w:vAlign w:val="center"/>
            <w:hideMark/>
          </w:tcPr>
          <w:p w14:paraId="11DD7FBB" w14:textId="77777777" w:rsidR="004E184D" w:rsidRPr="00DF784C" w:rsidRDefault="004E184D">
            <w:pPr>
              <w:keepNext/>
              <w:keepLines/>
              <w:tabs>
                <w:tab w:val="clear" w:pos="567"/>
              </w:tabs>
              <w:spacing w:before="0" w:line="240" w:lineRule="auto"/>
              <w:jc w:val="right"/>
              <w:rPr>
                <w:rFonts w:eastAsia="Times New Roman" w:cs="Open Sans Light"/>
                <w:b/>
                <w:bCs/>
                <w:color w:val="FFFFFF"/>
                <w:sz w:val="16"/>
                <w:szCs w:val="16"/>
                <w:lang w:eastAsia="en-AU"/>
              </w:rPr>
            </w:pPr>
            <w:r w:rsidRPr="00DF784C">
              <w:rPr>
                <w:rFonts w:eastAsia="Times New Roman" w:cs="Open Sans Light"/>
                <w:b/>
                <w:bCs/>
                <w:color w:val="FFFFFF"/>
                <w:sz w:val="16"/>
                <w:szCs w:val="16"/>
                <w:lang w:eastAsia="en-AU"/>
              </w:rPr>
              <w:t>NSW</w:t>
            </w:r>
          </w:p>
        </w:tc>
        <w:tc>
          <w:tcPr>
            <w:tcW w:w="708" w:type="dxa"/>
            <w:tcBorders>
              <w:top w:val="nil"/>
              <w:left w:val="nil"/>
              <w:bottom w:val="nil"/>
              <w:right w:val="nil"/>
            </w:tcBorders>
            <w:shd w:val="clear" w:color="000000" w:fill="006991"/>
            <w:vAlign w:val="center"/>
            <w:hideMark/>
          </w:tcPr>
          <w:p w14:paraId="7979F1E9" w14:textId="77777777" w:rsidR="004E184D" w:rsidRPr="00DF784C" w:rsidRDefault="004E184D">
            <w:pPr>
              <w:keepNext/>
              <w:keepLines/>
              <w:tabs>
                <w:tab w:val="clear" w:pos="567"/>
              </w:tabs>
              <w:spacing w:before="0" w:line="240" w:lineRule="auto"/>
              <w:jc w:val="right"/>
              <w:rPr>
                <w:rFonts w:eastAsia="Times New Roman" w:cs="Open Sans Light"/>
                <w:b/>
                <w:bCs/>
                <w:color w:val="FFFFFF"/>
                <w:sz w:val="16"/>
                <w:szCs w:val="16"/>
                <w:lang w:eastAsia="en-AU"/>
              </w:rPr>
            </w:pPr>
            <w:r w:rsidRPr="00DF784C">
              <w:rPr>
                <w:rFonts w:eastAsia="Times New Roman" w:cs="Open Sans Light"/>
                <w:b/>
                <w:bCs/>
                <w:color w:val="FFFFFF"/>
                <w:sz w:val="16"/>
                <w:szCs w:val="16"/>
                <w:lang w:eastAsia="en-AU"/>
              </w:rPr>
              <w:t>Vic</w:t>
            </w:r>
          </w:p>
        </w:tc>
        <w:tc>
          <w:tcPr>
            <w:tcW w:w="708" w:type="dxa"/>
            <w:tcBorders>
              <w:top w:val="nil"/>
              <w:left w:val="nil"/>
              <w:bottom w:val="nil"/>
              <w:right w:val="nil"/>
            </w:tcBorders>
            <w:shd w:val="clear" w:color="000000" w:fill="006991"/>
            <w:vAlign w:val="center"/>
            <w:hideMark/>
          </w:tcPr>
          <w:p w14:paraId="564274B3" w14:textId="77777777" w:rsidR="004E184D" w:rsidRPr="00DF784C" w:rsidRDefault="004E184D">
            <w:pPr>
              <w:keepNext/>
              <w:keepLines/>
              <w:tabs>
                <w:tab w:val="clear" w:pos="567"/>
              </w:tabs>
              <w:spacing w:before="0" w:line="240" w:lineRule="auto"/>
              <w:jc w:val="right"/>
              <w:rPr>
                <w:rFonts w:eastAsia="Times New Roman" w:cs="Open Sans Light"/>
                <w:b/>
                <w:bCs/>
                <w:color w:val="FFFFFF"/>
                <w:sz w:val="16"/>
                <w:szCs w:val="16"/>
                <w:lang w:eastAsia="en-AU"/>
              </w:rPr>
            </w:pPr>
            <w:r w:rsidRPr="00DF784C">
              <w:rPr>
                <w:rFonts w:eastAsia="Times New Roman" w:cs="Open Sans Light"/>
                <w:b/>
                <w:bCs/>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4E83D703" w14:textId="77777777" w:rsidR="004E184D" w:rsidRPr="00DF784C" w:rsidRDefault="004E184D">
            <w:pPr>
              <w:keepNext/>
              <w:keepLines/>
              <w:tabs>
                <w:tab w:val="clear" w:pos="567"/>
              </w:tabs>
              <w:spacing w:before="0" w:line="240" w:lineRule="auto"/>
              <w:jc w:val="right"/>
              <w:rPr>
                <w:rFonts w:eastAsia="Times New Roman" w:cs="Open Sans Light"/>
                <w:b/>
                <w:bCs/>
                <w:color w:val="FFFFFF"/>
                <w:sz w:val="16"/>
                <w:szCs w:val="16"/>
                <w:lang w:eastAsia="en-AU"/>
              </w:rPr>
            </w:pPr>
            <w:r w:rsidRPr="00DF784C">
              <w:rPr>
                <w:rFonts w:eastAsia="Times New Roman" w:cs="Open Sans Light"/>
                <w:b/>
                <w:bCs/>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32DC5BB7" w14:textId="77777777" w:rsidR="004E184D" w:rsidRPr="00DF784C" w:rsidRDefault="004E184D">
            <w:pPr>
              <w:keepNext/>
              <w:keepLines/>
              <w:tabs>
                <w:tab w:val="clear" w:pos="567"/>
              </w:tabs>
              <w:spacing w:before="0" w:line="240" w:lineRule="auto"/>
              <w:jc w:val="right"/>
              <w:rPr>
                <w:rFonts w:eastAsia="Times New Roman" w:cs="Open Sans Light"/>
                <w:b/>
                <w:bCs/>
                <w:color w:val="FFFFFF"/>
                <w:sz w:val="16"/>
                <w:szCs w:val="16"/>
                <w:lang w:eastAsia="en-AU"/>
              </w:rPr>
            </w:pPr>
            <w:r w:rsidRPr="00DF784C">
              <w:rPr>
                <w:rFonts w:eastAsia="Times New Roman" w:cs="Open Sans Light"/>
                <w:b/>
                <w:bCs/>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4AB75C36" w14:textId="77777777" w:rsidR="004E184D" w:rsidRPr="00DF784C" w:rsidRDefault="004E184D">
            <w:pPr>
              <w:keepNext/>
              <w:keepLines/>
              <w:tabs>
                <w:tab w:val="clear" w:pos="567"/>
              </w:tabs>
              <w:spacing w:before="0" w:line="240" w:lineRule="auto"/>
              <w:jc w:val="right"/>
              <w:rPr>
                <w:rFonts w:eastAsia="Times New Roman" w:cs="Open Sans Light"/>
                <w:b/>
                <w:bCs/>
                <w:color w:val="FFFFFF"/>
                <w:sz w:val="16"/>
                <w:szCs w:val="16"/>
                <w:lang w:eastAsia="en-AU"/>
              </w:rPr>
            </w:pPr>
            <w:r w:rsidRPr="00DF784C">
              <w:rPr>
                <w:rFonts w:eastAsia="Times New Roman" w:cs="Open Sans Light"/>
                <w:b/>
                <w:bCs/>
                <w:color w:val="FFFFFF"/>
                <w:sz w:val="16"/>
                <w:szCs w:val="16"/>
                <w:lang w:eastAsia="en-AU"/>
              </w:rPr>
              <w:t>Tas</w:t>
            </w:r>
          </w:p>
        </w:tc>
        <w:tc>
          <w:tcPr>
            <w:tcW w:w="680" w:type="dxa"/>
            <w:tcBorders>
              <w:top w:val="nil"/>
              <w:left w:val="nil"/>
              <w:bottom w:val="nil"/>
              <w:right w:val="nil"/>
            </w:tcBorders>
            <w:shd w:val="clear" w:color="000000" w:fill="006991"/>
            <w:vAlign w:val="center"/>
            <w:hideMark/>
          </w:tcPr>
          <w:p w14:paraId="7759708F" w14:textId="77777777" w:rsidR="004E184D" w:rsidRPr="00DF784C" w:rsidRDefault="004E184D">
            <w:pPr>
              <w:keepNext/>
              <w:keepLines/>
              <w:tabs>
                <w:tab w:val="clear" w:pos="567"/>
              </w:tabs>
              <w:spacing w:before="0" w:line="240" w:lineRule="auto"/>
              <w:jc w:val="right"/>
              <w:rPr>
                <w:rFonts w:eastAsia="Times New Roman" w:cs="Open Sans Light"/>
                <w:b/>
                <w:bCs/>
                <w:color w:val="FFFFFF"/>
                <w:sz w:val="16"/>
                <w:szCs w:val="16"/>
                <w:lang w:eastAsia="en-AU"/>
              </w:rPr>
            </w:pPr>
            <w:r w:rsidRPr="00DF784C">
              <w:rPr>
                <w:rFonts w:eastAsia="Times New Roman" w:cs="Open Sans Light"/>
                <w:b/>
                <w:bCs/>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3D402233" w14:textId="77777777" w:rsidR="004E184D" w:rsidRPr="00DF784C" w:rsidRDefault="004E184D">
            <w:pPr>
              <w:keepNext/>
              <w:keepLines/>
              <w:tabs>
                <w:tab w:val="clear" w:pos="567"/>
              </w:tabs>
              <w:spacing w:before="0" w:line="240" w:lineRule="auto"/>
              <w:jc w:val="right"/>
              <w:rPr>
                <w:rFonts w:eastAsia="Times New Roman" w:cs="Open Sans Light"/>
                <w:b/>
                <w:bCs/>
                <w:color w:val="FFFFFF"/>
                <w:sz w:val="16"/>
                <w:szCs w:val="16"/>
                <w:lang w:eastAsia="en-AU"/>
              </w:rPr>
            </w:pPr>
            <w:r w:rsidRPr="00DF784C">
              <w:rPr>
                <w:rFonts w:eastAsia="Times New Roman" w:cs="Open Sans Light"/>
                <w:b/>
                <w:bCs/>
                <w:color w:val="FFFFFF"/>
                <w:sz w:val="16"/>
                <w:szCs w:val="16"/>
                <w:lang w:eastAsia="en-AU"/>
              </w:rPr>
              <w:t>NT</w:t>
            </w:r>
          </w:p>
        </w:tc>
        <w:tc>
          <w:tcPr>
            <w:tcW w:w="708" w:type="dxa"/>
            <w:tcBorders>
              <w:top w:val="nil"/>
              <w:left w:val="nil"/>
              <w:bottom w:val="nil"/>
              <w:right w:val="nil"/>
            </w:tcBorders>
            <w:shd w:val="clear" w:color="000000" w:fill="006991"/>
            <w:vAlign w:val="center"/>
            <w:hideMark/>
          </w:tcPr>
          <w:p w14:paraId="606CC8EE" w14:textId="77777777" w:rsidR="004E184D" w:rsidRPr="00DF784C" w:rsidRDefault="004E184D">
            <w:pPr>
              <w:keepNext/>
              <w:keepLines/>
              <w:tabs>
                <w:tab w:val="clear" w:pos="567"/>
              </w:tabs>
              <w:spacing w:before="0" w:line="240" w:lineRule="auto"/>
              <w:jc w:val="right"/>
              <w:rPr>
                <w:rFonts w:eastAsia="Times New Roman" w:cs="Open Sans Light"/>
                <w:b/>
                <w:bCs/>
                <w:color w:val="FFFFFF"/>
                <w:sz w:val="16"/>
                <w:szCs w:val="16"/>
                <w:lang w:eastAsia="en-AU"/>
              </w:rPr>
            </w:pPr>
            <w:r w:rsidRPr="00DF784C">
              <w:rPr>
                <w:rFonts w:eastAsia="Times New Roman" w:cs="Open Sans Light"/>
                <w:b/>
                <w:bCs/>
                <w:color w:val="FFFFFF"/>
                <w:sz w:val="16"/>
                <w:szCs w:val="16"/>
                <w:lang w:eastAsia="en-AU"/>
              </w:rPr>
              <w:t>Total</w:t>
            </w:r>
          </w:p>
        </w:tc>
      </w:tr>
      <w:tr w:rsidR="004E184D" w:rsidRPr="00DF784C" w14:paraId="3E0409D2" w14:textId="77777777">
        <w:trPr>
          <w:trHeight w:val="315"/>
        </w:trPr>
        <w:tc>
          <w:tcPr>
            <w:tcW w:w="2688" w:type="dxa"/>
            <w:tcBorders>
              <w:top w:val="single" w:sz="4" w:space="0" w:color="ADD6EA"/>
              <w:left w:val="nil"/>
              <w:bottom w:val="single" w:sz="4" w:space="0" w:color="ADD6EA"/>
              <w:right w:val="nil"/>
            </w:tcBorders>
            <w:shd w:val="clear" w:color="auto" w:fill="auto"/>
            <w:vAlign w:val="center"/>
            <w:hideMark/>
          </w:tcPr>
          <w:p w14:paraId="6E809F33" w14:textId="77777777" w:rsidR="004E184D" w:rsidRPr="00DF784C" w:rsidRDefault="004E184D">
            <w:pPr>
              <w:keepNext/>
              <w:keepLines/>
              <w:tabs>
                <w:tab w:val="clear" w:pos="567"/>
              </w:tabs>
              <w:spacing w:before="0" w:line="240" w:lineRule="auto"/>
              <w:ind w:hanging="100"/>
              <w:rPr>
                <w:rFonts w:eastAsia="Times New Roman" w:cs="Open Sans Light"/>
                <w:color w:val="000000"/>
                <w:sz w:val="16"/>
                <w:szCs w:val="16"/>
                <w:lang w:eastAsia="en-AU"/>
              </w:rPr>
            </w:pPr>
            <w:r w:rsidRPr="00DF784C">
              <w:rPr>
                <w:rFonts w:eastAsia="Times New Roman" w:cs="Open Sans Light"/>
                <w:color w:val="000000"/>
                <w:sz w:val="16"/>
                <w:szCs w:val="16"/>
                <w:lang w:eastAsia="en-AU"/>
              </w:rPr>
              <w:t>Total expenditure ($m)</w:t>
            </w:r>
          </w:p>
        </w:tc>
        <w:tc>
          <w:tcPr>
            <w:tcW w:w="708" w:type="dxa"/>
            <w:tcBorders>
              <w:top w:val="single" w:sz="4" w:space="0" w:color="ADD6EA"/>
              <w:left w:val="nil"/>
              <w:bottom w:val="single" w:sz="4" w:space="0" w:color="ADD6EA"/>
              <w:right w:val="nil"/>
            </w:tcBorders>
            <w:shd w:val="clear" w:color="auto" w:fill="auto"/>
            <w:noWrap/>
            <w:vAlign w:val="center"/>
            <w:hideMark/>
          </w:tcPr>
          <w:p w14:paraId="57685BAA"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24,150</w:t>
            </w:r>
          </w:p>
        </w:tc>
        <w:tc>
          <w:tcPr>
            <w:tcW w:w="708" w:type="dxa"/>
            <w:tcBorders>
              <w:top w:val="single" w:sz="4" w:space="0" w:color="ADD6EA"/>
              <w:left w:val="nil"/>
              <w:bottom w:val="single" w:sz="4" w:space="0" w:color="ADD6EA"/>
              <w:right w:val="nil"/>
            </w:tcBorders>
            <w:shd w:val="clear" w:color="auto" w:fill="auto"/>
            <w:noWrap/>
            <w:vAlign w:val="center"/>
            <w:hideMark/>
          </w:tcPr>
          <w:p w14:paraId="59917793"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22,684</w:t>
            </w:r>
          </w:p>
        </w:tc>
        <w:tc>
          <w:tcPr>
            <w:tcW w:w="708" w:type="dxa"/>
            <w:tcBorders>
              <w:top w:val="single" w:sz="4" w:space="0" w:color="ADD6EA"/>
              <w:left w:val="nil"/>
              <w:bottom w:val="single" w:sz="4" w:space="0" w:color="ADD6EA"/>
              <w:right w:val="nil"/>
            </w:tcBorders>
            <w:shd w:val="clear" w:color="auto" w:fill="auto"/>
            <w:noWrap/>
            <w:vAlign w:val="center"/>
            <w:hideMark/>
          </w:tcPr>
          <w:p w14:paraId="3CA5350B"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18,434</w:t>
            </w:r>
          </w:p>
        </w:tc>
        <w:tc>
          <w:tcPr>
            <w:tcW w:w="680" w:type="dxa"/>
            <w:tcBorders>
              <w:top w:val="single" w:sz="4" w:space="0" w:color="ADD6EA"/>
              <w:left w:val="nil"/>
              <w:bottom w:val="single" w:sz="4" w:space="0" w:color="ADD6EA"/>
              <w:right w:val="nil"/>
            </w:tcBorders>
            <w:shd w:val="clear" w:color="auto" w:fill="auto"/>
            <w:noWrap/>
            <w:vAlign w:val="center"/>
            <w:hideMark/>
          </w:tcPr>
          <w:p w14:paraId="28F0BD64"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9,884</w:t>
            </w:r>
          </w:p>
        </w:tc>
        <w:tc>
          <w:tcPr>
            <w:tcW w:w="680" w:type="dxa"/>
            <w:tcBorders>
              <w:top w:val="single" w:sz="4" w:space="0" w:color="ADD6EA"/>
              <w:left w:val="nil"/>
              <w:bottom w:val="single" w:sz="4" w:space="0" w:color="ADD6EA"/>
              <w:right w:val="nil"/>
            </w:tcBorders>
            <w:shd w:val="clear" w:color="auto" w:fill="auto"/>
            <w:noWrap/>
            <w:vAlign w:val="center"/>
            <w:hideMark/>
          </w:tcPr>
          <w:p w14:paraId="369E695D"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5,967</w:t>
            </w:r>
          </w:p>
        </w:tc>
        <w:tc>
          <w:tcPr>
            <w:tcW w:w="680" w:type="dxa"/>
            <w:tcBorders>
              <w:top w:val="single" w:sz="4" w:space="0" w:color="ADD6EA"/>
              <w:left w:val="nil"/>
              <w:bottom w:val="single" w:sz="4" w:space="0" w:color="ADD6EA"/>
              <w:right w:val="nil"/>
            </w:tcBorders>
            <w:shd w:val="clear" w:color="auto" w:fill="auto"/>
            <w:noWrap/>
            <w:vAlign w:val="center"/>
            <w:hideMark/>
          </w:tcPr>
          <w:p w14:paraId="763CEBEC"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2,296</w:t>
            </w:r>
          </w:p>
        </w:tc>
        <w:tc>
          <w:tcPr>
            <w:tcW w:w="680" w:type="dxa"/>
            <w:tcBorders>
              <w:top w:val="single" w:sz="4" w:space="0" w:color="ADD6EA"/>
              <w:left w:val="nil"/>
              <w:bottom w:val="single" w:sz="4" w:space="0" w:color="ADD6EA"/>
              <w:right w:val="nil"/>
            </w:tcBorders>
            <w:shd w:val="clear" w:color="auto" w:fill="auto"/>
            <w:noWrap/>
            <w:vAlign w:val="center"/>
            <w:hideMark/>
          </w:tcPr>
          <w:p w14:paraId="1A33C675"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1,741</w:t>
            </w:r>
          </w:p>
        </w:tc>
        <w:tc>
          <w:tcPr>
            <w:tcW w:w="680" w:type="dxa"/>
            <w:tcBorders>
              <w:top w:val="single" w:sz="4" w:space="0" w:color="ADD6EA"/>
              <w:left w:val="nil"/>
              <w:bottom w:val="single" w:sz="4" w:space="0" w:color="ADD6EA"/>
              <w:right w:val="nil"/>
            </w:tcBorders>
            <w:shd w:val="clear" w:color="auto" w:fill="auto"/>
            <w:noWrap/>
            <w:vAlign w:val="center"/>
            <w:hideMark/>
          </w:tcPr>
          <w:p w14:paraId="4F512496"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1,673</w:t>
            </w:r>
          </w:p>
        </w:tc>
        <w:tc>
          <w:tcPr>
            <w:tcW w:w="708" w:type="dxa"/>
            <w:tcBorders>
              <w:top w:val="single" w:sz="4" w:space="0" w:color="ADD6EA"/>
              <w:left w:val="nil"/>
              <w:bottom w:val="single" w:sz="4" w:space="0" w:color="ADD6EA"/>
              <w:right w:val="nil"/>
            </w:tcBorders>
            <w:shd w:val="clear" w:color="auto" w:fill="auto"/>
            <w:noWrap/>
            <w:vAlign w:val="center"/>
            <w:hideMark/>
          </w:tcPr>
          <w:p w14:paraId="76F55D2A"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86,830</w:t>
            </w:r>
          </w:p>
        </w:tc>
      </w:tr>
      <w:tr w:rsidR="004E184D" w:rsidRPr="00DF784C" w14:paraId="243BC389" w14:textId="77777777">
        <w:trPr>
          <w:trHeight w:val="315"/>
        </w:trPr>
        <w:tc>
          <w:tcPr>
            <w:tcW w:w="2688" w:type="dxa"/>
            <w:tcBorders>
              <w:top w:val="nil"/>
              <w:left w:val="nil"/>
              <w:bottom w:val="single" w:sz="4" w:space="0" w:color="ADD6EA"/>
              <w:right w:val="nil"/>
            </w:tcBorders>
            <w:shd w:val="clear" w:color="auto" w:fill="auto"/>
            <w:vAlign w:val="center"/>
            <w:hideMark/>
          </w:tcPr>
          <w:p w14:paraId="3BF996FB" w14:textId="77777777" w:rsidR="004E184D" w:rsidRPr="00DF784C" w:rsidRDefault="004E184D">
            <w:pPr>
              <w:keepNext/>
              <w:keepLines/>
              <w:tabs>
                <w:tab w:val="clear" w:pos="567"/>
              </w:tabs>
              <w:spacing w:before="0" w:line="240" w:lineRule="auto"/>
              <w:ind w:hanging="100"/>
              <w:rPr>
                <w:rFonts w:eastAsia="Times New Roman" w:cs="Open Sans Light"/>
                <w:color w:val="000000"/>
                <w:sz w:val="16"/>
                <w:szCs w:val="16"/>
                <w:lang w:eastAsia="en-AU"/>
              </w:rPr>
            </w:pPr>
            <w:r w:rsidRPr="00DF784C">
              <w:rPr>
                <w:rFonts w:eastAsia="Times New Roman" w:cs="Open Sans Light"/>
                <w:color w:val="000000"/>
                <w:sz w:val="16"/>
                <w:szCs w:val="16"/>
                <w:lang w:eastAsia="en-AU"/>
              </w:rPr>
              <w:t xml:space="preserve">Proportion of state expenditure (%) </w:t>
            </w:r>
          </w:p>
        </w:tc>
        <w:tc>
          <w:tcPr>
            <w:tcW w:w="708" w:type="dxa"/>
            <w:tcBorders>
              <w:top w:val="nil"/>
              <w:left w:val="nil"/>
              <w:bottom w:val="single" w:sz="4" w:space="0" w:color="ADD6EA"/>
              <w:right w:val="nil"/>
            </w:tcBorders>
            <w:shd w:val="clear" w:color="auto" w:fill="auto"/>
            <w:vAlign w:val="center"/>
            <w:hideMark/>
          </w:tcPr>
          <w:p w14:paraId="7121DEEB"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28.2</w:t>
            </w:r>
          </w:p>
        </w:tc>
        <w:tc>
          <w:tcPr>
            <w:tcW w:w="708" w:type="dxa"/>
            <w:tcBorders>
              <w:top w:val="nil"/>
              <w:left w:val="nil"/>
              <w:bottom w:val="single" w:sz="4" w:space="0" w:color="ADD6EA"/>
              <w:right w:val="nil"/>
            </w:tcBorders>
            <w:shd w:val="clear" w:color="auto" w:fill="auto"/>
            <w:vAlign w:val="center"/>
            <w:hideMark/>
          </w:tcPr>
          <w:p w14:paraId="3B71BF01"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34.0</w:t>
            </w:r>
          </w:p>
        </w:tc>
        <w:tc>
          <w:tcPr>
            <w:tcW w:w="708" w:type="dxa"/>
            <w:tcBorders>
              <w:top w:val="nil"/>
              <w:left w:val="nil"/>
              <w:bottom w:val="single" w:sz="4" w:space="0" w:color="ADD6EA"/>
              <w:right w:val="nil"/>
            </w:tcBorders>
            <w:shd w:val="clear" w:color="auto" w:fill="auto"/>
            <w:vAlign w:val="center"/>
            <w:hideMark/>
          </w:tcPr>
          <w:p w14:paraId="15B956EB"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30.9</w:t>
            </w:r>
          </w:p>
        </w:tc>
        <w:tc>
          <w:tcPr>
            <w:tcW w:w="680" w:type="dxa"/>
            <w:tcBorders>
              <w:top w:val="nil"/>
              <w:left w:val="nil"/>
              <w:bottom w:val="single" w:sz="4" w:space="0" w:color="ADD6EA"/>
              <w:right w:val="nil"/>
            </w:tcBorders>
            <w:shd w:val="clear" w:color="auto" w:fill="auto"/>
            <w:vAlign w:val="center"/>
            <w:hideMark/>
          </w:tcPr>
          <w:p w14:paraId="024828C7"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26.2</w:t>
            </w:r>
          </w:p>
        </w:tc>
        <w:tc>
          <w:tcPr>
            <w:tcW w:w="680" w:type="dxa"/>
            <w:tcBorders>
              <w:top w:val="nil"/>
              <w:left w:val="nil"/>
              <w:bottom w:val="single" w:sz="4" w:space="0" w:color="ADD6EA"/>
              <w:right w:val="nil"/>
            </w:tcBorders>
            <w:shd w:val="clear" w:color="auto" w:fill="auto"/>
            <w:vAlign w:val="center"/>
            <w:hideMark/>
          </w:tcPr>
          <w:p w14:paraId="2550FEA3"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30.8</w:t>
            </w:r>
          </w:p>
        </w:tc>
        <w:tc>
          <w:tcPr>
            <w:tcW w:w="680" w:type="dxa"/>
            <w:tcBorders>
              <w:top w:val="nil"/>
              <w:left w:val="nil"/>
              <w:bottom w:val="single" w:sz="4" w:space="0" w:color="ADD6EA"/>
              <w:right w:val="nil"/>
            </w:tcBorders>
            <w:shd w:val="clear" w:color="auto" w:fill="auto"/>
            <w:vAlign w:val="center"/>
            <w:hideMark/>
          </w:tcPr>
          <w:p w14:paraId="2F456A5E"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35.1</w:t>
            </w:r>
          </w:p>
        </w:tc>
        <w:tc>
          <w:tcPr>
            <w:tcW w:w="680" w:type="dxa"/>
            <w:tcBorders>
              <w:top w:val="nil"/>
              <w:left w:val="nil"/>
              <w:bottom w:val="single" w:sz="4" w:space="0" w:color="ADD6EA"/>
              <w:right w:val="nil"/>
            </w:tcBorders>
            <w:shd w:val="clear" w:color="auto" w:fill="auto"/>
            <w:vAlign w:val="center"/>
            <w:hideMark/>
          </w:tcPr>
          <w:p w14:paraId="150E56A4"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30.5</w:t>
            </w:r>
          </w:p>
        </w:tc>
        <w:tc>
          <w:tcPr>
            <w:tcW w:w="680" w:type="dxa"/>
            <w:tcBorders>
              <w:top w:val="nil"/>
              <w:left w:val="nil"/>
              <w:bottom w:val="single" w:sz="4" w:space="0" w:color="ADD6EA"/>
              <w:right w:val="nil"/>
            </w:tcBorders>
            <w:shd w:val="clear" w:color="auto" w:fill="auto"/>
            <w:vAlign w:val="center"/>
            <w:hideMark/>
          </w:tcPr>
          <w:p w14:paraId="621E97C9"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27.1</w:t>
            </w:r>
          </w:p>
        </w:tc>
        <w:tc>
          <w:tcPr>
            <w:tcW w:w="708" w:type="dxa"/>
            <w:tcBorders>
              <w:top w:val="nil"/>
              <w:left w:val="nil"/>
              <w:bottom w:val="single" w:sz="4" w:space="0" w:color="ADD6EA"/>
              <w:right w:val="nil"/>
            </w:tcBorders>
            <w:shd w:val="clear" w:color="auto" w:fill="auto"/>
            <w:vAlign w:val="center"/>
            <w:hideMark/>
          </w:tcPr>
          <w:p w14:paraId="4AB1DB6D" w14:textId="77777777" w:rsidR="004E184D" w:rsidRPr="00DF784C" w:rsidRDefault="004E184D">
            <w:pPr>
              <w:keepNext/>
              <w:keepLines/>
              <w:tabs>
                <w:tab w:val="clear" w:pos="567"/>
              </w:tabs>
              <w:spacing w:before="0" w:line="240" w:lineRule="auto"/>
              <w:jc w:val="right"/>
              <w:rPr>
                <w:rFonts w:eastAsia="Times New Roman" w:cs="Open Sans Light"/>
                <w:color w:val="000000"/>
                <w:sz w:val="16"/>
                <w:szCs w:val="16"/>
                <w:lang w:eastAsia="en-AU"/>
              </w:rPr>
            </w:pPr>
            <w:r w:rsidRPr="00DF784C">
              <w:rPr>
                <w:rFonts w:eastAsia="Times New Roman" w:cs="Open Sans Light"/>
                <w:color w:val="000000"/>
                <w:sz w:val="16"/>
                <w:szCs w:val="16"/>
                <w:lang w:eastAsia="en-AU"/>
              </w:rPr>
              <w:t>30.2</w:t>
            </w:r>
          </w:p>
        </w:tc>
      </w:tr>
    </w:tbl>
    <w:p w14:paraId="23C91791" w14:textId="4FB3BBA6" w:rsidR="004E184D" w:rsidRPr="000F3FBF" w:rsidRDefault="004E184D" w:rsidP="004E184D">
      <w:pPr>
        <w:pStyle w:val="CGCTablenote"/>
        <w:rPr>
          <w:rFonts w:ascii="Work Sans" w:hAnsi="Work Sans"/>
        </w:rPr>
      </w:pPr>
      <w:r w:rsidRPr="000F3FBF">
        <w:rPr>
          <w:rFonts w:ascii="Work Sans" w:hAnsi="Work Sans"/>
        </w:rPr>
        <w:t>Source: Commission calculation, 2023 Update.</w:t>
      </w:r>
    </w:p>
    <w:p w14:paraId="7A07E7F3" w14:textId="77777777" w:rsidR="00DB3651" w:rsidRDefault="00DB3651">
      <w:pPr>
        <w:tabs>
          <w:tab w:val="clear" w:pos="567"/>
        </w:tabs>
        <w:spacing w:before="0" w:after="200" w:line="276" w:lineRule="auto"/>
        <w:rPr>
          <w:rFonts w:ascii="Work Sans" w:hAnsi="Work Sans"/>
          <w:szCs w:val="24"/>
        </w:rPr>
      </w:pPr>
      <w:r>
        <w:br w:type="page"/>
      </w:r>
    </w:p>
    <w:p w14:paraId="0FC31025" w14:textId="4C571632" w:rsidR="004E184D" w:rsidRPr="004E184D" w:rsidRDefault="004E184D" w:rsidP="004E184D">
      <w:pPr>
        <w:pStyle w:val="CGC2025ParaNumbers"/>
      </w:pPr>
      <w:r w:rsidRPr="00DF784C">
        <w:lastRenderedPageBreak/>
        <w:t xml:space="preserve">The </w:t>
      </w:r>
      <w:r w:rsidR="00FB586C">
        <w:t>h</w:t>
      </w:r>
      <w:r w:rsidRPr="00DF784C">
        <w:t xml:space="preserve">ealth category is currently assessed in 5 components. </w:t>
      </w:r>
      <w:r w:rsidR="00DF784C">
        <w:fldChar w:fldCharType="begin"/>
      </w:r>
      <w:r w:rsidR="00DF784C">
        <w:instrText xml:space="preserve"> REF _Ref138159755 \h </w:instrText>
      </w:r>
      <w:r w:rsidR="00DF784C">
        <w:fldChar w:fldCharType="separate"/>
      </w:r>
      <w:r w:rsidR="00312054">
        <w:t xml:space="preserve">Table </w:t>
      </w:r>
      <w:r w:rsidR="00312054">
        <w:rPr>
          <w:noProof/>
        </w:rPr>
        <w:t>3</w:t>
      </w:r>
      <w:r w:rsidR="00DF784C">
        <w:fldChar w:fldCharType="end"/>
      </w:r>
      <w:r w:rsidRPr="00DF784C">
        <w:t xml:space="preserve"> shows</w:t>
      </w:r>
      <w:r w:rsidRPr="004E184D">
        <w:t xml:space="preserve"> the size of each component and the factors recognised as influencing state spending for each component.</w:t>
      </w:r>
    </w:p>
    <w:p w14:paraId="76A551C0" w14:textId="3FDBE506" w:rsidR="004E184D" w:rsidRDefault="007459A4" w:rsidP="000F3FBF">
      <w:pPr>
        <w:pStyle w:val="CGC2025Caption"/>
        <w:keepNext/>
        <w:tabs>
          <w:tab w:val="left" w:pos="1134"/>
        </w:tabs>
      </w:pPr>
      <w:bookmarkStart w:id="16" w:name="_Ref138159755"/>
      <w:r>
        <w:t xml:space="preserve">Table </w:t>
      </w:r>
      <w:fldSimple w:instr=" SEQ Table \* ARABIC ">
        <w:r w:rsidR="00312054">
          <w:rPr>
            <w:noProof/>
          </w:rPr>
          <w:t>3</w:t>
        </w:r>
      </w:fldSimple>
      <w:bookmarkEnd w:id="16"/>
      <w:r w:rsidR="004E184D">
        <w:tab/>
        <w:t xml:space="preserve">Structure of the </w:t>
      </w:r>
      <w:r w:rsidR="00D309AC">
        <w:t>h</w:t>
      </w:r>
      <w:r w:rsidR="004E184D">
        <w:t>ealth assessment, 2021</w:t>
      </w:r>
      <w:r w:rsidR="000E4B37">
        <w:t>–</w:t>
      </w:r>
      <w:r w:rsidR="004E184D">
        <w:t>22</w:t>
      </w: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100"/>
        <w:gridCol w:w="285"/>
        <w:gridCol w:w="1995"/>
        <w:gridCol w:w="3135"/>
      </w:tblGrid>
      <w:tr w:rsidR="004E184D" w:rsidRPr="0053358F" w14:paraId="44D6C5DD" w14:textId="77777777">
        <w:trPr>
          <w:trHeight w:val="375"/>
        </w:trPr>
        <w:tc>
          <w:tcPr>
            <w:tcW w:w="1410" w:type="dxa"/>
            <w:tcBorders>
              <w:top w:val="nil"/>
              <w:left w:val="nil"/>
              <w:bottom w:val="single" w:sz="6" w:space="0" w:color="ADD6EA"/>
              <w:right w:val="nil"/>
            </w:tcBorders>
            <w:shd w:val="clear" w:color="auto" w:fill="006991"/>
            <w:vAlign w:val="center"/>
            <w:hideMark/>
          </w:tcPr>
          <w:p w14:paraId="124FE4AE" w14:textId="77777777" w:rsidR="004E184D" w:rsidRPr="00A319A4" w:rsidRDefault="004E184D" w:rsidP="00047216">
            <w:pPr>
              <w:keepNext/>
              <w:tabs>
                <w:tab w:val="clear" w:pos="567"/>
              </w:tabs>
              <w:spacing w:before="0" w:line="240" w:lineRule="auto"/>
              <w:textAlignment w:val="baseline"/>
              <w:rPr>
                <w:rFonts w:eastAsia="Times New Roman" w:cs="Open Sans Light"/>
                <w:b/>
                <w:sz w:val="18"/>
                <w:szCs w:val="18"/>
                <w:lang w:eastAsia="en-AU"/>
              </w:rPr>
            </w:pPr>
            <w:bookmarkStart w:id="17" w:name="_Hlk121740367"/>
            <w:r w:rsidRPr="00A319A4">
              <w:rPr>
                <w:rFonts w:eastAsia="Times New Roman" w:cs="Open Sans Light"/>
                <w:b/>
                <w:color w:val="FFFFFF"/>
                <w:sz w:val="16"/>
                <w:szCs w:val="16"/>
                <w:lang w:eastAsia="en-AU"/>
              </w:rPr>
              <w:t>Component </w:t>
            </w:r>
          </w:p>
        </w:tc>
        <w:tc>
          <w:tcPr>
            <w:tcW w:w="2100" w:type="dxa"/>
            <w:tcBorders>
              <w:top w:val="nil"/>
              <w:left w:val="nil"/>
              <w:bottom w:val="single" w:sz="6" w:space="0" w:color="ADD6EA"/>
              <w:right w:val="nil"/>
            </w:tcBorders>
            <w:shd w:val="clear" w:color="auto" w:fill="006991"/>
            <w:vAlign w:val="center"/>
            <w:hideMark/>
          </w:tcPr>
          <w:p w14:paraId="1E049AFD" w14:textId="77777777" w:rsidR="004E184D" w:rsidRPr="00A319A4" w:rsidRDefault="004E184D" w:rsidP="00047216">
            <w:pPr>
              <w:keepNext/>
              <w:tabs>
                <w:tab w:val="clear" w:pos="567"/>
              </w:tabs>
              <w:spacing w:before="0" w:line="240" w:lineRule="auto"/>
              <w:jc w:val="right"/>
              <w:textAlignment w:val="baseline"/>
              <w:rPr>
                <w:rFonts w:eastAsia="Times New Roman" w:cs="Open Sans Light"/>
                <w:b/>
                <w:sz w:val="18"/>
                <w:szCs w:val="18"/>
                <w:lang w:eastAsia="en-AU"/>
              </w:rPr>
            </w:pPr>
            <w:r w:rsidRPr="00A319A4">
              <w:rPr>
                <w:rFonts w:eastAsia="Times New Roman" w:cs="Open Sans Light"/>
                <w:b/>
                <w:color w:val="FFFFFF"/>
                <w:sz w:val="16"/>
                <w:szCs w:val="16"/>
                <w:lang w:eastAsia="en-AU"/>
              </w:rPr>
              <w:t>Component expense </w:t>
            </w:r>
          </w:p>
        </w:tc>
        <w:tc>
          <w:tcPr>
            <w:tcW w:w="285" w:type="dxa"/>
            <w:tcBorders>
              <w:top w:val="nil"/>
              <w:left w:val="nil"/>
              <w:bottom w:val="single" w:sz="6" w:space="0" w:color="ADD6EA"/>
              <w:right w:val="nil"/>
            </w:tcBorders>
            <w:shd w:val="clear" w:color="auto" w:fill="006991"/>
            <w:vAlign w:val="center"/>
            <w:hideMark/>
          </w:tcPr>
          <w:p w14:paraId="31BAA318" w14:textId="77777777" w:rsidR="004E184D" w:rsidRPr="00A319A4" w:rsidRDefault="004E184D" w:rsidP="00047216">
            <w:pPr>
              <w:keepNext/>
              <w:tabs>
                <w:tab w:val="clear" w:pos="567"/>
              </w:tabs>
              <w:spacing w:before="0" w:line="240" w:lineRule="auto"/>
              <w:jc w:val="right"/>
              <w:textAlignment w:val="baseline"/>
              <w:rPr>
                <w:rFonts w:eastAsia="Times New Roman" w:cs="Open Sans Light"/>
                <w:b/>
                <w:sz w:val="18"/>
                <w:szCs w:val="18"/>
                <w:lang w:eastAsia="en-AU"/>
              </w:rPr>
            </w:pPr>
            <w:r w:rsidRPr="00A319A4">
              <w:rPr>
                <w:rFonts w:ascii="Arial" w:eastAsia="Times New Roman" w:hAnsi="Arial" w:cs="Arial"/>
                <w:b/>
                <w:color w:val="FFFFFF"/>
                <w:sz w:val="16"/>
                <w:szCs w:val="16"/>
                <w:lang w:eastAsia="en-AU"/>
              </w:rPr>
              <w:t> </w:t>
            </w:r>
            <w:r w:rsidRPr="00A319A4">
              <w:rPr>
                <w:rFonts w:eastAsia="Times New Roman" w:cs="Open Sans Light"/>
                <w:b/>
                <w:color w:val="FFFFFF"/>
                <w:sz w:val="16"/>
                <w:szCs w:val="16"/>
                <w:lang w:eastAsia="en-AU"/>
              </w:rPr>
              <w:t> </w:t>
            </w:r>
          </w:p>
        </w:tc>
        <w:tc>
          <w:tcPr>
            <w:tcW w:w="1995" w:type="dxa"/>
            <w:tcBorders>
              <w:top w:val="nil"/>
              <w:left w:val="nil"/>
              <w:bottom w:val="single" w:sz="6" w:space="0" w:color="ADD6EA"/>
              <w:right w:val="nil"/>
            </w:tcBorders>
            <w:shd w:val="clear" w:color="auto" w:fill="006991"/>
            <w:vAlign w:val="center"/>
            <w:hideMark/>
          </w:tcPr>
          <w:p w14:paraId="600F989F" w14:textId="77777777" w:rsidR="004E184D" w:rsidRPr="00A319A4" w:rsidRDefault="004E184D" w:rsidP="00047216">
            <w:pPr>
              <w:keepNext/>
              <w:tabs>
                <w:tab w:val="clear" w:pos="567"/>
              </w:tabs>
              <w:spacing w:before="0" w:line="240" w:lineRule="auto"/>
              <w:textAlignment w:val="baseline"/>
              <w:rPr>
                <w:rFonts w:eastAsia="Times New Roman" w:cs="Open Sans Light"/>
                <w:b/>
                <w:sz w:val="18"/>
                <w:szCs w:val="18"/>
                <w:lang w:eastAsia="en-AU"/>
              </w:rPr>
            </w:pPr>
            <w:r w:rsidRPr="00A319A4">
              <w:rPr>
                <w:rFonts w:eastAsia="Times New Roman" w:cs="Open Sans Light"/>
                <w:b/>
                <w:color w:val="FFFFFF"/>
                <w:sz w:val="16"/>
                <w:szCs w:val="16"/>
                <w:lang w:eastAsia="en-AU"/>
              </w:rPr>
              <w:t>Driver </w:t>
            </w:r>
          </w:p>
        </w:tc>
        <w:tc>
          <w:tcPr>
            <w:tcW w:w="3135" w:type="dxa"/>
            <w:tcBorders>
              <w:top w:val="nil"/>
              <w:left w:val="nil"/>
              <w:bottom w:val="single" w:sz="6" w:space="0" w:color="ADD6EA"/>
              <w:right w:val="nil"/>
            </w:tcBorders>
            <w:shd w:val="clear" w:color="auto" w:fill="006991"/>
            <w:vAlign w:val="center"/>
            <w:hideMark/>
          </w:tcPr>
          <w:p w14:paraId="515F01D9" w14:textId="77777777" w:rsidR="004E184D" w:rsidRPr="00A319A4" w:rsidRDefault="004E184D" w:rsidP="00047216">
            <w:pPr>
              <w:keepNext/>
              <w:tabs>
                <w:tab w:val="clear" w:pos="567"/>
              </w:tabs>
              <w:spacing w:before="0" w:line="240" w:lineRule="auto"/>
              <w:textAlignment w:val="baseline"/>
              <w:rPr>
                <w:rFonts w:eastAsia="Times New Roman" w:cs="Open Sans Light"/>
                <w:b/>
                <w:sz w:val="18"/>
                <w:szCs w:val="18"/>
                <w:lang w:eastAsia="en-AU"/>
              </w:rPr>
            </w:pPr>
            <w:r w:rsidRPr="00A319A4">
              <w:rPr>
                <w:rFonts w:eastAsia="Times New Roman" w:cs="Open Sans Light"/>
                <w:b/>
                <w:color w:val="FFFFFF"/>
                <w:sz w:val="16"/>
                <w:szCs w:val="16"/>
                <w:lang w:eastAsia="en-AU"/>
              </w:rPr>
              <w:t>Influence measured by driver </w:t>
            </w:r>
          </w:p>
        </w:tc>
      </w:tr>
      <w:tr w:rsidR="004E184D" w:rsidRPr="0053358F" w14:paraId="53F58140" w14:textId="77777777">
        <w:trPr>
          <w:trHeight w:val="255"/>
        </w:trPr>
        <w:tc>
          <w:tcPr>
            <w:tcW w:w="1410" w:type="dxa"/>
            <w:tcBorders>
              <w:top w:val="nil"/>
              <w:left w:val="nil"/>
              <w:bottom w:val="single" w:sz="6" w:space="0" w:color="ADD6EA"/>
              <w:right w:val="nil"/>
            </w:tcBorders>
            <w:shd w:val="clear" w:color="auto" w:fill="B6D5E4"/>
            <w:vAlign w:val="center"/>
            <w:hideMark/>
          </w:tcPr>
          <w:p w14:paraId="7E717590"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r w:rsidRPr="006051E2">
              <w:rPr>
                <w:rFonts w:ascii="Arial" w:eastAsia="Times New Roman" w:hAnsi="Arial" w:cs="Arial"/>
                <w:color w:val="000000"/>
                <w:sz w:val="16"/>
                <w:szCs w:val="16"/>
                <w:lang w:eastAsia="en-AU"/>
              </w:rPr>
              <w:t> </w:t>
            </w:r>
            <w:r w:rsidRPr="006051E2">
              <w:rPr>
                <w:rFonts w:eastAsia="Times New Roman" w:cs="Open Sans Light"/>
                <w:color w:val="000000"/>
                <w:sz w:val="16"/>
                <w:szCs w:val="16"/>
                <w:lang w:eastAsia="en-AU"/>
              </w:rPr>
              <w:t> </w:t>
            </w:r>
          </w:p>
        </w:tc>
        <w:tc>
          <w:tcPr>
            <w:tcW w:w="2100" w:type="dxa"/>
            <w:tcBorders>
              <w:top w:val="nil"/>
              <w:left w:val="nil"/>
              <w:bottom w:val="single" w:sz="6" w:space="0" w:color="ADD6EA"/>
              <w:right w:val="nil"/>
            </w:tcBorders>
            <w:shd w:val="clear" w:color="auto" w:fill="B6D5E4"/>
            <w:vAlign w:val="center"/>
            <w:hideMark/>
          </w:tcPr>
          <w:p w14:paraId="61B8240D" w14:textId="77777777" w:rsidR="004E184D" w:rsidRPr="006051E2" w:rsidRDefault="004E184D" w:rsidP="00047216">
            <w:pPr>
              <w:keepNext/>
              <w:tabs>
                <w:tab w:val="clear" w:pos="567"/>
              </w:tabs>
              <w:spacing w:before="0" w:line="240" w:lineRule="auto"/>
              <w:jc w:val="center"/>
              <w:textAlignment w:val="baseline"/>
              <w:rPr>
                <w:rFonts w:eastAsia="Times New Roman" w:cs="Open Sans Light"/>
                <w:sz w:val="18"/>
                <w:szCs w:val="18"/>
                <w:lang w:eastAsia="en-AU"/>
              </w:rPr>
            </w:pPr>
            <w:r>
              <w:rPr>
                <w:rFonts w:eastAsia="Times New Roman" w:cs="Open Sans Light"/>
                <w:color w:val="000000"/>
                <w:sz w:val="16"/>
                <w:szCs w:val="16"/>
                <w:lang w:eastAsia="en-AU"/>
              </w:rPr>
              <w:t xml:space="preserve">            </w:t>
            </w:r>
            <w:r w:rsidRPr="006051E2">
              <w:rPr>
                <w:rFonts w:eastAsia="Times New Roman" w:cs="Open Sans Light"/>
                <w:color w:val="000000"/>
                <w:sz w:val="16"/>
                <w:szCs w:val="16"/>
                <w:lang w:eastAsia="en-AU"/>
              </w:rPr>
              <w:t>$m</w:t>
            </w:r>
          </w:p>
        </w:tc>
        <w:tc>
          <w:tcPr>
            <w:tcW w:w="285" w:type="dxa"/>
            <w:tcBorders>
              <w:top w:val="nil"/>
              <w:left w:val="nil"/>
              <w:bottom w:val="single" w:sz="6" w:space="0" w:color="ADD6EA"/>
              <w:right w:val="nil"/>
            </w:tcBorders>
            <w:shd w:val="clear" w:color="auto" w:fill="B6D5E4"/>
            <w:vAlign w:val="center"/>
            <w:hideMark/>
          </w:tcPr>
          <w:p w14:paraId="704BE19C"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r w:rsidRPr="006051E2">
              <w:rPr>
                <w:rFonts w:ascii="Arial" w:eastAsia="Times New Roman" w:hAnsi="Arial" w:cs="Arial"/>
                <w:color w:val="000000"/>
                <w:sz w:val="16"/>
                <w:szCs w:val="16"/>
                <w:lang w:eastAsia="en-AU"/>
              </w:rPr>
              <w:t> </w:t>
            </w:r>
            <w:r w:rsidRPr="006051E2">
              <w:rPr>
                <w:rFonts w:eastAsia="Times New Roman" w:cs="Open Sans Light"/>
                <w:color w:val="000000"/>
                <w:sz w:val="16"/>
                <w:szCs w:val="16"/>
                <w:lang w:eastAsia="en-AU"/>
              </w:rPr>
              <w:t> </w:t>
            </w:r>
          </w:p>
        </w:tc>
        <w:tc>
          <w:tcPr>
            <w:tcW w:w="1995" w:type="dxa"/>
            <w:tcBorders>
              <w:top w:val="nil"/>
              <w:left w:val="nil"/>
              <w:bottom w:val="single" w:sz="6" w:space="0" w:color="ADD6EA"/>
              <w:right w:val="nil"/>
            </w:tcBorders>
            <w:shd w:val="clear" w:color="auto" w:fill="B6D5E4"/>
            <w:vAlign w:val="center"/>
            <w:hideMark/>
          </w:tcPr>
          <w:p w14:paraId="2A1B042D"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r w:rsidRPr="006051E2">
              <w:rPr>
                <w:rFonts w:ascii="Arial" w:eastAsia="Times New Roman" w:hAnsi="Arial" w:cs="Arial"/>
                <w:color w:val="000000"/>
                <w:sz w:val="16"/>
                <w:szCs w:val="16"/>
                <w:lang w:eastAsia="en-AU"/>
              </w:rPr>
              <w:t> </w:t>
            </w:r>
            <w:r w:rsidRPr="006051E2">
              <w:rPr>
                <w:rFonts w:eastAsia="Times New Roman" w:cs="Open Sans Light"/>
                <w:color w:val="000000"/>
                <w:sz w:val="16"/>
                <w:szCs w:val="16"/>
                <w:lang w:eastAsia="en-AU"/>
              </w:rPr>
              <w:t> </w:t>
            </w:r>
          </w:p>
        </w:tc>
        <w:tc>
          <w:tcPr>
            <w:tcW w:w="3135" w:type="dxa"/>
            <w:tcBorders>
              <w:top w:val="nil"/>
              <w:left w:val="nil"/>
              <w:bottom w:val="single" w:sz="6" w:space="0" w:color="ADD6EA"/>
              <w:right w:val="nil"/>
            </w:tcBorders>
            <w:shd w:val="clear" w:color="auto" w:fill="B6D5E4"/>
            <w:vAlign w:val="center"/>
            <w:hideMark/>
          </w:tcPr>
          <w:p w14:paraId="697BF867"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r w:rsidRPr="006051E2">
              <w:rPr>
                <w:rFonts w:ascii="Arial" w:eastAsia="Times New Roman" w:hAnsi="Arial" w:cs="Arial"/>
                <w:color w:val="000000"/>
                <w:sz w:val="16"/>
                <w:szCs w:val="16"/>
                <w:lang w:eastAsia="en-AU"/>
              </w:rPr>
              <w:t> </w:t>
            </w:r>
            <w:r w:rsidRPr="006051E2">
              <w:rPr>
                <w:rFonts w:eastAsia="Times New Roman" w:cs="Open Sans Light"/>
                <w:color w:val="000000"/>
                <w:sz w:val="16"/>
                <w:szCs w:val="16"/>
                <w:lang w:eastAsia="en-AU"/>
              </w:rPr>
              <w:t> </w:t>
            </w:r>
          </w:p>
        </w:tc>
      </w:tr>
      <w:tr w:rsidR="004E184D" w:rsidRPr="0053358F" w14:paraId="38C9A7A3" w14:textId="77777777">
        <w:trPr>
          <w:trHeight w:val="580"/>
        </w:trPr>
        <w:tc>
          <w:tcPr>
            <w:tcW w:w="1410" w:type="dxa"/>
            <w:tcBorders>
              <w:top w:val="nil"/>
              <w:left w:val="nil"/>
              <w:bottom w:val="nil"/>
              <w:right w:val="nil"/>
            </w:tcBorders>
            <w:shd w:val="clear" w:color="auto" w:fill="auto"/>
            <w:hideMark/>
          </w:tcPr>
          <w:p w14:paraId="0C6C5B6E"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Admitted patients </w:t>
            </w:r>
          </w:p>
        </w:tc>
        <w:tc>
          <w:tcPr>
            <w:tcW w:w="2100" w:type="dxa"/>
            <w:tcBorders>
              <w:top w:val="nil"/>
              <w:left w:val="nil"/>
              <w:bottom w:val="nil"/>
              <w:right w:val="nil"/>
            </w:tcBorders>
            <w:shd w:val="clear" w:color="auto" w:fill="auto"/>
            <w:hideMark/>
          </w:tcPr>
          <w:p w14:paraId="33FC4302" w14:textId="77777777" w:rsidR="004E184D" w:rsidRPr="006051E2" w:rsidRDefault="004E184D" w:rsidP="00047216">
            <w:pPr>
              <w:keepNext/>
              <w:tabs>
                <w:tab w:val="clear" w:pos="567"/>
              </w:tabs>
              <w:spacing w:before="0" w:line="240" w:lineRule="auto"/>
              <w:jc w:val="right"/>
              <w:rPr>
                <w:rFonts w:cs="Open Sans Light"/>
                <w:color w:val="000000"/>
                <w:sz w:val="16"/>
                <w:szCs w:val="16"/>
              </w:rPr>
            </w:pPr>
            <w:r w:rsidRPr="006051E2">
              <w:rPr>
                <w:rFonts w:cs="Open Sans Light"/>
                <w:color w:val="000000"/>
                <w:sz w:val="16"/>
                <w:szCs w:val="16"/>
              </w:rPr>
              <w:t>60,571</w:t>
            </w:r>
            <w:r>
              <w:rPr>
                <w:rFonts w:cs="Open Sans Light"/>
                <w:color w:val="000000"/>
                <w:sz w:val="16"/>
                <w:szCs w:val="16"/>
              </w:rPr>
              <w:t xml:space="preserve"> (70%)</w:t>
            </w:r>
          </w:p>
          <w:p w14:paraId="6FA37878"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p>
        </w:tc>
        <w:tc>
          <w:tcPr>
            <w:tcW w:w="285" w:type="dxa"/>
            <w:tcBorders>
              <w:top w:val="nil"/>
              <w:left w:val="nil"/>
              <w:bottom w:val="single" w:sz="4" w:space="0" w:color="ADD6EA"/>
              <w:right w:val="nil"/>
            </w:tcBorders>
            <w:shd w:val="clear" w:color="auto" w:fill="auto"/>
            <w:vAlign w:val="bottom"/>
            <w:hideMark/>
          </w:tcPr>
          <w:p w14:paraId="6D517E24"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r w:rsidRPr="006051E2">
              <w:rPr>
                <w:rFonts w:ascii="Arial" w:eastAsia="Times New Roman" w:hAnsi="Arial" w:cs="Arial"/>
                <w:color w:val="000000"/>
                <w:sz w:val="16"/>
                <w:szCs w:val="16"/>
                <w:lang w:eastAsia="en-AU"/>
              </w:rPr>
              <w:t> </w:t>
            </w:r>
            <w:r w:rsidRPr="006051E2">
              <w:rPr>
                <w:rFonts w:eastAsia="Times New Roman" w:cs="Open Sans Light"/>
                <w:color w:val="000000"/>
                <w:sz w:val="16"/>
                <w:szCs w:val="16"/>
                <w:lang w:eastAsia="en-AU"/>
              </w:rPr>
              <w:t> </w:t>
            </w:r>
          </w:p>
        </w:tc>
        <w:tc>
          <w:tcPr>
            <w:tcW w:w="1995" w:type="dxa"/>
            <w:tcBorders>
              <w:top w:val="nil"/>
              <w:left w:val="nil"/>
              <w:bottom w:val="single" w:sz="4" w:space="0" w:color="ADD6EA"/>
              <w:right w:val="nil"/>
            </w:tcBorders>
            <w:shd w:val="clear" w:color="auto" w:fill="auto"/>
            <w:hideMark/>
          </w:tcPr>
          <w:p w14:paraId="6A61104E"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Socio-demographic composition </w:t>
            </w:r>
          </w:p>
        </w:tc>
        <w:tc>
          <w:tcPr>
            <w:tcW w:w="3135" w:type="dxa"/>
            <w:tcBorders>
              <w:top w:val="nil"/>
              <w:left w:val="nil"/>
              <w:bottom w:val="single" w:sz="4" w:space="0" w:color="ADD6EA"/>
              <w:right w:val="nil"/>
            </w:tcBorders>
            <w:shd w:val="clear" w:color="auto" w:fill="auto"/>
            <w:hideMark/>
          </w:tcPr>
          <w:p w14:paraId="28BB6976"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 xml:space="preserve">Recognises that </w:t>
            </w:r>
            <w:r>
              <w:rPr>
                <w:rFonts w:eastAsia="Times New Roman" w:cs="Open Sans Light"/>
                <w:color w:val="000000"/>
                <w:sz w:val="16"/>
                <w:szCs w:val="16"/>
                <w:lang w:eastAsia="en-AU"/>
              </w:rPr>
              <w:t xml:space="preserve">service use and cost vary by </w:t>
            </w:r>
            <w:r w:rsidRPr="006051E2">
              <w:rPr>
                <w:rFonts w:eastAsia="Times New Roman" w:cs="Open Sans Light"/>
                <w:color w:val="000000"/>
                <w:sz w:val="16"/>
                <w:szCs w:val="16"/>
                <w:lang w:eastAsia="en-AU"/>
              </w:rPr>
              <w:t>age, socio-economic status, remoteness, and Indigenous status</w:t>
            </w:r>
            <w:r w:rsidRPr="00AA7137">
              <w:rPr>
                <w:rFonts w:eastAsia="Times New Roman" w:cs="Open Sans Light"/>
                <w:color w:val="000000"/>
                <w:sz w:val="16"/>
                <w:szCs w:val="16"/>
                <w:lang w:eastAsia="en-AU"/>
              </w:rPr>
              <w:t>.</w:t>
            </w:r>
            <w:r w:rsidRPr="006051E2">
              <w:rPr>
                <w:rFonts w:eastAsia="Times New Roman" w:cs="Open Sans Light"/>
                <w:color w:val="000000"/>
                <w:sz w:val="16"/>
                <w:szCs w:val="16"/>
                <w:lang w:eastAsia="en-AU"/>
              </w:rPr>
              <w:t> </w:t>
            </w:r>
          </w:p>
        </w:tc>
      </w:tr>
      <w:tr w:rsidR="004E184D" w:rsidRPr="0053358F" w14:paraId="1E20426A" w14:textId="77777777">
        <w:trPr>
          <w:trHeight w:val="648"/>
        </w:trPr>
        <w:tc>
          <w:tcPr>
            <w:tcW w:w="1410" w:type="dxa"/>
            <w:tcBorders>
              <w:top w:val="nil"/>
              <w:left w:val="nil"/>
              <w:bottom w:val="nil"/>
              <w:right w:val="nil"/>
            </w:tcBorders>
            <w:shd w:val="clear" w:color="auto" w:fill="auto"/>
          </w:tcPr>
          <w:p w14:paraId="2B30F4E7"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p>
        </w:tc>
        <w:tc>
          <w:tcPr>
            <w:tcW w:w="2100" w:type="dxa"/>
            <w:tcBorders>
              <w:top w:val="nil"/>
              <w:left w:val="nil"/>
              <w:bottom w:val="nil"/>
              <w:right w:val="nil"/>
            </w:tcBorders>
            <w:shd w:val="clear" w:color="auto" w:fill="auto"/>
          </w:tcPr>
          <w:p w14:paraId="10300FD9"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285" w:type="dxa"/>
            <w:tcBorders>
              <w:top w:val="single" w:sz="4" w:space="0" w:color="ADD6EA"/>
              <w:left w:val="nil"/>
              <w:bottom w:val="nil"/>
              <w:right w:val="nil"/>
            </w:tcBorders>
            <w:shd w:val="clear" w:color="auto" w:fill="auto"/>
            <w:vAlign w:val="bottom"/>
          </w:tcPr>
          <w:p w14:paraId="1EDCA7B7"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4" w:space="0" w:color="ADD6EA"/>
              <w:left w:val="nil"/>
              <w:bottom w:val="nil"/>
              <w:right w:val="nil"/>
            </w:tcBorders>
            <w:shd w:val="clear" w:color="auto" w:fill="auto"/>
          </w:tcPr>
          <w:p w14:paraId="121ACD95" w14:textId="77777777" w:rsidR="004E184D" w:rsidRPr="001746FD"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1746FD">
              <w:rPr>
                <w:rFonts w:eastAsia="Times New Roman" w:cs="Open Sans Light"/>
                <w:color w:val="000000"/>
                <w:sz w:val="16"/>
                <w:szCs w:val="16"/>
                <w:lang w:eastAsia="en-AU"/>
              </w:rPr>
              <w:t>Non-</w:t>
            </w:r>
            <w:r>
              <w:rPr>
                <w:rFonts w:eastAsia="Times New Roman" w:cs="Open Sans Light"/>
                <w:color w:val="000000"/>
                <w:sz w:val="16"/>
                <w:szCs w:val="16"/>
                <w:lang w:eastAsia="en-AU"/>
              </w:rPr>
              <w:t>s</w:t>
            </w:r>
            <w:r w:rsidRPr="001746FD">
              <w:rPr>
                <w:rFonts w:eastAsia="Times New Roman" w:cs="Open Sans Light"/>
                <w:color w:val="000000"/>
                <w:sz w:val="16"/>
                <w:szCs w:val="16"/>
                <w:lang w:eastAsia="en-AU"/>
              </w:rPr>
              <w:t>tate sector</w:t>
            </w:r>
          </w:p>
        </w:tc>
        <w:tc>
          <w:tcPr>
            <w:tcW w:w="3135" w:type="dxa"/>
            <w:tcBorders>
              <w:top w:val="single" w:sz="4" w:space="0" w:color="ADD6EA"/>
              <w:left w:val="nil"/>
              <w:bottom w:val="nil"/>
              <w:right w:val="nil"/>
            </w:tcBorders>
            <w:shd w:val="clear" w:color="auto" w:fill="auto"/>
          </w:tcPr>
          <w:p w14:paraId="294D8627" w14:textId="77777777" w:rsidR="004E184D" w:rsidRPr="001746FD"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1746FD">
              <w:rPr>
                <w:rFonts w:eastAsia="Times New Roman" w:cs="Open Sans Light"/>
                <w:color w:val="000000"/>
                <w:sz w:val="16"/>
                <w:szCs w:val="16"/>
                <w:lang w:eastAsia="en-AU"/>
              </w:rPr>
              <w:t xml:space="preserve">Recognises that non-state </w:t>
            </w:r>
            <w:r>
              <w:rPr>
                <w:rFonts w:eastAsia="Times New Roman" w:cs="Open Sans Light"/>
                <w:color w:val="000000"/>
                <w:sz w:val="16"/>
                <w:szCs w:val="16"/>
                <w:lang w:eastAsia="en-AU"/>
              </w:rPr>
              <w:t xml:space="preserve">funded </w:t>
            </w:r>
            <w:r w:rsidRPr="001746FD">
              <w:rPr>
                <w:rFonts w:eastAsia="Times New Roman" w:cs="Open Sans Light"/>
                <w:color w:val="000000"/>
                <w:sz w:val="16"/>
                <w:szCs w:val="16"/>
                <w:lang w:eastAsia="en-AU"/>
              </w:rPr>
              <w:t xml:space="preserve">health services such as private </w:t>
            </w:r>
            <w:r>
              <w:rPr>
                <w:rFonts w:eastAsia="Times New Roman" w:cs="Open Sans Light"/>
                <w:color w:val="000000"/>
                <w:sz w:val="16"/>
                <w:szCs w:val="16"/>
                <w:lang w:eastAsia="en-AU"/>
              </w:rPr>
              <w:t xml:space="preserve">health insurance funded </w:t>
            </w:r>
            <w:r w:rsidRPr="001746FD">
              <w:rPr>
                <w:rFonts w:eastAsia="Times New Roman" w:cs="Open Sans Light"/>
                <w:color w:val="000000"/>
                <w:sz w:val="16"/>
                <w:szCs w:val="16"/>
                <w:lang w:eastAsia="en-AU"/>
              </w:rPr>
              <w:t>hospital</w:t>
            </w:r>
            <w:r>
              <w:rPr>
                <w:rFonts w:eastAsia="Times New Roman" w:cs="Open Sans Light"/>
                <w:color w:val="000000"/>
                <w:sz w:val="16"/>
                <w:szCs w:val="16"/>
                <w:lang w:eastAsia="en-AU"/>
              </w:rPr>
              <w:t xml:space="preserve"> services af</w:t>
            </w:r>
            <w:r w:rsidRPr="001746FD">
              <w:rPr>
                <w:rFonts w:eastAsia="Times New Roman" w:cs="Open Sans Light"/>
                <w:color w:val="000000"/>
                <w:sz w:val="16"/>
                <w:szCs w:val="16"/>
                <w:lang w:eastAsia="en-AU"/>
              </w:rPr>
              <w:t>fect state health spending.</w:t>
            </w:r>
          </w:p>
        </w:tc>
      </w:tr>
      <w:tr w:rsidR="004E184D" w:rsidRPr="0053358F" w14:paraId="7B038B6D" w14:textId="77777777">
        <w:trPr>
          <w:trHeight w:val="446"/>
        </w:trPr>
        <w:tc>
          <w:tcPr>
            <w:tcW w:w="1410" w:type="dxa"/>
            <w:tcBorders>
              <w:top w:val="nil"/>
              <w:left w:val="nil"/>
              <w:bottom w:val="nil"/>
              <w:right w:val="nil"/>
            </w:tcBorders>
            <w:shd w:val="clear" w:color="auto" w:fill="auto"/>
            <w:vAlign w:val="bottom"/>
            <w:hideMark/>
          </w:tcPr>
          <w:p w14:paraId="56A0917B"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 </w:t>
            </w:r>
          </w:p>
        </w:tc>
        <w:tc>
          <w:tcPr>
            <w:tcW w:w="2100" w:type="dxa"/>
            <w:tcBorders>
              <w:top w:val="nil"/>
              <w:left w:val="nil"/>
              <w:bottom w:val="nil"/>
              <w:right w:val="nil"/>
            </w:tcBorders>
            <w:shd w:val="clear" w:color="auto" w:fill="auto"/>
            <w:vAlign w:val="bottom"/>
            <w:hideMark/>
          </w:tcPr>
          <w:p w14:paraId="68FA05A1"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szCs w:val="20"/>
                <w:lang w:eastAsia="en-AU"/>
              </w:rPr>
              <w:t> </w:t>
            </w:r>
          </w:p>
        </w:tc>
        <w:tc>
          <w:tcPr>
            <w:tcW w:w="285" w:type="dxa"/>
            <w:tcBorders>
              <w:top w:val="single" w:sz="6" w:space="0" w:color="ADD6EA"/>
              <w:left w:val="nil"/>
              <w:bottom w:val="single" w:sz="6" w:space="0" w:color="ADD6EA"/>
              <w:right w:val="nil"/>
            </w:tcBorders>
            <w:shd w:val="clear" w:color="auto" w:fill="auto"/>
            <w:vAlign w:val="bottom"/>
            <w:hideMark/>
          </w:tcPr>
          <w:p w14:paraId="5AB6EB8C"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r w:rsidRPr="006051E2">
              <w:rPr>
                <w:rFonts w:ascii="Arial" w:eastAsia="Times New Roman" w:hAnsi="Arial" w:cs="Arial"/>
                <w:color w:val="000000"/>
                <w:sz w:val="16"/>
                <w:szCs w:val="16"/>
                <w:lang w:eastAsia="en-AU"/>
              </w:rPr>
              <w:t> </w:t>
            </w:r>
            <w:r w:rsidRPr="006051E2">
              <w:rPr>
                <w:rFonts w:eastAsia="Times New Roman" w:cs="Open Sans Light"/>
                <w:color w:val="000000"/>
                <w:sz w:val="16"/>
                <w:szCs w:val="16"/>
                <w:lang w:eastAsia="en-AU"/>
              </w:rPr>
              <w:t> </w:t>
            </w:r>
          </w:p>
        </w:tc>
        <w:tc>
          <w:tcPr>
            <w:tcW w:w="1995" w:type="dxa"/>
            <w:tcBorders>
              <w:top w:val="single" w:sz="6" w:space="0" w:color="ADD6EA"/>
              <w:left w:val="nil"/>
              <w:bottom w:val="single" w:sz="6" w:space="0" w:color="ADD6EA"/>
              <w:right w:val="nil"/>
            </w:tcBorders>
            <w:shd w:val="clear" w:color="auto" w:fill="auto"/>
            <w:hideMark/>
          </w:tcPr>
          <w:p w14:paraId="36772F94"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Wage costs </w:t>
            </w:r>
          </w:p>
        </w:tc>
        <w:tc>
          <w:tcPr>
            <w:tcW w:w="3135" w:type="dxa"/>
            <w:tcBorders>
              <w:top w:val="single" w:sz="6" w:space="0" w:color="ADD6EA"/>
              <w:left w:val="nil"/>
              <w:bottom w:val="single" w:sz="6" w:space="0" w:color="ADD6EA"/>
              <w:right w:val="nil"/>
            </w:tcBorders>
            <w:shd w:val="clear" w:color="auto" w:fill="auto"/>
            <w:hideMark/>
          </w:tcPr>
          <w:p w14:paraId="156912D1" w14:textId="31BB0243"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1C23DD92">
              <w:rPr>
                <w:rFonts w:eastAsia="Times New Roman" w:cs="Open Sans Light"/>
                <w:color w:val="000000" w:themeColor="text1"/>
                <w:sz w:val="16"/>
                <w:szCs w:val="16"/>
                <w:lang w:eastAsia="en-AU"/>
              </w:rPr>
              <w:t>Recognises that differences in wage costs between states affect state health spending</w:t>
            </w:r>
            <w:r w:rsidR="000845B9">
              <w:rPr>
                <w:rFonts w:eastAsia="Times New Roman" w:cs="Open Sans Light"/>
                <w:color w:val="000000" w:themeColor="text1"/>
                <w:sz w:val="16"/>
                <w:szCs w:val="16"/>
                <w:lang w:eastAsia="en-AU"/>
              </w:rPr>
              <w:t>.</w:t>
            </w:r>
          </w:p>
        </w:tc>
      </w:tr>
      <w:tr w:rsidR="004E184D" w:rsidRPr="0053358F" w14:paraId="7B232FD6" w14:textId="77777777">
        <w:trPr>
          <w:trHeight w:val="551"/>
        </w:trPr>
        <w:tc>
          <w:tcPr>
            <w:tcW w:w="1410" w:type="dxa"/>
            <w:tcBorders>
              <w:top w:val="single" w:sz="6" w:space="0" w:color="ADD6EA"/>
              <w:left w:val="nil"/>
              <w:bottom w:val="nil"/>
              <w:right w:val="nil"/>
            </w:tcBorders>
            <w:shd w:val="clear" w:color="auto" w:fill="auto"/>
            <w:hideMark/>
          </w:tcPr>
          <w:p w14:paraId="5208DAF1"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Emergency departments </w:t>
            </w:r>
          </w:p>
        </w:tc>
        <w:tc>
          <w:tcPr>
            <w:tcW w:w="2100" w:type="dxa"/>
            <w:tcBorders>
              <w:top w:val="single" w:sz="6" w:space="0" w:color="ADD6EA"/>
              <w:left w:val="nil"/>
              <w:bottom w:val="nil"/>
              <w:right w:val="nil"/>
            </w:tcBorders>
            <w:shd w:val="clear" w:color="auto" w:fill="auto"/>
            <w:hideMark/>
          </w:tcPr>
          <w:p w14:paraId="38C4439E" w14:textId="77777777" w:rsidR="004E184D" w:rsidRPr="006051E2" w:rsidRDefault="004E184D" w:rsidP="00047216">
            <w:pPr>
              <w:keepNext/>
              <w:tabs>
                <w:tab w:val="clear" w:pos="567"/>
              </w:tabs>
              <w:spacing w:before="0" w:line="240" w:lineRule="auto"/>
              <w:jc w:val="right"/>
              <w:rPr>
                <w:rFonts w:cs="Open Sans Light"/>
                <w:color w:val="000000"/>
                <w:sz w:val="16"/>
                <w:szCs w:val="16"/>
              </w:rPr>
            </w:pPr>
            <w:r w:rsidRPr="006051E2">
              <w:rPr>
                <w:rFonts w:cs="Open Sans Light"/>
                <w:color w:val="000000"/>
                <w:sz w:val="16"/>
                <w:szCs w:val="16"/>
              </w:rPr>
              <w:t>6,184</w:t>
            </w:r>
            <w:r>
              <w:rPr>
                <w:rFonts w:cs="Open Sans Light"/>
                <w:color w:val="000000"/>
                <w:sz w:val="16"/>
                <w:szCs w:val="16"/>
              </w:rPr>
              <w:t xml:space="preserve"> (7%)</w:t>
            </w:r>
          </w:p>
          <w:p w14:paraId="5C62C5BC"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p>
        </w:tc>
        <w:tc>
          <w:tcPr>
            <w:tcW w:w="285" w:type="dxa"/>
            <w:tcBorders>
              <w:top w:val="single" w:sz="6" w:space="0" w:color="ADD6EA"/>
              <w:left w:val="nil"/>
              <w:bottom w:val="single" w:sz="4" w:space="0" w:color="ADD6EA"/>
              <w:right w:val="nil"/>
            </w:tcBorders>
            <w:shd w:val="clear" w:color="auto" w:fill="auto"/>
            <w:vAlign w:val="bottom"/>
            <w:hideMark/>
          </w:tcPr>
          <w:p w14:paraId="5448A61F"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r w:rsidRPr="006051E2">
              <w:rPr>
                <w:rFonts w:ascii="Arial" w:eastAsia="Times New Roman" w:hAnsi="Arial" w:cs="Arial"/>
                <w:color w:val="000000"/>
                <w:sz w:val="16"/>
                <w:szCs w:val="16"/>
                <w:lang w:eastAsia="en-AU"/>
              </w:rPr>
              <w:t> </w:t>
            </w:r>
            <w:r w:rsidRPr="006051E2">
              <w:rPr>
                <w:rFonts w:eastAsia="Times New Roman" w:cs="Open Sans Light"/>
                <w:color w:val="000000"/>
                <w:sz w:val="16"/>
                <w:szCs w:val="16"/>
                <w:lang w:eastAsia="en-AU"/>
              </w:rPr>
              <w:t> </w:t>
            </w:r>
          </w:p>
        </w:tc>
        <w:tc>
          <w:tcPr>
            <w:tcW w:w="1995" w:type="dxa"/>
            <w:tcBorders>
              <w:top w:val="single" w:sz="6" w:space="0" w:color="ADD6EA"/>
              <w:left w:val="nil"/>
              <w:bottom w:val="single" w:sz="4" w:space="0" w:color="ADD6EA"/>
              <w:right w:val="nil"/>
            </w:tcBorders>
            <w:shd w:val="clear" w:color="auto" w:fill="auto"/>
            <w:hideMark/>
          </w:tcPr>
          <w:p w14:paraId="0219D187"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Socio-demographic composition </w:t>
            </w:r>
          </w:p>
        </w:tc>
        <w:tc>
          <w:tcPr>
            <w:tcW w:w="3135" w:type="dxa"/>
            <w:tcBorders>
              <w:top w:val="single" w:sz="6" w:space="0" w:color="ADD6EA"/>
              <w:left w:val="nil"/>
              <w:bottom w:val="single" w:sz="4" w:space="0" w:color="ADD6EA"/>
              <w:right w:val="nil"/>
            </w:tcBorders>
            <w:shd w:val="clear" w:color="auto" w:fill="auto"/>
            <w:hideMark/>
          </w:tcPr>
          <w:p w14:paraId="3387C87D"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1C23DD92">
              <w:rPr>
                <w:rFonts w:eastAsia="Times New Roman" w:cs="Open Sans Light"/>
                <w:color w:val="000000" w:themeColor="text1"/>
                <w:sz w:val="16"/>
                <w:szCs w:val="16"/>
                <w:lang w:eastAsia="en-AU"/>
              </w:rPr>
              <w:t>Recognises that the use and cost of services vary by age, socio-economic status, remoteness, and Indigenous status.</w:t>
            </w:r>
          </w:p>
        </w:tc>
      </w:tr>
      <w:tr w:rsidR="004E184D" w:rsidRPr="0053358F" w14:paraId="76A992DC" w14:textId="77777777">
        <w:trPr>
          <w:trHeight w:val="595"/>
        </w:trPr>
        <w:tc>
          <w:tcPr>
            <w:tcW w:w="1410" w:type="dxa"/>
            <w:tcBorders>
              <w:top w:val="nil"/>
              <w:left w:val="nil"/>
              <w:bottom w:val="nil"/>
              <w:right w:val="nil"/>
            </w:tcBorders>
            <w:shd w:val="clear" w:color="auto" w:fill="auto"/>
          </w:tcPr>
          <w:p w14:paraId="0FEF2014"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p>
        </w:tc>
        <w:tc>
          <w:tcPr>
            <w:tcW w:w="2100" w:type="dxa"/>
            <w:tcBorders>
              <w:top w:val="nil"/>
              <w:left w:val="nil"/>
              <w:bottom w:val="nil"/>
              <w:right w:val="nil"/>
            </w:tcBorders>
            <w:shd w:val="clear" w:color="auto" w:fill="auto"/>
          </w:tcPr>
          <w:p w14:paraId="63AE5224"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285" w:type="dxa"/>
            <w:tcBorders>
              <w:top w:val="single" w:sz="4" w:space="0" w:color="ADD6EA"/>
              <w:left w:val="nil"/>
              <w:bottom w:val="nil"/>
              <w:right w:val="nil"/>
            </w:tcBorders>
            <w:shd w:val="clear" w:color="auto" w:fill="auto"/>
            <w:vAlign w:val="bottom"/>
          </w:tcPr>
          <w:p w14:paraId="319215BB"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4" w:space="0" w:color="ADD6EA"/>
              <w:left w:val="nil"/>
              <w:bottom w:val="nil"/>
              <w:right w:val="nil"/>
            </w:tcBorders>
            <w:shd w:val="clear" w:color="auto" w:fill="auto"/>
          </w:tcPr>
          <w:p w14:paraId="4C587AEE"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Non-</w:t>
            </w:r>
            <w:r>
              <w:rPr>
                <w:rFonts w:eastAsia="Times New Roman" w:cs="Open Sans Light"/>
                <w:color w:val="000000"/>
                <w:sz w:val="16"/>
                <w:szCs w:val="16"/>
                <w:lang w:eastAsia="en-AU"/>
              </w:rPr>
              <w:t>s</w:t>
            </w:r>
            <w:r w:rsidRPr="006051E2">
              <w:rPr>
                <w:rFonts w:eastAsia="Times New Roman" w:cs="Open Sans Light"/>
                <w:color w:val="000000"/>
                <w:sz w:val="16"/>
                <w:szCs w:val="16"/>
                <w:lang w:eastAsia="en-AU"/>
              </w:rPr>
              <w:t>tate sector</w:t>
            </w:r>
          </w:p>
        </w:tc>
        <w:tc>
          <w:tcPr>
            <w:tcW w:w="3135" w:type="dxa"/>
            <w:tcBorders>
              <w:top w:val="single" w:sz="4" w:space="0" w:color="ADD6EA"/>
              <w:left w:val="nil"/>
              <w:bottom w:val="nil"/>
              <w:right w:val="nil"/>
            </w:tcBorders>
            <w:shd w:val="clear" w:color="auto" w:fill="auto"/>
          </w:tcPr>
          <w:p w14:paraId="7970C7B0"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Recognises that non-state health services, such as general practitioners (GPs), affect state health spending.</w:t>
            </w:r>
          </w:p>
        </w:tc>
      </w:tr>
      <w:tr w:rsidR="004E184D" w:rsidRPr="0053358F" w14:paraId="3FE9E6FE" w14:textId="77777777">
        <w:trPr>
          <w:trHeight w:val="486"/>
        </w:trPr>
        <w:tc>
          <w:tcPr>
            <w:tcW w:w="1410" w:type="dxa"/>
            <w:tcBorders>
              <w:top w:val="nil"/>
              <w:left w:val="nil"/>
              <w:bottom w:val="single" w:sz="6" w:space="0" w:color="ADD6EA"/>
              <w:right w:val="nil"/>
            </w:tcBorders>
            <w:shd w:val="clear" w:color="auto" w:fill="auto"/>
            <w:vAlign w:val="bottom"/>
            <w:hideMark/>
          </w:tcPr>
          <w:p w14:paraId="6273FFBA"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 </w:t>
            </w:r>
          </w:p>
        </w:tc>
        <w:tc>
          <w:tcPr>
            <w:tcW w:w="2100" w:type="dxa"/>
            <w:tcBorders>
              <w:top w:val="nil"/>
              <w:left w:val="nil"/>
              <w:bottom w:val="single" w:sz="6" w:space="0" w:color="ADD6EA"/>
              <w:right w:val="nil"/>
            </w:tcBorders>
            <w:shd w:val="clear" w:color="auto" w:fill="auto"/>
            <w:vAlign w:val="bottom"/>
            <w:hideMark/>
          </w:tcPr>
          <w:p w14:paraId="17265B83"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szCs w:val="20"/>
                <w:lang w:eastAsia="en-AU"/>
              </w:rPr>
              <w:t> </w:t>
            </w:r>
          </w:p>
        </w:tc>
        <w:tc>
          <w:tcPr>
            <w:tcW w:w="285" w:type="dxa"/>
            <w:tcBorders>
              <w:top w:val="single" w:sz="6" w:space="0" w:color="ADD6EA"/>
              <w:left w:val="nil"/>
              <w:bottom w:val="single" w:sz="6" w:space="0" w:color="ADD6EA"/>
              <w:right w:val="nil"/>
            </w:tcBorders>
            <w:shd w:val="clear" w:color="auto" w:fill="auto"/>
            <w:vAlign w:val="bottom"/>
            <w:hideMark/>
          </w:tcPr>
          <w:p w14:paraId="35917B5F"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r w:rsidRPr="006051E2">
              <w:rPr>
                <w:rFonts w:ascii="Arial" w:eastAsia="Times New Roman" w:hAnsi="Arial" w:cs="Arial"/>
                <w:color w:val="000000"/>
                <w:sz w:val="16"/>
                <w:szCs w:val="16"/>
                <w:lang w:eastAsia="en-AU"/>
              </w:rPr>
              <w:t> </w:t>
            </w:r>
            <w:r w:rsidRPr="006051E2">
              <w:rPr>
                <w:rFonts w:eastAsia="Times New Roman" w:cs="Open Sans Light"/>
                <w:color w:val="000000"/>
                <w:sz w:val="16"/>
                <w:szCs w:val="16"/>
                <w:lang w:eastAsia="en-AU"/>
              </w:rPr>
              <w:t> </w:t>
            </w:r>
          </w:p>
        </w:tc>
        <w:tc>
          <w:tcPr>
            <w:tcW w:w="1995" w:type="dxa"/>
            <w:tcBorders>
              <w:top w:val="single" w:sz="6" w:space="0" w:color="ADD6EA"/>
              <w:left w:val="nil"/>
              <w:bottom w:val="single" w:sz="6" w:space="0" w:color="ADD6EA"/>
              <w:right w:val="nil"/>
            </w:tcBorders>
            <w:shd w:val="clear" w:color="auto" w:fill="auto"/>
            <w:hideMark/>
          </w:tcPr>
          <w:p w14:paraId="2936A9A1"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Wage costs </w:t>
            </w:r>
          </w:p>
        </w:tc>
        <w:tc>
          <w:tcPr>
            <w:tcW w:w="3135" w:type="dxa"/>
            <w:tcBorders>
              <w:top w:val="single" w:sz="6" w:space="0" w:color="ADD6EA"/>
              <w:left w:val="nil"/>
              <w:bottom w:val="single" w:sz="6" w:space="0" w:color="ADD6EA"/>
              <w:right w:val="nil"/>
            </w:tcBorders>
            <w:shd w:val="clear" w:color="auto" w:fill="auto"/>
            <w:hideMark/>
          </w:tcPr>
          <w:p w14:paraId="31164F38" w14:textId="713B6BA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 xml:space="preserve">Recognises </w:t>
            </w:r>
            <w:r>
              <w:rPr>
                <w:rFonts w:eastAsia="Times New Roman" w:cs="Open Sans Light"/>
                <w:color w:val="000000"/>
                <w:sz w:val="16"/>
                <w:szCs w:val="16"/>
                <w:lang w:eastAsia="en-AU"/>
              </w:rPr>
              <w:t xml:space="preserve">that </w:t>
            </w:r>
            <w:r w:rsidRPr="006051E2">
              <w:rPr>
                <w:rFonts w:eastAsia="Times New Roman" w:cs="Open Sans Light"/>
                <w:color w:val="000000"/>
                <w:sz w:val="16"/>
                <w:szCs w:val="16"/>
                <w:lang w:eastAsia="en-AU"/>
              </w:rPr>
              <w:t>differences in wage costs between states</w:t>
            </w:r>
            <w:r>
              <w:rPr>
                <w:rFonts w:eastAsia="Times New Roman" w:cs="Open Sans Light"/>
                <w:color w:val="000000"/>
                <w:sz w:val="16"/>
                <w:szCs w:val="16"/>
                <w:lang w:eastAsia="en-AU"/>
              </w:rPr>
              <w:t xml:space="preserve"> affect state health spending</w:t>
            </w:r>
            <w:r w:rsidR="000845B9">
              <w:rPr>
                <w:rFonts w:eastAsia="Times New Roman" w:cs="Open Sans Light"/>
                <w:color w:val="000000"/>
                <w:sz w:val="16"/>
                <w:szCs w:val="16"/>
                <w:lang w:eastAsia="en-AU"/>
              </w:rPr>
              <w:t>.</w:t>
            </w:r>
          </w:p>
        </w:tc>
      </w:tr>
      <w:tr w:rsidR="004E184D" w:rsidRPr="0053358F" w14:paraId="462B9627" w14:textId="77777777">
        <w:trPr>
          <w:trHeight w:val="540"/>
        </w:trPr>
        <w:tc>
          <w:tcPr>
            <w:tcW w:w="1410" w:type="dxa"/>
            <w:tcBorders>
              <w:top w:val="nil"/>
              <w:left w:val="nil"/>
              <w:bottom w:val="nil"/>
              <w:right w:val="nil"/>
            </w:tcBorders>
            <w:shd w:val="clear" w:color="auto" w:fill="auto"/>
          </w:tcPr>
          <w:p w14:paraId="0B4F7B57"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Non-admitted patients</w:t>
            </w:r>
          </w:p>
        </w:tc>
        <w:tc>
          <w:tcPr>
            <w:tcW w:w="2100" w:type="dxa"/>
            <w:tcBorders>
              <w:top w:val="nil"/>
              <w:left w:val="nil"/>
              <w:bottom w:val="nil"/>
              <w:right w:val="nil"/>
            </w:tcBorders>
            <w:shd w:val="clear" w:color="auto" w:fill="auto"/>
          </w:tcPr>
          <w:p w14:paraId="033B5CA6" w14:textId="77777777" w:rsidR="004E184D" w:rsidRPr="006051E2" w:rsidRDefault="004E184D" w:rsidP="00047216">
            <w:pPr>
              <w:keepNext/>
              <w:tabs>
                <w:tab w:val="clear" w:pos="567"/>
              </w:tabs>
              <w:spacing w:before="0" w:line="240" w:lineRule="auto"/>
              <w:jc w:val="right"/>
              <w:rPr>
                <w:rFonts w:cs="Open Sans Light"/>
                <w:color w:val="000000"/>
                <w:sz w:val="16"/>
                <w:szCs w:val="16"/>
              </w:rPr>
            </w:pPr>
            <w:r w:rsidRPr="006051E2">
              <w:rPr>
                <w:rFonts w:cs="Open Sans Light"/>
                <w:color w:val="000000"/>
                <w:sz w:val="16"/>
                <w:szCs w:val="16"/>
              </w:rPr>
              <w:t>8,316</w:t>
            </w:r>
            <w:r>
              <w:rPr>
                <w:rFonts w:cs="Open Sans Light"/>
                <w:color w:val="000000"/>
                <w:sz w:val="16"/>
                <w:szCs w:val="16"/>
              </w:rPr>
              <w:t xml:space="preserve"> (10%)</w:t>
            </w:r>
          </w:p>
          <w:p w14:paraId="175E0DF2"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Cs w:val="20"/>
                <w:lang w:eastAsia="en-AU"/>
              </w:rPr>
            </w:pPr>
          </w:p>
        </w:tc>
        <w:tc>
          <w:tcPr>
            <w:tcW w:w="285" w:type="dxa"/>
            <w:tcBorders>
              <w:top w:val="single" w:sz="6" w:space="0" w:color="ADD6EA"/>
              <w:left w:val="nil"/>
              <w:bottom w:val="single" w:sz="4" w:space="0" w:color="ADD6EA"/>
              <w:right w:val="nil"/>
            </w:tcBorders>
            <w:shd w:val="clear" w:color="auto" w:fill="auto"/>
            <w:vAlign w:val="bottom"/>
          </w:tcPr>
          <w:p w14:paraId="0E49B4E4"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6" w:space="0" w:color="ADD6EA"/>
              <w:left w:val="nil"/>
              <w:bottom w:val="single" w:sz="4" w:space="0" w:color="ADD6EA"/>
              <w:right w:val="nil"/>
            </w:tcBorders>
            <w:shd w:val="clear" w:color="auto" w:fill="auto"/>
          </w:tcPr>
          <w:p w14:paraId="3CAD4D3E"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Socio-demographic composition </w:t>
            </w:r>
          </w:p>
        </w:tc>
        <w:tc>
          <w:tcPr>
            <w:tcW w:w="3135" w:type="dxa"/>
            <w:tcBorders>
              <w:top w:val="single" w:sz="6" w:space="0" w:color="ADD6EA"/>
              <w:left w:val="nil"/>
              <w:bottom w:val="single" w:sz="4" w:space="0" w:color="ADD6EA"/>
              <w:right w:val="nil"/>
            </w:tcBorders>
            <w:shd w:val="clear" w:color="auto" w:fill="auto"/>
          </w:tcPr>
          <w:p w14:paraId="5F792920" w14:textId="03735B1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 xml:space="preserve">Recognises that </w:t>
            </w:r>
            <w:r w:rsidRPr="00AA7137">
              <w:rPr>
                <w:rFonts w:eastAsia="Times New Roman" w:cs="Open Sans Light"/>
                <w:color w:val="000000"/>
                <w:sz w:val="16"/>
                <w:szCs w:val="16"/>
                <w:lang w:eastAsia="en-AU"/>
              </w:rPr>
              <w:t>the use and cost of services</w:t>
            </w:r>
            <w:r>
              <w:rPr>
                <w:rFonts w:eastAsia="Times New Roman" w:cs="Open Sans Light"/>
                <w:color w:val="000000"/>
                <w:sz w:val="16"/>
                <w:szCs w:val="16"/>
                <w:lang w:eastAsia="en-AU"/>
              </w:rPr>
              <w:t xml:space="preserve"> varies by </w:t>
            </w:r>
            <w:r w:rsidRPr="006051E2">
              <w:rPr>
                <w:rFonts w:eastAsia="Times New Roman" w:cs="Open Sans Light"/>
                <w:color w:val="000000"/>
                <w:sz w:val="16"/>
                <w:szCs w:val="16"/>
                <w:lang w:eastAsia="en-AU"/>
              </w:rPr>
              <w:t>age, socio-economic status, remoteness, and Indigenous status</w:t>
            </w:r>
            <w:r w:rsidR="000845B9">
              <w:rPr>
                <w:rFonts w:eastAsia="Times New Roman" w:cs="Open Sans Light"/>
                <w:color w:val="000000"/>
                <w:sz w:val="16"/>
                <w:szCs w:val="16"/>
                <w:lang w:eastAsia="en-AU"/>
              </w:rPr>
              <w:t>.</w:t>
            </w:r>
            <w:r w:rsidRPr="00AA7137">
              <w:rPr>
                <w:rFonts w:eastAsia="Times New Roman" w:cs="Open Sans Light"/>
                <w:color w:val="000000"/>
                <w:sz w:val="16"/>
                <w:szCs w:val="16"/>
                <w:lang w:eastAsia="en-AU"/>
              </w:rPr>
              <w:t xml:space="preserve"> </w:t>
            </w:r>
          </w:p>
        </w:tc>
      </w:tr>
      <w:tr w:rsidR="004E184D" w:rsidRPr="0053358F" w14:paraId="2B0F35D6" w14:textId="77777777">
        <w:trPr>
          <w:trHeight w:val="540"/>
        </w:trPr>
        <w:tc>
          <w:tcPr>
            <w:tcW w:w="1410" w:type="dxa"/>
            <w:tcBorders>
              <w:top w:val="nil"/>
              <w:left w:val="nil"/>
              <w:bottom w:val="nil"/>
              <w:right w:val="nil"/>
            </w:tcBorders>
            <w:shd w:val="clear" w:color="auto" w:fill="auto"/>
          </w:tcPr>
          <w:p w14:paraId="112C34BB"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p>
        </w:tc>
        <w:tc>
          <w:tcPr>
            <w:tcW w:w="2100" w:type="dxa"/>
            <w:tcBorders>
              <w:top w:val="nil"/>
              <w:left w:val="nil"/>
              <w:bottom w:val="nil"/>
              <w:right w:val="nil"/>
            </w:tcBorders>
            <w:shd w:val="clear" w:color="auto" w:fill="auto"/>
            <w:vAlign w:val="bottom"/>
          </w:tcPr>
          <w:p w14:paraId="67EFA640" w14:textId="77777777" w:rsidR="004E184D" w:rsidRPr="006051E2" w:rsidRDefault="004E184D" w:rsidP="00047216">
            <w:pPr>
              <w:keepNext/>
              <w:tabs>
                <w:tab w:val="clear" w:pos="567"/>
              </w:tabs>
              <w:spacing w:before="0" w:line="240" w:lineRule="auto"/>
              <w:textAlignment w:val="baseline"/>
              <w:rPr>
                <w:rFonts w:eastAsia="Times New Roman" w:cs="Open Sans Light"/>
                <w:szCs w:val="20"/>
                <w:lang w:eastAsia="en-AU"/>
              </w:rPr>
            </w:pPr>
          </w:p>
        </w:tc>
        <w:tc>
          <w:tcPr>
            <w:tcW w:w="285" w:type="dxa"/>
            <w:tcBorders>
              <w:top w:val="single" w:sz="4" w:space="0" w:color="ADD6EA"/>
              <w:left w:val="nil"/>
              <w:bottom w:val="single" w:sz="4" w:space="0" w:color="ADD6EA"/>
              <w:right w:val="nil"/>
            </w:tcBorders>
            <w:shd w:val="clear" w:color="auto" w:fill="auto"/>
            <w:vAlign w:val="bottom"/>
          </w:tcPr>
          <w:p w14:paraId="6FC9C78E"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4" w:space="0" w:color="ADD6EA"/>
              <w:left w:val="nil"/>
              <w:bottom w:val="single" w:sz="4" w:space="0" w:color="ADD6EA"/>
              <w:right w:val="nil"/>
            </w:tcBorders>
            <w:shd w:val="clear" w:color="auto" w:fill="auto"/>
          </w:tcPr>
          <w:p w14:paraId="2AF9786A"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Non-</w:t>
            </w:r>
            <w:r>
              <w:rPr>
                <w:rFonts w:eastAsia="Times New Roman" w:cs="Open Sans Light"/>
                <w:color w:val="000000"/>
                <w:sz w:val="16"/>
                <w:szCs w:val="16"/>
                <w:lang w:eastAsia="en-AU"/>
              </w:rPr>
              <w:t>s</w:t>
            </w:r>
            <w:r w:rsidRPr="006051E2">
              <w:rPr>
                <w:rFonts w:eastAsia="Times New Roman" w:cs="Open Sans Light"/>
                <w:color w:val="000000"/>
                <w:sz w:val="16"/>
                <w:szCs w:val="16"/>
                <w:lang w:eastAsia="en-AU"/>
              </w:rPr>
              <w:t>tate sector</w:t>
            </w:r>
          </w:p>
        </w:tc>
        <w:tc>
          <w:tcPr>
            <w:tcW w:w="3135" w:type="dxa"/>
            <w:tcBorders>
              <w:top w:val="single" w:sz="4" w:space="0" w:color="ADD6EA"/>
              <w:left w:val="nil"/>
              <w:bottom w:val="single" w:sz="4" w:space="0" w:color="ADD6EA"/>
              <w:right w:val="nil"/>
            </w:tcBorders>
            <w:shd w:val="clear" w:color="auto" w:fill="auto"/>
          </w:tcPr>
          <w:p w14:paraId="3F8D4EA7"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Recognises that non-state health services, such as specialists and private health professionals affect state health spending.</w:t>
            </w:r>
          </w:p>
        </w:tc>
      </w:tr>
      <w:tr w:rsidR="004E184D" w:rsidRPr="0053358F" w14:paraId="71A227C6" w14:textId="77777777">
        <w:trPr>
          <w:trHeight w:val="361"/>
        </w:trPr>
        <w:tc>
          <w:tcPr>
            <w:tcW w:w="1410" w:type="dxa"/>
            <w:tcBorders>
              <w:top w:val="nil"/>
              <w:left w:val="nil"/>
              <w:bottom w:val="single" w:sz="6" w:space="0" w:color="ADD6EA"/>
              <w:right w:val="nil"/>
            </w:tcBorders>
            <w:shd w:val="clear" w:color="auto" w:fill="auto"/>
          </w:tcPr>
          <w:p w14:paraId="01910C11"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p>
        </w:tc>
        <w:tc>
          <w:tcPr>
            <w:tcW w:w="2100" w:type="dxa"/>
            <w:tcBorders>
              <w:top w:val="nil"/>
              <w:left w:val="nil"/>
              <w:bottom w:val="single" w:sz="6" w:space="0" w:color="ADD6EA"/>
              <w:right w:val="nil"/>
            </w:tcBorders>
            <w:shd w:val="clear" w:color="auto" w:fill="auto"/>
            <w:vAlign w:val="bottom"/>
          </w:tcPr>
          <w:p w14:paraId="348899EE" w14:textId="77777777" w:rsidR="004E184D" w:rsidRPr="006051E2" w:rsidRDefault="004E184D" w:rsidP="00047216">
            <w:pPr>
              <w:keepNext/>
              <w:tabs>
                <w:tab w:val="clear" w:pos="567"/>
              </w:tabs>
              <w:spacing w:before="0" w:line="240" w:lineRule="auto"/>
              <w:textAlignment w:val="baseline"/>
              <w:rPr>
                <w:rFonts w:eastAsia="Times New Roman" w:cs="Open Sans Light"/>
                <w:szCs w:val="20"/>
                <w:lang w:eastAsia="en-AU"/>
              </w:rPr>
            </w:pPr>
          </w:p>
        </w:tc>
        <w:tc>
          <w:tcPr>
            <w:tcW w:w="285" w:type="dxa"/>
            <w:tcBorders>
              <w:top w:val="single" w:sz="4" w:space="0" w:color="ADD6EA"/>
              <w:left w:val="nil"/>
              <w:bottom w:val="single" w:sz="6" w:space="0" w:color="ADD6EA"/>
              <w:right w:val="nil"/>
            </w:tcBorders>
            <w:shd w:val="clear" w:color="auto" w:fill="auto"/>
            <w:vAlign w:val="bottom"/>
          </w:tcPr>
          <w:p w14:paraId="77860A50"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4" w:space="0" w:color="ADD6EA"/>
              <w:left w:val="nil"/>
              <w:bottom w:val="single" w:sz="6" w:space="0" w:color="ADD6EA"/>
              <w:right w:val="nil"/>
            </w:tcBorders>
            <w:shd w:val="clear" w:color="auto" w:fill="auto"/>
          </w:tcPr>
          <w:p w14:paraId="6C469602"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Wage costs </w:t>
            </w:r>
          </w:p>
        </w:tc>
        <w:tc>
          <w:tcPr>
            <w:tcW w:w="3135" w:type="dxa"/>
            <w:tcBorders>
              <w:top w:val="single" w:sz="4" w:space="0" w:color="ADD6EA"/>
              <w:left w:val="nil"/>
              <w:bottom w:val="single" w:sz="6" w:space="0" w:color="ADD6EA"/>
              <w:right w:val="nil"/>
            </w:tcBorders>
            <w:shd w:val="clear" w:color="auto" w:fill="auto"/>
          </w:tcPr>
          <w:p w14:paraId="6AF5C562" w14:textId="53E3CD0E"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1C23DD92">
              <w:rPr>
                <w:rFonts w:eastAsia="Times New Roman" w:cs="Open Sans Light"/>
                <w:color w:val="000000" w:themeColor="text1"/>
                <w:sz w:val="16"/>
                <w:szCs w:val="16"/>
                <w:lang w:eastAsia="en-AU"/>
              </w:rPr>
              <w:t>Recognises that differences in wage costs between states affect state health spending</w:t>
            </w:r>
            <w:r w:rsidR="00AA7586">
              <w:rPr>
                <w:rFonts w:eastAsia="Times New Roman" w:cs="Open Sans Light"/>
                <w:color w:val="000000" w:themeColor="text1"/>
                <w:sz w:val="16"/>
                <w:szCs w:val="16"/>
                <w:lang w:eastAsia="en-AU"/>
              </w:rPr>
              <w:t>.</w:t>
            </w:r>
          </w:p>
        </w:tc>
      </w:tr>
      <w:tr w:rsidR="004E184D" w:rsidRPr="0053358F" w14:paraId="7EE74E6A" w14:textId="77777777">
        <w:trPr>
          <w:trHeight w:val="540"/>
        </w:trPr>
        <w:tc>
          <w:tcPr>
            <w:tcW w:w="1410" w:type="dxa"/>
            <w:tcBorders>
              <w:top w:val="single" w:sz="6" w:space="0" w:color="ADD6EA"/>
              <w:left w:val="nil"/>
              <w:bottom w:val="nil"/>
              <w:right w:val="nil"/>
            </w:tcBorders>
            <w:shd w:val="clear" w:color="auto" w:fill="auto"/>
          </w:tcPr>
          <w:p w14:paraId="74DCDBC6"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Community and public health</w:t>
            </w:r>
          </w:p>
        </w:tc>
        <w:tc>
          <w:tcPr>
            <w:tcW w:w="2100" w:type="dxa"/>
            <w:tcBorders>
              <w:top w:val="single" w:sz="6" w:space="0" w:color="ADD6EA"/>
              <w:left w:val="nil"/>
              <w:bottom w:val="nil"/>
              <w:right w:val="nil"/>
            </w:tcBorders>
            <w:shd w:val="clear" w:color="auto" w:fill="auto"/>
          </w:tcPr>
          <w:p w14:paraId="57E83D14" w14:textId="77777777" w:rsidR="004E184D" w:rsidRPr="006051E2" w:rsidRDefault="004E184D" w:rsidP="00047216">
            <w:pPr>
              <w:keepNext/>
              <w:tabs>
                <w:tab w:val="clear" w:pos="567"/>
              </w:tabs>
              <w:spacing w:before="0" w:line="240" w:lineRule="auto"/>
              <w:jc w:val="right"/>
              <w:rPr>
                <w:rFonts w:cs="Open Sans Light"/>
                <w:color w:val="000000"/>
                <w:sz w:val="16"/>
                <w:szCs w:val="16"/>
              </w:rPr>
            </w:pPr>
            <w:r w:rsidRPr="006051E2">
              <w:rPr>
                <w:rFonts w:cs="Open Sans Light"/>
                <w:color w:val="000000"/>
                <w:sz w:val="16"/>
                <w:szCs w:val="16"/>
              </w:rPr>
              <w:t>10,900</w:t>
            </w:r>
            <w:r>
              <w:rPr>
                <w:rFonts w:cs="Open Sans Light"/>
                <w:color w:val="000000"/>
                <w:sz w:val="16"/>
                <w:szCs w:val="16"/>
              </w:rPr>
              <w:t xml:space="preserve"> (13%)</w:t>
            </w:r>
          </w:p>
          <w:p w14:paraId="037C15BD"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Cs w:val="20"/>
                <w:lang w:eastAsia="en-AU"/>
              </w:rPr>
            </w:pPr>
          </w:p>
        </w:tc>
        <w:tc>
          <w:tcPr>
            <w:tcW w:w="285" w:type="dxa"/>
            <w:tcBorders>
              <w:top w:val="single" w:sz="6" w:space="0" w:color="ADD6EA"/>
              <w:left w:val="nil"/>
              <w:bottom w:val="single" w:sz="6" w:space="0" w:color="ADD6EA"/>
              <w:right w:val="nil"/>
            </w:tcBorders>
            <w:shd w:val="clear" w:color="auto" w:fill="auto"/>
            <w:vAlign w:val="bottom"/>
          </w:tcPr>
          <w:p w14:paraId="4A5AB599"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6" w:space="0" w:color="ADD6EA"/>
              <w:left w:val="nil"/>
              <w:bottom w:val="single" w:sz="6" w:space="0" w:color="ADD6EA"/>
              <w:right w:val="nil"/>
            </w:tcBorders>
            <w:shd w:val="clear" w:color="auto" w:fill="auto"/>
          </w:tcPr>
          <w:p w14:paraId="14F5826E"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Socio-demographic composition</w:t>
            </w:r>
            <w:r>
              <w:rPr>
                <w:rFonts w:eastAsia="Times New Roman" w:cs="Open Sans Light"/>
                <w:color w:val="000000"/>
                <w:sz w:val="16"/>
                <w:szCs w:val="16"/>
                <w:lang w:eastAsia="en-AU"/>
              </w:rPr>
              <w:br/>
            </w:r>
            <w:r w:rsidRPr="006051E2">
              <w:rPr>
                <w:rFonts w:eastAsia="Times New Roman" w:cs="Open Sans Light"/>
                <w:color w:val="000000"/>
                <w:sz w:val="16"/>
                <w:szCs w:val="16"/>
                <w:lang w:eastAsia="en-AU"/>
              </w:rPr>
              <w:t> </w:t>
            </w:r>
            <w:r>
              <w:rPr>
                <w:rFonts w:eastAsia="Times New Roman" w:cs="Open Sans Light"/>
                <w:color w:val="000000"/>
                <w:sz w:val="16"/>
                <w:szCs w:val="16"/>
                <w:lang w:eastAsia="en-AU"/>
              </w:rPr>
              <w:t>(12.5% discount)</w:t>
            </w:r>
          </w:p>
        </w:tc>
        <w:tc>
          <w:tcPr>
            <w:tcW w:w="3135" w:type="dxa"/>
            <w:tcBorders>
              <w:top w:val="single" w:sz="6" w:space="0" w:color="ADD6EA"/>
              <w:left w:val="nil"/>
              <w:bottom w:val="single" w:sz="6" w:space="0" w:color="ADD6EA"/>
              <w:right w:val="nil"/>
            </w:tcBorders>
            <w:shd w:val="clear" w:color="auto" w:fill="auto"/>
          </w:tcPr>
          <w:p w14:paraId="29997341" w14:textId="40EA3E88"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 xml:space="preserve">Recognises that </w:t>
            </w:r>
            <w:r w:rsidRPr="00AA7137">
              <w:rPr>
                <w:rFonts w:eastAsia="Times New Roman" w:cs="Open Sans Light"/>
                <w:color w:val="000000"/>
                <w:sz w:val="16"/>
                <w:szCs w:val="16"/>
                <w:lang w:eastAsia="en-AU"/>
              </w:rPr>
              <w:t>the use and cost of services</w:t>
            </w:r>
            <w:r>
              <w:rPr>
                <w:rFonts w:eastAsia="Times New Roman" w:cs="Open Sans Light"/>
                <w:color w:val="000000"/>
                <w:sz w:val="16"/>
                <w:szCs w:val="16"/>
                <w:lang w:eastAsia="en-AU"/>
              </w:rPr>
              <w:t xml:space="preserve"> varies by </w:t>
            </w:r>
            <w:r w:rsidRPr="006051E2">
              <w:rPr>
                <w:rFonts w:eastAsia="Times New Roman" w:cs="Open Sans Light"/>
                <w:color w:val="000000"/>
                <w:sz w:val="16"/>
                <w:szCs w:val="16"/>
                <w:lang w:eastAsia="en-AU"/>
              </w:rPr>
              <w:t>age, socio-economic status, remoteness, and Indigenous status</w:t>
            </w:r>
            <w:r w:rsidR="00AA7586">
              <w:rPr>
                <w:rFonts w:eastAsia="Times New Roman" w:cs="Open Sans Light"/>
                <w:color w:val="000000"/>
                <w:sz w:val="16"/>
                <w:szCs w:val="16"/>
                <w:lang w:eastAsia="en-AU"/>
              </w:rPr>
              <w:t>.</w:t>
            </w:r>
            <w:r w:rsidRPr="00AA7137">
              <w:rPr>
                <w:rFonts w:eastAsia="Times New Roman" w:cs="Open Sans Light"/>
                <w:color w:val="000000"/>
                <w:sz w:val="16"/>
                <w:szCs w:val="16"/>
                <w:lang w:eastAsia="en-AU"/>
              </w:rPr>
              <w:t xml:space="preserve"> </w:t>
            </w:r>
          </w:p>
        </w:tc>
      </w:tr>
      <w:tr w:rsidR="004E184D" w:rsidRPr="0053358F" w14:paraId="2C14E085" w14:textId="77777777">
        <w:trPr>
          <w:trHeight w:val="540"/>
        </w:trPr>
        <w:tc>
          <w:tcPr>
            <w:tcW w:w="1410" w:type="dxa"/>
            <w:tcBorders>
              <w:top w:val="nil"/>
              <w:left w:val="nil"/>
              <w:bottom w:val="nil"/>
              <w:right w:val="nil"/>
            </w:tcBorders>
            <w:shd w:val="clear" w:color="auto" w:fill="auto"/>
          </w:tcPr>
          <w:p w14:paraId="0AB8357E"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p>
        </w:tc>
        <w:tc>
          <w:tcPr>
            <w:tcW w:w="2100" w:type="dxa"/>
            <w:tcBorders>
              <w:top w:val="nil"/>
              <w:left w:val="nil"/>
              <w:bottom w:val="nil"/>
              <w:right w:val="nil"/>
            </w:tcBorders>
            <w:shd w:val="clear" w:color="auto" w:fill="auto"/>
            <w:vAlign w:val="bottom"/>
          </w:tcPr>
          <w:p w14:paraId="57E8D559" w14:textId="77777777" w:rsidR="004E184D" w:rsidRPr="006051E2" w:rsidRDefault="004E184D" w:rsidP="00047216">
            <w:pPr>
              <w:keepNext/>
              <w:tabs>
                <w:tab w:val="clear" w:pos="567"/>
              </w:tabs>
              <w:spacing w:before="0" w:line="240" w:lineRule="auto"/>
              <w:textAlignment w:val="baseline"/>
              <w:rPr>
                <w:rFonts w:eastAsia="Times New Roman" w:cs="Open Sans Light"/>
                <w:szCs w:val="20"/>
                <w:lang w:eastAsia="en-AU"/>
              </w:rPr>
            </w:pPr>
          </w:p>
        </w:tc>
        <w:tc>
          <w:tcPr>
            <w:tcW w:w="285" w:type="dxa"/>
            <w:tcBorders>
              <w:top w:val="single" w:sz="6" w:space="0" w:color="ADD6EA"/>
              <w:left w:val="nil"/>
              <w:bottom w:val="single" w:sz="4" w:space="0" w:color="ADD6EA"/>
              <w:right w:val="nil"/>
            </w:tcBorders>
            <w:shd w:val="clear" w:color="auto" w:fill="auto"/>
            <w:vAlign w:val="bottom"/>
          </w:tcPr>
          <w:p w14:paraId="1A4DA87A"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6" w:space="0" w:color="ADD6EA"/>
              <w:left w:val="nil"/>
              <w:bottom w:val="single" w:sz="4" w:space="0" w:color="ADD6EA"/>
              <w:right w:val="nil"/>
            </w:tcBorders>
            <w:shd w:val="clear" w:color="auto" w:fill="auto"/>
          </w:tcPr>
          <w:p w14:paraId="30450E70"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Non-</w:t>
            </w:r>
            <w:r>
              <w:rPr>
                <w:rFonts w:eastAsia="Times New Roman" w:cs="Open Sans Light"/>
                <w:color w:val="000000"/>
                <w:sz w:val="16"/>
                <w:szCs w:val="16"/>
                <w:lang w:eastAsia="en-AU"/>
              </w:rPr>
              <w:t>s</w:t>
            </w:r>
            <w:r w:rsidRPr="006051E2">
              <w:rPr>
                <w:rFonts w:eastAsia="Times New Roman" w:cs="Open Sans Light"/>
                <w:color w:val="000000"/>
                <w:sz w:val="16"/>
                <w:szCs w:val="16"/>
                <w:lang w:eastAsia="en-AU"/>
              </w:rPr>
              <w:t>tate sector</w:t>
            </w:r>
          </w:p>
        </w:tc>
        <w:tc>
          <w:tcPr>
            <w:tcW w:w="3135" w:type="dxa"/>
            <w:tcBorders>
              <w:top w:val="single" w:sz="6" w:space="0" w:color="ADD6EA"/>
              <w:left w:val="nil"/>
              <w:bottom w:val="single" w:sz="4" w:space="0" w:color="ADD6EA"/>
              <w:right w:val="nil"/>
            </w:tcBorders>
            <w:shd w:val="clear" w:color="auto" w:fill="auto"/>
          </w:tcPr>
          <w:p w14:paraId="6447A86A"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Recognises that non-state health services, such as general practitioners (GPs), affect state health spending.</w:t>
            </w:r>
          </w:p>
        </w:tc>
      </w:tr>
      <w:tr w:rsidR="004E184D" w:rsidRPr="0053358F" w14:paraId="0E19BF04" w14:textId="77777777">
        <w:trPr>
          <w:trHeight w:val="540"/>
        </w:trPr>
        <w:tc>
          <w:tcPr>
            <w:tcW w:w="1410" w:type="dxa"/>
            <w:tcBorders>
              <w:top w:val="nil"/>
              <w:left w:val="nil"/>
              <w:bottom w:val="nil"/>
              <w:right w:val="nil"/>
            </w:tcBorders>
            <w:shd w:val="clear" w:color="auto" w:fill="auto"/>
          </w:tcPr>
          <w:p w14:paraId="37F62B61"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p>
        </w:tc>
        <w:tc>
          <w:tcPr>
            <w:tcW w:w="2100" w:type="dxa"/>
            <w:tcBorders>
              <w:top w:val="nil"/>
              <w:left w:val="nil"/>
              <w:bottom w:val="nil"/>
              <w:right w:val="nil"/>
            </w:tcBorders>
            <w:shd w:val="clear" w:color="auto" w:fill="auto"/>
            <w:vAlign w:val="bottom"/>
          </w:tcPr>
          <w:p w14:paraId="79EAF2A4" w14:textId="77777777" w:rsidR="004E184D" w:rsidRPr="006051E2" w:rsidRDefault="004E184D" w:rsidP="00047216">
            <w:pPr>
              <w:keepNext/>
              <w:tabs>
                <w:tab w:val="clear" w:pos="567"/>
              </w:tabs>
              <w:spacing w:before="0" w:line="240" w:lineRule="auto"/>
              <w:textAlignment w:val="baseline"/>
              <w:rPr>
                <w:rFonts w:eastAsia="Times New Roman" w:cs="Open Sans Light"/>
                <w:szCs w:val="20"/>
                <w:lang w:eastAsia="en-AU"/>
              </w:rPr>
            </w:pPr>
          </w:p>
        </w:tc>
        <w:tc>
          <w:tcPr>
            <w:tcW w:w="285" w:type="dxa"/>
            <w:tcBorders>
              <w:top w:val="single" w:sz="4" w:space="0" w:color="ADD6EA"/>
              <w:left w:val="nil"/>
              <w:bottom w:val="single" w:sz="4" w:space="0" w:color="ADD6EA"/>
              <w:right w:val="nil"/>
            </w:tcBorders>
            <w:shd w:val="clear" w:color="auto" w:fill="auto"/>
            <w:vAlign w:val="bottom"/>
          </w:tcPr>
          <w:p w14:paraId="456B6594"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4" w:space="0" w:color="ADD6EA"/>
              <w:left w:val="nil"/>
              <w:bottom w:val="single" w:sz="4" w:space="0" w:color="ADD6EA"/>
              <w:right w:val="nil"/>
            </w:tcBorders>
            <w:shd w:val="clear" w:color="auto" w:fill="auto"/>
          </w:tcPr>
          <w:p w14:paraId="4424BD1A"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Pr>
                <w:rFonts w:eastAsia="Times New Roman" w:cs="Open Sans Light"/>
                <w:color w:val="000000"/>
                <w:sz w:val="16"/>
                <w:szCs w:val="16"/>
                <w:lang w:eastAsia="en-AU"/>
              </w:rPr>
              <w:t>Commonwealth direct</w:t>
            </w:r>
            <w:r w:rsidRPr="006051E2">
              <w:rPr>
                <w:rFonts w:eastAsia="Times New Roman" w:cs="Open Sans Light"/>
                <w:color w:val="000000"/>
                <w:sz w:val="16"/>
                <w:szCs w:val="16"/>
                <w:lang w:eastAsia="en-AU"/>
              </w:rPr>
              <w:t xml:space="preserve"> grants adjustments</w:t>
            </w:r>
          </w:p>
        </w:tc>
        <w:tc>
          <w:tcPr>
            <w:tcW w:w="3135" w:type="dxa"/>
            <w:tcBorders>
              <w:top w:val="single" w:sz="4" w:space="0" w:color="ADD6EA"/>
              <w:left w:val="nil"/>
              <w:bottom w:val="single" w:sz="4" w:space="0" w:color="ADD6EA"/>
              <w:right w:val="nil"/>
            </w:tcBorders>
            <w:shd w:val="clear" w:color="auto" w:fill="auto"/>
          </w:tcPr>
          <w:p w14:paraId="50775C38" w14:textId="13460869"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 xml:space="preserve">Recognises the impact of Commonwealth grants to </w:t>
            </w:r>
            <w:r>
              <w:rPr>
                <w:rFonts w:eastAsia="Times New Roman" w:cs="Open Sans Light"/>
                <w:color w:val="000000"/>
                <w:sz w:val="16"/>
                <w:szCs w:val="16"/>
                <w:lang w:eastAsia="en-AU"/>
              </w:rPr>
              <w:t>Aboriginal C</w:t>
            </w:r>
            <w:r w:rsidRPr="006051E2">
              <w:rPr>
                <w:rFonts w:eastAsia="Times New Roman" w:cs="Open Sans Light"/>
                <w:color w:val="000000"/>
                <w:sz w:val="16"/>
                <w:szCs w:val="16"/>
                <w:lang w:eastAsia="en-AU"/>
              </w:rPr>
              <w:t xml:space="preserve">ommunity </w:t>
            </w:r>
            <w:r>
              <w:rPr>
                <w:rFonts w:eastAsia="Times New Roman" w:cs="Open Sans Light"/>
                <w:color w:val="000000"/>
                <w:sz w:val="16"/>
                <w:szCs w:val="16"/>
                <w:lang w:eastAsia="en-AU"/>
              </w:rPr>
              <w:t>Controlled H</w:t>
            </w:r>
            <w:r w:rsidRPr="006051E2">
              <w:rPr>
                <w:rFonts w:eastAsia="Times New Roman" w:cs="Open Sans Light"/>
                <w:color w:val="000000"/>
                <w:sz w:val="16"/>
                <w:szCs w:val="16"/>
                <w:lang w:eastAsia="en-AU"/>
              </w:rPr>
              <w:t xml:space="preserve">ealth </w:t>
            </w:r>
            <w:r>
              <w:rPr>
                <w:rFonts w:eastAsia="Times New Roman" w:cs="Open Sans Light"/>
                <w:color w:val="000000"/>
                <w:sz w:val="16"/>
                <w:szCs w:val="16"/>
                <w:lang w:eastAsia="en-AU"/>
              </w:rPr>
              <w:t>O</w:t>
            </w:r>
            <w:r w:rsidRPr="006051E2">
              <w:rPr>
                <w:rFonts w:eastAsia="Times New Roman" w:cs="Open Sans Light"/>
                <w:color w:val="000000"/>
                <w:sz w:val="16"/>
                <w:szCs w:val="16"/>
                <w:lang w:eastAsia="en-AU"/>
              </w:rPr>
              <w:t>rganisations</w:t>
            </w:r>
            <w:r w:rsidR="00AA7586">
              <w:rPr>
                <w:rFonts w:eastAsia="Times New Roman" w:cs="Open Sans Light"/>
                <w:color w:val="000000"/>
                <w:sz w:val="16"/>
                <w:szCs w:val="16"/>
                <w:lang w:eastAsia="en-AU"/>
              </w:rPr>
              <w:t>.</w:t>
            </w:r>
          </w:p>
        </w:tc>
      </w:tr>
      <w:tr w:rsidR="004E184D" w:rsidRPr="0053358F" w14:paraId="4A1B55B5" w14:textId="77777777">
        <w:trPr>
          <w:trHeight w:val="338"/>
        </w:trPr>
        <w:tc>
          <w:tcPr>
            <w:tcW w:w="1410" w:type="dxa"/>
            <w:tcBorders>
              <w:top w:val="nil"/>
              <w:left w:val="nil"/>
              <w:bottom w:val="nil"/>
              <w:right w:val="nil"/>
            </w:tcBorders>
            <w:shd w:val="clear" w:color="auto" w:fill="auto"/>
          </w:tcPr>
          <w:p w14:paraId="0CC1BACC"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p>
        </w:tc>
        <w:tc>
          <w:tcPr>
            <w:tcW w:w="2100" w:type="dxa"/>
            <w:tcBorders>
              <w:top w:val="nil"/>
              <w:left w:val="nil"/>
              <w:bottom w:val="nil"/>
              <w:right w:val="nil"/>
            </w:tcBorders>
            <w:shd w:val="clear" w:color="auto" w:fill="auto"/>
            <w:vAlign w:val="bottom"/>
          </w:tcPr>
          <w:p w14:paraId="7F27DC61" w14:textId="77777777" w:rsidR="004E184D" w:rsidRPr="006051E2" w:rsidRDefault="004E184D" w:rsidP="00047216">
            <w:pPr>
              <w:keepNext/>
              <w:tabs>
                <w:tab w:val="clear" w:pos="567"/>
              </w:tabs>
              <w:spacing w:before="0" w:line="240" w:lineRule="auto"/>
              <w:textAlignment w:val="baseline"/>
              <w:rPr>
                <w:rFonts w:eastAsia="Times New Roman" w:cs="Open Sans Light"/>
                <w:szCs w:val="20"/>
                <w:lang w:eastAsia="en-AU"/>
              </w:rPr>
            </w:pPr>
          </w:p>
        </w:tc>
        <w:tc>
          <w:tcPr>
            <w:tcW w:w="285" w:type="dxa"/>
            <w:tcBorders>
              <w:top w:val="single" w:sz="4" w:space="0" w:color="ADD6EA"/>
              <w:left w:val="nil"/>
              <w:bottom w:val="single" w:sz="4" w:space="0" w:color="ADD6EA"/>
              <w:right w:val="nil"/>
            </w:tcBorders>
            <w:shd w:val="clear" w:color="auto" w:fill="auto"/>
            <w:vAlign w:val="bottom"/>
          </w:tcPr>
          <w:p w14:paraId="373E5EE3"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4" w:space="0" w:color="ADD6EA"/>
              <w:left w:val="nil"/>
              <w:bottom w:val="single" w:sz="4" w:space="0" w:color="ADD6EA"/>
              <w:right w:val="nil"/>
            </w:tcBorders>
            <w:shd w:val="clear" w:color="auto" w:fill="auto"/>
          </w:tcPr>
          <w:p w14:paraId="6ECB08CC"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Cross-border</w:t>
            </w:r>
          </w:p>
        </w:tc>
        <w:tc>
          <w:tcPr>
            <w:tcW w:w="3135" w:type="dxa"/>
            <w:tcBorders>
              <w:top w:val="single" w:sz="4" w:space="0" w:color="ADD6EA"/>
              <w:left w:val="nil"/>
              <w:bottom w:val="single" w:sz="4" w:space="0" w:color="ADD6EA"/>
              <w:right w:val="nil"/>
            </w:tcBorders>
            <w:shd w:val="clear" w:color="auto" w:fill="auto"/>
          </w:tcPr>
          <w:p w14:paraId="7E1D6E3F" w14:textId="50C733EE"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1C23DD92">
              <w:rPr>
                <w:rFonts w:eastAsia="Times New Roman" w:cs="Open Sans Light"/>
                <w:color w:val="000000" w:themeColor="text1"/>
                <w:sz w:val="16"/>
                <w:szCs w:val="16"/>
                <w:lang w:eastAsia="en-AU"/>
              </w:rPr>
              <w:t>Recognises the net cost that the ACT incurs in providing services to NSW residents</w:t>
            </w:r>
            <w:r w:rsidR="00AA7586">
              <w:rPr>
                <w:rFonts w:eastAsia="Times New Roman" w:cs="Open Sans Light"/>
                <w:color w:val="000000" w:themeColor="text1"/>
                <w:sz w:val="16"/>
                <w:szCs w:val="16"/>
                <w:lang w:eastAsia="en-AU"/>
              </w:rPr>
              <w:t>.</w:t>
            </w:r>
          </w:p>
        </w:tc>
      </w:tr>
      <w:tr w:rsidR="004E184D" w:rsidRPr="0053358F" w14:paraId="4CCDE890" w14:textId="77777777">
        <w:trPr>
          <w:trHeight w:val="445"/>
        </w:trPr>
        <w:tc>
          <w:tcPr>
            <w:tcW w:w="1410" w:type="dxa"/>
            <w:tcBorders>
              <w:top w:val="nil"/>
              <w:left w:val="nil"/>
              <w:bottom w:val="single" w:sz="4" w:space="0" w:color="ADD6EA"/>
              <w:right w:val="nil"/>
            </w:tcBorders>
            <w:shd w:val="clear" w:color="auto" w:fill="auto"/>
          </w:tcPr>
          <w:p w14:paraId="15B3CD1C"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p>
        </w:tc>
        <w:tc>
          <w:tcPr>
            <w:tcW w:w="2100" w:type="dxa"/>
            <w:tcBorders>
              <w:top w:val="nil"/>
              <w:left w:val="nil"/>
              <w:bottom w:val="single" w:sz="4" w:space="0" w:color="ADD6EA"/>
              <w:right w:val="nil"/>
            </w:tcBorders>
            <w:shd w:val="clear" w:color="auto" w:fill="auto"/>
            <w:vAlign w:val="bottom"/>
          </w:tcPr>
          <w:p w14:paraId="2DD0622C" w14:textId="77777777" w:rsidR="004E184D" w:rsidRPr="006051E2" w:rsidRDefault="004E184D" w:rsidP="00047216">
            <w:pPr>
              <w:keepNext/>
              <w:tabs>
                <w:tab w:val="clear" w:pos="567"/>
              </w:tabs>
              <w:spacing w:before="0" w:line="240" w:lineRule="auto"/>
              <w:textAlignment w:val="baseline"/>
              <w:rPr>
                <w:rFonts w:eastAsia="Times New Roman" w:cs="Open Sans Light"/>
                <w:szCs w:val="20"/>
                <w:lang w:eastAsia="en-AU"/>
              </w:rPr>
            </w:pPr>
          </w:p>
        </w:tc>
        <w:tc>
          <w:tcPr>
            <w:tcW w:w="285" w:type="dxa"/>
            <w:tcBorders>
              <w:top w:val="single" w:sz="4" w:space="0" w:color="ADD6EA"/>
              <w:left w:val="nil"/>
              <w:bottom w:val="single" w:sz="4" w:space="0" w:color="ADD6EA"/>
              <w:right w:val="nil"/>
            </w:tcBorders>
            <w:shd w:val="clear" w:color="auto" w:fill="auto"/>
            <w:vAlign w:val="bottom"/>
          </w:tcPr>
          <w:p w14:paraId="2E52F1E6"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4" w:space="0" w:color="ADD6EA"/>
              <w:left w:val="nil"/>
              <w:bottom w:val="single" w:sz="4" w:space="0" w:color="ADD6EA"/>
              <w:right w:val="nil"/>
            </w:tcBorders>
            <w:shd w:val="clear" w:color="auto" w:fill="auto"/>
          </w:tcPr>
          <w:p w14:paraId="3F16DC12"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Wage costs </w:t>
            </w:r>
          </w:p>
        </w:tc>
        <w:tc>
          <w:tcPr>
            <w:tcW w:w="3135" w:type="dxa"/>
            <w:tcBorders>
              <w:top w:val="single" w:sz="4" w:space="0" w:color="ADD6EA"/>
              <w:left w:val="nil"/>
              <w:bottom w:val="single" w:sz="4" w:space="0" w:color="ADD6EA"/>
              <w:right w:val="nil"/>
            </w:tcBorders>
            <w:shd w:val="clear" w:color="auto" w:fill="auto"/>
          </w:tcPr>
          <w:p w14:paraId="6B057E5F" w14:textId="7A3F8BB0"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1C23DD92">
              <w:rPr>
                <w:rFonts w:eastAsia="Times New Roman" w:cs="Open Sans Light"/>
                <w:color w:val="000000" w:themeColor="text1"/>
                <w:sz w:val="16"/>
                <w:szCs w:val="16"/>
                <w:lang w:eastAsia="en-AU"/>
              </w:rPr>
              <w:t>Recognises that differences in wage costs between states affect state health spending</w:t>
            </w:r>
            <w:r w:rsidR="00AA7586">
              <w:rPr>
                <w:rFonts w:eastAsia="Times New Roman" w:cs="Open Sans Light"/>
                <w:color w:val="000000" w:themeColor="text1"/>
                <w:sz w:val="16"/>
                <w:szCs w:val="16"/>
                <w:lang w:eastAsia="en-AU"/>
              </w:rPr>
              <w:t>.</w:t>
            </w:r>
          </w:p>
        </w:tc>
      </w:tr>
      <w:tr w:rsidR="004E184D" w:rsidRPr="0053358F" w14:paraId="778A5BA7" w14:textId="77777777">
        <w:trPr>
          <w:trHeight w:val="467"/>
        </w:trPr>
        <w:tc>
          <w:tcPr>
            <w:tcW w:w="1410" w:type="dxa"/>
            <w:tcBorders>
              <w:top w:val="single" w:sz="4" w:space="0" w:color="ADD6EA"/>
              <w:left w:val="nil"/>
              <w:bottom w:val="nil"/>
              <w:right w:val="nil"/>
            </w:tcBorders>
            <w:shd w:val="clear" w:color="auto" w:fill="auto"/>
          </w:tcPr>
          <w:p w14:paraId="125FC571"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Non-hospital patient transport </w:t>
            </w:r>
          </w:p>
        </w:tc>
        <w:tc>
          <w:tcPr>
            <w:tcW w:w="2100" w:type="dxa"/>
            <w:tcBorders>
              <w:top w:val="single" w:sz="4" w:space="0" w:color="ADD6EA"/>
              <w:left w:val="nil"/>
              <w:bottom w:val="nil"/>
              <w:right w:val="nil"/>
            </w:tcBorders>
            <w:shd w:val="clear" w:color="auto" w:fill="auto"/>
          </w:tcPr>
          <w:p w14:paraId="7F262D74" w14:textId="77777777" w:rsidR="004E184D" w:rsidRPr="006051E2" w:rsidRDefault="004E184D" w:rsidP="00047216">
            <w:pPr>
              <w:keepNext/>
              <w:tabs>
                <w:tab w:val="clear" w:pos="567"/>
              </w:tabs>
              <w:spacing w:before="0" w:line="240" w:lineRule="auto"/>
              <w:jc w:val="right"/>
              <w:rPr>
                <w:rFonts w:cs="Open Sans Light"/>
                <w:color w:val="000000"/>
                <w:sz w:val="16"/>
                <w:szCs w:val="16"/>
              </w:rPr>
            </w:pPr>
            <w:r w:rsidRPr="006051E2">
              <w:rPr>
                <w:rFonts w:cs="Open Sans Light"/>
                <w:color w:val="000000"/>
                <w:sz w:val="16"/>
                <w:szCs w:val="16"/>
              </w:rPr>
              <w:t>858</w:t>
            </w:r>
            <w:r>
              <w:rPr>
                <w:rFonts w:cs="Open Sans Light"/>
                <w:color w:val="000000"/>
                <w:sz w:val="16"/>
                <w:szCs w:val="16"/>
              </w:rPr>
              <w:t xml:space="preserve"> (1%)</w:t>
            </w:r>
          </w:p>
          <w:p w14:paraId="76AABE30"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Cs w:val="20"/>
                <w:highlight w:val="yellow"/>
                <w:lang w:eastAsia="en-AU"/>
              </w:rPr>
            </w:pPr>
          </w:p>
        </w:tc>
        <w:tc>
          <w:tcPr>
            <w:tcW w:w="285" w:type="dxa"/>
            <w:tcBorders>
              <w:top w:val="single" w:sz="4" w:space="0" w:color="ADD6EA"/>
              <w:left w:val="nil"/>
              <w:bottom w:val="single" w:sz="4" w:space="0" w:color="ADD6EA"/>
              <w:right w:val="nil"/>
            </w:tcBorders>
            <w:shd w:val="clear" w:color="auto" w:fill="auto"/>
            <w:vAlign w:val="bottom"/>
          </w:tcPr>
          <w:p w14:paraId="0F4F2BCE" w14:textId="77777777" w:rsidR="004E184D" w:rsidRPr="006051E2" w:rsidRDefault="004E184D" w:rsidP="00047216">
            <w:pPr>
              <w:keepNext/>
              <w:tabs>
                <w:tab w:val="clear" w:pos="567"/>
              </w:tabs>
              <w:spacing w:before="0" w:line="240" w:lineRule="auto"/>
              <w:jc w:val="right"/>
              <w:textAlignment w:val="baseline"/>
              <w:rPr>
                <w:rFonts w:eastAsia="Times New Roman" w:cs="Open Sans Light"/>
                <w:color w:val="000000"/>
                <w:sz w:val="16"/>
                <w:szCs w:val="16"/>
                <w:lang w:eastAsia="en-AU"/>
              </w:rPr>
            </w:pPr>
          </w:p>
        </w:tc>
        <w:tc>
          <w:tcPr>
            <w:tcW w:w="1995" w:type="dxa"/>
            <w:tcBorders>
              <w:top w:val="single" w:sz="4" w:space="0" w:color="ADD6EA"/>
              <w:left w:val="nil"/>
              <w:bottom w:val="single" w:sz="4" w:space="0" w:color="ADD6EA"/>
              <w:right w:val="nil"/>
            </w:tcBorders>
            <w:shd w:val="clear" w:color="auto" w:fill="auto"/>
          </w:tcPr>
          <w:p w14:paraId="6B5034C2" w14:textId="77777777"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Socio-demographic composition </w:t>
            </w:r>
          </w:p>
        </w:tc>
        <w:tc>
          <w:tcPr>
            <w:tcW w:w="3135" w:type="dxa"/>
            <w:tcBorders>
              <w:top w:val="single" w:sz="4" w:space="0" w:color="ADD6EA"/>
              <w:left w:val="nil"/>
              <w:bottom w:val="single" w:sz="4" w:space="0" w:color="ADD6EA"/>
              <w:right w:val="nil"/>
            </w:tcBorders>
            <w:shd w:val="clear" w:color="auto" w:fill="auto"/>
          </w:tcPr>
          <w:p w14:paraId="7F04D5C8" w14:textId="4B9A4DAA" w:rsidR="004E184D" w:rsidRPr="006051E2" w:rsidRDefault="004E184D" w:rsidP="00047216">
            <w:pPr>
              <w:keepNext/>
              <w:tabs>
                <w:tab w:val="clear" w:pos="567"/>
              </w:tabs>
              <w:spacing w:before="0" w:line="240" w:lineRule="auto"/>
              <w:textAlignment w:val="baseline"/>
              <w:rPr>
                <w:rFonts w:eastAsia="Times New Roman" w:cs="Open Sans Light"/>
                <w:color w:val="000000"/>
                <w:sz w:val="16"/>
                <w:szCs w:val="16"/>
                <w:lang w:eastAsia="en-AU"/>
              </w:rPr>
            </w:pPr>
            <w:r w:rsidRPr="006051E2">
              <w:rPr>
                <w:rFonts w:eastAsia="Times New Roman" w:cs="Open Sans Light"/>
                <w:color w:val="000000"/>
                <w:sz w:val="16"/>
                <w:szCs w:val="16"/>
                <w:lang w:eastAsia="en-AU"/>
              </w:rPr>
              <w:t xml:space="preserve">Recognises that </w:t>
            </w:r>
            <w:r w:rsidRPr="00AA7137">
              <w:rPr>
                <w:rFonts w:eastAsia="Times New Roman" w:cs="Open Sans Light"/>
                <w:color w:val="000000"/>
                <w:sz w:val="16"/>
                <w:szCs w:val="16"/>
                <w:lang w:eastAsia="en-AU"/>
              </w:rPr>
              <w:t>the use and cost of services</w:t>
            </w:r>
            <w:r>
              <w:rPr>
                <w:rFonts w:eastAsia="Times New Roman" w:cs="Open Sans Light"/>
                <w:color w:val="000000"/>
                <w:sz w:val="16"/>
                <w:szCs w:val="16"/>
                <w:lang w:eastAsia="en-AU"/>
              </w:rPr>
              <w:t xml:space="preserve"> varies by </w:t>
            </w:r>
            <w:r w:rsidRPr="006051E2">
              <w:rPr>
                <w:rFonts w:eastAsia="Times New Roman" w:cs="Open Sans Light"/>
                <w:color w:val="000000"/>
                <w:sz w:val="16"/>
                <w:szCs w:val="16"/>
                <w:lang w:eastAsia="en-AU"/>
              </w:rPr>
              <w:t>remoteness</w:t>
            </w:r>
            <w:r>
              <w:rPr>
                <w:rFonts w:eastAsia="Times New Roman" w:cs="Open Sans Light"/>
                <w:color w:val="000000"/>
                <w:sz w:val="16"/>
                <w:szCs w:val="16"/>
                <w:lang w:eastAsia="en-AU"/>
              </w:rPr>
              <w:t xml:space="preserve">. </w:t>
            </w:r>
          </w:p>
        </w:tc>
      </w:tr>
      <w:tr w:rsidR="004E184D" w:rsidRPr="0053358F" w14:paraId="199DACB7" w14:textId="77777777">
        <w:trPr>
          <w:trHeight w:val="315"/>
        </w:trPr>
        <w:tc>
          <w:tcPr>
            <w:tcW w:w="1410" w:type="dxa"/>
            <w:tcBorders>
              <w:top w:val="nil"/>
              <w:left w:val="nil"/>
              <w:bottom w:val="single" w:sz="6" w:space="0" w:color="ADD6EA"/>
              <w:right w:val="nil"/>
            </w:tcBorders>
            <w:shd w:val="clear" w:color="auto" w:fill="auto"/>
          </w:tcPr>
          <w:p w14:paraId="11EB1B91"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p>
        </w:tc>
        <w:tc>
          <w:tcPr>
            <w:tcW w:w="2100" w:type="dxa"/>
            <w:tcBorders>
              <w:top w:val="nil"/>
              <w:left w:val="nil"/>
              <w:bottom w:val="single" w:sz="6" w:space="0" w:color="ADD6EA"/>
              <w:right w:val="nil"/>
            </w:tcBorders>
            <w:shd w:val="clear" w:color="auto" w:fill="auto"/>
          </w:tcPr>
          <w:p w14:paraId="038D53EF"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p>
        </w:tc>
        <w:tc>
          <w:tcPr>
            <w:tcW w:w="285" w:type="dxa"/>
            <w:tcBorders>
              <w:top w:val="single" w:sz="4" w:space="0" w:color="ADD6EA"/>
              <w:left w:val="nil"/>
              <w:bottom w:val="single" w:sz="6" w:space="0" w:color="ADD6EA"/>
              <w:right w:val="nil"/>
            </w:tcBorders>
            <w:shd w:val="clear" w:color="auto" w:fill="auto"/>
            <w:vAlign w:val="bottom"/>
            <w:hideMark/>
          </w:tcPr>
          <w:p w14:paraId="5FD9AB86" w14:textId="77777777" w:rsidR="004E184D" w:rsidRPr="006051E2" w:rsidRDefault="004E184D" w:rsidP="00047216">
            <w:pPr>
              <w:keepNext/>
              <w:tabs>
                <w:tab w:val="clear" w:pos="567"/>
              </w:tabs>
              <w:spacing w:before="0" w:line="240" w:lineRule="auto"/>
              <w:jc w:val="right"/>
              <w:textAlignment w:val="baseline"/>
              <w:rPr>
                <w:rFonts w:eastAsia="Times New Roman" w:cs="Open Sans Light"/>
                <w:sz w:val="18"/>
                <w:szCs w:val="18"/>
                <w:lang w:eastAsia="en-AU"/>
              </w:rPr>
            </w:pPr>
            <w:r w:rsidRPr="006051E2">
              <w:rPr>
                <w:rFonts w:ascii="Arial" w:eastAsia="Times New Roman" w:hAnsi="Arial" w:cs="Arial"/>
                <w:color w:val="000000"/>
                <w:sz w:val="16"/>
                <w:szCs w:val="16"/>
                <w:lang w:eastAsia="en-AU"/>
              </w:rPr>
              <w:t> </w:t>
            </w:r>
            <w:r w:rsidRPr="006051E2">
              <w:rPr>
                <w:rFonts w:eastAsia="Times New Roman" w:cs="Open Sans Light"/>
                <w:color w:val="000000"/>
                <w:sz w:val="16"/>
                <w:szCs w:val="16"/>
                <w:lang w:eastAsia="en-AU"/>
              </w:rPr>
              <w:t> </w:t>
            </w:r>
          </w:p>
        </w:tc>
        <w:tc>
          <w:tcPr>
            <w:tcW w:w="1995" w:type="dxa"/>
            <w:tcBorders>
              <w:top w:val="single" w:sz="4" w:space="0" w:color="ADD6EA"/>
              <w:left w:val="nil"/>
              <w:bottom w:val="single" w:sz="6" w:space="0" w:color="ADD6EA"/>
              <w:right w:val="nil"/>
            </w:tcBorders>
            <w:shd w:val="clear" w:color="auto" w:fill="auto"/>
          </w:tcPr>
          <w:p w14:paraId="3C961A42" w14:textId="77777777"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006051E2">
              <w:rPr>
                <w:rFonts w:eastAsia="Times New Roman" w:cs="Open Sans Light"/>
                <w:color w:val="000000"/>
                <w:sz w:val="16"/>
                <w:szCs w:val="16"/>
                <w:lang w:eastAsia="en-AU"/>
              </w:rPr>
              <w:t>Wage costs </w:t>
            </w:r>
          </w:p>
        </w:tc>
        <w:tc>
          <w:tcPr>
            <w:tcW w:w="3135" w:type="dxa"/>
            <w:tcBorders>
              <w:top w:val="single" w:sz="4" w:space="0" w:color="ADD6EA"/>
              <w:left w:val="nil"/>
              <w:bottom w:val="single" w:sz="6" w:space="0" w:color="ADD6EA"/>
              <w:right w:val="nil"/>
            </w:tcBorders>
            <w:shd w:val="clear" w:color="auto" w:fill="auto"/>
          </w:tcPr>
          <w:p w14:paraId="657A2300" w14:textId="6ECC4B96" w:rsidR="004E184D" w:rsidRPr="006051E2" w:rsidRDefault="004E184D" w:rsidP="00047216">
            <w:pPr>
              <w:keepNext/>
              <w:tabs>
                <w:tab w:val="clear" w:pos="567"/>
              </w:tabs>
              <w:spacing w:before="0" w:line="240" w:lineRule="auto"/>
              <w:textAlignment w:val="baseline"/>
              <w:rPr>
                <w:rFonts w:eastAsia="Times New Roman" w:cs="Open Sans Light"/>
                <w:sz w:val="18"/>
                <w:szCs w:val="18"/>
                <w:lang w:eastAsia="en-AU"/>
              </w:rPr>
            </w:pPr>
            <w:r w:rsidRPr="1C23DD92">
              <w:rPr>
                <w:rFonts w:eastAsia="Times New Roman" w:cs="Open Sans Light"/>
                <w:color w:val="000000" w:themeColor="text1"/>
                <w:sz w:val="16"/>
                <w:szCs w:val="16"/>
                <w:lang w:eastAsia="en-AU"/>
              </w:rPr>
              <w:t>Recognises that differences in wage costs between states affect state health spending</w:t>
            </w:r>
            <w:r w:rsidR="00AA7586">
              <w:rPr>
                <w:rFonts w:eastAsia="Times New Roman" w:cs="Open Sans Light"/>
                <w:color w:val="000000" w:themeColor="text1"/>
                <w:sz w:val="16"/>
                <w:szCs w:val="16"/>
                <w:lang w:eastAsia="en-AU"/>
              </w:rPr>
              <w:t>.</w:t>
            </w:r>
          </w:p>
        </w:tc>
      </w:tr>
    </w:tbl>
    <w:bookmarkEnd w:id="17"/>
    <w:p w14:paraId="50F7A9AB" w14:textId="4B891246" w:rsidR="004E184D" w:rsidRPr="000F3FBF" w:rsidRDefault="004E184D" w:rsidP="00047216">
      <w:pPr>
        <w:pStyle w:val="CGCTablenote"/>
        <w:keepNext/>
        <w:rPr>
          <w:rFonts w:ascii="Work Sans" w:hAnsi="Work Sans"/>
        </w:rPr>
      </w:pPr>
      <w:r w:rsidRPr="000F3FBF">
        <w:rPr>
          <w:rFonts w:ascii="Work Sans" w:hAnsi="Work Sans"/>
        </w:rPr>
        <w:t>Source:</w:t>
      </w:r>
      <w:r w:rsidRPr="000F3FBF">
        <w:rPr>
          <w:rFonts w:ascii="Work Sans" w:hAnsi="Work Sans"/>
        </w:rPr>
        <w:tab/>
        <w:t>Commission calculation, 2023 Update.</w:t>
      </w:r>
    </w:p>
    <w:p w14:paraId="15C6A7F0" w14:textId="77777777" w:rsidR="00DB3651" w:rsidRDefault="00DB3651">
      <w:pPr>
        <w:tabs>
          <w:tab w:val="clear" w:pos="567"/>
        </w:tabs>
        <w:spacing w:before="0" w:after="200" w:line="276" w:lineRule="auto"/>
        <w:rPr>
          <w:rFonts w:ascii="Work Sans" w:eastAsia="Times New Roman" w:hAnsi="Work Sans" w:cs="Open Sans"/>
          <w:b/>
          <w:bCs/>
          <w:color w:val="006991"/>
          <w:sz w:val="28"/>
          <w:szCs w:val="28"/>
        </w:rPr>
      </w:pPr>
      <w:bookmarkStart w:id="18" w:name="_Toc121741486"/>
      <w:bookmarkStart w:id="19" w:name="_Toc132729102"/>
      <w:bookmarkStart w:id="20" w:name="_Toc133236149"/>
      <w:bookmarkStart w:id="21" w:name="_Toc133236175"/>
      <w:bookmarkStart w:id="22" w:name="_Toc127428352"/>
      <w:r>
        <w:br w:type="page"/>
      </w:r>
    </w:p>
    <w:p w14:paraId="1FC5908A" w14:textId="4EF7C0A3" w:rsidR="00B10737" w:rsidRDefault="00B10737" w:rsidP="00203F82">
      <w:pPr>
        <w:pStyle w:val="Heading3"/>
      </w:pPr>
      <w:bookmarkStart w:id="23" w:name="_Toc138753179"/>
      <w:r>
        <w:lastRenderedPageBreak/>
        <w:t xml:space="preserve">GST </w:t>
      </w:r>
      <w:r w:rsidR="00ED2FB5">
        <w:t>d</w:t>
      </w:r>
      <w:r>
        <w:t xml:space="preserve">istribution in the 2023 </w:t>
      </w:r>
      <w:r w:rsidR="00C27F3E">
        <w:t>Update</w:t>
      </w:r>
      <w:bookmarkEnd w:id="23"/>
    </w:p>
    <w:p w14:paraId="3FD645A1" w14:textId="06F0EA9E" w:rsidR="004C5C83" w:rsidRPr="004C5C83" w:rsidRDefault="003C4DE4" w:rsidP="004C5C83">
      <w:pPr>
        <w:pStyle w:val="CGC2025ParaNumbers"/>
      </w:pPr>
      <w:r>
        <w:fldChar w:fldCharType="begin"/>
      </w:r>
      <w:r>
        <w:instrText xml:space="preserve"> REF _Ref138159811 \h </w:instrText>
      </w:r>
      <w:r>
        <w:fldChar w:fldCharType="separate"/>
      </w:r>
      <w:r w:rsidR="00312054">
        <w:t xml:space="preserve">Table </w:t>
      </w:r>
      <w:r w:rsidR="00312054">
        <w:rPr>
          <w:noProof/>
        </w:rPr>
        <w:t>4</w:t>
      </w:r>
      <w:r>
        <w:fldChar w:fldCharType="end"/>
      </w:r>
      <w:r w:rsidR="004C5C83" w:rsidRPr="004C5C83">
        <w:t xml:space="preserve"> shows the GST impact of the </w:t>
      </w:r>
      <w:r w:rsidR="00D309AC">
        <w:t>h</w:t>
      </w:r>
      <w:r w:rsidR="004C5C83" w:rsidRPr="004C5C83">
        <w:t xml:space="preserve">ealth assessment in the 2023 Update. It shows the category distributed $2.7 billion ($103 per capita) </w:t>
      </w:r>
      <w:r w:rsidR="001D1C06">
        <w:t xml:space="preserve">away </w:t>
      </w:r>
      <w:r w:rsidR="004C5C83" w:rsidRPr="004C5C83">
        <w:t>from an equal per capita share. This was the most GST distributed by an expense category and the third largest category overall.</w:t>
      </w:r>
    </w:p>
    <w:p w14:paraId="154C41BB" w14:textId="14C1C65C" w:rsidR="009F2FC5" w:rsidRDefault="00047216" w:rsidP="00214433">
      <w:pPr>
        <w:pStyle w:val="CGC2025Caption"/>
        <w:keepNext/>
        <w:tabs>
          <w:tab w:val="left" w:pos="1134"/>
        </w:tabs>
      </w:pPr>
      <w:bookmarkStart w:id="24" w:name="_Ref138159811"/>
      <w:r>
        <w:t xml:space="preserve">Table </w:t>
      </w:r>
      <w:fldSimple w:instr=" SEQ Table \* ARABIC ">
        <w:r w:rsidR="00312054">
          <w:rPr>
            <w:noProof/>
          </w:rPr>
          <w:t>4</w:t>
        </w:r>
      </w:fldSimple>
      <w:bookmarkEnd w:id="24"/>
      <w:r w:rsidR="00FB24D9">
        <w:tab/>
        <w:t xml:space="preserve">GST impact of the </w:t>
      </w:r>
      <w:r w:rsidR="00D309AC">
        <w:t>h</w:t>
      </w:r>
      <w:r w:rsidR="00FB24D9">
        <w:t>ealth assessment, 2023</w:t>
      </w:r>
      <w:r w:rsidR="0029733E">
        <w:t>–</w:t>
      </w:r>
      <w:r w:rsidR="00FB24D9">
        <w:t>24</w:t>
      </w:r>
    </w:p>
    <w:tbl>
      <w:tblPr>
        <w:tblW w:w="8920" w:type="dxa"/>
        <w:tblLook w:val="04A0" w:firstRow="1" w:lastRow="0" w:firstColumn="1" w:lastColumn="0" w:noHBand="0" w:noVBand="1"/>
      </w:tblPr>
      <w:tblGrid>
        <w:gridCol w:w="2740"/>
        <w:gridCol w:w="680"/>
        <w:gridCol w:w="700"/>
        <w:gridCol w:w="700"/>
        <w:gridCol w:w="680"/>
        <w:gridCol w:w="680"/>
        <w:gridCol w:w="680"/>
        <w:gridCol w:w="680"/>
        <w:gridCol w:w="680"/>
        <w:gridCol w:w="700"/>
      </w:tblGrid>
      <w:tr w:rsidR="001F5293" w:rsidRPr="0074425D" w14:paraId="6234AE99" w14:textId="77777777">
        <w:trPr>
          <w:trHeight w:val="375"/>
        </w:trPr>
        <w:tc>
          <w:tcPr>
            <w:tcW w:w="2740" w:type="dxa"/>
            <w:tcBorders>
              <w:top w:val="nil"/>
              <w:left w:val="nil"/>
              <w:bottom w:val="nil"/>
              <w:right w:val="nil"/>
            </w:tcBorders>
            <w:shd w:val="clear" w:color="000000" w:fill="006991"/>
            <w:vAlign w:val="center"/>
            <w:hideMark/>
          </w:tcPr>
          <w:p w14:paraId="207151AC" w14:textId="77777777" w:rsidR="001F5293" w:rsidRPr="0074425D" w:rsidRDefault="001F5293" w:rsidP="001F5293">
            <w:pPr>
              <w:keepNext/>
              <w:tabs>
                <w:tab w:val="clear" w:pos="567"/>
              </w:tabs>
              <w:spacing w:before="0" w:line="240" w:lineRule="auto"/>
              <w:rPr>
                <w:rFonts w:eastAsia="Times New Roman" w:cs="Open Sans Light"/>
                <w:b/>
                <w:bCs/>
                <w:color w:val="FFFFFF"/>
                <w:sz w:val="16"/>
                <w:szCs w:val="16"/>
                <w:lang w:eastAsia="en-AU"/>
              </w:rPr>
            </w:pPr>
            <w:r w:rsidRPr="0074425D">
              <w:rPr>
                <w:rFonts w:eastAsia="Times New Roman" w:cs="Open Sans Light"/>
                <w:b/>
                <w:bCs/>
                <w:color w:val="FFFFFF"/>
                <w:sz w:val="16"/>
                <w:szCs w:val="16"/>
                <w:lang w:eastAsia="en-AU"/>
              </w:rPr>
              <w:t> </w:t>
            </w:r>
          </w:p>
        </w:tc>
        <w:tc>
          <w:tcPr>
            <w:tcW w:w="680" w:type="dxa"/>
            <w:tcBorders>
              <w:top w:val="nil"/>
              <w:left w:val="nil"/>
              <w:bottom w:val="nil"/>
              <w:right w:val="nil"/>
            </w:tcBorders>
            <w:shd w:val="clear" w:color="000000" w:fill="006991"/>
            <w:vAlign w:val="center"/>
            <w:hideMark/>
          </w:tcPr>
          <w:p w14:paraId="36570741" w14:textId="77777777" w:rsidR="001F5293" w:rsidRPr="0074425D" w:rsidRDefault="001F5293" w:rsidP="001F5293">
            <w:pPr>
              <w:keepNext/>
              <w:tabs>
                <w:tab w:val="clear" w:pos="567"/>
              </w:tabs>
              <w:spacing w:before="0" w:line="240" w:lineRule="auto"/>
              <w:jc w:val="right"/>
              <w:rPr>
                <w:rFonts w:eastAsia="Times New Roman" w:cs="Open Sans Light"/>
                <w:b/>
                <w:bCs/>
                <w:color w:val="FFFFFF"/>
                <w:sz w:val="16"/>
                <w:szCs w:val="16"/>
                <w:lang w:eastAsia="en-AU"/>
              </w:rPr>
            </w:pPr>
            <w:r w:rsidRPr="0074425D">
              <w:rPr>
                <w:rFonts w:eastAsia="Times New Roman" w:cs="Open Sans Light"/>
                <w:b/>
                <w:bCs/>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43BE254D" w14:textId="77777777" w:rsidR="001F5293" w:rsidRPr="0074425D" w:rsidRDefault="001F5293" w:rsidP="001F5293">
            <w:pPr>
              <w:keepNext/>
              <w:tabs>
                <w:tab w:val="clear" w:pos="567"/>
              </w:tabs>
              <w:spacing w:before="0" w:line="240" w:lineRule="auto"/>
              <w:jc w:val="right"/>
              <w:rPr>
                <w:rFonts w:eastAsia="Times New Roman" w:cs="Open Sans Light"/>
                <w:b/>
                <w:bCs/>
                <w:color w:val="FFFFFF"/>
                <w:sz w:val="16"/>
                <w:szCs w:val="16"/>
                <w:lang w:eastAsia="en-AU"/>
              </w:rPr>
            </w:pPr>
            <w:r w:rsidRPr="0074425D">
              <w:rPr>
                <w:rFonts w:eastAsia="Times New Roman" w:cs="Open Sans Light"/>
                <w:b/>
                <w:bCs/>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70A9C8E5" w14:textId="77777777" w:rsidR="001F5293" w:rsidRPr="0074425D" w:rsidRDefault="001F5293" w:rsidP="001F5293">
            <w:pPr>
              <w:keepNext/>
              <w:tabs>
                <w:tab w:val="clear" w:pos="567"/>
              </w:tabs>
              <w:spacing w:before="0" w:line="240" w:lineRule="auto"/>
              <w:jc w:val="right"/>
              <w:rPr>
                <w:rFonts w:eastAsia="Times New Roman" w:cs="Open Sans Light"/>
                <w:b/>
                <w:bCs/>
                <w:color w:val="FFFFFF"/>
                <w:sz w:val="16"/>
                <w:szCs w:val="16"/>
                <w:lang w:eastAsia="en-AU"/>
              </w:rPr>
            </w:pPr>
            <w:r w:rsidRPr="0074425D">
              <w:rPr>
                <w:rFonts w:eastAsia="Times New Roman" w:cs="Open Sans Light"/>
                <w:b/>
                <w:bCs/>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3C8CF5CC" w14:textId="77777777" w:rsidR="001F5293" w:rsidRPr="0074425D" w:rsidRDefault="001F5293" w:rsidP="001F5293">
            <w:pPr>
              <w:keepNext/>
              <w:tabs>
                <w:tab w:val="clear" w:pos="567"/>
              </w:tabs>
              <w:spacing w:before="0" w:line="240" w:lineRule="auto"/>
              <w:jc w:val="right"/>
              <w:rPr>
                <w:rFonts w:eastAsia="Times New Roman" w:cs="Open Sans Light"/>
                <w:b/>
                <w:bCs/>
                <w:color w:val="FFFFFF"/>
                <w:sz w:val="16"/>
                <w:szCs w:val="16"/>
                <w:lang w:eastAsia="en-AU"/>
              </w:rPr>
            </w:pPr>
            <w:r w:rsidRPr="0074425D">
              <w:rPr>
                <w:rFonts w:eastAsia="Times New Roman" w:cs="Open Sans Light"/>
                <w:b/>
                <w:bCs/>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06BE6FA6" w14:textId="77777777" w:rsidR="001F5293" w:rsidRPr="0074425D" w:rsidRDefault="001F5293" w:rsidP="001F5293">
            <w:pPr>
              <w:keepNext/>
              <w:tabs>
                <w:tab w:val="clear" w:pos="567"/>
              </w:tabs>
              <w:spacing w:before="0" w:line="240" w:lineRule="auto"/>
              <w:jc w:val="right"/>
              <w:rPr>
                <w:rFonts w:eastAsia="Times New Roman" w:cs="Open Sans Light"/>
                <w:b/>
                <w:bCs/>
                <w:color w:val="FFFFFF"/>
                <w:sz w:val="16"/>
                <w:szCs w:val="16"/>
                <w:lang w:eastAsia="en-AU"/>
              </w:rPr>
            </w:pPr>
            <w:r w:rsidRPr="0074425D">
              <w:rPr>
                <w:rFonts w:eastAsia="Times New Roman" w:cs="Open Sans Light"/>
                <w:b/>
                <w:bCs/>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52CDF34B" w14:textId="77777777" w:rsidR="001F5293" w:rsidRPr="0074425D" w:rsidRDefault="001F5293" w:rsidP="001F5293">
            <w:pPr>
              <w:keepNext/>
              <w:tabs>
                <w:tab w:val="clear" w:pos="567"/>
              </w:tabs>
              <w:spacing w:before="0" w:line="240" w:lineRule="auto"/>
              <w:jc w:val="right"/>
              <w:rPr>
                <w:rFonts w:eastAsia="Times New Roman" w:cs="Open Sans Light"/>
                <w:b/>
                <w:bCs/>
                <w:color w:val="FFFFFF"/>
                <w:sz w:val="16"/>
                <w:szCs w:val="16"/>
                <w:lang w:eastAsia="en-AU"/>
              </w:rPr>
            </w:pPr>
            <w:r w:rsidRPr="0074425D">
              <w:rPr>
                <w:rFonts w:eastAsia="Times New Roman" w:cs="Open Sans Light"/>
                <w:b/>
                <w:bCs/>
                <w:color w:val="FFFFFF"/>
                <w:sz w:val="16"/>
                <w:szCs w:val="16"/>
                <w:lang w:eastAsia="en-AU"/>
              </w:rPr>
              <w:t>Tas</w:t>
            </w:r>
          </w:p>
        </w:tc>
        <w:tc>
          <w:tcPr>
            <w:tcW w:w="680" w:type="dxa"/>
            <w:tcBorders>
              <w:top w:val="nil"/>
              <w:left w:val="nil"/>
              <w:bottom w:val="nil"/>
              <w:right w:val="nil"/>
            </w:tcBorders>
            <w:shd w:val="clear" w:color="000000" w:fill="006991"/>
            <w:vAlign w:val="center"/>
            <w:hideMark/>
          </w:tcPr>
          <w:p w14:paraId="41FB62BB" w14:textId="77777777" w:rsidR="001F5293" w:rsidRPr="0074425D" w:rsidRDefault="001F5293" w:rsidP="001F5293">
            <w:pPr>
              <w:keepNext/>
              <w:tabs>
                <w:tab w:val="clear" w:pos="567"/>
              </w:tabs>
              <w:spacing w:before="0" w:line="240" w:lineRule="auto"/>
              <w:jc w:val="right"/>
              <w:rPr>
                <w:rFonts w:eastAsia="Times New Roman" w:cs="Open Sans Light"/>
                <w:b/>
                <w:bCs/>
                <w:color w:val="FFFFFF"/>
                <w:sz w:val="16"/>
                <w:szCs w:val="16"/>
                <w:lang w:eastAsia="en-AU"/>
              </w:rPr>
            </w:pPr>
            <w:r w:rsidRPr="0074425D">
              <w:rPr>
                <w:rFonts w:eastAsia="Times New Roman" w:cs="Open Sans Light"/>
                <w:b/>
                <w:bCs/>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64077BA5" w14:textId="77777777" w:rsidR="001F5293" w:rsidRPr="0074425D" w:rsidRDefault="001F5293" w:rsidP="001F5293">
            <w:pPr>
              <w:keepNext/>
              <w:tabs>
                <w:tab w:val="clear" w:pos="567"/>
              </w:tabs>
              <w:spacing w:before="0" w:line="240" w:lineRule="auto"/>
              <w:jc w:val="right"/>
              <w:rPr>
                <w:rFonts w:eastAsia="Times New Roman" w:cs="Open Sans Light"/>
                <w:b/>
                <w:bCs/>
                <w:color w:val="FFFFFF"/>
                <w:sz w:val="16"/>
                <w:szCs w:val="16"/>
                <w:lang w:eastAsia="en-AU"/>
              </w:rPr>
            </w:pPr>
            <w:r w:rsidRPr="0074425D">
              <w:rPr>
                <w:rFonts w:eastAsia="Times New Roman" w:cs="Open Sans Light"/>
                <w:b/>
                <w:bCs/>
                <w:color w:val="FFFFFF"/>
                <w:sz w:val="16"/>
                <w:szCs w:val="16"/>
                <w:lang w:eastAsia="en-AU"/>
              </w:rPr>
              <w:t>NT</w:t>
            </w:r>
          </w:p>
        </w:tc>
        <w:tc>
          <w:tcPr>
            <w:tcW w:w="700" w:type="dxa"/>
            <w:tcBorders>
              <w:top w:val="nil"/>
              <w:left w:val="nil"/>
              <w:bottom w:val="nil"/>
              <w:right w:val="nil"/>
            </w:tcBorders>
            <w:shd w:val="clear" w:color="000000" w:fill="006991"/>
            <w:vAlign w:val="center"/>
            <w:hideMark/>
          </w:tcPr>
          <w:p w14:paraId="0E1F4F5F" w14:textId="77777777" w:rsidR="001F5293" w:rsidRPr="0074425D" w:rsidRDefault="001F5293" w:rsidP="001F5293">
            <w:pPr>
              <w:keepNext/>
              <w:tabs>
                <w:tab w:val="clear" w:pos="567"/>
              </w:tabs>
              <w:spacing w:before="0" w:line="240" w:lineRule="auto"/>
              <w:jc w:val="right"/>
              <w:rPr>
                <w:rFonts w:eastAsia="Times New Roman" w:cs="Open Sans Light"/>
                <w:b/>
                <w:bCs/>
                <w:color w:val="FFFFFF"/>
                <w:sz w:val="16"/>
                <w:szCs w:val="16"/>
                <w:lang w:eastAsia="en-AU"/>
              </w:rPr>
            </w:pPr>
            <w:r>
              <w:rPr>
                <w:rFonts w:eastAsia="Times New Roman" w:cs="Open Sans Light"/>
                <w:b/>
                <w:bCs/>
                <w:color w:val="FFFFFF"/>
                <w:sz w:val="16"/>
                <w:szCs w:val="16"/>
                <w:lang w:eastAsia="en-AU"/>
              </w:rPr>
              <w:t>Total effect</w:t>
            </w:r>
          </w:p>
        </w:tc>
      </w:tr>
      <w:tr w:rsidR="001F5293" w:rsidRPr="0074425D" w14:paraId="2B105518" w14:textId="77777777">
        <w:trPr>
          <w:trHeight w:val="259"/>
        </w:trPr>
        <w:tc>
          <w:tcPr>
            <w:tcW w:w="2740" w:type="dxa"/>
            <w:tcBorders>
              <w:top w:val="single" w:sz="8" w:space="0" w:color="ADD6EA"/>
              <w:left w:val="nil"/>
              <w:bottom w:val="nil"/>
              <w:right w:val="nil"/>
            </w:tcBorders>
            <w:shd w:val="clear" w:color="000000" w:fill="B6D5E4"/>
            <w:vAlign w:val="center"/>
            <w:hideMark/>
          </w:tcPr>
          <w:p w14:paraId="1A1B218A" w14:textId="77777777" w:rsidR="001F5293" w:rsidRPr="0074425D" w:rsidRDefault="001F5293" w:rsidP="001F5293">
            <w:pPr>
              <w:keepNext/>
              <w:tabs>
                <w:tab w:val="clear" w:pos="567"/>
              </w:tabs>
              <w:spacing w:before="0" w:line="240" w:lineRule="auto"/>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 </w:t>
            </w:r>
          </w:p>
        </w:tc>
        <w:tc>
          <w:tcPr>
            <w:tcW w:w="680" w:type="dxa"/>
            <w:tcBorders>
              <w:top w:val="single" w:sz="8" w:space="0" w:color="ADD6EA"/>
              <w:left w:val="nil"/>
              <w:bottom w:val="nil"/>
              <w:right w:val="nil"/>
            </w:tcBorders>
            <w:shd w:val="clear" w:color="000000" w:fill="B6D5E4"/>
            <w:noWrap/>
            <w:vAlign w:val="center"/>
            <w:hideMark/>
          </w:tcPr>
          <w:p w14:paraId="1DE26B93"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$m</w:t>
            </w:r>
          </w:p>
        </w:tc>
        <w:tc>
          <w:tcPr>
            <w:tcW w:w="700" w:type="dxa"/>
            <w:tcBorders>
              <w:top w:val="single" w:sz="8" w:space="0" w:color="ADD6EA"/>
              <w:left w:val="nil"/>
              <w:bottom w:val="nil"/>
              <w:right w:val="nil"/>
            </w:tcBorders>
            <w:shd w:val="clear" w:color="000000" w:fill="B6D5E4"/>
            <w:noWrap/>
            <w:vAlign w:val="center"/>
            <w:hideMark/>
          </w:tcPr>
          <w:p w14:paraId="1245A1F9"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$m</w:t>
            </w:r>
          </w:p>
        </w:tc>
        <w:tc>
          <w:tcPr>
            <w:tcW w:w="700" w:type="dxa"/>
            <w:tcBorders>
              <w:top w:val="single" w:sz="8" w:space="0" w:color="ADD6EA"/>
              <w:left w:val="nil"/>
              <w:bottom w:val="nil"/>
              <w:right w:val="nil"/>
            </w:tcBorders>
            <w:shd w:val="clear" w:color="000000" w:fill="B6D5E4"/>
            <w:noWrap/>
            <w:vAlign w:val="center"/>
            <w:hideMark/>
          </w:tcPr>
          <w:p w14:paraId="14639072"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$m</w:t>
            </w:r>
          </w:p>
        </w:tc>
        <w:tc>
          <w:tcPr>
            <w:tcW w:w="680" w:type="dxa"/>
            <w:tcBorders>
              <w:top w:val="single" w:sz="8" w:space="0" w:color="ADD6EA"/>
              <w:left w:val="nil"/>
              <w:bottom w:val="nil"/>
              <w:right w:val="nil"/>
            </w:tcBorders>
            <w:shd w:val="clear" w:color="000000" w:fill="B6D5E4"/>
            <w:noWrap/>
            <w:vAlign w:val="center"/>
            <w:hideMark/>
          </w:tcPr>
          <w:p w14:paraId="4AA927BA"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$m</w:t>
            </w:r>
          </w:p>
        </w:tc>
        <w:tc>
          <w:tcPr>
            <w:tcW w:w="680" w:type="dxa"/>
            <w:tcBorders>
              <w:top w:val="single" w:sz="8" w:space="0" w:color="ADD6EA"/>
              <w:left w:val="nil"/>
              <w:bottom w:val="nil"/>
              <w:right w:val="nil"/>
            </w:tcBorders>
            <w:shd w:val="clear" w:color="000000" w:fill="B6D5E4"/>
            <w:noWrap/>
            <w:vAlign w:val="center"/>
            <w:hideMark/>
          </w:tcPr>
          <w:p w14:paraId="5665DAE4"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$m</w:t>
            </w:r>
          </w:p>
        </w:tc>
        <w:tc>
          <w:tcPr>
            <w:tcW w:w="680" w:type="dxa"/>
            <w:tcBorders>
              <w:top w:val="single" w:sz="8" w:space="0" w:color="ADD6EA"/>
              <w:left w:val="nil"/>
              <w:bottom w:val="nil"/>
              <w:right w:val="nil"/>
            </w:tcBorders>
            <w:shd w:val="clear" w:color="000000" w:fill="B6D5E4"/>
            <w:noWrap/>
            <w:vAlign w:val="center"/>
            <w:hideMark/>
          </w:tcPr>
          <w:p w14:paraId="1C8B523E"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$m</w:t>
            </w:r>
          </w:p>
        </w:tc>
        <w:tc>
          <w:tcPr>
            <w:tcW w:w="680" w:type="dxa"/>
            <w:tcBorders>
              <w:top w:val="single" w:sz="8" w:space="0" w:color="ADD6EA"/>
              <w:left w:val="nil"/>
              <w:bottom w:val="nil"/>
              <w:right w:val="nil"/>
            </w:tcBorders>
            <w:shd w:val="clear" w:color="000000" w:fill="B6D5E4"/>
            <w:noWrap/>
            <w:vAlign w:val="center"/>
            <w:hideMark/>
          </w:tcPr>
          <w:p w14:paraId="27DEE034"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$m</w:t>
            </w:r>
          </w:p>
        </w:tc>
        <w:tc>
          <w:tcPr>
            <w:tcW w:w="680" w:type="dxa"/>
            <w:tcBorders>
              <w:top w:val="single" w:sz="8" w:space="0" w:color="ADD6EA"/>
              <w:left w:val="nil"/>
              <w:bottom w:val="nil"/>
              <w:right w:val="nil"/>
            </w:tcBorders>
            <w:shd w:val="clear" w:color="000000" w:fill="B6D5E4"/>
            <w:noWrap/>
            <w:vAlign w:val="center"/>
            <w:hideMark/>
          </w:tcPr>
          <w:p w14:paraId="2C4BEFE7"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$m</w:t>
            </w:r>
          </w:p>
        </w:tc>
        <w:tc>
          <w:tcPr>
            <w:tcW w:w="700" w:type="dxa"/>
            <w:tcBorders>
              <w:top w:val="single" w:sz="8" w:space="0" w:color="ADD6EA"/>
              <w:left w:val="nil"/>
              <w:bottom w:val="nil"/>
              <w:right w:val="nil"/>
            </w:tcBorders>
            <w:shd w:val="clear" w:color="000000" w:fill="B6D5E4"/>
            <w:noWrap/>
            <w:vAlign w:val="center"/>
            <w:hideMark/>
          </w:tcPr>
          <w:p w14:paraId="783F2F8E"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$m</w:t>
            </w:r>
          </w:p>
        </w:tc>
      </w:tr>
      <w:tr w:rsidR="001F5293" w:rsidRPr="0074425D" w14:paraId="1BC88571" w14:textId="77777777">
        <w:trPr>
          <w:trHeight w:val="315"/>
        </w:trPr>
        <w:tc>
          <w:tcPr>
            <w:tcW w:w="2740" w:type="dxa"/>
            <w:tcBorders>
              <w:top w:val="single" w:sz="4" w:space="0" w:color="ADD6EA"/>
              <w:left w:val="nil"/>
              <w:bottom w:val="single" w:sz="4" w:space="0" w:color="ADD6EA"/>
              <w:right w:val="nil"/>
            </w:tcBorders>
            <w:shd w:val="clear" w:color="auto" w:fill="auto"/>
            <w:vAlign w:val="center"/>
            <w:hideMark/>
          </w:tcPr>
          <w:p w14:paraId="2C9D52F6" w14:textId="77777777" w:rsidR="001F5293" w:rsidRPr="0074425D" w:rsidRDefault="001F5293" w:rsidP="001F5293">
            <w:pPr>
              <w:keepNext/>
              <w:tabs>
                <w:tab w:val="clear" w:pos="567"/>
              </w:tabs>
              <w:spacing w:before="0" w:line="240" w:lineRule="auto"/>
              <w:rPr>
                <w:rFonts w:eastAsia="Times New Roman" w:cs="Open Sans Light"/>
                <w:color w:val="000000"/>
                <w:sz w:val="16"/>
                <w:szCs w:val="16"/>
                <w:lang w:eastAsia="en-AU"/>
              </w:rPr>
            </w:pPr>
            <w:r w:rsidRPr="0074425D">
              <w:rPr>
                <w:rFonts w:eastAsia="Times New Roman" w:cs="Open Sans Light"/>
                <w:color w:val="000000"/>
                <w:sz w:val="16"/>
                <w:szCs w:val="16"/>
                <w:lang w:eastAsia="en-AU"/>
              </w:rPr>
              <w:t>Admitted patients</w:t>
            </w:r>
          </w:p>
        </w:tc>
        <w:tc>
          <w:tcPr>
            <w:tcW w:w="680" w:type="dxa"/>
            <w:tcBorders>
              <w:top w:val="single" w:sz="4" w:space="0" w:color="ADD6EA"/>
              <w:left w:val="nil"/>
              <w:bottom w:val="single" w:sz="4" w:space="0" w:color="ADD6EA"/>
              <w:right w:val="nil"/>
            </w:tcBorders>
            <w:shd w:val="clear" w:color="auto" w:fill="auto"/>
            <w:noWrap/>
            <w:vAlign w:val="center"/>
            <w:hideMark/>
          </w:tcPr>
          <w:p w14:paraId="2A8467A8"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-89</w:t>
            </w:r>
          </w:p>
        </w:tc>
        <w:tc>
          <w:tcPr>
            <w:tcW w:w="700" w:type="dxa"/>
            <w:tcBorders>
              <w:top w:val="single" w:sz="4" w:space="0" w:color="ADD6EA"/>
              <w:left w:val="nil"/>
              <w:bottom w:val="single" w:sz="4" w:space="0" w:color="ADD6EA"/>
              <w:right w:val="nil"/>
            </w:tcBorders>
            <w:shd w:val="clear" w:color="auto" w:fill="auto"/>
            <w:noWrap/>
            <w:vAlign w:val="center"/>
            <w:hideMark/>
          </w:tcPr>
          <w:p w14:paraId="34896C07"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-898</w:t>
            </w:r>
          </w:p>
        </w:tc>
        <w:tc>
          <w:tcPr>
            <w:tcW w:w="700" w:type="dxa"/>
            <w:tcBorders>
              <w:top w:val="single" w:sz="4" w:space="0" w:color="ADD6EA"/>
              <w:left w:val="nil"/>
              <w:bottom w:val="single" w:sz="4" w:space="0" w:color="ADD6EA"/>
              <w:right w:val="nil"/>
            </w:tcBorders>
            <w:shd w:val="clear" w:color="auto" w:fill="auto"/>
            <w:noWrap/>
            <w:vAlign w:val="center"/>
            <w:hideMark/>
          </w:tcPr>
          <w:p w14:paraId="170213C6"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98</w:t>
            </w:r>
          </w:p>
        </w:tc>
        <w:tc>
          <w:tcPr>
            <w:tcW w:w="680" w:type="dxa"/>
            <w:tcBorders>
              <w:top w:val="single" w:sz="4" w:space="0" w:color="ADD6EA"/>
              <w:left w:val="nil"/>
              <w:bottom w:val="single" w:sz="4" w:space="0" w:color="ADD6EA"/>
              <w:right w:val="nil"/>
            </w:tcBorders>
            <w:shd w:val="clear" w:color="auto" w:fill="auto"/>
            <w:noWrap/>
            <w:vAlign w:val="center"/>
            <w:hideMark/>
          </w:tcPr>
          <w:p w14:paraId="45BD547E"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97</w:t>
            </w:r>
          </w:p>
        </w:tc>
        <w:tc>
          <w:tcPr>
            <w:tcW w:w="680" w:type="dxa"/>
            <w:tcBorders>
              <w:top w:val="single" w:sz="4" w:space="0" w:color="ADD6EA"/>
              <w:left w:val="nil"/>
              <w:bottom w:val="single" w:sz="4" w:space="0" w:color="ADD6EA"/>
              <w:right w:val="nil"/>
            </w:tcBorders>
            <w:shd w:val="clear" w:color="auto" w:fill="auto"/>
            <w:noWrap/>
            <w:vAlign w:val="center"/>
            <w:hideMark/>
          </w:tcPr>
          <w:p w14:paraId="0B5F3D25"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294</w:t>
            </w:r>
          </w:p>
        </w:tc>
        <w:tc>
          <w:tcPr>
            <w:tcW w:w="680" w:type="dxa"/>
            <w:tcBorders>
              <w:top w:val="single" w:sz="4" w:space="0" w:color="ADD6EA"/>
              <w:left w:val="nil"/>
              <w:bottom w:val="single" w:sz="4" w:space="0" w:color="ADD6EA"/>
              <w:right w:val="nil"/>
            </w:tcBorders>
            <w:shd w:val="clear" w:color="auto" w:fill="auto"/>
            <w:noWrap/>
            <w:vAlign w:val="center"/>
            <w:hideMark/>
          </w:tcPr>
          <w:p w14:paraId="5FB95FF9"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275</w:t>
            </w:r>
          </w:p>
        </w:tc>
        <w:tc>
          <w:tcPr>
            <w:tcW w:w="680" w:type="dxa"/>
            <w:tcBorders>
              <w:top w:val="single" w:sz="4" w:space="0" w:color="ADD6EA"/>
              <w:left w:val="nil"/>
              <w:bottom w:val="single" w:sz="4" w:space="0" w:color="ADD6EA"/>
              <w:right w:val="nil"/>
            </w:tcBorders>
            <w:shd w:val="clear" w:color="auto" w:fill="auto"/>
            <w:noWrap/>
            <w:vAlign w:val="center"/>
            <w:hideMark/>
          </w:tcPr>
          <w:p w14:paraId="65A3C1C0"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-183</w:t>
            </w:r>
          </w:p>
        </w:tc>
        <w:tc>
          <w:tcPr>
            <w:tcW w:w="680" w:type="dxa"/>
            <w:tcBorders>
              <w:top w:val="single" w:sz="4" w:space="0" w:color="ADD6EA"/>
              <w:left w:val="nil"/>
              <w:bottom w:val="single" w:sz="4" w:space="0" w:color="ADD6EA"/>
              <w:right w:val="nil"/>
            </w:tcBorders>
            <w:shd w:val="clear" w:color="auto" w:fill="auto"/>
            <w:noWrap/>
            <w:vAlign w:val="center"/>
            <w:hideMark/>
          </w:tcPr>
          <w:p w14:paraId="564CCAF9"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406</w:t>
            </w:r>
          </w:p>
        </w:tc>
        <w:tc>
          <w:tcPr>
            <w:tcW w:w="700" w:type="dxa"/>
            <w:tcBorders>
              <w:top w:val="single" w:sz="4" w:space="0" w:color="ADD6EA"/>
              <w:left w:val="nil"/>
              <w:bottom w:val="single" w:sz="4" w:space="0" w:color="ADD6EA"/>
              <w:right w:val="nil"/>
            </w:tcBorders>
            <w:shd w:val="clear" w:color="auto" w:fill="auto"/>
            <w:noWrap/>
            <w:vAlign w:val="center"/>
            <w:hideMark/>
          </w:tcPr>
          <w:p w14:paraId="5B13A5B2"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1,170</w:t>
            </w:r>
          </w:p>
        </w:tc>
      </w:tr>
      <w:tr w:rsidR="001F5293" w:rsidRPr="0074425D" w14:paraId="320983E2" w14:textId="77777777">
        <w:trPr>
          <w:trHeight w:val="315"/>
        </w:trPr>
        <w:tc>
          <w:tcPr>
            <w:tcW w:w="2740" w:type="dxa"/>
            <w:tcBorders>
              <w:top w:val="nil"/>
              <w:left w:val="nil"/>
              <w:bottom w:val="single" w:sz="4" w:space="0" w:color="ADD6EA"/>
              <w:right w:val="nil"/>
            </w:tcBorders>
            <w:shd w:val="clear" w:color="auto" w:fill="auto"/>
            <w:vAlign w:val="center"/>
            <w:hideMark/>
          </w:tcPr>
          <w:p w14:paraId="76B4097A" w14:textId="77777777" w:rsidR="001F5293" w:rsidRPr="0074425D" w:rsidRDefault="001F5293" w:rsidP="001F5293">
            <w:pPr>
              <w:keepNext/>
              <w:tabs>
                <w:tab w:val="clear" w:pos="567"/>
              </w:tabs>
              <w:spacing w:before="0" w:line="240" w:lineRule="auto"/>
              <w:rPr>
                <w:rFonts w:eastAsia="Times New Roman" w:cs="Open Sans Light"/>
                <w:color w:val="000000"/>
                <w:sz w:val="16"/>
                <w:szCs w:val="16"/>
                <w:lang w:eastAsia="en-AU"/>
              </w:rPr>
            </w:pPr>
            <w:r w:rsidRPr="0074425D">
              <w:rPr>
                <w:rFonts w:eastAsia="Times New Roman" w:cs="Open Sans Light"/>
                <w:color w:val="000000"/>
                <w:sz w:val="16"/>
                <w:szCs w:val="16"/>
                <w:lang w:eastAsia="en-AU"/>
              </w:rPr>
              <w:t>Emergency departments</w:t>
            </w:r>
          </w:p>
        </w:tc>
        <w:tc>
          <w:tcPr>
            <w:tcW w:w="680" w:type="dxa"/>
            <w:tcBorders>
              <w:top w:val="nil"/>
              <w:left w:val="nil"/>
              <w:bottom w:val="single" w:sz="4" w:space="0" w:color="ADD6EA"/>
              <w:right w:val="nil"/>
            </w:tcBorders>
            <w:shd w:val="clear" w:color="auto" w:fill="auto"/>
            <w:noWrap/>
            <w:vAlign w:val="center"/>
            <w:hideMark/>
          </w:tcPr>
          <w:p w14:paraId="73DC8DD2"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-87</w:t>
            </w:r>
          </w:p>
        </w:tc>
        <w:tc>
          <w:tcPr>
            <w:tcW w:w="700" w:type="dxa"/>
            <w:tcBorders>
              <w:top w:val="nil"/>
              <w:left w:val="nil"/>
              <w:bottom w:val="single" w:sz="4" w:space="0" w:color="ADD6EA"/>
              <w:right w:val="nil"/>
            </w:tcBorders>
            <w:shd w:val="clear" w:color="auto" w:fill="auto"/>
            <w:noWrap/>
            <w:vAlign w:val="center"/>
            <w:hideMark/>
          </w:tcPr>
          <w:p w14:paraId="6F399EE8"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-185</w:t>
            </w:r>
          </w:p>
        </w:tc>
        <w:tc>
          <w:tcPr>
            <w:tcW w:w="700" w:type="dxa"/>
            <w:tcBorders>
              <w:top w:val="nil"/>
              <w:left w:val="nil"/>
              <w:bottom w:val="single" w:sz="4" w:space="0" w:color="ADD6EA"/>
              <w:right w:val="nil"/>
            </w:tcBorders>
            <w:shd w:val="clear" w:color="auto" w:fill="auto"/>
            <w:noWrap/>
            <w:vAlign w:val="center"/>
            <w:hideMark/>
          </w:tcPr>
          <w:p w14:paraId="10922099"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73</w:t>
            </w:r>
          </w:p>
        </w:tc>
        <w:tc>
          <w:tcPr>
            <w:tcW w:w="680" w:type="dxa"/>
            <w:tcBorders>
              <w:top w:val="nil"/>
              <w:left w:val="nil"/>
              <w:bottom w:val="single" w:sz="4" w:space="0" w:color="ADD6EA"/>
              <w:right w:val="nil"/>
            </w:tcBorders>
            <w:shd w:val="clear" w:color="auto" w:fill="auto"/>
            <w:noWrap/>
            <w:vAlign w:val="center"/>
            <w:hideMark/>
          </w:tcPr>
          <w:p w14:paraId="50F939DD"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54</w:t>
            </w:r>
          </w:p>
        </w:tc>
        <w:tc>
          <w:tcPr>
            <w:tcW w:w="680" w:type="dxa"/>
            <w:tcBorders>
              <w:top w:val="nil"/>
              <w:left w:val="nil"/>
              <w:bottom w:val="single" w:sz="4" w:space="0" w:color="ADD6EA"/>
              <w:right w:val="nil"/>
            </w:tcBorders>
            <w:shd w:val="clear" w:color="auto" w:fill="auto"/>
            <w:noWrap/>
            <w:vAlign w:val="center"/>
            <w:hideMark/>
          </w:tcPr>
          <w:p w14:paraId="042DBA8A"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26</w:t>
            </w:r>
          </w:p>
        </w:tc>
        <w:tc>
          <w:tcPr>
            <w:tcW w:w="680" w:type="dxa"/>
            <w:tcBorders>
              <w:top w:val="nil"/>
              <w:left w:val="nil"/>
              <w:bottom w:val="single" w:sz="4" w:space="0" w:color="ADD6EA"/>
              <w:right w:val="nil"/>
            </w:tcBorders>
            <w:shd w:val="clear" w:color="auto" w:fill="auto"/>
            <w:noWrap/>
            <w:vAlign w:val="center"/>
            <w:hideMark/>
          </w:tcPr>
          <w:p w14:paraId="6959FF25"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53</w:t>
            </w:r>
          </w:p>
        </w:tc>
        <w:tc>
          <w:tcPr>
            <w:tcW w:w="680" w:type="dxa"/>
            <w:tcBorders>
              <w:top w:val="nil"/>
              <w:left w:val="nil"/>
              <w:bottom w:val="single" w:sz="4" w:space="0" w:color="ADD6EA"/>
              <w:right w:val="nil"/>
            </w:tcBorders>
            <w:shd w:val="clear" w:color="auto" w:fill="auto"/>
            <w:noWrap/>
            <w:vAlign w:val="center"/>
            <w:hideMark/>
          </w:tcPr>
          <w:p w14:paraId="3C9E256E"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-23</w:t>
            </w:r>
          </w:p>
        </w:tc>
        <w:tc>
          <w:tcPr>
            <w:tcW w:w="680" w:type="dxa"/>
            <w:tcBorders>
              <w:top w:val="nil"/>
              <w:left w:val="nil"/>
              <w:bottom w:val="single" w:sz="4" w:space="0" w:color="ADD6EA"/>
              <w:right w:val="nil"/>
            </w:tcBorders>
            <w:shd w:val="clear" w:color="auto" w:fill="auto"/>
            <w:noWrap/>
            <w:vAlign w:val="center"/>
            <w:hideMark/>
          </w:tcPr>
          <w:p w14:paraId="1A0EB186"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89</w:t>
            </w:r>
          </w:p>
        </w:tc>
        <w:tc>
          <w:tcPr>
            <w:tcW w:w="700" w:type="dxa"/>
            <w:tcBorders>
              <w:top w:val="nil"/>
              <w:left w:val="nil"/>
              <w:bottom w:val="single" w:sz="4" w:space="0" w:color="ADD6EA"/>
              <w:right w:val="nil"/>
            </w:tcBorders>
            <w:shd w:val="clear" w:color="auto" w:fill="auto"/>
            <w:noWrap/>
            <w:vAlign w:val="center"/>
            <w:hideMark/>
          </w:tcPr>
          <w:p w14:paraId="40BD1CE0"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295</w:t>
            </w:r>
          </w:p>
        </w:tc>
      </w:tr>
      <w:tr w:rsidR="001F5293" w:rsidRPr="0074425D" w14:paraId="5938678A" w14:textId="77777777">
        <w:trPr>
          <w:trHeight w:val="315"/>
        </w:trPr>
        <w:tc>
          <w:tcPr>
            <w:tcW w:w="2740" w:type="dxa"/>
            <w:tcBorders>
              <w:top w:val="nil"/>
              <w:left w:val="nil"/>
              <w:bottom w:val="single" w:sz="4" w:space="0" w:color="ADD6EA"/>
              <w:right w:val="nil"/>
            </w:tcBorders>
            <w:shd w:val="clear" w:color="auto" w:fill="auto"/>
            <w:vAlign w:val="center"/>
            <w:hideMark/>
          </w:tcPr>
          <w:p w14:paraId="32154C05" w14:textId="77777777" w:rsidR="001F5293" w:rsidRPr="0074425D" w:rsidRDefault="001F5293" w:rsidP="001F5293">
            <w:pPr>
              <w:keepNext/>
              <w:tabs>
                <w:tab w:val="clear" w:pos="567"/>
              </w:tabs>
              <w:spacing w:before="0" w:line="240" w:lineRule="auto"/>
              <w:rPr>
                <w:rFonts w:eastAsia="Times New Roman" w:cs="Open Sans Light"/>
                <w:color w:val="000000"/>
                <w:sz w:val="16"/>
                <w:szCs w:val="16"/>
                <w:lang w:eastAsia="en-AU"/>
              </w:rPr>
            </w:pPr>
            <w:r w:rsidRPr="0074425D">
              <w:rPr>
                <w:rFonts w:eastAsia="Times New Roman" w:cs="Open Sans Light"/>
                <w:color w:val="000000"/>
                <w:sz w:val="16"/>
                <w:szCs w:val="16"/>
                <w:lang w:eastAsia="en-AU"/>
              </w:rPr>
              <w:t>Non-admitted patients</w:t>
            </w:r>
          </w:p>
        </w:tc>
        <w:tc>
          <w:tcPr>
            <w:tcW w:w="680" w:type="dxa"/>
            <w:tcBorders>
              <w:top w:val="nil"/>
              <w:left w:val="nil"/>
              <w:bottom w:val="single" w:sz="4" w:space="0" w:color="ADD6EA"/>
              <w:right w:val="nil"/>
            </w:tcBorders>
            <w:shd w:val="clear" w:color="auto" w:fill="auto"/>
            <w:noWrap/>
            <w:vAlign w:val="center"/>
            <w:hideMark/>
          </w:tcPr>
          <w:p w14:paraId="76122A43"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-179</w:t>
            </w:r>
          </w:p>
        </w:tc>
        <w:tc>
          <w:tcPr>
            <w:tcW w:w="700" w:type="dxa"/>
            <w:tcBorders>
              <w:top w:val="nil"/>
              <w:left w:val="nil"/>
              <w:bottom w:val="single" w:sz="4" w:space="0" w:color="ADD6EA"/>
              <w:right w:val="nil"/>
            </w:tcBorders>
            <w:shd w:val="clear" w:color="auto" w:fill="auto"/>
            <w:noWrap/>
            <w:vAlign w:val="center"/>
            <w:hideMark/>
          </w:tcPr>
          <w:p w14:paraId="31EC535D"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-139</w:t>
            </w:r>
          </w:p>
        </w:tc>
        <w:tc>
          <w:tcPr>
            <w:tcW w:w="700" w:type="dxa"/>
            <w:tcBorders>
              <w:top w:val="nil"/>
              <w:left w:val="nil"/>
              <w:bottom w:val="single" w:sz="4" w:space="0" w:color="ADD6EA"/>
              <w:right w:val="nil"/>
            </w:tcBorders>
            <w:shd w:val="clear" w:color="auto" w:fill="auto"/>
            <w:noWrap/>
            <w:vAlign w:val="center"/>
            <w:hideMark/>
          </w:tcPr>
          <w:p w14:paraId="5246D68C"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28</w:t>
            </w:r>
          </w:p>
        </w:tc>
        <w:tc>
          <w:tcPr>
            <w:tcW w:w="680" w:type="dxa"/>
            <w:tcBorders>
              <w:top w:val="nil"/>
              <w:left w:val="nil"/>
              <w:bottom w:val="single" w:sz="4" w:space="0" w:color="ADD6EA"/>
              <w:right w:val="nil"/>
            </w:tcBorders>
            <w:shd w:val="clear" w:color="auto" w:fill="auto"/>
            <w:noWrap/>
            <w:vAlign w:val="center"/>
            <w:hideMark/>
          </w:tcPr>
          <w:p w14:paraId="02A1A8CE"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160</w:t>
            </w:r>
          </w:p>
        </w:tc>
        <w:tc>
          <w:tcPr>
            <w:tcW w:w="680" w:type="dxa"/>
            <w:tcBorders>
              <w:top w:val="nil"/>
              <w:left w:val="nil"/>
              <w:bottom w:val="single" w:sz="4" w:space="0" w:color="ADD6EA"/>
              <w:right w:val="nil"/>
            </w:tcBorders>
            <w:shd w:val="clear" w:color="auto" w:fill="auto"/>
            <w:noWrap/>
            <w:vAlign w:val="center"/>
            <w:hideMark/>
          </w:tcPr>
          <w:p w14:paraId="0ED5A88D"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56</w:t>
            </w:r>
          </w:p>
        </w:tc>
        <w:tc>
          <w:tcPr>
            <w:tcW w:w="680" w:type="dxa"/>
            <w:tcBorders>
              <w:top w:val="nil"/>
              <w:left w:val="nil"/>
              <w:bottom w:val="single" w:sz="4" w:space="0" w:color="ADD6EA"/>
              <w:right w:val="nil"/>
            </w:tcBorders>
            <w:shd w:val="clear" w:color="auto" w:fill="auto"/>
            <w:noWrap/>
            <w:vAlign w:val="center"/>
            <w:hideMark/>
          </w:tcPr>
          <w:p w14:paraId="35AFE82A"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27</w:t>
            </w:r>
          </w:p>
        </w:tc>
        <w:tc>
          <w:tcPr>
            <w:tcW w:w="680" w:type="dxa"/>
            <w:tcBorders>
              <w:top w:val="nil"/>
              <w:left w:val="nil"/>
              <w:bottom w:val="single" w:sz="4" w:space="0" w:color="ADD6EA"/>
              <w:right w:val="nil"/>
            </w:tcBorders>
            <w:shd w:val="clear" w:color="auto" w:fill="auto"/>
            <w:noWrap/>
            <w:vAlign w:val="center"/>
            <w:hideMark/>
          </w:tcPr>
          <w:p w14:paraId="386A73EB"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-5</w:t>
            </w:r>
          </w:p>
        </w:tc>
        <w:tc>
          <w:tcPr>
            <w:tcW w:w="680" w:type="dxa"/>
            <w:tcBorders>
              <w:top w:val="nil"/>
              <w:left w:val="nil"/>
              <w:bottom w:val="single" w:sz="4" w:space="0" w:color="ADD6EA"/>
              <w:right w:val="nil"/>
            </w:tcBorders>
            <w:shd w:val="clear" w:color="auto" w:fill="auto"/>
            <w:noWrap/>
            <w:vAlign w:val="center"/>
            <w:hideMark/>
          </w:tcPr>
          <w:p w14:paraId="66EDBDFC"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52</w:t>
            </w:r>
          </w:p>
        </w:tc>
        <w:tc>
          <w:tcPr>
            <w:tcW w:w="700" w:type="dxa"/>
            <w:tcBorders>
              <w:top w:val="nil"/>
              <w:left w:val="nil"/>
              <w:bottom w:val="single" w:sz="4" w:space="0" w:color="ADD6EA"/>
              <w:right w:val="nil"/>
            </w:tcBorders>
            <w:shd w:val="clear" w:color="auto" w:fill="auto"/>
            <w:noWrap/>
            <w:vAlign w:val="center"/>
            <w:hideMark/>
          </w:tcPr>
          <w:p w14:paraId="499E4E8E"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322</w:t>
            </w:r>
          </w:p>
        </w:tc>
      </w:tr>
      <w:tr w:rsidR="001F5293" w:rsidRPr="0074425D" w14:paraId="0AF98FBF" w14:textId="77777777">
        <w:trPr>
          <w:trHeight w:val="315"/>
        </w:trPr>
        <w:tc>
          <w:tcPr>
            <w:tcW w:w="2740" w:type="dxa"/>
            <w:tcBorders>
              <w:top w:val="nil"/>
              <w:left w:val="nil"/>
              <w:bottom w:val="single" w:sz="4" w:space="0" w:color="ADD6EA"/>
              <w:right w:val="nil"/>
            </w:tcBorders>
            <w:shd w:val="clear" w:color="auto" w:fill="auto"/>
            <w:vAlign w:val="center"/>
            <w:hideMark/>
          </w:tcPr>
          <w:p w14:paraId="63E8FDAF" w14:textId="77777777" w:rsidR="001F5293" w:rsidRPr="0074425D" w:rsidRDefault="001F5293" w:rsidP="001F5293">
            <w:pPr>
              <w:keepNext/>
              <w:tabs>
                <w:tab w:val="clear" w:pos="567"/>
              </w:tabs>
              <w:spacing w:before="0" w:line="240" w:lineRule="auto"/>
              <w:rPr>
                <w:rFonts w:eastAsia="Times New Roman" w:cs="Open Sans Light"/>
                <w:color w:val="000000"/>
                <w:sz w:val="16"/>
                <w:szCs w:val="16"/>
                <w:lang w:eastAsia="en-AU"/>
              </w:rPr>
            </w:pPr>
            <w:r w:rsidRPr="0074425D">
              <w:rPr>
                <w:rFonts w:eastAsia="Times New Roman" w:cs="Open Sans Light"/>
                <w:color w:val="000000"/>
                <w:sz w:val="16"/>
                <w:szCs w:val="16"/>
                <w:lang w:eastAsia="en-AU"/>
              </w:rPr>
              <w:t>Community and public health</w:t>
            </w:r>
          </w:p>
        </w:tc>
        <w:tc>
          <w:tcPr>
            <w:tcW w:w="680" w:type="dxa"/>
            <w:tcBorders>
              <w:top w:val="nil"/>
              <w:left w:val="nil"/>
              <w:bottom w:val="single" w:sz="4" w:space="0" w:color="ADD6EA"/>
              <w:right w:val="nil"/>
            </w:tcBorders>
            <w:shd w:val="clear" w:color="auto" w:fill="auto"/>
            <w:noWrap/>
            <w:vAlign w:val="center"/>
            <w:hideMark/>
          </w:tcPr>
          <w:p w14:paraId="7C5919A2"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-329</w:t>
            </w:r>
          </w:p>
        </w:tc>
        <w:tc>
          <w:tcPr>
            <w:tcW w:w="700" w:type="dxa"/>
            <w:tcBorders>
              <w:top w:val="nil"/>
              <w:left w:val="nil"/>
              <w:bottom w:val="single" w:sz="4" w:space="0" w:color="ADD6EA"/>
              <w:right w:val="nil"/>
            </w:tcBorders>
            <w:shd w:val="clear" w:color="auto" w:fill="auto"/>
            <w:noWrap/>
            <w:vAlign w:val="center"/>
            <w:hideMark/>
          </w:tcPr>
          <w:p w14:paraId="01394DBF"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-464</w:t>
            </w:r>
          </w:p>
        </w:tc>
        <w:tc>
          <w:tcPr>
            <w:tcW w:w="700" w:type="dxa"/>
            <w:tcBorders>
              <w:top w:val="nil"/>
              <w:left w:val="nil"/>
              <w:bottom w:val="single" w:sz="4" w:space="0" w:color="ADD6EA"/>
              <w:right w:val="nil"/>
            </w:tcBorders>
            <w:shd w:val="clear" w:color="auto" w:fill="auto"/>
            <w:noWrap/>
            <w:vAlign w:val="center"/>
            <w:hideMark/>
          </w:tcPr>
          <w:p w14:paraId="0E684F76"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199</w:t>
            </w:r>
          </w:p>
        </w:tc>
        <w:tc>
          <w:tcPr>
            <w:tcW w:w="680" w:type="dxa"/>
            <w:tcBorders>
              <w:top w:val="nil"/>
              <w:left w:val="nil"/>
              <w:bottom w:val="single" w:sz="4" w:space="0" w:color="ADD6EA"/>
              <w:right w:val="nil"/>
            </w:tcBorders>
            <w:shd w:val="clear" w:color="auto" w:fill="auto"/>
            <w:noWrap/>
            <w:vAlign w:val="center"/>
            <w:hideMark/>
          </w:tcPr>
          <w:p w14:paraId="52BD28C0"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216</w:t>
            </w:r>
          </w:p>
        </w:tc>
        <w:tc>
          <w:tcPr>
            <w:tcW w:w="680" w:type="dxa"/>
            <w:tcBorders>
              <w:top w:val="nil"/>
              <w:left w:val="nil"/>
              <w:bottom w:val="single" w:sz="4" w:space="0" w:color="ADD6EA"/>
              <w:right w:val="nil"/>
            </w:tcBorders>
            <w:shd w:val="clear" w:color="auto" w:fill="auto"/>
            <w:noWrap/>
            <w:vAlign w:val="center"/>
            <w:hideMark/>
          </w:tcPr>
          <w:p w14:paraId="3DD12CA6"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37</w:t>
            </w:r>
          </w:p>
        </w:tc>
        <w:tc>
          <w:tcPr>
            <w:tcW w:w="680" w:type="dxa"/>
            <w:tcBorders>
              <w:top w:val="nil"/>
              <w:left w:val="nil"/>
              <w:bottom w:val="single" w:sz="4" w:space="0" w:color="ADD6EA"/>
              <w:right w:val="nil"/>
            </w:tcBorders>
            <w:shd w:val="clear" w:color="auto" w:fill="auto"/>
            <w:noWrap/>
            <w:vAlign w:val="center"/>
            <w:hideMark/>
          </w:tcPr>
          <w:p w14:paraId="1CAAA4D6"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164</w:t>
            </w:r>
          </w:p>
        </w:tc>
        <w:tc>
          <w:tcPr>
            <w:tcW w:w="680" w:type="dxa"/>
            <w:tcBorders>
              <w:top w:val="nil"/>
              <w:left w:val="nil"/>
              <w:bottom w:val="single" w:sz="4" w:space="0" w:color="ADD6EA"/>
              <w:right w:val="nil"/>
            </w:tcBorders>
            <w:shd w:val="clear" w:color="auto" w:fill="auto"/>
            <w:noWrap/>
            <w:vAlign w:val="center"/>
            <w:hideMark/>
          </w:tcPr>
          <w:p w14:paraId="598278FC"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-4</w:t>
            </w:r>
          </w:p>
        </w:tc>
        <w:tc>
          <w:tcPr>
            <w:tcW w:w="680" w:type="dxa"/>
            <w:tcBorders>
              <w:top w:val="nil"/>
              <w:left w:val="nil"/>
              <w:bottom w:val="single" w:sz="4" w:space="0" w:color="ADD6EA"/>
              <w:right w:val="nil"/>
            </w:tcBorders>
            <w:shd w:val="clear" w:color="auto" w:fill="auto"/>
            <w:noWrap/>
            <w:vAlign w:val="center"/>
            <w:hideMark/>
          </w:tcPr>
          <w:p w14:paraId="7D68542E"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182</w:t>
            </w:r>
          </w:p>
        </w:tc>
        <w:tc>
          <w:tcPr>
            <w:tcW w:w="700" w:type="dxa"/>
            <w:tcBorders>
              <w:top w:val="nil"/>
              <w:left w:val="nil"/>
              <w:bottom w:val="single" w:sz="4" w:space="0" w:color="ADD6EA"/>
              <w:right w:val="nil"/>
            </w:tcBorders>
            <w:shd w:val="clear" w:color="auto" w:fill="auto"/>
            <w:noWrap/>
            <w:vAlign w:val="center"/>
            <w:hideMark/>
          </w:tcPr>
          <w:p w14:paraId="2672537C"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798</w:t>
            </w:r>
          </w:p>
        </w:tc>
      </w:tr>
      <w:tr w:rsidR="001F5293" w:rsidRPr="0074425D" w14:paraId="6D2C9A24" w14:textId="77777777">
        <w:trPr>
          <w:trHeight w:val="315"/>
        </w:trPr>
        <w:tc>
          <w:tcPr>
            <w:tcW w:w="2740" w:type="dxa"/>
            <w:tcBorders>
              <w:top w:val="nil"/>
              <w:left w:val="nil"/>
              <w:bottom w:val="single" w:sz="4" w:space="0" w:color="ADD6EA"/>
              <w:right w:val="nil"/>
            </w:tcBorders>
            <w:shd w:val="clear" w:color="auto" w:fill="auto"/>
            <w:vAlign w:val="center"/>
            <w:hideMark/>
          </w:tcPr>
          <w:p w14:paraId="230C41BE" w14:textId="77777777" w:rsidR="001F5293" w:rsidRPr="0074425D" w:rsidRDefault="001F5293" w:rsidP="001F5293">
            <w:pPr>
              <w:keepNext/>
              <w:tabs>
                <w:tab w:val="clear" w:pos="567"/>
              </w:tabs>
              <w:spacing w:before="0" w:line="240" w:lineRule="auto"/>
              <w:rPr>
                <w:rFonts w:eastAsia="Times New Roman" w:cs="Open Sans Light"/>
                <w:color w:val="000000"/>
                <w:sz w:val="16"/>
                <w:szCs w:val="16"/>
                <w:lang w:eastAsia="en-AU"/>
              </w:rPr>
            </w:pPr>
            <w:r w:rsidRPr="0074425D">
              <w:rPr>
                <w:rFonts w:eastAsia="Times New Roman" w:cs="Open Sans Light"/>
                <w:color w:val="000000"/>
                <w:sz w:val="16"/>
                <w:szCs w:val="16"/>
                <w:lang w:eastAsia="en-AU"/>
              </w:rPr>
              <w:t>Non-hospital patient</w:t>
            </w:r>
          </w:p>
        </w:tc>
        <w:tc>
          <w:tcPr>
            <w:tcW w:w="680" w:type="dxa"/>
            <w:tcBorders>
              <w:top w:val="nil"/>
              <w:left w:val="nil"/>
              <w:bottom w:val="single" w:sz="4" w:space="0" w:color="ADD6EA"/>
              <w:right w:val="nil"/>
            </w:tcBorders>
            <w:shd w:val="clear" w:color="auto" w:fill="auto"/>
            <w:noWrap/>
            <w:vAlign w:val="center"/>
            <w:hideMark/>
          </w:tcPr>
          <w:p w14:paraId="2842E812"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-70</w:t>
            </w:r>
          </w:p>
        </w:tc>
        <w:tc>
          <w:tcPr>
            <w:tcW w:w="700" w:type="dxa"/>
            <w:tcBorders>
              <w:top w:val="nil"/>
              <w:left w:val="nil"/>
              <w:bottom w:val="single" w:sz="4" w:space="0" w:color="ADD6EA"/>
              <w:right w:val="nil"/>
            </w:tcBorders>
            <w:shd w:val="clear" w:color="auto" w:fill="auto"/>
            <w:noWrap/>
            <w:vAlign w:val="center"/>
            <w:hideMark/>
          </w:tcPr>
          <w:p w14:paraId="29CDD069"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-70</w:t>
            </w:r>
          </w:p>
        </w:tc>
        <w:tc>
          <w:tcPr>
            <w:tcW w:w="700" w:type="dxa"/>
            <w:tcBorders>
              <w:top w:val="nil"/>
              <w:left w:val="nil"/>
              <w:bottom w:val="single" w:sz="4" w:space="0" w:color="ADD6EA"/>
              <w:right w:val="nil"/>
            </w:tcBorders>
            <w:shd w:val="clear" w:color="auto" w:fill="auto"/>
            <w:noWrap/>
            <w:vAlign w:val="center"/>
            <w:hideMark/>
          </w:tcPr>
          <w:p w14:paraId="57C105C3"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15</w:t>
            </w:r>
          </w:p>
        </w:tc>
        <w:tc>
          <w:tcPr>
            <w:tcW w:w="680" w:type="dxa"/>
            <w:tcBorders>
              <w:top w:val="nil"/>
              <w:left w:val="nil"/>
              <w:bottom w:val="single" w:sz="4" w:space="0" w:color="ADD6EA"/>
              <w:right w:val="nil"/>
            </w:tcBorders>
            <w:shd w:val="clear" w:color="auto" w:fill="auto"/>
            <w:noWrap/>
            <w:vAlign w:val="center"/>
            <w:hideMark/>
          </w:tcPr>
          <w:p w14:paraId="2306FDD5"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65</w:t>
            </w:r>
          </w:p>
        </w:tc>
        <w:tc>
          <w:tcPr>
            <w:tcW w:w="680" w:type="dxa"/>
            <w:tcBorders>
              <w:top w:val="nil"/>
              <w:left w:val="nil"/>
              <w:bottom w:val="single" w:sz="4" w:space="0" w:color="ADD6EA"/>
              <w:right w:val="nil"/>
            </w:tcBorders>
            <w:shd w:val="clear" w:color="auto" w:fill="auto"/>
            <w:noWrap/>
            <w:vAlign w:val="center"/>
            <w:hideMark/>
          </w:tcPr>
          <w:p w14:paraId="5E448EBF"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6</w:t>
            </w:r>
          </w:p>
        </w:tc>
        <w:tc>
          <w:tcPr>
            <w:tcW w:w="680" w:type="dxa"/>
            <w:tcBorders>
              <w:top w:val="nil"/>
              <w:left w:val="nil"/>
              <w:bottom w:val="single" w:sz="4" w:space="0" w:color="ADD6EA"/>
              <w:right w:val="nil"/>
            </w:tcBorders>
            <w:shd w:val="clear" w:color="auto" w:fill="auto"/>
            <w:noWrap/>
            <w:vAlign w:val="center"/>
            <w:hideMark/>
          </w:tcPr>
          <w:p w14:paraId="07252256"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-2</w:t>
            </w:r>
          </w:p>
        </w:tc>
        <w:tc>
          <w:tcPr>
            <w:tcW w:w="680" w:type="dxa"/>
            <w:tcBorders>
              <w:top w:val="nil"/>
              <w:left w:val="nil"/>
              <w:bottom w:val="single" w:sz="4" w:space="0" w:color="ADD6EA"/>
              <w:right w:val="nil"/>
            </w:tcBorders>
            <w:shd w:val="clear" w:color="auto" w:fill="auto"/>
            <w:noWrap/>
            <w:vAlign w:val="center"/>
            <w:hideMark/>
          </w:tcPr>
          <w:p w14:paraId="36A2F4C4"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-4</w:t>
            </w:r>
          </w:p>
        </w:tc>
        <w:tc>
          <w:tcPr>
            <w:tcW w:w="680" w:type="dxa"/>
            <w:tcBorders>
              <w:top w:val="nil"/>
              <w:left w:val="nil"/>
              <w:bottom w:val="single" w:sz="4" w:space="0" w:color="ADD6EA"/>
              <w:right w:val="nil"/>
            </w:tcBorders>
            <w:shd w:val="clear" w:color="auto" w:fill="auto"/>
            <w:noWrap/>
            <w:vAlign w:val="center"/>
            <w:hideMark/>
          </w:tcPr>
          <w:p w14:paraId="2494CD89"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61</w:t>
            </w:r>
          </w:p>
        </w:tc>
        <w:tc>
          <w:tcPr>
            <w:tcW w:w="700" w:type="dxa"/>
            <w:tcBorders>
              <w:top w:val="nil"/>
              <w:left w:val="nil"/>
              <w:bottom w:val="single" w:sz="4" w:space="0" w:color="ADD6EA"/>
              <w:right w:val="nil"/>
            </w:tcBorders>
            <w:shd w:val="clear" w:color="auto" w:fill="auto"/>
            <w:noWrap/>
            <w:vAlign w:val="center"/>
            <w:hideMark/>
          </w:tcPr>
          <w:p w14:paraId="7B9DBB6F" w14:textId="77777777" w:rsidR="001F5293" w:rsidRPr="0074425D" w:rsidRDefault="001F5293" w:rsidP="001F5293">
            <w:pPr>
              <w:keepNext/>
              <w:tabs>
                <w:tab w:val="clear" w:pos="567"/>
              </w:tabs>
              <w:spacing w:before="0" w:line="240" w:lineRule="auto"/>
              <w:jc w:val="right"/>
              <w:rPr>
                <w:rFonts w:eastAsia="Times New Roman" w:cs="Open Sans Light"/>
                <w:color w:val="000000"/>
                <w:sz w:val="16"/>
                <w:szCs w:val="16"/>
                <w:lang w:eastAsia="en-AU"/>
              </w:rPr>
            </w:pPr>
            <w:r w:rsidRPr="0074425D">
              <w:rPr>
                <w:rFonts w:eastAsia="Times New Roman" w:cs="Open Sans Light"/>
                <w:color w:val="000000"/>
                <w:sz w:val="16"/>
                <w:szCs w:val="16"/>
                <w:lang w:eastAsia="en-AU"/>
              </w:rPr>
              <w:t>146</w:t>
            </w:r>
          </w:p>
        </w:tc>
      </w:tr>
      <w:tr w:rsidR="001F5293" w:rsidRPr="0074425D" w14:paraId="76EA0E34" w14:textId="77777777">
        <w:trPr>
          <w:trHeight w:val="315"/>
        </w:trPr>
        <w:tc>
          <w:tcPr>
            <w:tcW w:w="2740" w:type="dxa"/>
            <w:tcBorders>
              <w:top w:val="nil"/>
              <w:left w:val="nil"/>
              <w:bottom w:val="single" w:sz="4" w:space="0" w:color="ADD6EA"/>
              <w:right w:val="nil"/>
            </w:tcBorders>
            <w:shd w:val="clear" w:color="000000" w:fill="D6E7F0"/>
            <w:vAlign w:val="center"/>
            <w:hideMark/>
          </w:tcPr>
          <w:p w14:paraId="63224AFE" w14:textId="77777777" w:rsidR="001F5293" w:rsidRPr="0074425D" w:rsidRDefault="001F5293" w:rsidP="001F5293">
            <w:pPr>
              <w:keepNext/>
              <w:tabs>
                <w:tab w:val="clear" w:pos="567"/>
              </w:tabs>
              <w:spacing w:before="0" w:line="240" w:lineRule="auto"/>
              <w:jc w:val="both"/>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Total ($m)</w:t>
            </w:r>
          </w:p>
        </w:tc>
        <w:tc>
          <w:tcPr>
            <w:tcW w:w="680" w:type="dxa"/>
            <w:tcBorders>
              <w:top w:val="nil"/>
              <w:left w:val="nil"/>
              <w:bottom w:val="single" w:sz="4" w:space="0" w:color="ADD6EA"/>
              <w:right w:val="nil"/>
            </w:tcBorders>
            <w:shd w:val="clear" w:color="000000" w:fill="D6E7F0"/>
            <w:noWrap/>
            <w:vAlign w:val="center"/>
            <w:hideMark/>
          </w:tcPr>
          <w:p w14:paraId="35A3CC1D"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-755</w:t>
            </w:r>
          </w:p>
        </w:tc>
        <w:tc>
          <w:tcPr>
            <w:tcW w:w="700" w:type="dxa"/>
            <w:tcBorders>
              <w:top w:val="nil"/>
              <w:left w:val="nil"/>
              <w:bottom w:val="single" w:sz="4" w:space="0" w:color="ADD6EA"/>
              <w:right w:val="nil"/>
            </w:tcBorders>
            <w:shd w:val="clear" w:color="000000" w:fill="D6E7F0"/>
            <w:noWrap/>
            <w:vAlign w:val="center"/>
            <w:hideMark/>
          </w:tcPr>
          <w:p w14:paraId="67DA4634"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-1,757</w:t>
            </w:r>
          </w:p>
        </w:tc>
        <w:tc>
          <w:tcPr>
            <w:tcW w:w="700" w:type="dxa"/>
            <w:tcBorders>
              <w:top w:val="nil"/>
              <w:left w:val="nil"/>
              <w:bottom w:val="single" w:sz="4" w:space="0" w:color="ADD6EA"/>
              <w:right w:val="nil"/>
            </w:tcBorders>
            <w:shd w:val="clear" w:color="000000" w:fill="D6E7F0"/>
            <w:noWrap/>
            <w:vAlign w:val="center"/>
            <w:hideMark/>
          </w:tcPr>
          <w:p w14:paraId="3BC438A5"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413</w:t>
            </w:r>
          </w:p>
        </w:tc>
        <w:tc>
          <w:tcPr>
            <w:tcW w:w="680" w:type="dxa"/>
            <w:tcBorders>
              <w:top w:val="nil"/>
              <w:left w:val="nil"/>
              <w:bottom w:val="single" w:sz="4" w:space="0" w:color="ADD6EA"/>
              <w:right w:val="nil"/>
            </w:tcBorders>
            <w:shd w:val="clear" w:color="000000" w:fill="D6E7F0"/>
            <w:noWrap/>
            <w:vAlign w:val="center"/>
            <w:hideMark/>
          </w:tcPr>
          <w:p w14:paraId="71BDE02A"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591</w:t>
            </w:r>
          </w:p>
        </w:tc>
        <w:tc>
          <w:tcPr>
            <w:tcW w:w="680" w:type="dxa"/>
            <w:tcBorders>
              <w:top w:val="nil"/>
              <w:left w:val="nil"/>
              <w:bottom w:val="single" w:sz="4" w:space="0" w:color="ADD6EA"/>
              <w:right w:val="nil"/>
            </w:tcBorders>
            <w:shd w:val="clear" w:color="000000" w:fill="D6E7F0"/>
            <w:noWrap/>
            <w:vAlign w:val="center"/>
            <w:hideMark/>
          </w:tcPr>
          <w:p w14:paraId="1C4D9D60"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419</w:t>
            </w:r>
          </w:p>
        </w:tc>
        <w:tc>
          <w:tcPr>
            <w:tcW w:w="680" w:type="dxa"/>
            <w:tcBorders>
              <w:top w:val="nil"/>
              <w:left w:val="nil"/>
              <w:bottom w:val="single" w:sz="4" w:space="0" w:color="ADD6EA"/>
              <w:right w:val="nil"/>
            </w:tcBorders>
            <w:shd w:val="clear" w:color="000000" w:fill="D6E7F0"/>
            <w:noWrap/>
            <w:vAlign w:val="center"/>
            <w:hideMark/>
          </w:tcPr>
          <w:p w14:paraId="689B37ED"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517</w:t>
            </w:r>
          </w:p>
        </w:tc>
        <w:tc>
          <w:tcPr>
            <w:tcW w:w="680" w:type="dxa"/>
            <w:tcBorders>
              <w:top w:val="nil"/>
              <w:left w:val="nil"/>
              <w:bottom w:val="single" w:sz="4" w:space="0" w:color="ADD6EA"/>
              <w:right w:val="nil"/>
            </w:tcBorders>
            <w:shd w:val="clear" w:color="000000" w:fill="D6E7F0"/>
            <w:noWrap/>
            <w:vAlign w:val="center"/>
            <w:hideMark/>
          </w:tcPr>
          <w:p w14:paraId="25BD66F3"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-218</w:t>
            </w:r>
          </w:p>
        </w:tc>
        <w:tc>
          <w:tcPr>
            <w:tcW w:w="680" w:type="dxa"/>
            <w:tcBorders>
              <w:top w:val="nil"/>
              <w:left w:val="nil"/>
              <w:bottom w:val="single" w:sz="4" w:space="0" w:color="ADD6EA"/>
              <w:right w:val="nil"/>
            </w:tcBorders>
            <w:shd w:val="clear" w:color="000000" w:fill="D6E7F0"/>
            <w:noWrap/>
            <w:vAlign w:val="center"/>
            <w:hideMark/>
          </w:tcPr>
          <w:p w14:paraId="6E2348AC"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790</w:t>
            </w:r>
          </w:p>
        </w:tc>
        <w:tc>
          <w:tcPr>
            <w:tcW w:w="700" w:type="dxa"/>
            <w:tcBorders>
              <w:top w:val="nil"/>
              <w:left w:val="nil"/>
              <w:bottom w:val="single" w:sz="4" w:space="0" w:color="ADD6EA"/>
              <w:right w:val="nil"/>
            </w:tcBorders>
            <w:shd w:val="clear" w:color="000000" w:fill="D6E7F0"/>
            <w:noWrap/>
            <w:vAlign w:val="center"/>
            <w:hideMark/>
          </w:tcPr>
          <w:p w14:paraId="5AA7EADD"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2,731</w:t>
            </w:r>
          </w:p>
        </w:tc>
      </w:tr>
      <w:tr w:rsidR="001F5293" w:rsidRPr="0074425D" w14:paraId="172613F5" w14:textId="77777777">
        <w:trPr>
          <w:trHeight w:val="315"/>
        </w:trPr>
        <w:tc>
          <w:tcPr>
            <w:tcW w:w="2740" w:type="dxa"/>
            <w:tcBorders>
              <w:top w:val="nil"/>
              <w:left w:val="nil"/>
              <w:bottom w:val="single" w:sz="4" w:space="0" w:color="ADD6EA"/>
              <w:right w:val="nil"/>
            </w:tcBorders>
            <w:shd w:val="clear" w:color="000000" w:fill="B6D5E4"/>
            <w:vAlign w:val="center"/>
            <w:hideMark/>
          </w:tcPr>
          <w:p w14:paraId="0C2FCCA4" w14:textId="77777777" w:rsidR="001F5293" w:rsidRPr="0074425D" w:rsidRDefault="001F5293" w:rsidP="001F5293">
            <w:pPr>
              <w:keepNext/>
              <w:tabs>
                <w:tab w:val="clear" w:pos="567"/>
              </w:tabs>
              <w:spacing w:before="0" w:line="240" w:lineRule="auto"/>
              <w:jc w:val="both"/>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Total ($pc)</w:t>
            </w:r>
          </w:p>
        </w:tc>
        <w:tc>
          <w:tcPr>
            <w:tcW w:w="680" w:type="dxa"/>
            <w:tcBorders>
              <w:top w:val="nil"/>
              <w:left w:val="nil"/>
              <w:bottom w:val="single" w:sz="4" w:space="0" w:color="ADD6EA"/>
              <w:right w:val="nil"/>
            </w:tcBorders>
            <w:shd w:val="clear" w:color="000000" w:fill="B6D5E4"/>
            <w:noWrap/>
            <w:vAlign w:val="center"/>
            <w:hideMark/>
          </w:tcPr>
          <w:p w14:paraId="20CA6AD9"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-91</w:t>
            </w:r>
          </w:p>
        </w:tc>
        <w:tc>
          <w:tcPr>
            <w:tcW w:w="700" w:type="dxa"/>
            <w:tcBorders>
              <w:top w:val="nil"/>
              <w:left w:val="nil"/>
              <w:bottom w:val="single" w:sz="4" w:space="0" w:color="ADD6EA"/>
              <w:right w:val="nil"/>
            </w:tcBorders>
            <w:shd w:val="clear" w:color="000000" w:fill="B6D5E4"/>
            <w:noWrap/>
            <w:vAlign w:val="center"/>
            <w:hideMark/>
          </w:tcPr>
          <w:p w14:paraId="1071D450"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-259</w:t>
            </w:r>
          </w:p>
        </w:tc>
        <w:tc>
          <w:tcPr>
            <w:tcW w:w="700" w:type="dxa"/>
            <w:tcBorders>
              <w:top w:val="nil"/>
              <w:left w:val="nil"/>
              <w:bottom w:val="single" w:sz="4" w:space="0" w:color="ADD6EA"/>
              <w:right w:val="nil"/>
            </w:tcBorders>
            <w:shd w:val="clear" w:color="000000" w:fill="B6D5E4"/>
            <w:noWrap/>
            <w:vAlign w:val="center"/>
            <w:hideMark/>
          </w:tcPr>
          <w:p w14:paraId="79EAAD7E"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76</w:t>
            </w:r>
          </w:p>
        </w:tc>
        <w:tc>
          <w:tcPr>
            <w:tcW w:w="680" w:type="dxa"/>
            <w:tcBorders>
              <w:top w:val="nil"/>
              <w:left w:val="nil"/>
              <w:bottom w:val="single" w:sz="4" w:space="0" w:color="ADD6EA"/>
              <w:right w:val="nil"/>
            </w:tcBorders>
            <w:shd w:val="clear" w:color="000000" w:fill="B6D5E4"/>
            <w:noWrap/>
            <w:vAlign w:val="center"/>
            <w:hideMark/>
          </w:tcPr>
          <w:p w14:paraId="3B0EAFF6"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208</w:t>
            </w:r>
          </w:p>
        </w:tc>
        <w:tc>
          <w:tcPr>
            <w:tcW w:w="680" w:type="dxa"/>
            <w:tcBorders>
              <w:top w:val="nil"/>
              <w:left w:val="nil"/>
              <w:bottom w:val="single" w:sz="4" w:space="0" w:color="ADD6EA"/>
              <w:right w:val="nil"/>
            </w:tcBorders>
            <w:shd w:val="clear" w:color="000000" w:fill="B6D5E4"/>
            <w:noWrap/>
            <w:vAlign w:val="center"/>
            <w:hideMark/>
          </w:tcPr>
          <w:p w14:paraId="3D814D81"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226</w:t>
            </w:r>
          </w:p>
        </w:tc>
        <w:tc>
          <w:tcPr>
            <w:tcW w:w="680" w:type="dxa"/>
            <w:tcBorders>
              <w:top w:val="nil"/>
              <w:left w:val="nil"/>
              <w:bottom w:val="single" w:sz="4" w:space="0" w:color="ADD6EA"/>
              <w:right w:val="nil"/>
            </w:tcBorders>
            <w:shd w:val="clear" w:color="000000" w:fill="B6D5E4"/>
            <w:noWrap/>
            <w:vAlign w:val="center"/>
            <w:hideMark/>
          </w:tcPr>
          <w:p w14:paraId="24871F3D"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884</w:t>
            </w:r>
          </w:p>
        </w:tc>
        <w:tc>
          <w:tcPr>
            <w:tcW w:w="680" w:type="dxa"/>
            <w:tcBorders>
              <w:top w:val="nil"/>
              <w:left w:val="nil"/>
              <w:bottom w:val="single" w:sz="4" w:space="0" w:color="ADD6EA"/>
              <w:right w:val="nil"/>
            </w:tcBorders>
            <w:shd w:val="clear" w:color="000000" w:fill="B6D5E4"/>
            <w:noWrap/>
            <w:vAlign w:val="center"/>
            <w:hideMark/>
          </w:tcPr>
          <w:p w14:paraId="6EC624AC"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-464</w:t>
            </w:r>
          </w:p>
        </w:tc>
        <w:tc>
          <w:tcPr>
            <w:tcW w:w="680" w:type="dxa"/>
            <w:tcBorders>
              <w:top w:val="nil"/>
              <w:left w:val="nil"/>
              <w:bottom w:val="single" w:sz="4" w:space="0" w:color="ADD6EA"/>
              <w:right w:val="nil"/>
            </w:tcBorders>
            <w:shd w:val="clear" w:color="000000" w:fill="B6D5E4"/>
            <w:noWrap/>
            <w:vAlign w:val="center"/>
            <w:hideMark/>
          </w:tcPr>
          <w:p w14:paraId="4279DF8F"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3,038</w:t>
            </w:r>
          </w:p>
        </w:tc>
        <w:tc>
          <w:tcPr>
            <w:tcW w:w="700" w:type="dxa"/>
            <w:tcBorders>
              <w:top w:val="nil"/>
              <w:left w:val="nil"/>
              <w:bottom w:val="single" w:sz="4" w:space="0" w:color="ADD6EA"/>
              <w:right w:val="nil"/>
            </w:tcBorders>
            <w:shd w:val="clear" w:color="000000" w:fill="B6D5E4"/>
            <w:noWrap/>
            <w:vAlign w:val="center"/>
            <w:hideMark/>
          </w:tcPr>
          <w:p w14:paraId="58823B34" w14:textId="77777777" w:rsidR="001F5293" w:rsidRPr="0074425D" w:rsidRDefault="001F5293" w:rsidP="001F5293">
            <w:pPr>
              <w:keepNext/>
              <w:tabs>
                <w:tab w:val="clear" w:pos="567"/>
              </w:tabs>
              <w:spacing w:before="0" w:line="240" w:lineRule="auto"/>
              <w:jc w:val="right"/>
              <w:rPr>
                <w:rFonts w:eastAsia="Times New Roman" w:cs="Open Sans Light"/>
                <w:b/>
                <w:bCs/>
                <w:color w:val="000000"/>
                <w:sz w:val="16"/>
                <w:szCs w:val="16"/>
                <w:lang w:eastAsia="en-AU"/>
              </w:rPr>
            </w:pPr>
            <w:r w:rsidRPr="0074425D">
              <w:rPr>
                <w:rFonts w:eastAsia="Times New Roman" w:cs="Open Sans Light"/>
                <w:b/>
                <w:bCs/>
                <w:color w:val="000000"/>
                <w:sz w:val="16"/>
                <w:szCs w:val="16"/>
                <w:lang w:eastAsia="en-AU"/>
              </w:rPr>
              <w:t>103</w:t>
            </w:r>
          </w:p>
        </w:tc>
      </w:tr>
    </w:tbl>
    <w:p w14:paraId="2AD85E38" w14:textId="77777777" w:rsidR="001F5293" w:rsidRPr="00214433" w:rsidRDefault="001F5293" w:rsidP="001F5293">
      <w:pPr>
        <w:pStyle w:val="CGCTablenote"/>
        <w:keepNext/>
        <w:rPr>
          <w:rFonts w:ascii="Work Sans" w:hAnsi="Work Sans"/>
        </w:rPr>
      </w:pPr>
      <w:r w:rsidRPr="00214433">
        <w:rPr>
          <w:rFonts w:ascii="Work Sans" w:hAnsi="Work Sans"/>
        </w:rPr>
        <w:t>Source:</w:t>
      </w:r>
      <w:r w:rsidRPr="00214433">
        <w:rPr>
          <w:rFonts w:ascii="Work Sans" w:hAnsi="Work Sans"/>
        </w:rPr>
        <w:tab/>
        <w:t>Commission calculation, 2023 Update.</w:t>
      </w:r>
    </w:p>
    <w:p w14:paraId="54D4C43E" w14:textId="58ED4A40" w:rsidR="003B28F3" w:rsidRPr="003B28F3" w:rsidRDefault="003B28F3" w:rsidP="003B28F3">
      <w:pPr>
        <w:pStyle w:val="CGC2025ParaNumbers"/>
      </w:pPr>
      <w:r w:rsidRPr="003B28F3">
        <w:t xml:space="preserve">Further detail on service provision arrangements, the scope of the adjusted budget and the underlying conceptual cases for assessment methods are explained in </w:t>
      </w:r>
      <w:hyperlink r:id="rId17" w:history="1">
        <w:r w:rsidR="00FA1ECD" w:rsidRPr="00FA1ECD">
          <w:rPr>
            <w:rStyle w:val="Hyperlink"/>
            <w:color w:val="auto"/>
            <w:u w:val="none"/>
          </w:rPr>
          <w:t>v</w:t>
        </w:r>
        <w:r w:rsidRPr="00FA1ECD">
          <w:rPr>
            <w:rStyle w:val="Hyperlink"/>
            <w:color w:val="auto"/>
            <w:u w:val="none"/>
          </w:rPr>
          <w:t>olume 2</w:t>
        </w:r>
        <w:r w:rsidR="00FA1ECD" w:rsidRPr="00FA1ECD">
          <w:rPr>
            <w:rStyle w:val="Hyperlink"/>
            <w:color w:val="auto"/>
            <w:u w:val="none"/>
          </w:rPr>
          <w:t>, c</w:t>
        </w:r>
        <w:r w:rsidRPr="00FA1ECD">
          <w:rPr>
            <w:rStyle w:val="Hyperlink"/>
            <w:color w:val="auto"/>
            <w:u w:val="none"/>
          </w:rPr>
          <w:t>hapter 15</w:t>
        </w:r>
        <w:r w:rsidR="00FA1ECD" w:rsidRPr="00FA1ECD">
          <w:rPr>
            <w:rStyle w:val="Hyperlink"/>
            <w:color w:val="auto"/>
            <w:u w:val="none"/>
          </w:rPr>
          <w:t>,</w:t>
        </w:r>
        <w:r w:rsidRPr="00FA1ECD">
          <w:rPr>
            <w:rStyle w:val="Hyperlink"/>
            <w:color w:val="auto"/>
            <w:u w:val="none"/>
          </w:rPr>
          <w:t xml:space="preserve"> </w:t>
        </w:r>
        <w:r w:rsidRPr="00486D36">
          <w:rPr>
            <w:rStyle w:val="Hyperlink"/>
          </w:rPr>
          <w:t>Report on GST Revenue Sharing Relativities, 2020 Review</w:t>
        </w:r>
      </w:hyperlink>
      <w:r w:rsidRPr="003B28F3">
        <w:t>.</w:t>
      </w:r>
    </w:p>
    <w:p w14:paraId="555B614F" w14:textId="017950CD" w:rsidR="00D45001" w:rsidRPr="00D45001" w:rsidRDefault="00D45001" w:rsidP="005E7BA9">
      <w:pPr>
        <w:pStyle w:val="Heading2"/>
      </w:pPr>
      <w:bookmarkStart w:id="25" w:name="_Toc138753180"/>
      <w:r w:rsidRPr="00D45001">
        <w:t>What has changed since the 2020 Review?</w:t>
      </w:r>
      <w:bookmarkEnd w:id="18"/>
      <w:bookmarkEnd w:id="19"/>
      <w:bookmarkEnd w:id="20"/>
      <w:bookmarkEnd w:id="21"/>
      <w:bookmarkEnd w:id="25"/>
      <w:r w:rsidRPr="00D45001">
        <w:t xml:space="preserve"> </w:t>
      </w:r>
      <w:bookmarkEnd w:id="22"/>
    </w:p>
    <w:p w14:paraId="4EA5C891" w14:textId="77777777" w:rsidR="00344C81" w:rsidRPr="00EE28A4" w:rsidRDefault="00344C81" w:rsidP="00344C81">
      <w:pPr>
        <w:pStyle w:val="CGC2025ParaNumbers"/>
      </w:pPr>
      <w:r w:rsidRPr="3CE52FD9">
        <w:t>Health has been an area of change since the 2020 Review. Data improvements in some areas</w:t>
      </w:r>
      <w:r>
        <w:t>,</w:t>
      </w:r>
      <w:r w:rsidRPr="3CE52FD9">
        <w:t xml:space="preserve"> together with the COVID</w:t>
      </w:r>
      <w:r>
        <w:noBreakHyphen/>
      </w:r>
      <w:r w:rsidRPr="3CE52FD9">
        <w:t>19 experience</w:t>
      </w:r>
      <w:r>
        <w:t>,</w:t>
      </w:r>
      <w:r w:rsidRPr="3CE52FD9">
        <w:t xml:space="preserve"> are key changes and are discussed below. </w:t>
      </w:r>
    </w:p>
    <w:p w14:paraId="3653EB98" w14:textId="1A933060" w:rsidR="00344182" w:rsidRPr="00EE28A4" w:rsidRDefault="00344C81" w:rsidP="00344C81">
      <w:pPr>
        <w:pStyle w:val="CGC2025ParaNumbers"/>
      </w:pPr>
      <w:r w:rsidRPr="3CE52FD9">
        <w:t>In addition, the Commission is aware that there are multiple inquiries under way at both the state and Commonwealth level that may impact on future funding and service provision in the health sector. This includes the Commonwealth’s Strengthening Medicare Taskforce and the Review of National Hospital Funding Agreement. The Commission will continue to monitor the outcomes of inquiries underway and consider any implications for the health assessment.</w:t>
      </w:r>
    </w:p>
    <w:p w14:paraId="1A4FD42D" w14:textId="77777777" w:rsidR="008039BF" w:rsidRDefault="008039BF" w:rsidP="008039BF">
      <w:pPr>
        <w:pStyle w:val="Heading3"/>
      </w:pPr>
      <w:bookmarkStart w:id="26" w:name="_Toc136960241"/>
      <w:bookmarkStart w:id="27" w:name="_Toc138753181"/>
      <w:bookmarkStart w:id="28" w:name="_Toc132729103"/>
      <w:bookmarkStart w:id="29" w:name="_Toc133236150"/>
      <w:bookmarkStart w:id="30" w:name="_Toc133236176"/>
      <w:r>
        <w:t>There was a COVID-19 pandemic</w:t>
      </w:r>
      <w:bookmarkEnd w:id="26"/>
      <w:bookmarkEnd w:id="27"/>
      <w:r>
        <w:t xml:space="preserve"> </w:t>
      </w:r>
    </w:p>
    <w:p w14:paraId="23D4F1A6" w14:textId="4C89CDA5" w:rsidR="00BF59CA" w:rsidRDefault="00705F92" w:rsidP="00D07D12">
      <w:pPr>
        <w:pStyle w:val="CGC2025ParaNumbers"/>
      </w:pPr>
      <w:bookmarkStart w:id="31" w:name="_Hlk129012340"/>
      <w:bookmarkEnd w:id="28"/>
      <w:bookmarkEnd w:id="29"/>
      <w:bookmarkEnd w:id="30"/>
      <w:r w:rsidRPr="56FCA01B">
        <w:t>COVID-19 has been a leading health issue since its onset in 2020. This may have resulted in structural changes to the way states deliver health services or revealed new information on how the health system works. It also drew attention to the limited flexibility the Commission has to respond</w:t>
      </w:r>
      <w:r>
        <w:t xml:space="preserve"> through a method change</w:t>
      </w:r>
      <w:r w:rsidRPr="56FCA01B">
        <w:t xml:space="preserve"> to shocks in a timely manner.</w:t>
      </w:r>
    </w:p>
    <w:p w14:paraId="0F506A85" w14:textId="77777777" w:rsidR="00755F67" w:rsidRPr="00BF59CA" w:rsidRDefault="00755F67" w:rsidP="00755F67">
      <w:pPr>
        <w:pStyle w:val="Heading3"/>
        <w:keepNext/>
      </w:pPr>
      <w:bookmarkStart w:id="32" w:name="_Toc136960242"/>
      <w:bookmarkStart w:id="33" w:name="_Toc138753182"/>
      <w:r>
        <w:lastRenderedPageBreak/>
        <w:t>Improved</w:t>
      </w:r>
      <w:r w:rsidRPr="00BF59CA">
        <w:t xml:space="preserve"> activity data on community mental health services</w:t>
      </w:r>
      <w:r>
        <w:t xml:space="preserve"> are available</w:t>
      </w:r>
      <w:bookmarkEnd w:id="32"/>
      <w:bookmarkEnd w:id="33"/>
    </w:p>
    <w:p w14:paraId="7C9B8D77" w14:textId="77777777" w:rsidR="00D07D12" w:rsidRDefault="00D07D12" w:rsidP="00D07D12">
      <w:pPr>
        <w:pStyle w:val="CGC2025ParaNumbers"/>
      </w:pPr>
      <w:r w:rsidRPr="00BF59CA">
        <w:t xml:space="preserve">The absence of activity data on community and public health services is an ongoing issue for the health assessment. Since the assessment uses proxy data for service usage and cost, it is important to regularly test whether the proxy remains appropriate and whether new data are available that could improve the assessment. </w:t>
      </w:r>
    </w:p>
    <w:p w14:paraId="768F0045" w14:textId="77777777" w:rsidR="00D07D12" w:rsidRDefault="00D07D12" w:rsidP="00D07D12">
      <w:pPr>
        <w:pStyle w:val="CGC2025ParaNumbers"/>
      </w:pPr>
      <w:r w:rsidRPr="00BF59CA">
        <w:t>The Australian Institute of Health and Welfare data on community mental health services continue to improve. This opens up the possibility of developing a direct measure of activity for this element of community health, instead of continuing to rely wholly on hospital data as a proxy.</w:t>
      </w:r>
    </w:p>
    <w:p w14:paraId="3D88A262" w14:textId="78121EBE" w:rsidR="00791669" w:rsidRDefault="00791669" w:rsidP="00791669">
      <w:pPr>
        <w:pStyle w:val="Heading3"/>
      </w:pPr>
      <w:bookmarkStart w:id="34" w:name="_Toc136960243"/>
      <w:bookmarkStart w:id="35" w:name="_Toc138753183"/>
      <w:r>
        <w:t>An a</w:t>
      </w:r>
      <w:r w:rsidRPr="00AD2349">
        <w:t>lternative data source is needed to estimate substitutability between emergency department</w:t>
      </w:r>
      <w:r w:rsidR="00D55094">
        <w:t>s</w:t>
      </w:r>
      <w:r w:rsidRPr="00AD2349">
        <w:t xml:space="preserve"> and non</w:t>
      </w:r>
      <w:r w:rsidRPr="00AD2349">
        <w:noBreakHyphen/>
        <w:t>state health services</w:t>
      </w:r>
      <w:bookmarkEnd w:id="34"/>
      <w:bookmarkEnd w:id="35"/>
    </w:p>
    <w:p w14:paraId="1DD93877" w14:textId="3954A016" w:rsidR="00166CAC" w:rsidRPr="00705F92" w:rsidRDefault="003A1968" w:rsidP="00F94807">
      <w:pPr>
        <w:pStyle w:val="CGC2025ParaNumbers"/>
      </w:pPr>
      <w:r w:rsidRPr="3CE52FD9">
        <w:t>In the 2020 Review, the results of studies using the Australian College of Emergency Medicine definition of general practice type</w:t>
      </w:r>
      <w:r w:rsidR="006128EB">
        <w:t xml:space="preserve"> </w:t>
      </w:r>
      <w:r w:rsidRPr="3CE52FD9">
        <w:t>presentations to emergency departments were used to estimate the level of substitutability between emergency department services and non-state services. These studies have not been updated. However, an alternative method developed by the Australian Institute of Health and Welfare considered during the 2020 Review was updated in 2020</w:t>
      </w:r>
      <w:r w:rsidR="00BE0E0F">
        <w:t>–</w:t>
      </w:r>
      <w:r w:rsidRPr="3CE52FD9">
        <w:t>21 and may be appropriate to use.</w:t>
      </w:r>
    </w:p>
    <w:p w14:paraId="112CD9FC" w14:textId="77777777" w:rsidR="00BB7B9C" w:rsidRPr="00BB7B9C" w:rsidRDefault="00BB7B9C" w:rsidP="00BB7B9C">
      <w:pPr>
        <w:pStyle w:val="Heading2"/>
      </w:pPr>
      <w:bookmarkStart w:id="36" w:name="_Toc121741487"/>
      <w:bookmarkStart w:id="37" w:name="_Toc127428353"/>
      <w:bookmarkStart w:id="38" w:name="_Toc132729106"/>
      <w:bookmarkStart w:id="39" w:name="_Toc133236151"/>
      <w:bookmarkStart w:id="40" w:name="_Toc133236177"/>
      <w:bookmarkStart w:id="41" w:name="_Toc138753184"/>
      <w:bookmarkEnd w:id="31"/>
      <w:r w:rsidRPr="00BB7B9C">
        <w:t>Implications for assessment</w:t>
      </w:r>
      <w:bookmarkEnd w:id="36"/>
      <w:bookmarkEnd w:id="37"/>
      <w:bookmarkEnd w:id="38"/>
      <w:bookmarkEnd w:id="39"/>
      <w:bookmarkEnd w:id="40"/>
      <w:bookmarkEnd w:id="41"/>
    </w:p>
    <w:p w14:paraId="00B357A4" w14:textId="77777777" w:rsidR="00BB7B9C" w:rsidRPr="00F91011" w:rsidRDefault="00BB7B9C" w:rsidP="004477FF">
      <w:pPr>
        <w:pStyle w:val="CGC2025ParaNumbers"/>
      </w:pPr>
      <w:bookmarkStart w:id="42" w:name="_Toc127428354"/>
      <w:r w:rsidRPr="00F91011">
        <w:t>The Commission has identified 3 issues for consideration.</w:t>
      </w:r>
    </w:p>
    <w:p w14:paraId="145154EF" w14:textId="77777777" w:rsidR="003D71FB" w:rsidRDefault="003D71FB" w:rsidP="003D71FB">
      <w:pPr>
        <w:pStyle w:val="CGC2025Bullet1"/>
      </w:pPr>
      <w:bookmarkStart w:id="43" w:name="_Toc132729107"/>
      <w:bookmarkStart w:id="44" w:name="_Toc133236152"/>
      <w:bookmarkStart w:id="45" w:name="_Toc133236178"/>
      <w:bookmarkEnd w:id="42"/>
      <w:r>
        <w:t>Does the COVID</w:t>
      </w:r>
      <w:r>
        <w:noBreakHyphen/>
        <w:t>19 experience necessitate an ongoing change in the health assessment?</w:t>
      </w:r>
    </w:p>
    <w:p w14:paraId="0F341A49" w14:textId="77777777" w:rsidR="003D71FB" w:rsidRPr="00BB7B9C" w:rsidRDefault="003D71FB" w:rsidP="003D71FB">
      <w:pPr>
        <w:pStyle w:val="CGC2025Bullet1"/>
      </w:pPr>
      <w:r>
        <w:t xml:space="preserve">Can </w:t>
      </w:r>
      <w:r w:rsidRPr="00BB7B9C">
        <w:t xml:space="preserve">improvements </w:t>
      </w:r>
      <w:r>
        <w:t xml:space="preserve">be </w:t>
      </w:r>
      <w:r w:rsidRPr="00BB7B9C">
        <w:t>made to measure</w:t>
      </w:r>
      <w:r>
        <w:t>s</w:t>
      </w:r>
      <w:r w:rsidRPr="00BB7B9C">
        <w:t xml:space="preserve"> of use and cost by </w:t>
      </w:r>
      <w:bookmarkStart w:id="46" w:name="_Hlk129179268"/>
      <w:r w:rsidRPr="00BB7B9C">
        <w:t xml:space="preserve">socio-demographic group in the </w:t>
      </w:r>
      <w:bookmarkEnd w:id="46"/>
      <w:r w:rsidRPr="00BB7B9C">
        <w:t>community and public health services assessment</w:t>
      </w:r>
      <w:r>
        <w:t>?</w:t>
      </w:r>
    </w:p>
    <w:p w14:paraId="5CE1249B" w14:textId="77777777" w:rsidR="003D71FB" w:rsidRPr="00BB7B9C" w:rsidRDefault="003D71FB" w:rsidP="003D71FB">
      <w:pPr>
        <w:pStyle w:val="CGC2025Bullet1"/>
      </w:pPr>
      <w:bookmarkStart w:id="47" w:name="_Hlk135926559"/>
      <w:r>
        <w:t>I</w:t>
      </w:r>
      <w:r w:rsidRPr="00BB7B9C">
        <w:t xml:space="preserve">s an </w:t>
      </w:r>
      <w:r>
        <w:t xml:space="preserve">alternative </w:t>
      </w:r>
      <w:r w:rsidRPr="00BB7B9C">
        <w:t xml:space="preserve">data source </w:t>
      </w:r>
      <w:r>
        <w:t xml:space="preserve">available </w:t>
      </w:r>
      <w:r w:rsidRPr="00BB7B9C">
        <w:t xml:space="preserve">to calculate the </w:t>
      </w:r>
      <w:bookmarkStart w:id="48" w:name="_Hlk130492498"/>
      <w:r w:rsidRPr="00BB7B9C">
        <w:t xml:space="preserve">substitutability level </w:t>
      </w:r>
      <w:bookmarkEnd w:id="48"/>
      <w:r w:rsidRPr="00BB7B9C">
        <w:t>for emergency department services</w:t>
      </w:r>
      <w:r>
        <w:t>,</w:t>
      </w:r>
      <w:r w:rsidRPr="00BB7B9C">
        <w:t xml:space="preserve"> and </w:t>
      </w:r>
      <w:r>
        <w:t xml:space="preserve">should </w:t>
      </w:r>
      <w:r w:rsidRPr="00BB7B9C">
        <w:t>data on substitutability levels be updated between reviews</w:t>
      </w:r>
      <w:r>
        <w:t>?</w:t>
      </w:r>
    </w:p>
    <w:p w14:paraId="32CBF014" w14:textId="77777777" w:rsidR="00542DE0" w:rsidRPr="007A3C93" w:rsidRDefault="00542DE0" w:rsidP="00542DE0">
      <w:pPr>
        <w:pStyle w:val="Heading3"/>
        <w:keepNext/>
      </w:pPr>
      <w:bookmarkStart w:id="49" w:name="_Toc136960245"/>
      <w:bookmarkStart w:id="50" w:name="_Toc138753185"/>
      <w:bookmarkStart w:id="51" w:name="_Hlk129013174"/>
      <w:bookmarkEnd w:id="43"/>
      <w:bookmarkEnd w:id="44"/>
      <w:bookmarkEnd w:id="45"/>
      <w:bookmarkEnd w:id="47"/>
      <w:r>
        <w:t>Is there new evidence from the COVID-19 experience that supports changes to the assessment methodology?</w:t>
      </w:r>
      <w:bookmarkEnd w:id="49"/>
      <w:bookmarkEnd w:id="50"/>
    </w:p>
    <w:p w14:paraId="5AC2A8F7" w14:textId="5C32B87D" w:rsidR="00B41E4A" w:rsidRDefault="00B41E4A" w:rsidP="00B41E4A">
      <w:pPr>
        <w:pStyle w:val="CGC2025ParaNumbers"/>
      </w:pPr>
      <w:r>
        <w:t xml:space="preserve">COVID-19 may have resulted in changes to some service arrangements that are ongoing and a permanent increase in some costs. The Commission is interested in state views on whether changes are needed to the </w:t>
      </w:r>
      <w:r w:rsidR="00A82C9E">
        <w:t>h</w:t>
      </w:r>
      <w:r>
        <w:t>ealth assessment given the impact of COVID-19 on health service delivery.</w:t>
      </w:r>
    </w:p>
    <w:p w14:paraId="78D8E6C4" w14:textId="77777777" w:rsidR="00B41E4A" w:rsidRDefault="00B41E4A" w:rsidP="00B41E4A">
      <w:pPr>
        <w:pStyle w:val="CGC2025ParaNumbers"/>
      </w:pPr>
      <w:r>
        <w:t xml:space="preserve">The Commission’s preliminary view is that hospital and non-hospital patient transport assessments remain appropriate in a post-pandemic environment. Data on </w:t>
      </w:r>
      <w:r>
        <w:lastRenderedPageBreak/>
        <w:t>national weighted activity units in different health service settings are a reliable measure of the use and cost of services by socio-demographic group. While there is lag in the data, at this stage there is no more timely alternative measure of hospital activity.</w:t>
      </w:r>
    </w:p>
    <w:p w14:paraId="3419E1A5" w14:textId="77777777" w:rsidR="00B41E4A" w:rsidRDefault="00B41E4A" w:rsidP="00B41E4A">
      <w:pPr>
        <w:pStyle w:val="CGC2025ParaNumbers"/>
      </w:pPr>
      <w:r>
        <w:t>The community and public health assessment, due to its reliance on a proxy measure of activity based on hospital services, was not able to respond to shocks that affected community and public health services differently to hospital services. The Commission’s preliminary view is that the changes proposed in this paper to the community and public health assessment (second issue) are a start to making the assessment more responsive to developments affecting that part of the health system.</w:t>
      </w:r>
    </w:p>
    <w:p w14:paraId="5FF234E8" w14:textId="77777777" w:rsidR="00B41E4A" w:rsidRPr="00701852" w:rsidRDefault="00B41E4A" w:rsidP="00B41E4A">
      <w:pPr>
        <w:pStyle w:val="CGC2025ParaNumbers"/>
      </w:pPr>
      <w:r>
        <w:t xml:space="preserve">The sudden emergence of COVID-19, and the significant public health response of </w:t>
      </w:r>
      <w:r w:rsidRPr="00701852">
        <w:t>Commonwealth and state governments, presented a challenge to the existing GST distribution arrangements.</w:t>
      </w:r>
    </w:p>
    <w:p w14:paraId="5D30EA06" w14:textId="6A0B2762" w:rsidR="00701852" w:rsidRPr="00701852" w:rsidRDefault="00B41E4A" w:rsidP="00410778">
      <w:pPr>
        <w:pStyle w:val="CGC2025ParaNumbers"/>
        <w:rPr>
          <w:szCs w:val="20"/>
        </w:rPr>
      </w:pPr>
      <w:r w:rsidRPr="00701852">
        <w:t xml:space="preserve">Under the National Partnership on COVID-19 Response, which ran from January 2020 to December 2022, </w:t>
      </w:r>
      <w:r w:rsidR="00701852" w:rsidRPr="00701852">
        <w:rPr>
          <w:szCs w:val="20"/>
        </w:rPr>
        <w:t xml:space="preserve">cost sharing arrangements were agreed between Commonwealth and </w:t>
      </w:r>
      <w:r w:rsidR="006B009C">
        <w:rPr>
          <w:szCs w:val="20"/>
        </w:rPr>
        <w:t>s</w:t>
      </w:r>
      <w:r w:rsidR="00701852" w:rsidRPr="00701852">
        <w:rPr>
          <w:szCs w:val="20"/>
        </w:rPr>
        <w:t>tate governments for the additional costs incurred. Each contributed 50% towards costs incurred.</w:t>
      </w:r>
    </w:p>
    <w:p w14:paraId="7F9FC293" w14:textId="4B255D20" w:rsidR="00B41E4A" w:rsidRDefault="00B41E4A" w:rsidP="00B41E4A">
      <w:pPr>
        <w:pStyle w:val="CGC2025ParaNumbers"/>
      </w:pPr>
      <w:r>
        <w:t xml:space="preserve">In the 2021, 2022 and 2023 updates the Commission treated the Commonwealth payments under the National Partnership Agreement as no impact. The basis of this decision was that the drivers of state spending on COVID-19 were different to the usual drivers of state health expenses. As such, this spending was not specifically assessed because the existing health assessment methods could not reliably assess state needs for spending on COVID-19. </w:t>
      </w:r>
    </w:p>
    <w:p w14:paraId="2EF88414" w14:textId="1AB3EE7B" w:rsidR="00B41E4A" w:rsidRDefault="00B41E4A" w:rsidP="00B41E4A">
      <w:pPr>
        <w:pStyle w:val="CGC2025ParaNumbers"/>
      </w:pPr>
      <w:r>
        <w:t>However, the Commission applied the usual drivers of state health expenses to assess the state funded spending under the National Partnership on COVID</w:t>
      </w:r>
      <w:r w:rsidR="00410778">
        <w:t>-</w:t>
      </w:r>
      <w:r>
        <w:t xml:space="preserve">19 Response. This was because any other treatment would involve a method change and the Commission did not have the flexibility to change assessment methods. The long-standing practice has been for methods to be changed only as part of a review, which happens around every </w:t>
      </w:r>
      <w:r w:rsidR="00CA64F4">
        <w:t>5</w:t>
      </w:r>
      <w:r>
        <w:t xml:space="preserve"> years. While this arrangement contributes to the predictability of the GST distribution, it means that horizontal fiscal equalisation outcomes could be compromised when there are sudden shocks, such as a pandemic.</w:t>
      </w:r>
    </w:p>
    <w:p w14:paraId="0EEFC4B7" w14:textId="61955574" w:rsidR="00B41E4A" w:rsidRDefault="00B41E4A" w:rsidP="00B41E4A">
      <w:pPr>
        <w:pStyle w:val="CGC2025ParaNumbers"/>
      </w:pPr>
      <w:r>
        <w:t xml:space="preserve">The case for flexibility to change assessment methods in response to major changes in ‘what states do’ will be considered in a subsequent discussion paper. If new public health threats emerge rapidly in the future and the Commission has flexibility to change methods, a key issue will be whether there are alternative data that could be used to assess the impacts on state budgets in a more timely manner. This would include data from states on spending related to the threat as well as data from states and other sources to identify the drivers of the use and cost of services as a result of the public health threat. </w:t>
      </w:r>
    </w:p>
    <w:p w14:paraId="0D87F439" w14:textId="59F683ED" w:rsidR="00BB7B9C" w:rsidRDefault="00B41E4A">
      <w:pPr>
        <w:pStyle w:val="CGC2025ParaNumbers"/>
      </w:pPr>
      <w:r>
        <w:lastRenderedPageBreak/>
        <w:t>In responding to such a situation, more flexibility could be incorporated into the assessment methodology. For example, the Commission could use the state provided health component expense data for the third assessment year rather than assuming all components grow at the same rate as the overall health category. This would allow the assessment to respond better to circumstances that impact the various components of the health system differently.</w:t>
      </w:r>
      <w:r w:rsidR="00BB7B9C" w:rsidRPr="004477FF">
        <w:t xml:space="preserve"> </w:t>
      </w:r>
    </w:p>
    <w:bookmarkEnd w:id="51"/>
    <w:p w14:paraId="142B4888" w14:textId="640BE914" w:rsidR="00F41E2A" w:rsidRDefault="00F41E2A" w:rsidP="00F41E2A">
      <w:pPr>
        <w:pStyle w:val="Heading4"/>
      </w:pPr>
      <w:r>
        <w:t>Consultation question</w:t>
      </w:r>
      <w:r w:rsidR="0063336F">
        <w:t>s</w:t>
      </w:r>
    </w:p>
    <w:p w14:paraId="7F3BAA2B" w14:textId="08D1FF69" w:rsidR="0049687E" w:rsidRPr="002F190D" w:rsidRDefault="001923ED" w:rsidP="0049687E">
      <w:r w:rsidRPr="001C4DF3">
        <w:rPr>
          <w:noProof/>
        </w:rPr>
        <mc:AlternateContent>
          <mc:Choice Requires="wps">
            <w:drawing>
              <wp:inline distT="0" distB="0" distL="0" distR="0" wp14:anchorId="7B4026B3" wp14:editId="64BDBE2F">
                <wp:extent cx="5495925" cy="1571625"/>
                <wp:effectExtent l="0" t="0" r="9525" b="952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95925" cy="1571625"/>
                        </a:xfrm>
                        <a:prstGeom prst="rect">
                          <a:avLst/>
                        </a:prstGeom>
                        <a:solidFill>
                          <a:srgbClr val="EBF3F5"/>
                        </a:solidFill>
                        <a:ln w="25400" cap="flat" cmpd="sng" algn="ctr">
                          <a:noFill/>
                          <a:prstDash val="solid"/>
                        </a:ln>
                        <a:effectLst/>
                      </wps:spPr>
                      <wps:txbx>
                        <w:txbxContent>
                          <w:p w14:paraId="4293B311" w14:textId="02A41B54" w:rsidR="00405E6C" w:rsidRPr="00405E6C" w:rsidRDefault="00405E6C" w:rsidP="00405E6C">
                            <w:pPr>
                              <w:pStyle w:val="CGC2025QuestionNumbers"/>
                              <w:rPr>
                                <w:rFonts w:eastAsia="Times New Roman" w:cs="Times New Roman"/>
                                <w:lang w:eastAsia="en-AU"/>
                              </w:rPr>
                            </w:pPr>
                            <w:r w:rsidRPr="00405E6C">
                              <w:rPr>
                                <w:rFonts w:eastAsia="Times New Roman" w:cs="Times New Roman"/>
                                <w:lang w:eastAsia="en-AU"/>
                              </w:rPr>
                              <w:t>Do states agree that in a post-pandemic environment, the hospital and patient transport assessments remain fit for purpose?</w:t>
                            </w:r>
                          </w:p>
                          <w:p w14:paraId="37496692" w14:textId="2D7C4103" w:rsidR="00405E6C" w:rsidRPr="00405E6C" w:rsidRDefault="00405E6C" w:rsidP="00405E6C">
                            <w:pPr>
                              <w:pStyle w:val="CGC2025QuestionNumbers"/>
                              <w:rPr>
                                <w:rFonts w:eastAsia="Times New Roman" w:cs="Times New Roman"/>
                                <w:lang w:eastAsia="en-AU"/>
                              </w:rPr>
                            </w:pPr>
                            <w:r w:rsidRPr="00405E6C">
                              <w:rPr>
                                <w:rFonts w:eastAsia="Times New Roman" w:cs="Times New Roman"/>
                                <w:lang w:eastAsia="en-AU"/>
                              </w:rPr>
                              <w:t>Do states agree that the proposed changes to the community and public health assessment in this paper will contribute to making the assessment more responsive to developments affecting this part of the health system</w:t>
                            </w:r>
                            <w:r w:rsidR="00207675">
                              <w:rPr>
                                <w:rFonts w:eastAsia="Times New Roman" w:cs="Times New Roman"/>
                                <w:lang w:eastAsia="en-AU"/>
                              </w:rPr>
                              <w:t>?</w:t>
                            </w:r>
                          </w:p>
                          <w:p w14:paraId="1786E022" w14:textId="0BF77883" w:rsidR="00284B22" w:rsidRPr="00284B22" w:rsidRDefault="00405E6C" w:rsidP="00405E6C">
                            <w:pPr>
                              <w:pStyle w:val="CGC2025QuestionNumbers"/>
                            </w:pPr>
                            <w:r w:rsidRPr="00405E6C">
                              <w:rPr>
                                <w:rFonts w:eastAsia="Times New Roman" w:cs="Times New Roman"/>
                                <w:lang w:eastAsia="en-AU"/>
                              </w:rPr>
                              <w:t>Do states consider the experiences with the COVID-19 pandemic have implications for the health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4026B3" id="Rectangle 23" o:spid="_x0000_s1029" alt="&quot;&quot;" style="width:432.75pt;height:1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" fillcolor="#ebf3f5" stroked="f" strokeweight="2pt">
                <v:textbox>
                  <w:txbxContent>
                    <w:p w14:paraId="4293B311" w14:textId="02A41B54" w:rsidR="00405E6C" w:rsidRPr="00405E6C" w:rsidRDefault="00405E6C" w:rsidP="00405E6C">
                      <w:pPr>
                        <w:pStyle w:val="CGC2025QuestionNumbers"/>
                        <w:rPr>
                          <w:rFonts w:eastAsia="Times New Roman" w:cs="Times New Roman"/>
                          <w:lang w:eastAsia="en-AU"/>
                        </w:rPr>
                      </w:pPr>
                      <w:r w:rsidRPr="00405E6C">
                        <w:rPr>
                          <w:rFonts w:eastAsia="Times New Roman" w:cs="Times New Roman"/>
                          <w:lang w:eastAsia="en-AU"/>
                        </w:rPr>
                        <w:t>Do states agree that in a post-pandemic environment, the hospital and patient transport assessments remain fit for purpose?</w:t>
                      </w:r>
                    </w:p>
                    <w:p w14:paraId="37496692" w14:textId="2D7C4103" w:rsidR="00405E6C" w:rsidRPr="00405E6C" w:rsidRDefault="00405E6C" w:rsidP="00405E6C">
                      <w:pPr>
                        <w:pStyle w:val="CGC2025QuestionNumbers"/>
                        <w:rPr>
                          <w:rFonts w:eastAsia="Times New Roman" w:cs="Times New Roman"/>
                          <w:lang w:eastAsia="en-AU"/>
                        </w:rPr>
                      </w:pPr>
                      <w:r w:rsidRPr="00405E6C">
                        <w:rPr>
                          <w:rFonts w:eastAsia="Times New Roman" w:cs="Times New Roman"/>
                          <w:lang w:eastAsia="en-AU"/>
                        </w:rPr>
                        <w:t>Do states agree that the proposed changes to the community and public health assessment in this paper will contribute to making the assessment more responsive to developments affecting this part of the health system</w:t>
                      </w:r>
                      <w:r w:rsidR="00207675">
                        <w:rPr>
                          <w:rFonts w:eastAsia="Times New Roman" w:cs="Times New Roman"/>
                          <w:lang w:eastAsia="en-AU"/>
                        </w:rPr>
                        <w:t>?</w:t>
                      </w:r>
                    </w:p>
                    <w:p w14:paraId="1786E022" w14:textId="0BF77883" w:rsidR="00284B22" w:rsidRPr="00284B22" w:rsidRDefault="00405E6C" w:rsidP="00405E6C">
                      <w:pPr>
                        <w:pStyle w:val="CGC2025QuestionNumbers"/>
                      </w:pPr>
                      <w:r w:rsidRPr="00405E6C">
                        <w:rPr>
                          <w:rFonts w:eastAsia="Times New Roman" w:cs="Times New Roman"/>
                          <w:lang w:eastAsia="en-AU"/>
                        </w:rPr>
                        <w:t>Do states consider the experiences with the COVID-19 pandemic have implications for the health assessment?</w:t>
                      </w:r>
                    </w:p>
                  </w:txbxContent>
                </v:textbox>
                <w10:anchorlock/>
              </v:rect>
            </w:pict>
          </mc:Fallback>
        </mc:AlternateContent>
      </w:r>
    </w:p>
    <w:p w14:paraId="5CF41895" w14:textId="00B5C122" w:rsidR="00264FD6" w:rsidRPr="00ED73DE" w:rsidRDefault="00592B4E" w:rsidP="00264FD6">
      <w:pPr>
        <w:pStyle w:val="Heading3"/>
      </w:pPr>
      <w:bookmarkStart w:id="52" w:name="_Toc132729109"/>
      <w:bookmarkStart w:id="53" w:name="_Toc133236153"/>
      <w:bookmarkStart w:id="54" w:name="_Toc133236179"/>
      <w:bookmarkStart w:id="55" w:name="_Toc138753186"/>
      <w:r w:rsidRPr="00592B4E">
        <w:t>Can the measure of service use and cost by socio</w:t>
      </w:r>
      <w:r w:rsidR="003E61EF">
        <w:t>-</w:t>
      </w:r>
      <w:r w:rsidRPr="00592B4E">
        <w:t>demographic group in the community and public health assessment be improved?</w:t>
      </w:r>
      <w:bookmarkEnd w:id="52"/>
      <w:bookmarkEnd w:id="53"/>
      <w:bookmarkEnd w:id="54"/>
      <w:bookmarkEnd w:id="55"/>
    </w:p>
    <w:p w14:paraId="547E9FD7" w14:textId="40AF2E6C" w:rsidR="00042271" w:rsidRPr="00226999" w:rsidRDefault="00042271" w:rsidP="00226999">
      <w:pPr>
        <w:pStyle w:val="CGC2025ParaNumbers"/>
        <w:rPr>
          <w:bCs/>
        </w:rPr>
      </w:pPr>
      <w:r w:rsidRPr="00042271">
        <w:t>States deliver community health programs classified by the ABS Government Finance Statistics framework into 4 groups</w:t>
      </w:r>
      <w:r w:rsidR="00EC2BBF">
        <w:t xml:space="preserve"> </w:t>
      </w:r>
      <w:r w:rsidR="00EC2BBF" w:rsidRPr="007A2542">
        <w:t>(</w:t>
      </w:r>
      <w:r w:rsidR="00B10C17">
        <w:fldChar w:fldCharType="begin"/>
      </w:r>
      <w:r w:rsidR="00B10C17">
        <w:instrText xml:space="preserve"> REF _Ref138752771 \h </w:instrText>
      </w:r>
      <w:r w:rsidR="00B10C17">
        <w:fldChar w:fldCharType="separate"/>
      </w:r>
      <w:r w:rsidR="00312054" w:rsidRPr="00EC2BBF">
        <w:rPr>
          <w:bCs/>
        </w:rPr>
        <w:t xml:space="preserve">Figure </w:t>
      </w:r>
      <w:r w:rsidR="00312054">
        <w:rPr>
          <w:bCs/>
          <w:noProof/>
        </w:rPr>
        <w:t>1</w:t>
      </w:r>
      <w:r w:rsidR="00B10C17">
        <w:fldChar w:fldCharType="end"/>
      </w:r>
      <w:r w:rsidR="00B10C17">
        <w:t>)</w:t>
      </w:r>
      <w:r w:rsidRPr="007A2542">
        <w:t>.</w:t>
      </w:r>
      <w:r w:rsidRPr="00042271">
        <w:t xml:space="preserve"> Community mental health services comprise close to 30% of the total community and public health spending. In recent years state expenditure on community mental health services declined for some states, as resources were reallocated to public health during the COVID-19 pandemic. However, anecdotal evidence suggests that demand has dramatically increased since the COVID-19 pandemic so the proportion of state expenditure on this component is expected to increase. </w:t>
      </w:r>
    </w:p>
    <w:p w14:paraId="113FF8D5" w14:textId="77777777" w:rsidR="00DB3651" w:rsidRDefault="00DB3651">
      <w:pPr>
        <w:tabs>
          <w:tab w:val="clear" w:pos="567"/>
        </w:tabs>
        <w:spacing w:before="0" w:after="200" w:line="276" w:lineRule="auto"/>
        <w:rPr>
          <w:rFonts w:ascii="Work Sans" w:hAnsi="Work Sans"/>
          <w:b/>
          <w:bCs/>
        </w:rPr>
      </w:pPr>
      <w:bookmarkStart w:id="56" w:name="_Ref138160440"/>
      <w:r>
        <w:rPr>
          <w:bCs/>
        </w:rPr>
        <w:br w:type="page"/>
      </w:r>
    </w:p>
    <w:p w14:paraId="1FB8D005" w14:textId="69D1EFBB" w:rsidR="00042271" w:rsidRPr="00EC2BBF" w:rsidRDefault="002C08D4" w:rsidP="00EC2BBF">
      <w:pPr>
        <w:pStyle w:val="CGC2025Caption"/>
        <w:ind w:left="1134" w:hanging="1134"/>
        <w:rPr>
          <w:bCs/>
        </w:rPr>
      </w:pPr>
      <w:bookmarkStart w:id="57" w:name="_Ref138752771"/>
      <w:r w:rsidRPr="00EC2BBF">
        <w:rPr>
          <w:bCs/>
        </w:rPr>
        <w:lastRenderedPageBreak/>
        <w:t xml:space="preserve">Figure </w:t>
      </w:r>
      <w:r w:rsidRPr="00EC2BBF">
        <w:rPr>
          <w:bCs/>
        </w:rPr>
        <w:fldChar w:fldCharType="begin"/>
      </w:r>
      <w:r w:rsidRPr="00EC2BBF">
        <w:rPr>
          <w:bCs/>
        </w:rPr>
        <w:instrText xml:space="preserve"> SEQ Figure \* ARABIC </w:instrText>
      </w:r>
      <w:r w:rsidRPr="00EC2BBF">
        <w:rPr>
          <w:bCs/>
        </w:rPr>
        <w:fldChar w:fldCharType="separate"/>
      </w:r>
      <w:r w:rsidR="00312054">
        <w:rPr>
          <w:bCs/>
          <w:noProof/>
        </w:rPr>
        <w:t>1</w:t>
      </w:r>
      <w:r w:rsidRPr="00EC2BBF">
        <w:rPr>
          <w:bCs/>
        </w:rPr>
        <w:fldChar w:fldCharType="end"/>
      </w:r>
      <w:bookmarkEnd w:id="56"/>
      <w:bookmarkEnd w:id="57"/>
      <w:r w:rsidR="001D742D" w:rsidRPr="00EC2BBF">
        <w:rPr>
          <w:bCs/>
        </w:rPr>
        <w:tab/>
      </w:r>
      <w:r w:rsidR="000A14F8" w:rsidRPr="00EC2BBF">
        <w:rPr>
          <w:bCs/>
        </w:rPr>
        <w:t>Composition of community and public health expenses</w:t>
      </w:r>
    </w:p>
    <w:p w14:paraId="379AE949" w14:textId="77777777" w:rsidR="00D73691" w:rsidRDefault="00D73691" w:rsidP="00D73691">
      <w:pPr>
        <w:pStyle w:val="CGCNumberedPara"/>
        <w:keepNext/>
        <w:numPr>
          <w:ilvl w:val="0"/>
          <w:numId w:val="0"/>
        </w:numPr>
        <w:rPr>
          <w:rFonts w:ascii="Work Sans" w:hAnsi="Work Sans"/>
          <w:sz w:val="20"/>
        </w:rPr>
      </w:pPr>
      <w:r w:rsidRPr="00300687">
        <w:rPr>
          <w:noProof/>
        </w:rPr>
        <w:drawing>
          <wp:inline distT="0" distB="0" distL="0" distR="0" wp14:anchorId="5567305D" wp14:editId="72B74B14">
            <wp:extent cx="5517364" cy="33147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56422" cy="3338165"/>
                    </a:xfrm>
                    <a:prstGeom prst="rect">
                      <a:avLst/>
                    </a:prstGeom>
                    <a:noFill/>
                    <a:ln>
                      <a:noFill/>
                    </a:ln>
                  </pic:spPr>
                </pic:pic>
              </a:graphicData>
            </a:graphic>
          </wp:inline>
        </w:drawing>
      </w:r>
    </w:p>
    <w:p w14:paraId="4CF45B81" w14:textId="77777777" w:rsidR="00D73691" w:rsidRPr="00214433" w:rsidRDefault="00D73691" w:rsidP="00D73691">
      <w:pPr>
        <w:pStyle w:val="CGCTablenote"/>
        <w:keepNext/>
        <w:rPr>
          <w:rFonts w:ascii="Work Sans" w:hAnsi="Work Sans"/>
        </w:rPr>
      </w:pPr>
      <w:r w:rsidRPr="00214433">
        <w:rPr>
          <w:rFonts w:ascii="Work Sans" w:hAnsi="Work Sans"/>
        </w:rPr>
        <w:t>Source:</w:t>
      </w:r>
      <w:r w:rsidRPr="00214433">
        <w:rPr>
          <w:rFonts w:ascii="Work Sans" w:hAnsi="Work Sans"/>
        </w:rPr>
        <w:tab/>
        <w:t>ABS Government Finance Statistics (GFS) by classifications of the functions of government (COFOG).</w:t>
      </w:r>
    </w:p>
    <w:p w14:paraId="6A70D9E8" w14:textId="77777777" w:rsidR="000A14F8" w:rsidRPr="000A14F8" w:rsidRDefault="000A14F8" w:rsidP="000A14F8">
      <w:pPr>
        <w:pStyle w:val="CGC2025TableNote"/>
      </w:pPr>
    </w:p>
    <w:p w14:paraId="621EA364" w14:textId="1073AB88" w:rsidR="009C1B59" w:rsidRDefault="009C1B59" w:rsidP="009C1B59">
      <w:pPr>
        <w:pStyle w:val="CGC2025ParaNumbers"/>
      </w:pPr>
      <w:r>
        <w:t>Fit</w:t>
      </w:r>
      <w:r w:rsidR="00BE31B5">
        <w:t>-</w:t>
      </w:r>
      <w:r>
        <w:t>for</w:t>
      </w:r>
      <w:r w:rsidR="00BE31B5">
        <w:t>-</w:t>
      </w:r>
      <w:r>
        <w:t>purpose national data on the use and cost of the various programs that comprise the community and public health component, by population group and location, are not available. Hence</w:t>
      </w:r>
      <w:r w:rsidR="005B5E5A">
        <w:t>,</w:t>
      </w:r>
      <w:r>
        <w:t xml:space="preserve"> the 2020 </w:t>
      </w:r>
      <w:r w:rsidR="005B5E5A">
        <w:t xml:space="preserve">Review </w:t>
      </w:r>
      <w:r>
        <w:t>methodology uses proxy data to estimate activity – national weighted activity unit data on emergency department triage categories 4 and 5 (lower priority cases). The lower priority emergency department services provide treatment for less severe injuries or minor illnesses. These are closer than other emergency department services to the types of primary health services provided in community health centres.</w:t>
      </w:r>
    </w:p>
    <w:p w14:paraId="4C6F2F09" w14:textId="77777777" w:rsidR="009C1B59" w:rsidRDefault="009C1B59" w:rsidP="009C1B59">
      <w:pPr>
        <w:pStyle w:val="CGC2025ParaNumbers"/>
      </w:pPr>
      <w:r>
        <w:t>In the 2020 Review, the Commission requested data from states on usage of community health services. Only a limited amount of data was provided. The Commission used the data to provide assurance that the proxy indicator was reasonably reliable. However, the state data could not be used to develop a direct measure of activity.</w:t>
      </w:r>
    </w:p>
    <w:p w14:paraId="606C41D6" w14:textId="0C841036" w:rsidR="009C1B59" w:rsidRDefault="009C1B59" w:rsidP="009C1B59">
      <w:pPr>
        <w:pStyle w:val="CGC2025ParaNumbers"/>
      </w:pPr>
      <w:r>
        <w:t>A problem with using a proxy indicator was highlighted by the COVID-19 pandemic. While there was a large increase and changes in the pattern of state spending on community and public health, the assessment did not reflect this because the emergency department triage data w</w:t>
      </w:r>
      <w:r w:rsidR="00A75077">
        <w:t>ere</w:t>
      </w:r>
      <w:r>
        <w:t xml:space="preserve"> being driven by </w:t>
      </w:r>
      <w:r w:rsidR="00767BEF">
        <w:t>different</w:t>
      </w:r>
      <w:r>
        <w:t xml:space="preserve"> factors (with activity declining in 2019</w:t>
      </w:r>
      <w:r w:rsidR="00AD51E1">
        <w:t>–</w:t>
      </w:r>
      <w:r>
        <w:t xml:space="preserve">20). </w:t>
      </w:r>
    </w:p>
    <w:p w14:paraId="34269937" w14:textId="77777777" w:rsidR="009C1B59" w:rsidRDefault="009C1B59" w:rsidP="009C1B59">
      <w:pPr>
        <w:pStyle w:val="CGC2025ParaNumbers"/>
      </w:pPr>
      <w:r>
        <w:t>The following sections present alternative indicators that have been considered.</w:t>
      </w:r>
    </w:p>
    <w:p w14:paraId="66D5707B" w14:textId="77777777" w:rsidR="00DB3651" w:rsidRDefault="00DB3651">
      <w:pPr>
        <w:tabs>
          <w:tab w:val="clear" w:pos="567"/>
        </w:tabs>
        <w:spacing w:before="0" w:after="200" w:line="276" w:lineRule="auto"/>
        <w:rPr>
          <w:rFonts w:ascii="Work Sans" w:eastAsiaTheme="majorEastAsia" w:hAnsi="Work Sans" w:cstheme="majorBidi"/>
          <w:b/>
          <w:bCs/>
          <w:iCs/>
          <w:color w:val="006991"/>
          <w:sz w:val="24"/>
        </w:rPr>
      </w:pPr>
      <w:r>
        <w:br w:type="page"/>
      </w:r>
    </w:p>
    <w:p w14:paraId="25DAABBE" w14:textId="5E39B4AE" w:rsidR="009C1B59" w:rsidRDefault="004900BA" w:rsidP="00014225">
      <w:pPr>
        <w:pStyle w:val="Heading4"/>
      </w:pPr>
      <w:r w:rsidRPr="004900BA">
        <w:lastRenderedPageBreak/>
        <w:t>Option 1: Direct measure of activity for community mental health services</w:t>
      </w:r>
    </w:p>
    <w:p w14:paraId="5909DAF3" w14:textId="75ABBADA" w:rsidR="00510FA2" w:rsidRDefault="00510FA2" w:rsidP="00510FA2">
      <w:pPr>
        <w:pStyle w:val="CGC2025ParaNumbers"/>
      </w:pPr>
      <w:r>
        <w:t xml:space="preserve">The Commission has investigated whether new data from the Australian Institute of Health and Welfare on community mental health are more fit for purpose and reliable than the current proxy. This includes whether the data would better capture changes over time in the use of services. </w:t>
      </w:r>
    </w:p>
    <w:p w14:paraId="6A21845A" w14:textId="3342FC10" w:rsidR="00510FA2" w:rsidRDefault="00510FA2" w:rsidP="00510FA2">
      <w:pPr>
        <w:pStyle w:val="CGC2025ParaNumbers"/>
      </w:pPr>
      <w:r>
        <w:t>The Australian Institute of Health and Welfare has activity data on state government funded and operated community mental health services in the National Community Mental Health Care Database. It also includes hospital-based ambulatory care services</w:t>
      </w:r>
      <w:r w:rsidR="00676CC6">
        <w:t>,</w:t>
      </w:r>
      <w:r>
        <w:t xml:space="preserve"> such as outpatients and day clinics. The states provide data annually. Data for 2020</w:t>
      </w:r>
      <w:r w:rsidR="008A2EF0">
        <w:t>–</w:t>
      </w:r>
      <w:r>
        <w:t>21 were released by the Australian Institute of Health and Welfare in November 2022. It estimated that the data captures between 86</w:t>
      </w:r>
      <w:r w:rsidR="00D741B9">
        <w:t>–</w:t>
      </w:r>
      <w:r>
        <w:t>100% of all community mental health service contacts in 2020</w:t>
      </w:r>
      <w:r w:rsidR="002B12AB">
        <w:t>–</w:t>
      </w:r>
      <w:r>
        <w:t xml:space="preserve">21. </w:t>
      </w:r>
    </w:p>
    <w:p w14:paraId="22DF5600" w14:textId="58C8C0E4" w:rsidR="00510FA2" w:rsidRDefault="00510FA2" w:rsidP="00510FA2">
      <w:pPr>
        <w:pStyle w:val="CGC2025ParaNumbers"/>
      </w:pPr>
      <w:r>
        <w:t>The National Community Mental Health Care Database has data on service use by demographic characteristics including Indigenous status, age, remoteness, and socio</w:t>
      </w:r>
      <w:r w:rsidR="003A5D52">
        <w:noBreakHyphen/>
      </w:r>
      <w:r>
        <w:t xml:space="preserve">economic status. These are all drivers of differences in state spending needs in the current health assessment. It includes service provision information such as contact duration but has no information on the specific type of service provided. </w:t>
      </w:r>
    </w:p>
    <w:p w14:paraId="6CF307A7" w14:textId="77777777" w:rsidR="00510FA2" w:rsidRDefault="00510FA2" w:rsidP="00510FA2">
      <w:pPr>
        <w:pStyle w:val="CGC2025ParaNumbers"/>
      </w:pPr>
      <w:r>
        <w:t xml:space="preserve">One drawback with the Australian Institute of Health and Welfare community mental health data is the lack of cost weights. As such, the cost of routine/short duration services cannot be differentiated from more complex services and the cost of services performed in major cities cannot be differentiated from services performed in regional and remote areas. </w:t>
      </w:r>
    </w:p>
    <w:p w14:paraId="427980B6" w14:textId="0AB2A45D" w:rsidR="00510FA2" w:rsidRPr="00B20C8E" w:rsidRDefault="00510FA2" w:rsidP="00510FA2">
      <w:pPr>
        <w:pStyle w:val="CGC2025ParaNumbers"/>
      </w:pPr>
      <w:r>
        <w:t>A comparison of the current proxy data (which reflect use and cost weights) and the community mental health data shows that in each data source relative per capita spending for First Nations and non-Indigenous patients as well as the top and bottom socio-economic status brackets are quite similar. There are some differences with respect to age between the current proxy and the community mental health data. The community mental health data show higher per capita community mental health activity for those aged 15</w:t>
      </w:r>
      <w:r w:rsidR="000A00A2">
        <w:t>–</w:t>
      </w:r>
      <w:r>
        <w:t xml:space="preserve">44 than the current </w:t>
      </w:r>
      <w:r w:rsidRPr="00B20C8E">
        <w:t>proxy (</w:t>
      </w:r>
      <w:r w:rsidR="004129F1">
        <w:fldChar w:fldCharType="begin"/>
      </w:r>
      <w:r w:rsidR="004129F1">
        <w:instrText xml:space="preserve"> REF _Ref138161002 \h </w:instrText>
      </w:r>
      <w:r w:rsidR="004129F1">
        <w:fldChar w:fldCharType="separate"/>
      </w:r>
      <w:r w:rsidR="00312054" w:rsidRPr="007E119B">
        <w:rPr>
          <w:bCs/>
        </w:rPr>
        <w:t>Table B</w:t>
      </w:r>
      <w:r w:rsidR="00312054">
        <w:rPr>
          <w:bCs/>
          <w:noProof/>
        </w:rPr>
        <w:t>1</w:t>
      </w:r>
      <w:r w:rsidR="004129F1">
        <w:fldChar w:fldCharType="end"/>
      </w:r>
      <w:r w:rsidRPr="00B20C8E">
        <w:t>).</w:t>
      </w:r>
    </w:p>
    <w:p w14:paraId="4424E312" w14:textId="14AF6132" w:rsidR="005F1283" w:rsidRDefault="00510FA2" w:rsidP="00425B6E">
      <w:pPr>
        <w:pStyle w:val="CGC2025ParaNumbers"/>
      </w:pPr>
      <w:r w:rsidRPr="00B20C8E">
        <w:t>The major difference between the current proxy and the community mental health data is with respect to remoteness (</w:t>
      </w:r>
      <w:r w:rsidR="00425B6E">
        <w:fldChar w:fldCharType="begin"/>
      </w:r>
      <w:r w:rsidR="00425B6E">
        <w:instrText xml:space="preserve"> REF _Ref138752802 \h </w:instrText>
      </w:r>
      <w:r w:rsidR="00425B6E">
        <w:fldChar w:fldCharType="separate"/>
      </w:r>
      <w:r w:rsidR="00312054">
        <w:t xml:space="preserve">Figure </w:t>
      </w:r>
      <w:r w:rsidR="00312054">
        <w:rPr>
          <w:noProof/>
        </w:rPr>
        <w:t>2</w:t>
      </w:r>
      <w:r w:rsidR="00425B6E">
        <w:fldChar w:fldCharType="end"/>
      </w:r>
      <w:r w:rsidRPr="007A2542">
        <w:t>)</w:t>
      </w:r>
      <w:r w:rsidRPr="00B20C8E">
        <w:t>. Remoteness is</w:t>
      </w:r>
      <w:r>
        <w:t xml:space="preserve"> a key driver of cost- weighted activity in the current proxy but is much less of a driver in the community mental health data. This could reflect differences i</w:t>
      </w:r>
      <w:r w:rsidR="005F1283">
        <w:t>n:</w:t>
      </w:r>
    </w:p>
    <w:p w14:paraId="2398B343" w14:textId="7C159B87" w:rsidR="003660DB" w:rsidRDefault="003660DB" w:rsidP="003660DB">
      <w:pPr>
        <w:pStyle w:val="CGC2025Bullet1"/>
      </w:pPr>
      <w:r>
        <w:t xml:space="preserve">access to community mental health services in remote areas compared </w:t>
      </w:r>
      <w:r w:rsidR="0094299E">
        <w:t>with</w:t>
      </w:r>
      <w:r>
        <w:t xml:space="preserve"> emergency department services</w:t>
      </w:r>
    </w:p>
    <w:p w14:paraId="3421D886" w14:textId="3D2A8E4E" w:rsidR="003660DB" w:rsidRDefault="003660DB" w:rsidP="003660DB">
      <w:pPr>
        <w:pStyle w:val="CGC2025Bullet1"/>
      </w:pPr>
      <w:r>
        <w:t xml:space="preserve">differences in the pattern of use for community mental health services compared to emergency department services or </w:t>
      </w:r>
    </w:p>
    <w:p w14:paraId="775775B3" w14:textId="77987F70" w:rsidR="003A5D52" w:rsidRDefault="003660DB">
      <w:pPr>
        <w:pStyle w:val="CGC2025Bullet1"/>
      </w:pPr>
      <w:r>
        <w:t>the lack of cost weights in the community mental health data.</w:t>
      </w:r>
    </w:p>
    <w:p w14:paraId="7E3EBE25" w14:textId="77777777" w:rsidR="00DB3651" w:rsidRDefault="00DB3651">
      <w:pPr>
        <w:tabs>
          <w:tab w:val="clear" w:pos="567"/>
        </w:tabs>
        <w:spacing w:before="0" w:after="200" w:line="276" w:lineRule="auto"/>
        <w:rPr>
          <w:rFonts w:ascii="Work Sans" w:hAnsi="Work Sans"/>
          <w:b/>
        </w:rPr>
      </w:pPr>
      <w:bookmarkStart w:id="58" w:name="_Ref138161051"/>
      <w:r>
        <w:br w:type="page"/>
      </w:r>
    </w:p>
    <w:p w14:paraId="6DA7D4C8" w14:textId="7ACADF44" w:rsidR="00292C19" w:rsidRDefault="003660DB" w:rsidP="00D37807">
      <w:pPr>
        <w:pStyle w:val="CGC2025Caption"/>
        <w:ind w:left="1134" w:hanging="1134"/>
      </w:pPr>
      <w:bookmarkStart w:id="59" w:name="_Ref138752802"/>
      <w:r>
        <w:lastRenderedPageBreak/>
        <w:t xml:space="preserve">Figure </w:t>
      </w:r>
      <w:r w:rsidRPr="12B6223B">
        <w:fldChar w:fldCharType="begin"/>
      </w:r>
      <w:r>
        <w:instrText xml:space="preserve"> SEQ Figure \* ARABIC </w:instrText>
      </w:r>
      <w:r w:rsidRPr="12B6223B">
        <w:fldChar w:fldCharType="separate"/>
      </w:r>
      <w:r w:rsidR="00312054">
        <w:rPr>
          <w:noProof/>
        </w:rPr>
        <w:t>2</w:t>
      </w:r>
      <w:r w:rsidRPr="12B6223B">
        <w:rPr>
          <w:noProof/>
        </w:rPr>
        <w:fldChar w:fldCharType="end"/>
      </w:r>
      <w:bookmarkEnd w:id="58"/>
      <w:bookmarkEnd w:id="59"/>
      <w:r>
        <w:tab/>
      </w:r>
      <w:r w:rsidR="00292C19">
        <w:t xml:space="preserve">Current community health proxy compared </w:t>
      </w:r>
      <w:r w:rsidR="00F12AB3">
        <w:t>with</w:t>
      </w:r>
      <w:r w:rsidR="00292C19">
        <w:t xml:space="preserve"> community mental health activity measures, 2020</w:t>
      </w:r>
      <w:r w:rsidR="00F12AB3">
        <w:t>–</w:t>
      </w:r>
      <w:r w:rsidR="00292C19">
        <w:t>21</w:t>
      </w:r>
    </w:p>
    <w:p w14:paraId="3BA737E0" w14:textId="3418F240" w:rsidR="00EF341A" w:rsidRDefault="5074E797" w:rsidP="12B6223B">
      <w:pPr>
        <w:rPr>
          <w:rFonts w:eastAsia="Calibri" w:cs="Arial"/>
          <w:szCs w:val="20"/>
        </w:rPr>
      </w:pPr>
      <w:r>
        <w:rPr>
          <w:noProof/>
        </w:rPr>
        <w:drawing>
          <wp:inline distT="0" distB="0" distL="0" distR="0" wp14:anchorId="1EBF0013" wp14:editId="4BCCFF3D">
            <wp:extent cx="5057775" cy="3076813"/>
            <wp:effectExtent l="0" t="0" r="0" b="0"/>
            <wp:docPr id="1953661697" name="Picture 195366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57775" cy="3076813"/>
                    </a:xfrm>
                    <a:prstGeom prst="rect">
                      <a:avLst/>
                    </a:prstGeom>
                  </pic:spPr>
                </pic:pic>
              </a:graphicData>
            </a:graphic>
          </wp:inline>
        </w:drawing>
      </w:r>
    </w:p>
    <w:p w14:paraId="07E16C2E" w14:textId="5A06A3FE" w:rsidR="003135E8" w:rsidRPr="00214433" w:rsidRDefault="003135E8" w:rsidP="00AA7D7B">
      <w:pPr>
        <w:pStyle w:val="CGCTablenote"/>
        <w:tabs>
          <w:tab w:val="clear" w:pos="567"/>
          <w:tab w:val="left" w:pos="426"/>
        </w:tabs>
        <w:ind w:left="709" w:hanging="596"/>
        <w:rPr>
          <w:rFonts w:ascii="Work Sans" w:hAnsi="Work Sans"/>
        </w:rPr>
      </w:pPr>
      <w:r w:rsidRPr="707E9E70">
        <w:rPr>
          <w:rFonts w:ascii="Work Sans" w:hAnsi="Work Sans"/>
        </w:rPr>
        <w:t>Note:</w:t>
      </w:r>
      <w:r>
        <w:tab/>
      </w:r>
      <w:r w:rsidRPr="707E9E70">
        <w:rPr>
          <w:rFonts w:ascii="Work Sans" w:hAnsi="Work Sans"/>
        </w:rPr>
        <w:t>Relative per capita spending is calculated by dividing the share of expenses attributed to each group by their share of total population. Supporting data provided in Appendix B</w:t>
      </w:r>
      <w:r w:rsidR="008778F9" w:rsidRPr="707E9E70">
        <w:rPr>
          <w:rFonts w:ascii="Work Sans" w:hAnsi="Work Sans"/>
        </w:rPr>
        <w:t>,</w:t>
      </w:r>
      <w:r w:rsidRPr="707E9E70">
        <w:rPr>
          <w:rFonts w:ascii="Work Sans" w:hAnsi="Work Sans"/>
        </w:rPr>
        <w:t xml:space="preserve"> Table B1.</w:t>
      </w:r>
    </w:p>
    <w:p w14:paraId="6DFFD981" w14:textId="188FEA0A" w:rsidR="003135E8" w:rsidRPr="00214433" w:rsidRDefault="003135E8" w:rsidP="00AA7D7B">
      <w:pPr>
        <w:pStyle w:val="CGCTablenote"/>
        <w:tabs>
          <w:tab w:val="clear" w:pos="567"/>
          <w:tab w:val="left" w:pos="426"/>
        </w:tabs>
        <w:ind w:left="709" w:hanging="596"/>
        <w:rPr>
          <w:rFonts w:ascii="Work Sans" w:hAnsi="Work Sans"/>
        </w:rPr>
      </w:pPr>
      <w:r w:rsidRPr="00214433">
        <w:rPr>
          <w:rFonts w:ascii="Work Sans" w:hAnsi="Work Sans"/>
        </w:rPr>
        <w:t>Source:</w:t>
      </w:r>
      <w:r w:rsidRPr="00214433">
        <w:rPr>
          <w:rFonts w:ascii="Work Sans" w:hAnsi="Work Sans"/>
        </w:rPr>
        <w:tab/>
      </w:r>
      <w:r w:rsidRPr="00214433">
        <w:rPr>
          <w:rFonts w:ascii="Work Sans" w:hAnsi="Work Sans"/>
        </w:rPr>
        <w:tab/>
        <w:t>Commonwealth Grants Commission calculation using Independent Health and Aged Care Pricing Cost Authority data and data from Australian Institute of Health and Welfare, Community mental health care services tables 2020</w:t>
      </w:r>
      <w:r w:rsidR="008007B7">
        <w:rPr>
          <w:rFonts w:ascii="Work Sans" w:hAnsi="Work Sans"/>
        </w:rPr>
        <w:t>–</w:t>
      </w:r>
      <w:r w:rsidRPr="00214433">
        <w:rPr>
          <w:rFonts w:ascii="Work Sans" w:hAnsi="Work Sans"/>
        </w:rPr>
        <w:t>21.</w:t>
      </w:r>
    </w:p>
    <w:p w14:paraId="6B70AE9D" w14:textId="77777777" w:rsidR="00A76917" w:rsidRPr="00206C64" w:rsidRDefault="00A76917" w:rsidP="00E86C6A">
      <w:pPr>
        <w:pStyle w:val="CGC2025ParaNumbers"/>
      </w:pPr>
      <w:r w:rsidRPr="12B6223B">
        <w:t>Options to address the lack of cost weights include:</w:t>
      </w:r>
    </w:p>
    <w:p w14:paraId="7CB5ACFB" w14:textId="5CCA55B2" w:rsidR="00134344" w:rsidRPr="007A3C93" w:rsidRDefault="00FE0A07" w:rsidP="00134344">
      <w:pPr>
        <w:pStyle w:val="CGC2025Bullet1"/>
      </w:pPr>
      <w:r>
        <w:t>a</w:t>
      </w:r>
      <w:r w:rsidR="00134344" w:rsidRPr="007A3C93">
        <w:t>pply</w:t>
      </w:r>
      <w:r w:rsidR="00676C47">
        <w:t>ing</w:t>
      </w:r>
      <w:r w:rsidR="00134344" w:rsidRPr="007A3C93">
        <w:t xml:space="preserve"> regional cost and service delivery scale adjustments, based on hospital data</w:t>
      </w:r>
      <w:r w:rsidR="00134344" w:rsidRPr="00796A81">
        <w:rPr>
          <w:rStyle w:val="FootnoteReference"/>
        </w:rPr>
        <w:footnoteReference w:id="2"/>
      </w:r>
      <w:r w:rsidR="00134344" w:rsidRPr="007A3C93">
        <w:t xml:space="preserve"> </w:t>
      </w:r>
    </w:p>
    <w:p w14:paraId="60BA1DF4" w14:textId="04867CB0" w:rsidR="00134344" w:rsidRPr="00206C64" w:rsidRDefault="006C204C" w:rsidP="00134344">
      <w:pPr>
        <w:pStyle w:val="CGC2025Bullet2"/>
      </w:pPr>
      <w:r>
        <w:fldChar w:fldCharType="begin"/>
      </w:r>
      <w:r>
        <w:instrText xml:space="preserve"> REF _Ref138752841 \h </w:instrText>
      </w:r>
      <w:r>
        <w:fldChar w:fldCharType="separate"/>
      </w:r>
      <w:r w:rsidR="00312054">
        <w:t xml:space="preserve">Figure </w:t>
      </w:r>
      <w:r w:rsidR="00312054">
        <w:rPr>
          <w:noProof/>
        </w:rPr>
        <w:t>3</w:t>
      </w:r>
      <w:r>
        <w:fldChar w:fldCharType="end"/>
      </w:r>
      <w:r>
        <w:t xml:space="preserve"> </w:t>
      </w:r>
      <w:r w:rsidR="00134344" w:rsidRPr="007A2542">
        <w:t xml:space="preserve">and </w:t>
      </w:r>
      <w:r w:rsidR="007A2542">
        <w:fldChar w:fldCharType="begin"/>
      </w:r>
      <w:r w:rsidR="007A2542">
        <w:instrText xml:space="preserve"> REF _Ref138161157 \h </w:instrText>
      </w:r>
      <w:r w:rsidR="007A2542">
        <w:fldChar w:fldCharType="separate"/>
      </w:r>
      <w:r w:rsidR="00312054" w:rsidRPr="007B7F08">
        <w:rPr>
          <w:bCs/>
        </w:rPr>
        <w:t>Table B</w:t>
      </w:r>
      <w:r w:rsidR="00312054">
        <w:rPr>
          <w:bCs/>
          <w:noProof/>
        </w:rPr>
        <w:t>2</w:t>
      </w:r>
      <w:r w:rsidR="007A2542">
        <w:fldChar w:fldCharType="end"/>
      </w:r>
      <w:r w:rsidR="00134344" w:rsidRPr="007A2542">
        <w:t xml:space="preserve"> com</w:t>
      </w:r>
      <w:r w:rsidR="00134344" w:rsidRPr="00206C64">
        <w:t xml:space="preserve">pare the current proxy with the </w:t>
      </w:r>
      <w:r w:rsidR="00134344">
        <w:t>2</w:t>
      </w:r>
      <w:r w:rsidR="00134344" w:rsidRPr="00206C64">
        <w:t xml:space="preserve"> community mental health indicators after applying remoteness adjustments. Applying regional cost and service delivery scale adjustments would bring the measure based on data from the Australian Institute of Health and Welfare closer to the current proxy. </w:t>
      </w:r>
    </w:p>
    <w:p w14:paraId="5F1C14BF" w14:textId="0FA3CC1B" w:rsidR="00134344" w:rsidRPr="007A3C93" w:rsidRDefault="00FE0A07" w:rsidP="00134344">
      <w:pPr>
        <w:pStyle w:val="CGC2025Bullet1"/>
      </w:pPr>
      <w:r>
        <w:t>a</w:t>
      </w:r>
      <w:r w:rsidR="00134344" w:rsidRPr="007A3C93">
        <w:t>djust</w:t>
      </w:r>
      <w:r w:rsidR="00002ECC">
        <w:t>ing</w:t>
      </w:r>
      <w:r w:rsidR="00134344" w:rsidRPr="007A3C93">
        <w:t xml:space="preserve"> for differences in average expenditure by target population (age), using the approach below. </w:t>
      </w:r>
    </w:p>
    <w:p w14:paraId="155E3160" w14:textId="002C2FE8" w:rsidR="008C446A" w:rsidRPr="00206C64" w:rsidRDefault="008C446A" w:rsidP="008C446A">
      <w:pPr>
        <w:pStyle w:val="CGC2025Bullet2"/>
      </w:pPr>
      <w:r w:rsidRPr="00206C64">
        <w:t xml:space="preserve">The Australian Institute of Health and Welfare has </w:t>
      </w:r>
      <w:r>
        <w:t>2</w:t>
      </w:r>
      <w:r w:rsidRPr="00206C64">
        <w:t xml:space="preserve"> associated datasets on mental health. The National Community Mental Health Care Database has activity data while</w:t>
      </w:r>
      <w:r w:rsidRPr="00206C64" w:rsidDel="00B53815">
        <w:t xml:space="preserve"> </w:t>
      </w:r>
      <w:r w:rsidRPr="00206C64">
        <w:t>the National Mental Health Establishments Database</w:t>
      </w:r>
      <w:r>
        <w:t xml:space="preserve"> </w:t>
      </w:r>
      <w:r w:rsidRPr="00206C64">
        <w:t>has expenditure data.</w:t>
      </w:r>
      <w:r w:rsidR="00A60D2F" w:rsidRPr="00796A81">
        <w:rPr>
          <w:rStyle w:val="FootnoteReference"/>
        </w:rPr>
        <w:footnoteReference w:id="3"/>
      </w:r>
      <w:r w:rsidRPr="00206C64">
        <w:t xml:space="preserve"> </w:t>
      </w:r>
    </w:p>
    <w:p w14:paraId="5998FBC7" w14:textId="77777777" w:rsidR="008C446A" w:rsidRPr="00206C64" w:rsidRDefault="008C446A" w:rsidP="008C446A">
      <w:pPr>
        <w:pStyle w:val="CGC2025Bullet2"/>
      </w:pPr>
      <w:r w:rsidRPr="00206C64">
        <w:t>The Commission could explore whether the expenditure data can be used to add cost weights to the activity data on number of service contacts/patients.</w:t>
      </w:r>
    </w:p>
    <w:p w14:paraId="666EC8DB" w14:textId="77777777" w:rsidR="00DB3651" w:rsidRDefault="00DB3651">
      <w:pPr>
        <w:tabs>
          <w:tab w:val="clear" w:pos="567"/>
        </w:tabs>
        <w:spacing w:before="0" w:after="200" w:line="276" w:lineRule="auto"/>
        <w:rPr>
          <w:rFonts w:ascii="Work Sans" w:hAnsi="Work Sans"/>
          <w:b/>
        </w:rPr>
      </w:pPr>
      <w:bookmarkStart w:id="60" w:name="_Ref138161136"/>
      <w:r>
        <w:br w:type="page"/>
      </w:r>
    </w:p>
    <w:p w14:paraId="6AA65F0E" w14:textId="4D038C1F" w:rsidR="005F1283" w:rsidRDefault="00277B7E" w:rsidP="00D37807">
      <w:pPr>
        <w:pStyle w:val="CGC2025Caption"/>
        <w:ind w:left="1134" w:hanging="1134"/>
      </w:pPr>
      <w:bookmarkStart w:id="61" w:name="_Ref138752841"/>
      <w:r>
        <w:lastRenderedPageBreak/>
        <w:t xml:space="preserve">Figure </w:t>
      </w:r>
      <w:r w:rsidRPr="12B6223B">
        <w:fldChar w:fldCharType="begin"/>
      </w:r>
      <w:r>
        <w:instrText xml:space="preserve"> SEQ Figure \* ARABIC </w:instrText>
      </w:r>
      <w:r w:rsidRPr="12B6223B">
        <w:fldChar w:fldCharType="separate"/>
      </w:r>
      <w:r w:rsidR="00312054">
        <w:rPr>
          <w:noProof/>
        </w:rPr>
        <w:t>3</w:t>
      </w:r>
      <w:r w:rsidRPr="12B6223B">
        <w:rPr>
          <w:noProof/>
        </w:rPr>
        <w:fldChar w:fldCharType="end"/>
      </w:r>
      <w:bookmarkEnd w:id="60"/>
      <w:bookmarkEnd w:id="61"/>
      <w:r>
        <w:tab/>
      </w:r>
      <w:r w:rsidR="00D37807">
        <w:t xml:space="preserve">Current community health proxy compared </w:t>
      </w:r>
      <w:r w:rsidR="00B535E9">
        <w:t>with</w:t>
      </w:r>
      <w:r w:rsidR="00D37807">
        <w:t xml:space="preserve"> community mental health activity measures with remoteness adjustments, 2020</w:t>
      </w:r>
      <w:r w:rsidR="00B535E9">
        <w:t>–</w:t>
      </w:r>
      <w:r w:rsidR="00D37807">
        <w:t>21</w:t>
      </w:r>
    </w:p>
    <w:p w14:paraId="5DCF20A2" w14:textId="7CC5782E" w:rsidR="002C30D3" w:rsidRDefault="6805A8FD" w:rsidP="12B6223B">
      <w:pPr>
        <w:rPr>
          <w:rFonts w:eastAsia="Calibri" w:cs="Arial"/>
          <w:szCs w:val="20"/>
        </w:rPr>
      </w:pPr>
      <w:r>
        <w:rPr>
          <w:noProof/>
        </w:rPr>
        <w:drawing>
          <wp:inline distT="0" distB="0" distL="0" distR="0" wp14:anchorId="3FAC24AC" wp14:editId="260842BC">
            <wp:extent cx="5411856" cy="3111818"/>
            <wp:effectExtent l="0" t="0" r="0" b="0"/>
            <wp:docPr id="1671258484" name="Picture 167125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11856" cy="3111818"/>
                    </a:xfrm>
                    <a:prstGeom prst="rect">
                      <a:avLst/>
                    </a:prstGeom>
                  </pic:spPr>
                </pic:pic>
              </a:graphicData>
            </a:graphic>
          </wp:inline>
        </w:drawing>
      </w:r>
    </w:p>
    <w:p w14:paraId="68D0E6B6" w14:textId="4CBF82A6" w:rsidR="002C30D3" w:rsidRPr="00214433" w:rsidRDefault="000B638D" w:rsidP="008A18AD">
      <w:pPr>
        <w:pStyle w:val="CGCTablenote"/>
        <w:ind w:left="709" w:hanging="596"/>
        <w:rPr>
          <w:rFonts w:ascii="Work Sans" w:hAnsi="Work Sans"/>
        </w:rPr>
      </w:pPr>
      <w:r>
        <w:rPr>
          <w:rFonts w:ascii="Work Sans" w:hAnsi="Work Sans"/>
        </w:rPr>
        <w:t>Note:</w:t>
      </w:r>
      <w:r w:rsidR="00BC543C">
        <w:rPr>
          <w:rFonts w:ascii="Work Sans" w:hAnsi="Work Sans"/>
        </w:rPr>
        <w:tab/>
      </w:r>
      <w:r w:rsidR="00BC543C">
        <w:rPr>
          <w:rFonts w:ascii="Work Sans" w:hAnsi="Work Sans"/>
        </w:rPr>
        <w:tab/>
      </w:r>
      <w:r w:rsidR="002C30D3" w:rsidRPr="00214433">
        <w:rPr>
          <w:rFonts w:ascii="Work Sans" w:hAnsi="Work Sans"/>
        </w:rPr>
        <w:t>Relative per capita spending is calculated by dividing the share of expenses attributed to each group by their share of total population. Supporting data provided in Appendix B</w:t>
      </w:r>
      <w:r w:rsidR="004549A2">
        <w:rPr>
          <w:rFonts w:ascii="Work Sans" w:hAnsi="Work Sans"/>
        </w:rPr>
        <w:t>,</w:t>
      </w:r>
      <w:r w:rsidR="002C30D3" w:rsidRPr="00214433">
        <w:rPr>
          <w:rFonts w:ascii="Work Sans" w:hAnsi="Work Sans"/>
        </w:rPr>
        <w:t xml:space="preserve"> Table B1.</w:t>
      </w:r>
    </w:p>
    <w:p w14:paraId="312FC064" w14:textId="39ADB8DB" w:rsidR="002C30D3" w:rsidRPr="00214433" w:rsidRDefault="002C30D3" w:rsidP="008A18AD">
      <w:pPr>
        <w:pStyle w:val="CGCTablenote"/>
        <w:ind w:left="709" w:hanging="596"/>
        <w:rPr>
          <w:rFonts w:ascii="Work Sans" w:hAnsi="Work Sans"/>
        </w:rPr>
      </w:pPr>
      <w:r w:rsidRPr="00214433">
        <w:rPr>
          <w:rFonts w:ascii="Work Sans" w:hAnsi="Work Sans"/>
        </w:rPr>
        <w:tab/>
      </w:r>
      <w:r w:rsidR="008A18AD" w:rsidRPr="00214433">
        <w:rPr>
          <w:rFonts w:ascii="Work Sans" w:hAnsi="Work Sans"/>
        </w:rPr>
        <w:tab/>
      </w:r>
      <w:r w:rsidRPr="00214433">
        <w:rPr>
          <w:rFonts w:ascii="Work Sans" w:hAnsi="Work Sans"/>
        </w:rPr>
        <w:t>The AIHW indicators include Commission adjustments for regional costs and service delivery scale based on IHACPA data on remoteness adjustments and relative expenditure on small rural and remote hospitals.</w:t>
      </w:r>
    </w:p>
    <w:p w14:paraId="0FF481DD" w14:textId="5CD68BD0" w:rsidR="002C30D3" w:rsidRPr="00214433" w:rsidRDefault="002C30D3" w:rsidP="008A18AD">
      <w:pPr>
        <w:pStyle w:val="CGCTablenote"/>
        <w:ind w:left="709" w:hanging="596"/>
        <w:rPr>
          <w:rFonts w:ascii="Work Sans" w:hAnsi="Work Sans"/>
        </w:rPr>
      </w:pPr>
      <w:r w:rsidRPr="00214433">
        <w:rPr>
          <w:rFonts w:ascii="Work Sans" w:hAnsi="Work Sans"/>
        </w:rPr>
        <w:t xml:space="preserve">Source: </w:t>
      </w:r>
      <w:r w:rsidRPr="00214433">
        <w:rPr>
          <w:rFonts w:ascii="Work Sans" w:hAnsi="Work Sans"/>
        </w:rPr>
        <w:tab/>
        <w:t>CGC calculation using</w:t>
      </w:r>
      <w:r w:rsidR="008A18AD" w:rsidRPr="00214433">
        <w:rPr>
          <w:rFonts w:ascii="Work Sans" w:hAnsi="Work Sans"/>
        </w:rPr>
        <w:t xml:space="preserve"> unpublished</w:t>
      </w:r>
      <w:r w:rsidRPr="00214433">
        <w:rPr>
          <w:rFonts w:ascii="Work Sans" w:hAnsi="Work Sans"/>
        </w:rPr>
        <w:t xml:space="preserve"> IH</w:t>
      </w:r>
      <w:r w:rsidR="008A18AD" w:rsidRPr="00214433">
        <w:rPr>
          <w:rFonts w:ascii="Work Sans" w:hAnsi="Work Sans"/>
        </w:rPr>
        <w:t>AC</w:t>
      </w:r>
      <w:r w:rsidRPr="00214433">
        <w:rPr>
          <w:rFonts w:ascii="Work Sans" w:hAnsi="Work Sans"/>
        </w:rPr>
        <w:t>PA data</w:t>
      </w:r>
      <w:r w:rsidR="0079404D" w:rsidRPr="00214433">
        <w:rPr>
          <w:rFonts w:ascii="Work Sans" w:hAnsi="Work Sans"/>
        </w:rPr>
        <w:t>;</w:t>
      </w:r>
      <w:r w:rsidRPr="00214433">
        <w:rPr>
          <w:rFonts w:ascii="Work Sans" w:hAnsi="Work Sans"/>
        </w:rPr>
        <w:t xml:space="preserve"> AIHW Mental health services in Australia: Community mental health care 2020</w:t>
      </w:r>
      <w:r w:rsidR="00B535E9">
        <w:rPr>
          <w:rFonts w:ascii="Work Sans" w:hAnsi="Work Sans"/>
        </w:rPr>
        <w:t>–</w:t>
      </w:r>
      <w:r w:rsidRPr="00214433">
        <w:rPr>
          <w:rFonts w:ascii="Work Sans" w:hAnsi="Work Sans"/>
        </w:rPr>
        <w:t>21.</w:t>
      </w:r>
    </w:p>
    <w:p w14:paraId="172DE4B3" w14:textId="77777777" w:rsidR="006535EE" w:rsidRPr="00206C64" w:rsidRDefault="006535EE" w:rsidP="006535EE">
      <w:pPr>
        <w:pStyle w:val="CGC2025ParaNumbers"/>
      </w:pPr>
      <w:r>
        <w:t>While community mental health services comprise a significant proportion of state spending on community and public health expenses, it would not be sufficient to represent the whole component. The suitability of other Australian Institute of Health and Welfare datasets, such as those on alcohol and drug treatment and dental health were considered. However, these data have limitations. In addition to the lack of cost weights, the data on alcohol and drug treatments are based on a small number of clients, while the data on dental health applies to the total population rather than to community dental health clients.</w:t>
      </w:r>
    </w:p>
    <w:p w14:paraId="3184588C" w14:textId="12FD0F57" w:rsidR="00DB3651" w:rsidRPr="007D495A" w:rsidRDefault="006535EE" w:rsidP="007D495A">
      <w:pPr>
        <w:pStyle w:val="CGC2025ParaNumbers"/>
      </w:pPr>
      <w:r>
        <w:t xml:space="preserve">In the absence of a reliable alternative, the Commission proposes that the current proxy (or an alternative as discussed in the next section) be used for the balance of the community and public health component assessment. </w:t>
      </w:r>
    </w:p>
    <w:p w14:paraId="7CF71144" w14:textId="77777777" w:rsidR="00A94F59" w:rsidRDefault="00A94F59">
      <w:pPr>
        <w:tabs>
          <w:tab w:val="clear" w:pos="567"/>
        </w:tabs>
        <w:spacing w:before="0" w:after="200" w:line="276" w:lineRule="auto"/>
        <w:rPr>
          <w:rFonts w:ascii="Work Sans" w:eastAsiaTheme="majorEastAsia" w:hAnsi="Work Sans" w:cstheme="majorBidi"/>
          <w:b/>
          <w:bCs/>
          <w:iCs/>
          <w:color w:val="006991"/>
          <w:sz w:val="24"/>
        </w:rPr>
      </w:pPr>
      <w:r>
        <w:br w:type="page"/>
      </w:r>
    </w:p>
    <w:p w14:paraId="62EFB95B" w14:textId="11E79976" w:rsidR="008D1E8F" w:rsidRPr="007746ED" w:rsidRDefault="008D1E8F" w:rsidP="008D1E8F">
      <w:pPr>
        <w:pStyle w:val="Heading4"/>
      </w:pPr>
      <w:r w:rsidRPr="007746ED">
        <w:lastRenderedPageBreak/>
        <w:t xml:space="preserve">Option 2: Alternative proxy indicator of activity based on a broader measure of hospital services </w:t>
      </w:r>
    </w:p>
    <w:p w14:paraId="2B584A03" w14:textId="0ECF5205" w:rsidR="00BA704F" w:rsidRDefault="00BA704F" w:rsidP="00BA704F">
      <w:pPr>
        <w:pStyle w:val="CGC2025ParaNumbers"/>
      </w:pPr>
      <w:r w:rsidRPr="007746ED">
        <w:t xml:space="preserve">An alternative </w:t>
      </w:r>
      <w:r w:rsidRPr="3CE52FD9">
        <w:t>to using emergency department national weighted activity unit data for triage categories 4 and 5 as the proxy indicator is to expand it to include non</w:t>
      </w:r>
      <w:r w:rsidR="00173557">
        <w:noBreakHyphen/>
      </w:r>
      <w:r w:rsidRPr="3CE52FD9">
        <w:t>admitted patient services.</w:t>
      </w:r>
      <w:r>
        <w:rPr>
          <w:rStyle w:val="FootnoteReference"/>
        </w:rPr>
        <w:footnoteReference w:id="4"/>
      </w:r>
      <w:r w:rsidRPr="3CE52FD9">
        <w:t xml:space="preserve"> Non-admitted</w:t>
      </w:r>
      <w:r w:rsidR="003D55F6">
        <w:t xml:space="preserve"> </w:t>
      </w:r>
      <w:r w:rsidRPr="3CE52FD9">
        <w:t xml:space="preserve">patient services include medical consultations and allied health services, which are also similar to community health services. In keeping with the practicality supporting principle, the Commission would only broaden the current proxy measure if there was evidence that the data are fit for purpose and use of the data improves the reliability of the assessment. </w:t>
      </w:r>
    </w:p>
    <w:p w14:paraId="751C1DD8" w14:textId="21959016" w:rsidR="00BA704F" w:rsidRPr="002A0292" w:rsidRDefault="0097004D" w:rsidP="00BA704F">
      <w:pPr>
        <w:pStyle w:val="CGC2025ParaNumbers"/>
      </w:pPr>
      <w:r>
        <w:fldChar w:fldCharType="begin"/>
      </w:r>
      <w:r>
        <w:instrText xml:space="preserve"> REF _Ref138752930 \h </w:instrText>
      </w:r>
      <w:r>
        <w:fldChar w:fldCharType="separate"/>
      </w:r>
      <w:r w:rsidR="00312054">
        <w:t xml:space="preserve">Figure </w:t>
      </w:r>
      <w:r w:rsidR="00312054">
        <w:rPr>
          <w:noProof/>
        </w:rPr>
        <w:t>4</w:t>
      </w:r>
      <w:r>
        <w:fldChar w:fldCharType="end"/>
      </w:r>
      <w:r>
        <w:t xml:space="preserve"> </w:t>
      </w:r>
      <w:r w:rsidR="00BA704F">
        <w:t xml:space="preserve">shows relative per capita spending based on the current proxy compared with the proposed broader measure for major cities, regional and remote areas. Per capita spending is higher in regional and remote areas based on the current proxy. </w:t>
      </w:r>
    </w:p>
    <w:p w14:paraId="52B1CF9E" w14:textId="733D0CDB" w:rsidR="00BA704F" w:rsidRPr="002A0292" w:rsidRDefault="00BA704F" w:rsidP="00BA704F">
      <w:pPr>
        <w:pStyle w:val="CGC2025ParaNumbers"/>
      </w:pPr>
      <w:r w:rsidRPr="3CE52FD9">
        <w:t>Emergency departments are the most accessible parts of the health system. Non</w:t>
      </w:r>
      <w:r w:rsidR="008360A1">
        <w:noBreakHyphen/>
      </w:r>
      <w:r w:rsidRPr="3CE52FD9">
        <w:t xml:space="preserve">admitted patient services are not as accessible, with per capita spending also being higher in remote areas but to a much lesser extent (about half of emergency departments). The Commission is seeking state views on whether: </w:t>
      </w:r>
    </w:p>
    <w:p w14:paraId="68B3FD9B" w14:textId="626A2A6F" w:rsidR="000F7C51" w:rsidRPr="007A3C93" w:rsidRDefault="000F7C51" w:rsidP="000F7C51">
      <w:pPr>
        <w:pStyle w:val="CGC2025Bullet1"/>
      </w:pPr>
      <w:r w:rsidRPr="007A3C93">
        <w:t xml:space="preserve">the emergency department proxy accurately reflects the use of community health services in regional and remote areas or </w:t>
      </w:r>
    </w:p>
    <w:p w14:paraId="14F6A318" w14:textId="376D5685" w:rsidR="00BA704F" w:rsidRDefault="000F7C51">
      <w:pPr>
        <w:pStyle w:val="CGC2025Bullet1"/>
      </w:pPr>
      <w:r w:rsidRPr="007A3C93">
        <w:t>the lower per capita spending in regional and remote areas using the expanded proxy better reflects the use of community health services.</w:t>
      </w:r>
    </w:p>
    <w:p w14:paraId="2DBF5A72" w14:textId="1D7FE926" w:rsidR="008E1DBB" w:rsidRDefault="008E1DBB" w:rsidP="008E1DBB">
      <w:pPr>
        <w:pStyle w:val="CGC2025ParaNumbers"/>
      </w:pPr>
      <w:r w:rsidRPr="002A0292">
        <w:t>A comparison based on other socio</w:t>
      </w:r>
      <w:r>
        <w:noBreakHyphen/>
      </w:r>
      <w:r w:rsidRPr="002A0292">
        <w:t xml:space="preserve">demographic factors and age is provided in </w:t>
      </w:r>
      <w:r w:rsidRPr="00613F81">
        <w:t>Attachment C</w:t>
      </w:r>
      <w:r w:rsidRPr="008A479E">
        <w:t>.</w:t>
      </w:r>
    </w:p>
    <w:p w14:paraId="361ECAFD" w14:textId="77777777" w:rsidR="00DB3651" w:rsidRDefault="00DB3651">
      <w:pPr>
        <w:tabs>
          <w:tab w:val="clear" w:pos="567"/>
        </w:tabs>
        <w:spacing w:before="0" w:after="200" w:line="276" w:lineRule="auto"/>
        <w:rPr>
          <w:rFonts w:ascii="Work Sans" w:hAnsi="Work Sans"/>
          <w:b/>
        </w:rPr>
      </w:pPr>
      <w:bookmarkStart w:id="62" w:name="_Ref138161393"/>
      <w:r>
        <w:br w:type="page"/>
      </w:r>
    </w:p>
    <w:p w14:paraId="0B16B3EA" w14:textId="6DBD80F4" w:rsidR="00012967" w:rsidRDefault="008E1DBB" w:rsidP="00012967">
      <w:pPr>
        <w:pStyle w:val="CGC2025Caption"/>
        <w:ind w:left="1134" w:hanging="1134"/>
      </w:pPr>
      <w:bookmarkStart w:id="63" w:name="_Ref138752930"/>
      <w:r>
        <w:lastRenderedPageBreak/>
        <w:t xml:space="preserve">Figure </w:t>
      </w:r>
      <w:r w:rsidRPr="12B6223B">
        <w:fldChar w:fldCharType="begin"/>
      </w:r>
      <w:r>
        <w:instrText xml:space="preserve"> SEQ Figure \* ARABIC </w:instrText>
      </w:r>
      <w:r w:rsidRPr="12B6223B">
        <w:fldChar w:fldCharType="separate"/>
      </w:r>
      <w:r w:rsidR="00312054">
        <w:rPr>
          <w:noProof/>
        </w:rPr>
        <w:t>4</w:t>
      </w:r>
      <w:r w:rsidRPr="12B6223B">
        <w:rPr>
          <w:noProof/>
        </w:rPr>
        <w:fldChar w:fldCharType="end"/>
      </w:r>
      <w:bookmarkEnd w:id="62"/>
      <w:bookmarkEnd w:id="63"/>
      <w:r>
        <w:tab/>
      </w:r>
      <w:r w:rsidR="00012967">
        <w:t>Current community health proxy compared to broader hospital indicator, 2021</w:t>
      </w:r>
      <w:r w:rsidR="00502E6D">
        <w:t>–</w:t>
      </w:r>
      <w:r w:rsidR="00012967">
        <w:t>22</w:t>
      </w:r>
    </w:p>
    <w:p w14:paraId="3E8E90D7" w14:textId="3C1F9566" w:rsidR="00002626" w:rsidRDefault="2C8CF271" w:rsidP="12B6223B">
      <w:pPr>
        <w:rPr>
          <w:rFonts w:eastAsia="Calibri" w:cs="Arial"/>
          <w:szCs w:val="20"/>
        </w:rPr>
      </w:pPr>
      <w:r>
        <w:rPr>
          <w:noProof/>
        </w:rPr>
        <w:drawing>
          <wp:inline distT="0" distB="0" distL="0" distR="0" wp14:anchorId="38AA736C" wp14:editId="651912F7">
            <wp:extent cx="5486400" cy="3280410"/>
            <wp:effectExtent l="0" t="0" r="0" b="0"/>
            <wp:docPr id="663399105" name="Picture 6633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486400" cy="3280410"/>
                    </a:xfrm>
                    <a:prstGeom prst="rect">
                      <a:avLst/>
                    </a:prstGeom>
                  </pic:spPr>
                </pic:pic>
              </a:graphicData>
            </a:graphic>
          </wp:inline>
        </w:drawing>
      </w:r>
    </w:p>
    <w:p w14:paraId="3615293B" w14:textId="77777777" w:rsidR="002E3DC8" w:rsidRPr="002A0292" w:rsidRDefault="002E3DC8" w:rsidP="002E3DC8">
      <w:pPr>
        <w:pStyle w:val="CGC2025TableNote"/>
      </w:pPr>
      <w:r w:rsidRPr="00CA486D">
        <w:t xml:space="preserve">Source: </w:t>
      </w:r>
      <w:r w:rsidRPr="00CA486D">
        <w:tab/>
        <w:t>Commission calculation using IHACPA data, ABS GFS expenses and ABS disaggregated population.</w:t>
      </w:r>
    </w:p>
    <w:p w14:paraId="3DB17657" w14:textId="77777777" w:rsidR="00EF625D" w:rsidRPr="002A0292" w:rsidRDefault="00EF625D" w:rsidP="00EF625D">
      <w:pPr>
        <w:pStyle w:val="CGC2025ParaNumbers"/>
      </w:pPr>
      <w:r>
        <w:t xml:space="preserve">The changes discussed here do not involve any change to the drivers of need used in the community and public health assessment. The 2 changes being considered involve the replacement of proxy activity data with a direct measure for community mental health and/or the use of a broader measure of hospital activity as the proxy for all, or a subset of, community and public health. </w:t>
      </w:r>
    </w:p>
    <w:p w14:paraId="5A546FA2" w14:textId="77777777" w:rsidR="00EF625D" w:rsidRPr="00B42ACC" w:rsidRDefault="00EF625D" w:rsidP="00731A08">
      <w:pPr>
        <w:pStyle w:val="CGC2025ParaNumbers"/>
      </w:pPr>
      <w:r>
        <w:t xml:space="preserve">As such, the Commission’s decision, after consultation with the states, will come down to the merits of the alternative data in providing an accurate and more responsive measure of what states do in community and public health. </w:t>
      </w:r>
    </w:p>
    <w:p w14:paraId="05A10F45" w14:textId="4F202B66" w:rsidR="00EF625D" w:rsidRDefault="00EF625D" w:rsidP="00EF625D">
      <w:pPr>
        <w:pStyle w:val="CGC2025ParaNumbers"/>
      </w:pPr>
      <w:r>
        <w:t>The Commission’s preliminary view is to use the Australian Institute of Health and Welfare data on community mental health activity, adjusted to compensate for lack of cost weights, to determine per capita use rates for mental health services for the socio-demographic assessment. It also proposes to expand the current proxy for activity (emergency department triage categories 4 and 5) to include non-admitted patient services, applied to the balance of the component. That is, both Option 1 and Option 2.</w:t>
      </w:r>
    </w:p>
    <w:p w14:paraId="0ED36C76" w14:textId="77777777" w:rsidR="00EF625D" w:rsidRDefault="00EF625D" w:rsidP="00EF625D">
      <w:pPr>
        <w:pStyle w:val="CGC2025ParaNumbers"/>
      </w:pPr>
      <w:r>
        <w:t xml:space="preserve">Given the need to continue to use a proxy for activity in community and public health services, the Commission’s preliminary view is to </w:t>
      </w:r>
      <w:bookmarkStart w:id="64" w:name="_Hlk135819243"/>
      <w:r>
        <w:t>continue to apply a discount of 12.5% in the assessment</w:t>
      </w:r>
      <w:bookmarkEnd w:id="64"/>
      <w:r>
        <w:t>.</w:t>
      </w:r>
    </w:p>
    <w:p w14:paraId="5284EB06" w14:textId="77777777" w:rsidR="00EF625D" w:rsidRDefault="00EF625D" w:rsidP="00EF625D">
      <w:pPr>
        <w:pStyle w:val="Heading4"/>
      </w:pPr>
      <w:r>
        <w:lastRenderedPageBreak/>
        <w:t>Consultation questions</w:t>
      </w:r>
    </w:p>
    <w:p w14:paraId="503919EC" w14:textId="77777777" w:rsidR="00EF625D" w:rsidRPr="002F190D" w:rsidRDefault="00EF625D" w:rsidP="00EF625D">
      <w:r w:rsidRPr="001C4DF3">
        <w:rPr>
          <w:noProof/>
        </w:rPr>
        <mc:AlternateContent>
          <mc:Choice Requires="wps">
            <w:drawing>
              <wp:inline distT="0" distB="0" distL="0" distR="0" wp14:anchorId="719B783B" wp14:editId="0BB68D5A">
                <wp:extent cx="5486400" cy="1809750"/>
                <wp:effectExtent l="0" t="0" r="0"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86400" cy="1809750"/>
                        </a:xfrm>
                        <a:prstGeom prst="rect">
                          <a:avLst/>
                        </a:prstGeom>
                        <a:solidFill>
                          <a:srgbClr val="EBF3F5"/>
                        </a:solidFill>
                        <a:ln w="25400" cap="flat" cmpd="sng" algn="ctr">
                          <a:noFill/>
                          <a:prstDash val="solid"/>
                        </a:ln>
                        <a:effectLst/>
                      </wps:spPr>
                      <wps:txbx>
                        <w:txbxContent>
                          <w:p w14:paraId="12427897" w14:textId="2B085F46" w:rsidR="00EF625D" w:rsidRDefault="00EF625D" w:rsidP="00EF625D">
                            <w:pPr>
                              <w:pStyle w:val="CGC2025Questionsnumbers2"/>
                              <w:numPr>
                                <w:ilvl w:val="0"/>
                                <w:numId w:val="0"/>
                              </w:numPr>
                              <w:ind w:left="454" w:hanging="454"/>
                              <w:rPr>
                                <w:lang w:eastAsia="en-AU"/>
                              </w:rPr>
                            </w:pPr>
                            <w:r>
                              <w:rPr>
                                <w:lang w:eastAsia="en-AU"/>
                              </w:rPr>
                              <w:t>Q4.</w:t>
                            </w:r>
                            <w:r>
                              <w:rPr>
                                <w:lang w:eastAsia="en-AU"/>
                              </w:rPr>
                              <w:tab/>
                            </w:r>
                            <w:r w:rsidRPr="00405E6C">
                              <w:rPr>
                                <w:lang w:eastAsia="en-AU"/>
                              </w:rPr>
                              <w:t>Do states agree t</w:t>
                            </w:r>
                            <w:r>
                              <w:rPr>
                                <w:lang w:eastAsia="en-AU"/>
                              </w:rPr>
                              <w:t>o</w:t>
                            </w:r>
                            <w:r w:rsidR="00413710">
                              <w:rPr>
                                <w:lang w:eastAsia="en-AU"/>
                              </w:rPr>
                              <w:t>:</w:t>
                            </w:r>
                          </w:p>
                          <w:p w14:paraId="07A8609C" w14:textId="77777777" w:rsidR="00EF625D" w:rsidRDefault="00EF625D" w:rsidP="00731A08">
                            <w:pPr>
                              <w:pStyle w:val="CGC2025Bullet1"/>
                            </w:pPr>
                            <w:r w:rsidRPr="00636E3B">
                              <w:t>use the Australian Institute of Health and Welfare data on community mental health activity, adjusted to compensate for lack of cost weights, to determine per capita use rates for mental health services</w:t>
                            </w:r>
                            <w:r>
                              <w:t>?</w:t>
                            </w:r>
                          </w:p>
                          <w:p w14:paraId="618EFBB7" w14:textId="77777777" w:rsidR="00EF625D" w:rsidRDefault="00EF625D" w:rsidP="00731A08">
                            <w:pPr>
                              <w:pStyle w:val="CGC2025Bullet1"/>
                            </w:pPr>
                            <w:r>
                              <w:t>expand the current proxy to include non-admitted patient services, applied to the balance of the component?</w:t>
                            </w:r>
                          </w:p>
                          <w:p w14:paraId="455B7A6A" w14:textId="77777777" w:rsidR="00EF625D" w:rsidDel="002D16D7" w:rsidRDefault="00EF625D" w:rsidP="00731A08">
                            <w:pPr>
                              <w:pStyle w:val="CGC2025Bullet1"/>
                            </w:pPr>
                            <w:r>
                              <w:t>continue to apply a discount of 12.5% to the community health socio-demographic assessment?</w:t>
                            </w:r>
                          </w:p>
                          <w:p w14:paraId="2314E37B" w14:textId="1948A083" w:rsidR="00EF625D" w:rsidRPr="00405E6C" w:rsidRDefault="00EF625D" w:rsidP="00EF625D">
                            <w:pPr>
                              <w:pStyle w:val="CGC2025Bullet1"/>
                              <w:rPr>
                                <w:lang w:eastAsia="en-AU"/>
                              </w:rPr>
                            </w:pPr>
                            <w:r w:rsidRPr="00405E6C">
                              <w:rPr>
                                <w:lang w:eastAsia="en-AU"/>
                              </w:rPr>
                              <w:t>hat in a post-pandemic environment, the hospital and patient transport assessments remain fit for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9B783B" id="Rectangle 2" o:spid="_x0000_s1030" alt="&quot;&quot;" style="width:6in;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" fillcolor="#ebf3f5" stroked="f" strokeweight="2pt">
                <v:textbox>
                  <w:txbxContent>
                    <w:p w14:paraId="12427897" w14:textId="2B085F46" w:rsidR="00EF625D" w:rsidRDefault="00EF625D" w:rsidP="00EF625D">
                      <w:pPr>
                        <w:pStyle w:val="CGC2025Questionsnumbers2"/>
                        <w:numPr>
                          <w:ilvl w:val="0"/>
                          <w:numId w:val="0"/>
                        </w:numPr>
                        <w:ind w:left="454" w:hanging="454"/>
                        <w:rPr>
                          <w:lang w:eastAsia="en-AU"/>
                        </w:rPr>
                      </w:pPr>
                      <w:r>
                        <w:rPr>
                          <w:lang w:eastAsia="en-AU"/>
                        </w:rPr>
                        <w:t>Q4.</w:t>
                      </w:r>
                      <w:r>
                        <w:rPr>
                          <w:lang w:eastAsia="en-AU"/>
                        </w:rPr>
                        <w:tab/>
                      </w:r>
                      <w:r w:rsidRPr="00405E6C">
                        <w:rPr>
                          <w:lang w:eastAsia="en-AU"/>
                        </w:rPr>
                        <w:t>Do states agree t</w:t>
                      </w:r>
                      <w:r>
                        <w:rPr>
                          <w:lang w:eastAsia="en-AU"/>
                        </w:rPr>
                        <w:t>o</w:t>
                      </w:r>
                      <w:r w:rsidR="00413710">
                        <w:rPr>
                          <w:lang w:eastAsia="en-AU"/>
                        </w:rPr>
                        <w:t>:</w:t>
                      </w:r>
                    </w:p>
                    <w:p w14:paraId="07A8609C" w14:textId="77777777" w:rsidR="00EF625D" w:rsidRDefault="00EF625D" w:rsidP="00731A08">
                      <w:pPr>
                        <w:pStyle w:val="CGC2025Bullet1"/>
                      </w:pPr>
                      <w:r w:rsidRPr="00636E3B">
                        <w:t>use the Australian Institute of Health and Welfare data on community mental health activity, adjusted to compensate for lack of cost weights, to determine per capita use rates for mental health services</w:t>
                      </w:r>
                      <w:r>
                        <w:t>?</w:t>
                      </w:r>
                    </w:p>
                    <w:p w14:paraId="618EFBB7" w14:textId="77777777" w:rsidR="00EF625D" w:rsidRDefault="00EF625D" w:rsidP="00731A08">
                      <w:pPr>
                        <w:pStyle w:val="CGC2025Bullet1"/>
                      </w:pPr>
                      <w:r>
                        <w:t>expand the current proxy to include non-admitted patient services, applied to the balance of the component?</w:t>
                      </w:r>
                    </w:p>
                    <w:p w14:paraId="455B7A6A" w14:textId="77777777" w:rsidR="00EF625D" w:rsidDel="002D16D7" w:rsidRDefault="00EF625D" w:rsidP="00731A08">
                      <w:pPr>
                        <w:pStyle w:val="CGC2025Bullet1"/>
                      </w:pPr>
                      <w:r>
                        <w:t>continue to apply a discount of 12.5% to the community health socio-demographic assessment?</w:t>
                      </w:r>
                    </w:p>
                    <w:p w14:paraId="2314E37B" w14:textId="1948A083" w:rsidR="00EF625D" w:rsidRPr="00405E6C" w:rsidRDefault="00EF625D" w:rsidP="00EF625D">
                      <w:pPr>
                        <w:pStyle w:val="CGC2025Bullet1"/>
                        <w:rPr>
                          <w:lang w:eastAsia="en-AU"/>
                        </w:rPr>
                      </w:pPr>
                      <w:r w:rsidRPr="00405E6C">
                        <w:rPr>
                          <w:lang w:eastAsia="en-AU"/>
                        </w:rPr>
                        <w:t xml:space="preserve">hat in a post-pandemic environment, the hospital and patient transport assessments remain fit for </w:t>
                      </w:r>
                      <w:proofErr w:type="gramStart"/>
                      <w:r w:rsidRPr="00405E6C">
                        <w:rPr>
                          <w:lang w:eastAsia="en-AU"/>
                        </w:rPr>
                        <w:t>purpose?</w:t>
                      </w:r>
                      <w:proofErr w:type="gramEnd"/>
                    </w:p>
                  </w:txbxContent>
                </v:textbox>
                <w10:anchorlock/>
              </v:rect>
            </w:pict>
          </mc:Fallback>
        </mc:AlternateContent>
      </w:r>
    </w:p>
    <w:p w14:paraId="036B61FA" w14:textId="77777777" w:rsidR="00EF625D" w:rsidRPr="00ED73DE" w:rsidRDefault="00EF625D" w:rsidP="00EF625D">
      <w:pPr>
        <w:pStyle w:val="Heading3"/>
        <w:keepNext/>
      </w:pPr>
      <w:bookmarkStart w:id="65" w:name="_Toc136960247"/>
      <w:bookmarkStart w:id="66" w:name="_Toc138753187"/>
      <w:r>
        <w:t>Should</w:t>
      </w:r>
      <w:r w:rsidRPr="00ED73DE">
        <w:t xml:space="preserve"> an alternative data source be used to update the substitutability level for emergency department services?</w:t>
      </w:r>
      <w:bookmarkEnd w:id="65"/>
      <w:bookmarkEnd w:id="66"/>
    </w:p>
    <w:p w14:paraId="4251546C" w14:textId="2525F0CE" w:rsidR="00EF625D" w:rsidRPr="008667B8" w:rsidRDefault="00EF625D" w:rsidP="00E05241">
      <w:pPr>
        <w:pStyle w:val="CGC2025ParaNumbers"/>
      </w:pPr>
      <w:r w:rsidRPr="12B6223B">
        <w:t xml:space="preserve">The </w:t>
      </w:r>
      <w:r w:rsidR="0098740D" w:rsidRPr="12B6223B">
        <w:rPr>
          <w:szCs w:val="20"/>
        </w:rPr>
        <w:t>h</w:t>
      </w:r>
      <w:r w:rsidRPr="12B6223B">
        <w:rPr>
          <w:szCs w:val="20"/>
        </w:rPr>
        <w:t>ealth assessment recognises that state spending on health services is influenced by the availability of alternative services provided by the private sector or the Commonwealth (non-state services).</w:t>
      </w:r>
    </w:p>
    <w:p w14:paraId="4520795E" w14:textId="77777777" w:rsidR="00EF625D" w:rsidRDefault="00EF625D" w:rsidP="00E05241">
      <w:pPr>
        <w:pStyle w:val="CGC2025ParaNumbers"/>
      </w:pPr>
      <w:r w:rsidRPr="12B6223B">
        <w:t>Comparable services provided by both sectors are referred to as ‘substitutable services’, and the proportion of state spending for which there are comparable non</w:t>
      </w:r>
      <w:r>
        <w:noBreakHyphen/>
      </w:r>
      <w:r w:rsidRPr="12B6223B">
        <w:rPr>
          <w:szCs w:val="20"/>
        </w:rPr>
        <w:t>state sector services is referred to as the ‘substitutability level’.</w:t>
      </w:r>
    </w:p>
    <w:p w14:paraId="09DCE597" w14:textId="77777777" w:rsidR="00EF625D" w:rsidRPr="003D738F" w:rsidRDefault="00EF625D" w:rsidP="00E05241">
      <w:pPr>
        <w:pStyle w:val="CGC2025ParaNumbers"/>
      </w:pPr>
      <w:r w:rsidRPr="12B6223B">
        <w:t xml:space="preserve">The substitutability level between state and non-state health services is calculated separately for each of the components in the health assessment. Different indicators are used to measure non-state service use for each component. </w:t>
      </w:r>
    </w:p>
    <w:p w14:paraId="7A608E8B" w14:textId="44089135" w:rsidR="00EF625D" w:rsidRPr="003D738F" w:rsidRDefault="00EF625D" w:rsidP="00E05241">
      <w:pPr>
        <w:pStyle w:val="CGC2025ParaNumbers"/>
      </w:pPr>
      <w:r w:rsidRPr="12B6223B">
        <w:t>The substitutability levels were fixed during the 2020 Review and were not updated. The Commission has observed that substitutability levels changed during the COVID</w:t>
      </w:r>
      <w:r>
        <w:noBreakHyphen/>
      </w:r>
      <w:r w:rsidRPr="12B6223B">
        <w:rPr>
          <w:szCs w:val="20"/>
        </w:rPr>
        <w:t>19 pandemic. In addition to sudden changes there may also be</w:t>
      </w:r>
      <w:r w:rsidR="002A7418" w:rsidRPr="12B6223B">
        <w:rPr>
          <w:szCs w:val="20"/>
        </w:rPr>
        <w:t xml:space="preserve"> a</w:t>
      </w:r>
      <w:r w:rsidRPr="12B6223B">
        <w:rPr>
          <w:szCs w:val="20"/>
        </w:rPr>
        <w:t xml:space="preserve"> change over time, for example due to changes in the level of private health insurance or the availability of non-state services. </w:t>
      </w:r>
    </w:p>
    <w:p w14:paraId="65496FA4" w14:textId="77777777" w:rsidR="00EF625D" w:rsidRPr="00397820" w:rsidRDefault="00EF625D" w:rsidP="00E05241">
      <w:pPr>
        <w:pStyle w:val="CGC2025ParaNumbers"/>
      </w:pPr>
      <w:r w:rsidRPr="12B6223B">
        <w:t xml:space="preserve">The Commission is not proposing changes to the 2020 Review data sources, indicators and method to calculate substitutability levels for any components except emergency departments. The changes for emergency </w:t>
      </w:r>
      <w:r w:rsidRPr="12B6223B">
        <w:rPr>
          <w:szCs w:val="20"/>
        </w:rPr>
        <w:t>department substitutability levels are discussed below. See Attachment A for an explanation of changes to substitutability levels for the other components from applying the 2020 Review method to more recent data.</w:t>
      </w:r>
    </w:p>
    <w:p w14:paraId="2F1CFDFB" w14:textId="620C7E54" w:rsidR="00EF625D" w:rsidRDefault="00EF625D" w:rsidP="00EF625D">
      <w:pPr>
        <w:pStyle w:val="Heading4"/>
      </w:pPr>
      <w:r w:rsidRPr="00B871F0">
        <w:t>Substitutability of emergency department services</w:t>
      </w:r>
    </w:p>
    <w:p w14:paraId="6B47BF3C" w14:textId="77777777" w:rsidR="00EF625D" w:rsidRPr="00BF7680" w:rsidRDefault="00EF625D" w:rsidP="00EF625D">
      <w:pPr>
        <w:pStyle w:val="CGC2025ParaNumbers"/>
      </w:pPr>
      <w:r w:rsidRPr="00BF7680">
        <w:t>The method to calculate substitutability assumes that some people presenting to emergency departments with lower urgency presentations could potentially be treated by bulk</w:t>
      </w:r>
      <w:r>
        <w:noBreakHyphen/>
      </w:r>
      <w:r w:rsidRPr="00BF7680">
        <w:t xml:space="preserve">billing general practitioners. </w:t>
      </w:r>
    </w:p>
    <w:p w14:paraId="0AF616F2" w14:textId="77777777" w:rsidR="00EF625D" w:rsidRPr="00B871F0" w:rsidRDefault="00EF625D" w:rsidP="00EF625D">
      <w:pPr>
        <w:pStyle w:val="Heading5"/>
      </w:pPr>
      <w:r w:rsidRPr="00B871F0">
        <w:lastRenderedPageBreak/>
        <w:t xml:space="preserve">Existing method </w:t>
      </w:r>
    </w:p>
    <w:p w14:paraId="088E02D5" w14:textId="722F9117" w:rsidR="00EF625D" w:rsidRPr="00BF7680" w:rsidRDefault="00EF625D" w:rsidP="00E05241">
      <w:pPr>
        <w:pStyle w:val="CGC2025ParaNumbers"/>
      </w:pPr>
      <w:r w:rsidRPr="12B6223B">
        <w:t>In the 2015 Review, the substitutability level of 15% for emergency department services was determined based on less severe and less complex emergency department presentations that could have been managed by general practitioner</w:t>
      </w:r>
      <w:r w:rsidR="0048354C" w:rsidRPr="12B6223B">
        <w:rPr>
          <w:szCs w:val="20"/>
        </w:rPr>
        <w:t>s</w:t>
      </w:r>
      <w:r w:rsidRPr="12B6223B">
        <w:rPr>
          <w:szCs w:val="20"/>
        </w:rPr>
        <w:t>.</w:t>
      </w:r>
    </w:p>
    <w:p w14:paraId="4B0F654B" w14:textId="77777777" w:rsidR="00EF625D" w:rsidRDefault="00EF625D" w:rsidP="00E05241">
      <w:pPr>
        <w:pStyle w:val="CGC2025ParaNumbers"/>
      </w:pPr>
      <w:r w:rsidRPr="12B6223B">
        <w:t xml:space="preserve">During the 2015 Review, one of the </w:t>
      </w:r>
      <w:r w:rsidRPr="12B6223B">
        <w:rPr>
          <w:szCs w:val="20"/>
        </w:rPr>
        <w:t>consultants engaged to review the substitutability levels for the health assessment advised that clinically derived methodologies, especially when they yield consistent results, should be preferred over the administrative approaches or surveys based on patient perception.</w:t>
      </w:r>
    </w:p>
    <w:p w14:paraId="28ADC5C4" w14:textId="77777777" w:rsidR="00EF625D" w:rsidRPr="003D738F" w:rsidRDefault="00EF625D" w:rsidP="00E05241">
      <w:pPr>
        <w:pStyle w:val="CGC2025ParaNumbers"/>
      </w:pPr>
      <w:r w:rsidRPr="12B6223B">
        <w:t>For the 2020 Review, a literature survey was undertaken to determine the proportion of emergency department presentations that could be treated by general practitioners. Based on the earlier advice from the consultant, the Commission settled on the approach used by the Australian College of Emergency Medicine.</w:t>
      </w:r>
      <w:r w:rsidRPr="00E51531">
        <w:rPr>
          <w:rStyle w:val="FootnoteReference"/>
        </w:rPr>
        <w:footnoteReference w:id="5"/>
      </w:r>
      <w:r w:rsidRPr="12B6223B">
        <w:rPr>
          <w:szCs w:val="20"/>
        </w:rPr>
        <w:t xml:space="preserve"> This was also the preferred approach of the studies surveyed.</w:t>
      </w:r>
    </w:p>
    <w:p w14:paraId="2D88A9AD" w14:textId="77777777" w:rsidR="00EF625D" w:rsidRPr="003D738F" w:rsidRDefault="00EF625D" w:rsidP="00E05241">
      <w:pPr>
        <w:pStyle w:val="CGC2025ParaNumbers"/>
      </w:pPr>
      <w:r w:rsidRPr="12B6223B">
        <w:t xml:space="preserve">Using the proportions of ‘GP-treatable’ presentations estimated by the </w:t>
      </w:r>
      <w:bookmarkStart w:id="67" w:name="_Hlk128134474"/>
      <w:r w:rsidRPr="12B6223B">
        <w:t>Australian College of Emergency Medicine method</w:t>
      </w:r>
      <w:bookmarkEnd w:id="67"/>
      <w:r w:rsidRPr="12B6223B">
        <w:t>, weighted by the number of emergency department presentations by remoteness, the overall proportion of emergency department presentations that are ‘GP-treatable’ was estimated at 23%.</w:t>
      </w:r>
    </w:p>
    <w:p w14:paraId="6EE21189" w14:textId="77777777" w:rsidR="00EF625D" w:rsidRPr="003D738F" w:rsidRDefault="00EF625D" w:rsidP="00E05241">
      <w:pPr>
        <w:pStyle w:val="CGC2025ParaNumbers"/>
      </w:pPr>
      <w:r w:rsidRPr="12B6223B">
        <w:t xml:space="preserve">The Commission used this estimate in the 2020 Review to calculate the proportion of emergency department expenditure on GP-treatable presentations. </w:t>
      </w:r>
    </w:p>
    <w:p w14:paraId="62F0355B" w14:textId="77777777" w:rsidR="00EF625D" w:rsidRPr="003D738F" w:rsidRDefault="00EF625D" w:rsidP="00731A08">
      <w:pPr>
        <w:pStyle w:val="CGC2025Bullet1"/>
      </w:pPr>
      <w:r w:rsidRPr="003D738F">
        <w:t xml:space="preserve">GP-treatable presentations are less costly than more complex and severe emergency department presentations, mainly due to shorter treatment time. </w:t>
      </w:r>
    </w:p>
    <w:p w14:paraId="343BD4C0" w14:textId="54D7DB84" w:rsidR="00EF625D" w:rsidRPr="003D738F" w:rsidRDefault="00EF625D" w:rsidP="00731A08">
      <w:pPr>
        <w:pStyle w:val="CGC2025Bullet1"/>
      </w:pPr>
      <w:r w:rsidRPr="003D738F">
        <w:t xml:space="preserve">Independent Health and Aged Care Pricing Authority data indicated </w:t>
      </w:r>
      <w:r w:rsidR="00BD301D">
        <w:t xml:space="preserve">that </w:t>
      </w:r>
      <w:r w:rsidRPr="003D738F">
        <w:t xml:space="preserve">emergency department triage 4 and 5 presentations make up 52% of total emergency department presentations, but only account for 34% of the cost, resulting in a cost to activity ratio of 0.34/0.52=0.65. </w:t>
      </w:r>
    </w:p>
    <w:p w14:paraId="765DAAC7" w14:textId="77777777" w:rsidR="00EF625D" w:rsidRPr="003D738F" w:rsidRDefault="00EF625D" w:rsidP="00731A08">
      <w:pPr>
        <w:pStyle w:val="CGC2025Bullet1"/>
      </w:pPr>
      <w:r w:rsidRPr="003D738F">
        <w:t>Applying this ratio to the activity level of 23%, the proportion of emergency department expenditure on GP-treatable presentations was estimated to be around 15%</w:t>
      </w:r>
      <w:r>
        <w:t>.</w:t>
      </w:r>
    </w:p>
    <w:p w14:paraId="6ABE1E79" w14:textId="0B3084DA" w:rsidR="00EF625D" w:rsidRPr="00BF7680" w:rsidRDefault="00D967AF" w:rsidP="00201A05">
      <w:pPr>
        <w:pStyle w:val="Heading5"/>
      </w:pPr>
      <w:r w:rsidRPr="006C2C8B">
        <w:t>Alternative approach for 2025 Review</w:t>
      </w:r>
    </w:p>
    <w:p w14:paraId="166C43CF" w14:textId="2E64757B" w:rsidR="00743DC1" w:rsidRPr="003D738F" w:rsidRDefault="00743DC1" w:rsidP="00743DC1">
      <w:pPr>
        <w:pStyle w:val="CGC2025ParaNumbers"/>
      </w:pPr>
      <w:r>
        <w:t xml:space="preserve">Of the methods considered in the 2020 Review, updated estimates are only available for the Australian Institute of Health and Welfare method. As the consultant’s report from the 2015 Review concluded that the Australian Institute of Health and Welfare approach significantly overstates the proportion of GP-treatable presentations, it is not recommended to use the </w:t>
      </w:r>
      <w:r w:rsidR="001C21B4">
        <w:t xml:space="preserve">data </w:t>
      </w:r>
      <w:r>
        <w:t xml:space="preserve">directly to measure substitutability. Instead, the Australian Institute of Health and Welfare </w:t>
      </w:r>
      <w:r w:rsidR="001C21B4">
        <w:t xml:space="preserve">data </w:t>
      </w:r>
      <w:r>
        <w:t>could be used as a proxy to update the Australian College of Emergency Medicine method.</w:t>
      </w:r>
    </w:p>
    <w:p w14:paraId="52721FC9" w14:textId="00D732A5" w:rsidR="00743DC1" w:rsidRPr="003D738F" w:rsidRDefault="00743DC1" w:rsidP="00743DC1">
      <w:pPr>
        <w:pStyle w:val="CGC2025ParaNumbers"/>
        <w:rPr>
          <w:szCs w:val="20"/>
        </w:rPr>
      </w:pPr>
      <w:r>
        <w:t>In 2020</w:t>
      </w:r>
      <w:r w:rsidR="00BD2604">
        <w:t>–</w:t>
      </w:r>
      <w:r>
        <w:t xml:space="preserve">21, the Australian Institute of Health and Welfare released data on lower urgency emergency department presentations. These presentations are defined as </w:t>
      </w:r>
      <w:r>
        <w:lastRenderedPageBreak/>
        <w:t>patients w</w:t>
      </w:r>
      <w:r w:rsidR="00724018">
        <w:t>ho ha</w:t>
      </w:r>
      <w:r>
        <w:t>d a triage category 4 or 5, did not arrive by ambulance or correctional vehicle and were not admitted to hospital.</w:t>
      </w:r>
    </w:p>
    <w:p w14:paraId="7F3A35B6" w14:textId="5348E445" w:rsidR="00743DC1" w:rsidRDefault="00743DC1" w:rsidP="00743DC1">
      <w:pPr>
        <w:pStyle w:val="CGC2025ParaNumbers"/>
      </w:pPr>
      <w:r>
        <w:t xml:space="preserve">The percentage of non-urgent emergency department presentations using the Australian Institute of Health and Welfare method is presented in </w:t>
      </w:r>
      <w:r>
        <w:fldChar w:fldCharType="begin"/>
      </w:r>
      <w:r>
        <w:instrText xml:space="preserve"> REF _Ref138161891 \h </w:instrText>
      </w:r>
      <w:r>
        <w:fldChar w:fldCharType="separate"/>
      </w:r>
      <w:r w:rsidR="00312054" w:rsidRPr="00392F26">
        <w:rPr>
          <w:bCs/>
        </w:rPr>
        <w:t xml:space="preserve">Table </w:t>
      </w:r>
      <w:r w:rsidR="00312054">
        <w:rPr>
          <w:bCs/>
          <w:noProof/>
        </w:rPr>
        <w:t>5</w:t>
      </w:r>
      <w:r>
        <w:fldChar w:fldCharType="end"/>
      </w:r>
      <w:r>
        <w:t>.</w:t>
      </w:r>
    </w:p>
    <w:p w14:paraId="78EA8EDC" w14:textId="37D8D7EE" w:rsidR="00EF625D" w:rsidRDefault="00770F71" w:rsidP="00392F26">
      <w:pPr>
        <w:pStyle w:val="CGC2025Caption"/>
        <w:ind w:left="1134" w:hanging="1134"/>
        <w:rPr>
          <w:bCs/>
        </w:rPr>
      </w:pPr>
      <w:bookmarkStart w:id="68" w:name="_Ref138161891"/>
      <w:r w:rsidRPr="00392F26">
        <w:rPr>
          <w:bCs/>
        </w:rPr>
        <w:t xml:space="preserve">Table </w:t>
      </w:r>
      <w:r w:rsidRPr="00392F26">
        <w:rPr>
          <w:bCs/>
        </w:rPr>
        <w:fldChar w:fldCharType="begin"/>
      </w:r>
      <w:r w:rsidRPr="00392F26">
        <w:rPr>
          <w:bCs/>
        </w:rPr>
        <w:instrText xml:space="preserve"> SEQ Table \* ARABIC </w:instrText>
      </w:r>
      <w:r w:rsidRPr="00392F26">
        <w:rPr>
          <w:bCs/>
        </w:rPr>
        <w:fldChar w:fldCharType="separate"/>
      </w:r>
      <w:r w:rsidR="00312054">
        <w:rPr>
          <w:bCs/>
          <w:noProof/>
        </w:rPr>
        <w:t>5</w:t>
      </w:r>
      <w:r w:rsidRPr="00392F26">
        <w:rPr>
          <w:bCs/>
        </w:rPr>
        <w:fldChar w:fldCharType="end"/>
      </w:r>
      <w:bookmarkEnd w:id="68"/>
      <w:r w:rsidRPr="00392F26">
        <w:rPr>
          <w:bCs/>
        </w:rPr>
        <w:tab/>
      </w:r>
      <w:r w:rsidR="00392F26" w:rsidRPr="00392F26">
        <w:rPr>
          <w:bCs/>
        </w:rPr>
        <w:t>Percentage of total emergency department presentations considered lower urgency by remoteness, AIHW method</w:t>
      </w:r>
    </w:p>
    <w:tbl>
      <w:tblPr>
        <w:tblW w:w="8720" w:type="dxa"/>
        <w:tblLook w:val="04A0" w:firstRow="1" w:lastRow="0" w:firstColumn="1" w:lastColumn="0" w:noHBand="0" w:noVBand="1"/>
      </w:tblPr>
      <w:tblGrid>
        <w:gridCol w:w="3040"/>
        <w:gridCol w:w="1980"/>
        <w:gridCol w:w="1980"/>
        <w:gridCol w:w="1720"/>
      </w:tblGrid>
      <w:tr w:rsidR="00961F6E" w:rsidRPr="00974DAA" w14:paraId="3A262867" w14:textId="77777777">
        <w:trPr>
          <w:trHeight w:val="780"/>
        </w:trPr>
        <w:tc>
          <w:tcPr>
            <w:tcW w:w="3040" w:type="dxa"/>
            <w:tcBorders>
              <w:top w:val="nil"/>
              <w:left w:val="nil"/>
              <w:bottom w:val="nil"/>
              <w:right w:val="nil"/>
            </w:tcBorders>
            <w:shd w:val="clear" w:color="000000" w:fill="006991"/>
            <w:vAlign w:val="center"/>
            <w:hideMark/>
          </w:tcPr>
          <w:p w14:paraId="778543B0" w14:textId="77777777"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4DAA">
              <w:rPr>
                <w:rFonts w:ascii="Open Sans Semibold" w:eastAsia="Times New Roman" w:hAnsi="Open Sans Semibold" w:cs="Open Sans Semibold"/>
                <w:color w:val="FFFFFF"/>
                <w:sz w:val="16"/>
                <w:szCs w:val="16"/>
                <w:lang w:eastAsia="en-AU"/>
              </w:rPr>
              <w:t> </w:t>
            </w:r>
          </w:p>
        </w:tc>
        <w:tc>
          <w:tcPr>
            <w:tcW w:w="1980" w:type="dxa"/>
            <w:tcBorders>
              <w:top w:val="nil"/>
              <w:left w:val="nil"/>
              <w:bottom w:val="nil"/>
              <w:right w:val="nil"/>
            </w:tcBorders>
            <w:shd w:val="clear" w:color="000000" w:fill="006991"/>
            <w:vAlign w:val="center"/>
            <w:hideMark/>
          </w:tcPr>
          <w:p w14:paraId="4E82A30F" w14:textId="77777777"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4DAA">
              <w:rPr>
                <w:rFonts w:ascii="Open Sans Semibold" w:eastAsia="Times New Roman" w:hAnsi="Open Sans Semibold" w:cs="Open Sans Semibold"/>
                <w:color w:val="FFFFFF"/>
                <w:sz w:val="16"/>
                <w:szCs w:val="16"/>
                <w:lang w:eastAsia="en-AU"/>
              </w:rPr>
              <w:t xml:space="preserve">Total </w:t>
            </w:r>
            <w:r>
              <w:rPr>
                <w:rFonts w:ascii="Open Sans Semibold" w:eastAsia="Times New Roman" w:hAnsi="Open Sans Semibold" w:cs="Open Sans Semibold"/>
                <w:color w:val="FFFFFF"/>
                <w:sz w:val="16"/>
                <w:szCs w:val="16"/>
                <w:lang w:eastAsia="en-AU"/>
              </w:rPr>
              <w:t xml:space="preserve">emergency department </w:t>
            </w:r>
            <w:r w:rsidRPr="00974DAA">
              <w:rPr>
                <w:rFonts w:ascii="Open Sans Semibold" w:eastAsia="Times New Roman" w:hAnsi="Open Sans Semibold" w:cs="Open Sans Semibold"/>
                <w:color w:val="FFFFFF"/>
                <w:sz w:val="16"/>
                <w:szCs w:val="16"/>
                <w:lang w:eastAsia="en-AU"/>
              </w:rPr>
              <w:t>presentations</w:t>
            </w:r>
          </w:p>
        </w:tc>
        <w:tc>
          <w:tcPr>
            <w:tcW w:w="1980" w:type="dxa"/>
            <w:tcBorders>
              <w:top w:val="nil"/>
              <w:left w:val="nil"/>
              <w:bottom w:val="nil"/>
              <w:right w:val="nil"/>
            </w:tcBorders>
            <w:shd w:val="clear" w:color="000000" w:fill="006991"/>
            <w:vAlign w:val="center"/>
            <w:hideMark/>
          </w:tcPr>
          <w:p w14:paraId="04B6547D" w14:textId="77777777" w:rsidR="00961F6E" w:rsidRDefault="00961F6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4DAA">
              <w:rPr>
                <w:rFonts w:ascii="Open Sans Semibold" w:eastAsia="Times New Roman" w:hAnsi="Open Sans Semibold" w:cs="Open Sans Semibold"/>
                <w:color w:val="FFFFFF"/>
                <w:sz w:val="16"/>
                <w:szCs w:val="16"/>
                <w:lang w:eastAsia="en-AU"/>
              </w:rPr>
              <w:t>N</w:t>
            </w:r>
            <w:r>
              <w:rPr>
                <w:rFonts w:ascii="Open Sans Semibold" w:eastAsia="Times New Roman" w:hAnsi="Open Sans Semibold" w:cs="Open Sans Semibold"/>
                <w:color w:val="FFFFFF"/>
                <w:sz w:val="16"/>
                <w:szCs w:val="16"/>
                <w:lang w:eastAsia="en-AU"/>
              </w:rPr>
              <w:t>o. lower urgency</w:t>
            </w:r>
            <w:r w:rsidRPr="00974DAA">
              <w:rPr>
                <w:rFonts w:ascii="Open Sans Semibold" w:eastAsia="Times New Roman" w:hAnsi="Open Sans Semibold" w:cs="Open Sans Semibold"/>
                <w:color w:val="FFFFFF"/>
                <w:sz w:val="16"/>
                <w:szCs w:val="16"/>
                <w:lang w:eastAsia="en-AU"/>
              </w:rPr>
              <w:t xml:space="preserve"> presentations</w:t>
            </w:r>
            <w:r>
              <w:rPr>
                <w:rFonts w:ascii="Open Sans Semibold" w:eastAsia="Times New Roman" w:hAnsi="Open Sans Semibold" w:cs="Open Sans Semibold"/>
                <w:color w:val="FFFFFF"/>
                <w:sz w:val="16"/>
                <w:szCs w:val="16"/>
                <w:lang w:eastAsia="en-AU"/>
              </w:rPr>
              <w:t xml:space="preserve"> </w:t>
            </w:r>
          </w:p>
          <w:p w14:paraId="61D3F150" w14:textId="77777777"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AIHW method</w:t>
            </w:r>
          </w:p>
        </w:tc>
        <w:tc>
          <w:tcPr>
            <w:tcW w:w="1720" w:type="dxa"/>
            <w:tcBorders>
              <w:top w:val="nil"/>
              <w:left w:val="nil"/>
              <w:bottom w:val="nil"/>
              <w:right w:val="nil"/>
            </w:tcBorders>
            <w:shd w:val="clear" w:color="000000" w:fill="006991"/>
            <w:vAlign w:val="center"/>
            <w:hideMark/>
          </w:tcPr>
          <w:p w14:paraId="1ADD62DB" w14:textId="77777777"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 l</w:t>
            </w:r>
            <w:r w:rsidRPr="00974DAA">
              <w:rPr>
                <w:rFonts w:ascii="Open Sans Semibold" w:eastAsia="Times New Roman" w:hAnsi="Open Sans Semibold" w:cs="Open Sans Semibold"/>
                <w:color w:val="FFFFFF"/>
                <w:sz w:val="16"/>
                <w:szCs w:val="16"/>
                <w:lang w:eastAsia="en-AU"/>
              </w:rPr>
              <w:t xml:space="preserve">ower urgency presentations </w:t>
            </w:r>
            <w:r w:rsidRPr="00974DAA">
              <w:rPr>
                <w:rFonts w:ascii="Open Sans Semibold" w:eastAsia="Times New Roman" w:hAnsi="Open Sans Semibold" w:cs="Open Sans Semibold"/>
                <w:color w:val="FFFFFF"/>
                <w:sz w:val="16"/>
                <w:szCs w:val="16"/>
                <w:lang w:eastAsia="en-AU"/>
              </w:rPr>
              <w:br/>
              <w:t>AIHW method</w:t>
            </w:r>
          </w:p>
        </w:tc>
      </w:tr>
      <w:tr w:rsidR="00961F6E" w:rsidRPr="00974DAA" w14:paraId="6C7DF7A4" w14:textId="77777777">
        <w:trPr>
          <w:trHeight w:val="315"/>
        </w:trPr>
        <w:tc>
          <w:tcPr>
            <w:tcW w:w="3040" w:type="dxa"/>
            <w:tcBorders>
              <w:top w:val="single" w:sz="4" w:space="0" w:color="ADD6EA"/>
              <w:left w:val="nil"/>
              <w:bottom w:val="single" w:sz="4" w:space="0" w:color="ADD6EA"/>
              <w:right w:val="nil"/>
            </w:tcBorders>
            <w:shd w:val="clear" w:color="000000" w:fill="B6D5E4"/>
            <w:vAlign w:val="center"/>
            <w:hideMark/>
          </w:tcPr>
          <w:p w14:paraId="64E8BDC6" w14:textId="77777777" w:rsidR="00961F6E" w:rsidRPr="00974DAA" w:rsidRDefault="00961F6E">
            <w:pPr>
              <w:keepNext/>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974DAA">
              <w:rPr>
                <w:rFonts w:ascii="Open Sans Semibold" w:eastAsia="Times New Roman" w:hAnsi="Open Sans Semibold" w:cs="Open Sans Semibold"/>
                <w:b/>
                <w:bCs/>
                <w:color w:val="000000"/>
                <w:sz w:val="16"/>
                <w:szCs w:val="16"/>
                <w:lang w:eastAsia="en-AU"/>
              </w:rPr>
              <w:t> </w:t>
            </w:r>
          </w:p>
        </w:tc>
        <w:tc>
          <w:tcPr>
            <w:tcW w:w="1980" w:type="dxa"/>
            <w:tcBorders>
              <w:top w:val="single" w:sz="4" w:space="0" w:color="ADD6EA"/>
              <w:left w:val="nil"/>
              <w:bottom w:val="single" w:sz="4" w:space="0" w:color="ADD6EA"/>
              <w:right w:val="nil"/>
            </w:tcBorders>
            <w:shd w:val="clear" w:color="000000" w:fill="B6D5E4"/>
            <w:vAlign w:val="center"/>
            <w:hideMark/>
          </w:tcPr>
          <w:p w14:paraId="4FC54446" w14:textId="73B4C72E"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000</w:t>
            </w:r>
          </w:p>
        </w:tc>
        <w:tc>
          <w:tcPr>
            <w:tcW w:w="1980" w:type="dxa"/>
            <w:tcBorders>
              <w:top w:val="single" w:sz="4" w:space="0" w:color="ADD6EA"/>
              <w:left w:val="nil"/>
              <w:bottom w:val="single" w:sz="4" w:space="0" w:color="ADD6EA"/>
              <w:right w:val="nil"/>
            </w:tcBorders>
            <w:shd w:val="clear" w:color="000000" w:fill="B6D5E4"/>
            <w:vAlign w:val="center"/>
            <w:hideMark/>
          </w:tcPr>
          <w:p w14:paraId="5DD9081F" w14:textId="45EEC2D2"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000</w:t>
            </w:r>
          </w:p>
        </w:tc>
        <w:tc>
          <w:tcPr>
            <w:tcW w:w="1720" w:type="dxa"/>
            <w:tcBorders>
              <w:top w:val="single" w:sz="4" w:space="0" w:color="ADD6EA"/>
              <w:left w:val="nil"/>
              <w:bottom w:val="single" w:sz="4" w:space="0" w:color="ADD6EA"/>
              <w:right w:val="nil"/>
            </w:tcBorders>
            <w:shd w:val="clear" w:color="000000" w:fill="B6D5E4"/>
            <w:vAlign w:val="center"/>
            <w:hideMark/>
          </w:tcPr>
          <w:p w14:paraId="6A196D2B" w14:textId="77777777"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w:t>
            </w:r>
          </w:p>
        </w:tc>
      </w:tr>
      <w:tr w:rsidR="00961F6E" w:rsidRPr="00974DAA" w14:paraId="6CC46684" w14:textId="77777777">
        <w:trPr>
          <w:trHeight w:val="315"/>
        </w:trPr>
        <w:tc>
          <w:tcPr>
            <w:tcW w:w="3040" w:type="dxa"/>
            <w:tcBorders>
              <w:top w:val="nil"/>
              <w:left w:val="nil"/>
              <w:bottom w:val="single" w:sz="4" w:space="0" w:color="ADD6EA"/>
              <w:right w:val="nil"/>
            </w:tcBorders>
            <w:shd w:val="clear" w:color="000000" w:fill="FFFFFF"/>
            <w:vAlign w:val="center"/>
            <w:hideMark/>
          </w:tcPr>
          <w:p w14:paraId="3792336F" w14:textId="77777777" w:rsidR="00961F6E" w:rsidRPr="00974DAA" w:rsidRDefault="00961F6E">
            <w:pPr>
              <w:keepNext/>
              <w:tabs>
                <w:tab w:val="clear" w:pos="567"/>
              </w:tabs>
              <w:spacing w:before="0" w:line="240" w:lineRule="auto"/>
              <w:rPr>
                <w:rFonts w:eastAsia="Times New Roman" w:cs="Open Sans Light"/>
                <w:color w:val="000000"/>
                <w:sz w:val="16"/>
                <w:szCs w:val="16"/>
                <w:lang w:eastAsia="en-AU"/>
              </w:rPr>
            </w:pPr>
            <w:r w:rsidRPr="00974DAA">
              <w:rPr>
                <w:rFonts w:eastAsia="Times New Roman" w:cs="Open Sans Light"/>
                <w:color w:val="000000"/>
                <w:sz w:val="16"/>
                <w:szCs w:val="16"/>
                <w:lang w:eastAsia="en-AU"/>
              </w:rPr>
              <w:t>Major cities</w:t>
            </w:r>
          </w:p>
        </w:tc>
        <w:tc>
          <w:tcPr>
            <w:tcW w:w="1980" w:type="dxa"/>
            <w:tcBorders>
              <w:top w:val="nil"/>
              <w:left w:val="nil"/>
              <w:bottom w:val="single" w:sz="4" w:space="0" w:color="ADD6EA"/>
              <w:right w:val="nil"/>
            </w:tcBorders>
            <w:shd w:val="clear" w:color="000000" w:fill="FFFFFF"/>
            <w:vAlign w:val="center"/>
            <w:hideMark/>
          </w:tcPr>
          <w:p w14:paraId="7ECBEFAE"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5,239</w:t>
            </w:r>
          </w:p>
        </w:tc>
        <w:tc>
          <w:tcPr>
            <w:tcW w:w="1980" w:type="dxa"/>
            <w:tcBorders>
              <w:top w:val="nil"/>
              <w:left w:val="nil"/>
              <w:bottom w:val="single" w:sz="4" w:space="0" w:color="ADD6EA"/>
              <w:right w:val="nil"/>
            </w:tcBorders>
            <w:shd w:val="clear" w:color="000000" w:fill="FFFFFF"/>
            <w:vAlign w:val="center"/>
            <w:hideMark/>
          </w:tcPr>
          <w:p w14:paraId="70B6D58D"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1,712</w:t>
            </w:r>
          </w:p>
        </w:tc>
        <w:tc>
          <w:tcPr>
            <w:tcW w:w="1720" w:type="dxa"/>
            <w:tcBorders>
              <w:top w:val="nil"/>
              <w:left w:val="nil"/>
              <w:bottom w:val="single" w:sz="4" w:space="0" w:color="ADD6EA"/>
              <w:right w:val="nil"/>
            </w:tcBorders>
            <w:shd w:val="clear" w:color="000000" w:fill="FFFFFF"/>
            <w:vAlign w:val="center"/>
            <w:hideMark/>
          </w:tcPr>
          <w:p w14:paraId="312B7F6E"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33</w:t>
            </w:r>
          </w:p>
        </w:tc>
      </w:tr>
      <w:tr w:rsidR="00961F6E" w:rsidRPr="00974DAA" w14:paraId="056D321A" w14:textId="77777777">
        <w:trPr>
          <w:trHeight w:val="315"/>
        </w:trPr>
        <w:tc>
          <w:tcPr>
            <w:tcW w:w="3040" w:type="dxa"/>
            <w:tcBorders>
              <w:top w:val="nil"/>
              <w:left w:val="nil"/>
              <w:bottom w:val="single" w:sz="4" w:space="0" w:color="ADD6EA"/>
              <w:right w:val="nil"/>
            </w:tcBorders>
            <w:shd w:val="clear" w:color="000000" w:fill="FFFFFF"/>
            <w:vAlign w:val="center"/>
            <w:hideMark/>
          </w:tcPr>
          <w:p w14:paraId="459DC1B3" w14:textId="77777777" w:rsidR="00961F6E" w:rsidRPr="00974DAA" w:rsidRDefault="00961F6E">
            <w:pPr>
              <w:keepNext/>
              <w:tabs>
                <w:tab w:val="clear" w:pos="567"/>
              </w:tabs>
              <w:spacing w:before="0" w:line="240" w:lineRule="auto"/>
              <w:rPr>
                <w:rFonts w:eastAsia="Times New Roman" w:cs="Open Sans Light"/>
                <w:color w:val="000000"/>
                <w:sz w:val="16"/>
                <w:szCs w:val="16"/>
                <w:lang w:eastAsia="en-AU"/>
              </w:rPr>
            </w:pPr>
            <w:r w:rsidRPr="00974DAA">
              <w:rPr>
                <w:rFonts w:eastAsia="Times New Roman" w:cs="Open Sans Light"/>
                <w:color w:val="000000"/>
                <w:sz w:val="16"/>
                <w:szCs w:val="16"/>
                <w:lang w:eastAsia="en-AU"/>
              </w:rPr>
              <w:t>Inner regional</w:t>
            </w:r>
          </w:p>
        </w:tc>
        <w:tc>
          <w:tcPr>
            <w:tcW w:w="1980" w:type="dxa"/>
            <w:tcBorders>
              <w:top w:val="nil"/>
              <w:left w:val="nil"/>
              <w:bottom w:val="single" w:sz="4" w:space="0" w:color="ADD6EA"/>
              <w:right w:val="nil"/>
            </w:tcBorders>
            <w:shd w:val="clear" w:color="000000" w:fill="FFFFFF"/>
            <w:vAlign w:val="center"/>
            <w:hideMark/>
          </w:tcPr>
          <w:p w14:paraId="501CD1A9"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1,819</w:t>
            </w:r>
          </w:p>
        </w:tc>
        <w:tc>
          <w:tcPr>
            <w:tcW w:w="1980" w:type="dxa"/>
            <w:tcBorders>
              <w:top w:val="nil"/>
              <w:left w:val="nil"/>
              <w:bottom w:val="single" w:sz="4" w:space="0" w:color="ADD6EA"/>
              <w:right w:val="nil"/>
            </w:tcBorders>
            <w:shd w:val="clear" w:color="000000" w:fill="FFFFFF"/>
            <w:vAlign w:val="center"/>
            <w:hideMark/>
          </w:tcPr>
          <w:p w14:paraId="7CA40DDE"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720</w:t>
            </w:r>
          </w:p>
        </w:tc>
        <w:tc>
          <w:tcPr>
            <w:tcW w:w="1720" w:type="dxa"/>
            <w:tcBorders>
              <w:top w:val="nil"/>
              <w:left w:val="nil"/>
              <w:bottom w:val="single" w:sz="4" w:space="0" w:color="ADD6EA"/>
              <w:right w:val="nil"/>
            </w:tcBorders>
            <w:shd w:val="clear" w:color="000000" w:fill="FFFFFF"/>
            <w:vAlign w:val="center"/>
            <w:hideMark/>
          </w:tcPr>
          <w:p w14:paraId="3CB4F6CF"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40</w:t>
            </w:r>
          </w:p>
        </w:tc>
      </w:tr>
      <w:tr w:rsidR="00961F6E" w:rsidRPr="00974DAA" w14:paraId="58CAA6EC" w14:textId="77777777">
        <w:trPr>
          <w:trHeight w:val="315"/>
        </w:trPr>
        <w:tc>
          <w:tcPr>
            <w:tcW w:w="3040" w:type="dxa"/>
            <w:tcBorders>
              <w:top w:val="nil"/>
              <w:left w:val="nil"/>
              <w:bottom w:val="single" w:sz="4" w:space="0" w:color="ADD6EA"/>
              <w:right w:val="nil"/>
            </w:tcBorders>
            <w:shd w:val="clear" w:color="000000" w:fill="FFFFFF"/>
            <w:vAlign w:val="center"/>
            <w:hideMark/>
          </w:tcPr>
          <w:p w14:paraId="4927CD30" w14:textId="77777777" w:rsidR="00961F6E" w:rsidRPr="00974DAA" w:rsidRDefault="00961F6E">
            <w:pPr>
              <w:keepNext/>
              <w:tabs>
                <w:tab w:val="clear" w:pos="567"/>
              </w:tabs>
              <w:spacing w:before="0" w:line="240" w:lineRule="auto"/>
              <w:rPr>
                <w:rFonts w:eastAsia="Times New Roman" w:cs="Open Sans Light"/>
                <w:color w:val="000000"/>
                <w:sz w:val="16"/>
                <w:szCs w:val="16"/>
                <w:lang w:eastAsia="en-AU"/>
              </w:rPr>
            </w:pPr>
            <w:r w:rsidRPr="00974DAA">
              <w:rPr>
                <w:rFonts w:eastAsia="Times New Roman" w:cs="Open Sans Light"/>
                <w:color w:val="000000"/>
                <w:sz w:val="16"/>
                <w:szCs w:val="16"/>
                <w:lang w:eastAsia="en-AU"/>
              </w:rPr>
              <w:t>Outer regional</w:t>
            </w:r>
          </w:p>
        </w:tc>
        <w:tc>
          <w:tcPr>
            <w:tcW w:w="1980" w:type="dxa"/>
            <w:tcBorders>
              <w:top w:val="nil"/>
              <w:left w:val="nil"/>
              <w:bottom w:val="single" w:sz="4" w:space="0" w:color="ADD6EA"/>
              <w:right w:val="nil"/>
            </w:tcBorders>
            <w:shd w:val="clear" w:color="000000" w:fill="FFFFFF"/>
            <w:vAlign w:val="center"/>
            <w:hideMark/>
          </w:tcPr>
          <w:p w14:paraId="16F777B1"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866</w:t>
            </w:r>
          </w:p>
        </w:tc>
        <w:tc>
          <w:tcPr>
            <w:tcW w:w="1980" w:type="dxa"/>
            <w:tcBorders>
              <w:top w:val="nil"/>
              <w:left w:val="nil"/>
              <w:bottom w:val="single" w:sz="4" w:space="0" w:color="ADD6EA"/>
              <w:right w:val="nil"/>
            </w:tcBorders>
            <w:shd w:val="clear" w:color="000000" w:fill="FFFFFF"/>
            <w:vAlign w:val="center"/>
            <w:hideMark/>
          </w:tcPr>
          <w:p w14:paraId="2EB77F31"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274</w:t>
            </w:r>
          </w:p>
        </w:tc>
        <w:tc>
          <w:tcPr>
            <w:tcW w:w="1720" w:type="dxa"/>
            <w:tcBorders>
              <w:top w:val="nil"/>
              <w:left w:val="nil"/>
              <w:bottom w:val="single" w:sz="4" w:space="0" w:color="ADD6EA"/>
              <w:right w:val="nil"/>
            </w:tcBorders>
            <w:shd w:val="clear" w:color="000000" w:fill="FFFFFF"/>
            <w:vAlign w:val="center"/>
            <w:hideMark/>
          </w:tcPr>
          <w:p w14:paraId="509755FD"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32</w:t>
            </w:r>
          </w:p>
        </w:tc>
      </w:tr>
      <w:tr w:rsidR="00961F6E" w:rsidRPr="00974DAA" w14:paraId="2C95E2D3" w14:textId="77777777">
        <w:trPr>
          <w:trHeight w:val="315"/>
        </w:trPr>
        <w:tc>
          <w:tcPr>
            <w:tcW w:w="3040" w:type="dxa"/>
            <w:tcBorders>
              <w:top w:val="nil"/>
              <w:left w:val="nil"/>
              <w:bottom w:val="single" w:sz="4" w:space="0" w:color="ADD6EA"/>
              <w:right w:val="nil"/>
            </w:tcBorders>
            <w:shd w:val="clear" w:color="000000" w:fill="FFFFFF"/>
            <w:vAlign w:val="center"/>
            <w:hideMark/>
          </w:tcPr>
          <w:p w14:paraId="717287AB" w14:textId="77777777" w:rsidR="00961F6E" w:rsidRPr="00974DAA" w:rsidRDefault="00961F6E">
            <w:pPr>
              <w:keepNext/>
              <w:tabs>
                <w:tab w:val="clear" w:pos="567"/>
              </w:tabs>
              <w:spacing w:before="0" w:line="240" w:lineRule="auto"/>
              <w:rPr>
                <w:rFonts w:eastAsia="Times New Roman" w:cs="Open Sans Light"/>
                <w:color w:val="000000"/>
                <w:sz w:val="16"/>
                <w:szCs w:val="16"/>
                <w:lang w:eastAsia="en-AU"/>
              </w:rPr>
            </w:pPr>
            <w:r w:rsidRPr="00974DAA">
              <w:rPr>
                <w:rFonts w:eastAsia="Times New Roman" w:cs="Open Sans Light"/>
                <w:color w:val="000000"/>
                <w:sz w:val="16"/>
                <w:szCs w:val="16"/>
                <w:lang w:eastAsia="en-AU"/>
              </w:rPr>
              <w:t>Remote/very remote</w:t>
            </w:r>
          </w:p>
        </w:tc>
        <w:tc>
          <w:tcPr>
            <w:tcW w:w="1980" w:type="dxa"/>
            <w:tcBorders>
              <w:top w:val="nil"/>
              <w:left w:val="nil"/>
              <w:bottom w:val="single" w:sz="4" w:space="0" w:color="ADD6EA"/>
              <w:right w:val="nil"/>
            </w:tcBorders>
            <w:shd w:val="clear" w:color="000000" w:fill="FFFFFF"/>
            <w:vAlign w:val="center"/>
            <w:hideMark/>
          </w:tcPr>
          <w:p w14:paraId="51CBA674"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286</w:t>
            </w:r>
          </w:p>
        </w:tc>
        <w:tc>
          <w:tcPr>
            <w:tcW w:w="1980" w:type="dxa"/>
            <w:tcBorders>
              <w:top w:val="nil"/>
              <w:left w:val="nil"/>
              <w:bottom w:val="single" w:sz="4" w:space="0" w:color="ADD6EA"/>
              <w:right w:val="nil"/>
            </w:tcBorders>
            <w:shd w:val="clear" w:color="000000" w:fill="FFFFFF"/>
            <w:vAlign w:val="center"/>
            <w:hideMark/>
          </w:tcPr>
          <w:p w14:paraId="0CBD8962"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176</w:t>
            </w:r>
          </w:p>
        </w:tc>
        <w:tc>
          <w:tcPr>
            <w:tcW w:w="1720" w:type="dxa"/>
            <w:tcBorders>
              <w:top w:val="nil"/>
              <w:left w:val="nil"/>
              <w:bottom w:val="single" w:sz="4" w:space="0" w:color="ADD6EA"/>
              <w:right w:val="nil"/>
            </w:tcBorders>
            <w:shd w:val="clear" w:color="000000" w:fill="FFFFFF"/>
            <w:vAlign w:val="center"/>
            <w:hideMark/>
          </w:tcPr>
          <w:p w14:paraId="5E4C34E3" w14:textId="77777777" w:rsidR="00961F6E" w:rsidRPr="00974DAA" w:rsidRDefault="00961F6E">
            <w:pPr>
              <w:keepNext/>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62</w:t>
            </w:r>
          </w:p>
        </w:tc>
      </w:tr>
      <w:tr w:rsidR="00961F6E" w:rsidRPr="00974DAA" w14:paraId="3B138C9D" w14:textId="77777777">
        <w:trPr>
          <w:trHeight w:val="315"/>
        </w:trPr>
        <w:tc>
          <w:tcPr>
            <w:tcW w:w="3040" w:type="dxa"/>
            <w:tcBorders>
              <w:top w:val="nil"/>
              <w:left w:val="nil"/>
              <w:bottom w:val="single" w:sz="4" w:space="0" w:color="ADD6EA"/>
              <w:right w:val="nil"/>
            </w:tcBorders>
            <w:shd w:val="clear" w:color="000000" w:fill="D6E7F0"/>
            <w:vAlign w:val="center"/>
            <w:hideMark/>
          </w:tcPr>
          <w:p w14:paraId="0D2B83E2" w14:textId="77777777" w:rsidR="00961F6E" w:rsidRPr="00974DAA" w:rsidRDefault="00961F6E">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Total</w:t>
            </w:r>
          </w:p>
        </w:tc>
        <w:tc>
          <w:tcPr>
            <w:tcW w:w="1980" w:type="dxa"/>
            <w:tcBorders>
              <w:top w:val="nil"/>
              <w:left w:val="nil"/>
              <w:bottom w:val="single" w:sz="4" w:space="0" w:color="ADD6EA"/>
              <w:right w:val="nil"/>
            </w:tcBorders>
            <w:shd w:val="clear" w:color="000000" w:fill="D6E7F0"/>
            <w:vAlign w:val="center"/>
            <w:hideMark/>
          </w:tcPr>
          <w:p w14:paraId="596F36AA" w14:textId="77777777"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8,352</w:t>
            </w:r>
          </w:p>
        </w:tc>
        <w:tc>
          <w:tcPr>
            <w:tcW w:w="1980" w:type="dxa"/>
            <w:tcBorders>
              <w:top w:val="nil"/>
              <w:left w:val="nil"/>
              <w:bottom w:val="single" w:sz="4" w:space="0" w:color="ADD6EA"/>
              <w:right w:val="nil"/>
            </w:tcBorders>
            <w:shd w:val="clear" w:color="000000" w:fill="D6E7F0"/>
            <w:vAlign w:val="center"/>
            <w:hideMark/>
          </w:tcPr>
          <w:p w14:paraId="1A90EF20" w14:textId="77777777"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2,934</w:t>
            </w:r>
          </w:p>
        </w:tc>
        <w:tc>
          <w:tcPr>
            <w:tcW w:w="1720" w:type="dxa"/>
            <w:tcBorders>
              <w:top w:val="nil"/>
              <w:left w:val="nil"/>
              <w:bottom w:val="single" w:sz="4" w:space="0" w:color="ADD6EA"/>
              <w:right w:val="nil"/>
            </w:tcBorders>
            <w:shd w:val="clear" w:color="000000" w:fill="D6E7F0"/>
            <w:vAlign w:val="center"/>
            <w:hideMark/>
          </w:tcPr>
          <w:p w14:paraId="45327086" w14:textId="77777777" w:rsidR="00961F6E" w:rsidRPr="00974DAA" w:rsidRDefault="00961F6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35</w:t>
            </w:r>
          </w:p>
        </w:tc>
      </w:tr>
    </w:tbl>
    <w:p w14:paraId="725E651A" w14:textId="77777777" w:rsidR="00C27231" w:rsidRPr="00214433" w:rsidRDefault="00C27231" w:rsidP="00C27231">
      <w:pPr>
        <w:pStyle w:val="CGCTablenote"/>
        <w:keepNext/>
        <w:tabs>
          <w:tab w:val="clear" w:pos="567"/>
          <w:tab w:val="clear" w:pos="680"/>
          <w:tab w:val="left" w:pos="709"/>
        </w:tabs>
        <w:ind w:left="709" w:hanging="596"/>
        <w:rPr>
          <w:rFonts w:ascii="Work Sans" w:hAnsi="Work Sans"/>
        </w:rPr>
      </w:pPr>
      <w:r w:rsidRPr="00214433">
        <w:rPr>
          <w:rFonts w:ascii="Work Sans" w:hAnsi="Work Sans"/>
        </w:rPr>
        <w:t>Note:</w:t>
      </w:r>
      <w:r w:rsidRPr="00214433">
        <w:rPr>
          <w:rFonts w:ascii="Work Sans" w:hAnsi="Work Sans"/>
        </w:rPr>
        <w:tab/>
        <w:t>Lower urgency presentations include triage category 4 or 5 patients who did not arrive by ambulance or correctional vehicle and were not admitted to hospital.</w:t>
      </w:r>
    </w:p>
    <w:p w14:paraId="2A599BF8" w14:textId="346E3C00" w:rsidR="00C27231" w:rsidRPr="00214433" w:rsidRDefault="00C27231" w:rsidP="00C27231">
      <w:pPr>
        <w:pStyle w:val="CGCTablenote"/>
        <w:keepNext/>
        <w:rPr>
          <w:rFonts w:ascii="Work Sans" w:hAnsi="Work Sans"/>
        </w:rPr>
      </w:pPr>
      <w:r w:rsidRPr="00214433">
        <w:rPr>
          <w:rFonts w:ascii="Work Sans" w:hAnsi="Work Sans"/>
        </w:rPr>
        <w:t>Source:</w:t>
      </w:r>
      <w:r w:rsidRPr="00214433" w:rsidDel="00541D17">
        <w:rPr>
          <w:rFonts w:ascii="Work Sans" w:hAnsi="Work Sans"/>
        </w:rPr>
        <w:tab/>
      </w:r>
      <w:r w:rsidRPr="00214433">
        <w:rPr>
          <w:rFonts w:ascii="Work Sans" w:hAnsi="Work Sans"/>
        </w:rPr>
        <w:t>Commission calculation based on AIHW data: Use of emergency departments for lower urgency care, 2018-19.</w:t>
      </w:r>
    </w:p>
    <w:p w14:paraId="7BEE8F39" w14:textId="6AD95AC9" w:rsidR="0060377C" w:rsidRPr="003D738F" w:rsidRDefault="0060377C" w:rsidP="0060377C">
      <w:pPr>
        <w:pStyle w:val="CGC2025ParaNumbers"/>
      </w:pPr>
      <w:r>
        <w:t>Given the relationship between the Australian Institute of Health and Welfare method and Australian College of Emergency Medicine method at the time of the 2020 Review, the proportion of lower urgency presentations for the ACEM method was estimated at 50% of the AIHW method for major cities and 60% for other remoteness regions. The equivalent proportion of GP-treatable presentations under the Australian College of Emergency Medicine method by remoteness is presented in</w:t>
      </w:r>
      <w:r w:rsidR="0057042E">
        <w:t xml:space="preserve"> </w:t>
      </w:r>
      <w:r>
        <w:fldChar w:fldCharType="begin"/>
      </w:r>
      <w:r>
        <w:instrText xml:space="preserve"> REF _Ref138161935 \h </w:instrText>
      </w:r>
      <w:r>
        <w:fldChar w:fldCharType="separate"/>
      </w:r>
      <w:r w:rsidR="00312054" w:rsidRPr="000944B7">
        <w:rPr>
          <w:bCs/>
        </w:rPr>
        <w:t xml:space="preserve">Table </w:t>
      </w:r>
      <w:r w:rsidR="00312054">
        <w:rPr>
          <w:bCs/>
          <w:noProof/>
        </w:rPr>
        <w:t>6</w:t>
      </w:r>
      <w:r>
        <w:fldChar w:fldCharType="end"/>
      </w:r>
      <w:r>
        <w:t xml:space="preserve">. The overall proportion would be 19%. </w:t>
      </w:r>
    </w:p>
    <w:p w14:paraId="21A9D6F6" w14:textId="430427A2" w:rsidR="000944B7" w:rsidRPr="000944B7" w:rsidRDefault="0060377C" w:rsidP="000944B7">
      <w:pPr>
        <w:pStyle w:val="CGC2025Caption"/>
        <w:ind w:left="1134" w:hanging="1134"/>
        <w:rPr>
          <w:bCs/>
        </w:rPr>
      </w:pPr>
      <w:bookmarkStart w:id="69" w:name="_Ref138161935"/>
      <w:r w:rsidRPr="000944B7">
        <w:rPr>
          <w:bCs/>
        </w:rPr>
        <w:t xml:space="preserve">Table </w:t>
      </w:r>
      <w:r w:rsidRPr="000944B7">
        <w:rPr>
          <w:bCs/>
        </w:rPr>
        <w:fldChar w:fldCharType="begin"/>
      </w:r>
      <w:r w:rsidRPr="000944B7">
        <w:rPr>
          <w:bCs/>
        </w:rPr>
        <w:instrText xml:space="preserve"> SEQ Table \* ARABIC </w:instrText>
      </w:r>
      <w:r w:rsidRPr="000944B7">
        <w:rPr>
          <w:bCs/>
        </w:rPr>
        <w:fldChar w:fldCharType="separate"/>
      </w:r>
      <w:r w:rsidR="00312054">
        <w:rPr>
          <w:bCs/>
          <w:noProof/>
        </w:rPr>
        <w:t>6</w:t>
      </w:r>
      <w:r w:rsidRPr="000944B7">
        <w:rPr>
          <w:bCs/>
        </w:rPr>
        <w:fldChar w:fldCharType="end"/>
      </w:r>
      <w:bookmarkEnd w:id="69"/>
      <w:r w:rsidRPr="000944B7">
        <w:rPr>
          <w:bCs/>
        </w:rPr>
        <w:tab/>
      </w:r>
      <w:r w:rsidR="000944B7" w:rsidRPr="000944B7">
        <w:rPr>
          <w:bCs/>
        </w:rPr>
        <w:t>Percentage of total emergency department presentations considered lower urgency by remoteness, ACEM method</w:t>
      </w:r>
    </w:p>
    <w:tbl>
      <w:tblPr>
        <w:tblW w:w="8720" w:type="dxa"/>
        <w:tblLook w:val="04A0" w:firstRow="1" w:lastRow="0" w:firstColumn="1" w:lastColumn="0" w:noHBand="0" w:noVBand="1"/>
      </w:tblPr>
      <w:tblGrid>
        <w:gridCol w:w="3040"/>
        <w:gridCol w:w="1980"/>
        <w:gridCol w:w="1980"/>
        <w:gridCol w:w="1720"/>
      </w:tblGrid>
      <w:tr w:rsidR="00316C3C" w:rsidRPr="00974DAA" w14:paraId="042E28E2" w14:textId="77777777">
        <w:trPr>
          <w:trHeight w:val="780"/>
        </w:trPr>
        <w:tc>
          <w:tcPr>
            <w:tcW w:w="3040" w:type="dxa"/>
            <w:tcBorders>
              <w:top w:val="nil"/>
              <w:left w:val="nil"/>
              <w:bottom w:val="nil"/>
              <w:right w:val="nil"/>
            </w:tcBorders>
            <w:shd w:val="clear" w:color="000000" w:fill="006991"/>
            <w:vAlign w:val="center"/>
            <w:hideMark/>
          </w:tcPr>
          <w:p w14:paraId="0DC035FF" w14:textId="77777777" w:rsidR="00316C3C" w:rsidRPr="00974DAA" w:rsidRDefault="00316C3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4DAA">
              <w:rPr>
                <w:rFonts w:ascii="Open Sans Semibold" w:eastAsia="Times New Roman" w:hAnsi="Open Sans Semibold" w:cs="Open Sans Semibold"/>
                <w:color w:val="FFFFFF"/>
                <w:sz w:val="16"/>
                <w:szCs w:val="16"/>
                <w:lang w:eastAsia="en-AU"/>
              </w:rPr>
              <w:t> </w:t>
            </w:r>
          </w:p>
        </w:tc>
        <w:tc>
          <w:tcPr>
            <w:tcW w:w="1980" w:type="dxa"/>
            <w:tcBorders>
              <w:top w:val="nil"/>
              <w:left w:val="nil"/>
              <w:bottom w:val="nil"/>
              <w:right w:val="nil"/>
            </w:tcBorders>
            <w:shd w:val="clear" w:color="000000" w:fill="006991"/>
            <w:vAlign w:val="center"/>
            <w:hideMark/>
          </w:tcPr>
          <w:p w14:paraId="21E435FB" w14:textId="77777777" w:rsidR="00316C3C" w:rsidRPr="00974DAA" w:rsidRDefault="00316C3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4DAA">
              <w:rPr>
                <w:rFonts w:ascii="Open Sans Semibold" w:eastAsia="Times New Roman" w:hAnsi="Open Sans Semibold" w:cs="Open Sans Semibold"/>
                <w:color w:val="FFFFFF"/>
                <w:sz w:val="16"/>
                <w:szCs w:val="16"/>
                <w:lang w:eastAsia="en-AU"/>
              </w:rPr>
              <w:t xml:space="preserve">Total </w:t>
            </w:r>
            <w:r>
              <w:rPr>
                <w:rFonts w:ascii="Open Sans Semibold" w:eastAsia="Times New Roman" w:hAnsi="Open Sans Semibold" w:cs="Open Sans Semibold"/>
                <w:color w:val="FFFFFF"/>
                <w:sz w:val="16"/>
                <w:szCs w:val="16"/>
                <w:lang w:eastAsia="en-AU"/>
              </w:rPr>
              <w:t xml:space="preserve">emergency department </w:t>
            </w:r>
            <w:r w:rsidRPr="00974DAA">
              <w:rPr>
                <w:rFonts w:ascii="Open Sans Semibold" w:eastAsia="Times New Roman" w:hAnsi="Open Sans Semibold" w:cs="Open Sans Semibold"/>
                <w:color w:val="FFFFFF"/>
                <w:sz w:val="16"/>
                <w:szCs w:val="16"/>
                <w:lang w:eastAsia="en-AU"/>
              </w:rPr>
              <w:t>presentations</w:t>
            </w:r>
          </w:p>
        </w:tc>
        <w:tc>
          <w:tcPr>
            <w:tcW w:w="1980" w:type="dxa"/>
            <w:tcBorders>
              <w:top w:val="nil"/>
              <w:left w:val="nil"/>
              <w:bottom w:val="nil"/>
              <w:right w:val="nil"/>
            </w:tcBorders>
            <w:shd w:val="clear" w:color="000000" w:fill="006991"/>
            <w:vAlign w:val="center"/>
            <w:hideMark/>
          </w:tcPr>
          <w:p w14:paraId="4AF79674" w14:textId="77777777" w:rsidR="00316C3C" w:rsidRDefault="00316C3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 lower urgency</w:t>
            </w:r>
            <w:r w:rsidRPr="00974DAA">
              <w:rPr>
                <w:rFonts w:ascii="Open Sans Semibold" w:eastAsia="Times New Roman" w:hAnsi="Open Sans Semibold" w:cs="Open Sans Semibold"/>
                <w:color w:val="FFFFFF"/>
                <w:sz w:val="16"/>
                <w:szCs w:val="16"/>
                <w:lang w:eastAsia="en-AU"/>
              </w:rPr>
              <w:t xml:space="preserve"> presentations</w:t>
            </w:r>
            <w:r>
              <w:rPr>
                <w:rFonts w:ascii="Open Sans Semibold" w:eastAsia="Times New Roman" w:hAnsi="Open Sans Semibold" w:cs="Open Sans Semibold"/>
                <w:color w:val="FFFFFF"/>
                <w:sz w:val="16"/>
                <w:szCs w:val="16"/>
                <w:lang w:eastAsia="en-AU"/>
              </w:rPr>
              <w:t xml:space="preserve"> </w:t>
            </w:r>
          </w:p>
          <w:p w14:paraId="1753C9CB" w14:textId="77777777" w:rsidR="00316C3C" w:rsidRPr="00974DAA" w:rsidRDefault="00316C3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AIHW method</w:t>
            </w:r>
          </w:p>
        </w:tc>
        <w:tc>
          <w:tcPr>
            <w:tcW w:w="1720" w:type="dxa"/>
            <w:tcBorders>
              <w:top w:val="nil"/>
              <w:left w:val="nil"/>
              <w:bottom w:val="nil"/>
              <w:right w:val="nil"/>
            </w:tcBorders>
            <w:shd w:val="clear" w:color="000000" w:fill="006991"/>
            <w:vAlign w:val="center"/>
            <w:hideMark/>
          </w:tcPr>
          <w:p w14:paraId="04712892" w14:textId="77777777" w:rsidR="00316C3C" w:rsidRPr="00974DAA" w:rsidRDefault="00316C3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 l</w:t>
            </w:r>
            <w:r w:rsidRPr="00974DAA">
              <w:rPr>
                <w:rFonts w:ascii="Open Sans Semibold" w:eastAsia="Times New Roman" w:hAnsi="Open Sans Semibold" w:cs="Open Sans Semibold"/>
                <w:color w:val="FFFFFF"/>
                <w:sz w:val="16"/>
                <w:szCs w:val="16"/>
                <w:lang w:eastAsia="en-AU"/>
              </w:rPr>
              <w:t xml:space="preserve">ower urgency presentations </w:t>
            </w:r>
            <w:r w:rsidRPr="00974DAA">
              <w:rPr>
                <w:rFonts w:ascii="Open Sans Semibold" w:eastAsia="Times New Roman" w:hAnsi="Open Sans Semibold" w:cs="Open Sans Semibold"/>
                <w:color w:val="FFFFFF"/>
                <w:sz w:val="16"/>
                <w:szCs w:val="16"/>
                <w:lang w:eastAsia="en-AU"/>
              </w:rPr>
              <w:br/>
              <w:t>A</w:t>
            </w:r>
            <w:r>
              <w:rPr>
                <w:rFonts w:ascii="Open Sans Semibold" w:eastAsia="Times New Roman" w:hAnsi="Open Sans Semibold" w:cs="Open Sans Semibold"/>
                <w:color w:val="FFFFFF"/>
                <w:sz w:val="16"/>
                <w:szCs w:val="16"/>
                <w:lang w:eastAsia="en-AU"/>
              </w:rPr>
              <w:t xml:space="preserve">CEM </w:t>
            </w:r>
            <w:r w:rsidRPr="00974DAA">
              <w:rPr>
                <w:rFonts w:ascii="Open Sans Semibold" w:eastAsia="Times New Roman" w:hAnsi="Open Sans Semibold" w:cs="Open Sans Semibold"/>
                <w:color w:val="FFFFFF"/>
                <w:sz w:val="16"/>
                <w:szCs w:val="16"/>
                <w:lang w:eastAsia="en-AU"/>
              </w:rPr>
              <w:t>method</w:t>
            </w:r>
          </w:p>
        </w:tc>
      </w:tr>
      <w:tr w:rsidR="00316C3C" w:rsidRPr="00974DAA" w14:paraId="052B3E8E" w14:textId="77777777">
        <w:trPr>
          <w:trHeight w:val="315"/>
        </w:trPr>
        <w:tc>
          <w:tcPr>
            <w:tcW w:w="3040" w:type="dxa"/>
            <w:tcBorders>
              <w:top w:val="single" w:sz="4" w:space="0" w:color="ADD6EA"/>
              <w:left w:val="nil"/>
              <w:bottom w:val="single" w:sz="4" w:space="0" w:color="ADD6EA"/>
              <w:right w:val="nil"/>
            </w:tcBorders>
            <w:shd w:val="clear" w:color="000000" w:fill="B6D5E4"/>
            <w:vAlign w:val="center"/>
            <w:hideMark/>
          </w:tcPr>
          <w:p w14:paraId="79E31048" w14:textId="77777777" w:rsidR="00316C3C" w:rsidRPr="00974DAA" w:rsidRDefault="00316C3C">
            <w:pPr>
              <w:tabs>
                <w:tab w:val="clear" w:pos="567"/>
              </w:tabs>
              <w:spacing w:before="0" w:line="240" w:lineRule="auto"/>
              <w:rPr>
                <w:rFonts w:ascii="Open Sans Semibold" w:eastAsia="Times New Roman" w:hAnsi="Open Sans Semibold" w:cs="Open Sans Semibold"/>
                <w:b/>
                <w:bCs/>
                <w:color w:val="000000"/>
                <w:sz w:val="16"/>
                <w:szCs w:val="16"/>
                <w:lang w:eastAsia="en-AU"/>
              </w:rPr>
            </w:pPr>
            <w:r w:rsidRPr="00974DAA">
              <w:rPr>
                <w:rFonts w:ascii="Open Sans Semibold" w:eastAsia="Times New Roman" w:hAnsi="Open Sans Semibold" w:cs="Open Sans Semibold"/>
                <w:b/>
                <w:bCs/>
                <w:color w:val="000000"/>
                <w:sz w:val="16"/>
                <w:szCs w:val="16"/>
                <w:lang w:eastAsia="en-AU"/>
              </w:rPr>
              <w:t> </w:t>
            </w:r>
          </w:p>
        </w:tc>
        <w:tc>
          <w:tcPr>
            <w:tcW w:w="1980" w:type="dxa"/>
            <w:tcBorders>
              <w:top w:val="single" w:sz="4" w:space="0" w:color="ADD6EA"/>
              <w:left w:val="nil"/>
              <w:bottom w:val="single" w:sz="4" w:space="0" w:color="ADD6EA"/>
              <w:right w:val="nil"/>
            </w:tcBorders>
            <w:shd w:val="clear" w:color="000000" w:fill="B6D5E4"/>
            <w:vAlign w:val="center"/>
            <w:hideMark/>
          </w:tcPr>
          <w:p w14:paraId="16F4A47A" w14:textId="794A2831" w:rsidR="00316C3C" w:rsidRPr="00974DAA" w:rsidRDefault="00316C3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000</w:t>
            </w:r>
          </w:p>
        </w:tc>
        <w:tc>
          <w:tcPr>
            <w:tcW w:w="1980" w:type="dxa"/>
            <w:tcBorders>
              <w:top w:val="single" w:sz="4" w:space="0" w:color="ADD6EA"/>
              <w:left w:val="nil"/>
              <w:bottom w:val="single" w:sz="4" w:space="0" w:color="ADD6EA"/>
              <w:right w:val="nil"/>
            </w:tcBorders>
            <w:shd w:val="clear" w:color="000000" w:fill="B6D5E4"/>
            <w:vAlign w:val="center"/>
            <w:hideMark/>
          </w:tcPr>
          <w:p w14:paraId="42569BC9" w14:textId="77777777" w:rsidR="00316C3C" w:rsidRPr="00974DAA" w:rsidRDefault="00316C3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w:t>
            </w:r>
          </w:p>
        </w:tc>
        <w:tc>
          <w:tcPr>
            <w:tcW w:w="1720" w:type="dxa"/>
            <w:tcBorders>
              <w:top w:val="single" w:sz="4" w:space="0" w:color="ADD6EA"/>
              <w:left w:val="nil"/>
              <w:bottom w:val="single" w:sz="4" w:space="0" w:color="ADD6EA"/>
              <w:right w:val="nil"/>
            </w:tcBorders>
            <w:shd w:val="clear" w:color="000000" w:fill="B6D5E4"/>
            <w:vAlign w:val="center"/>
            <w:hideMark/>
          </w:tcPr>
          <w:p w14:paraId="0FA34218" w14:textId="77777777" w:rsidR="00316C3C" w:rsidRPr="00974DAA" w:rsidRDefault="00316C3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w:t>
            </w:r>
          </w:p>
        </w:tc>
      </w:tr>
      <w:tr w:rsidR="00316C3C" w:rsidRPr="00974DAA" w14:paraId="7D3600D5" w14:textId="77777777">
        <w:trPr>
          <w:trHeight w:val="315"/>
        </w:trPr>
        <w:tc>
          <w:tcPr>
            <w:tcW w:w="3040" w:type="dxa"/>
            <w:tcBorders>
              <w:top w:val="nil"/>
              <w:left w:val="nil"/>
              <w:bottom w:val="single" w:sz="4" w:space="0" w:color="ADD6EA"/>
              <w:right w:val="nil"/>
            </w:tcBorders>
            <w:shd w:val="clear" w:color="000000" w:fill="FFFFFF"/>
            <w:vAlign w:val="center"/>
            <w:hideMark/>
          </w:tcPr>
          <w:p w14:paraId="670B8B06" w14:textId="77777777" w:rsidR="00316C3C" w:rsidRPr="00974DAA" w:rsidRDefault="00316C3C">
            <w:pPr>
              <w:tabs>
                <w:tab w:val="clear" w:pos="567"/>
              </w:tabs>
              <w:spacing w:before="0" w:line="240" w:lineRule="auto"/>
              <w:rPr>
                <w:rFonts w:eastAsia="Times New Roman" w:cs="Open Sans Light"/>
                <w:color w:val="000000"/>
                <w:sz w:val="16"/>
                <w:szCs w:val="16"/>
                <w:lang w:eastAsia="en-AU"/>
              </w:rPr>
            </w:pPr>
            <w:r w:rsidRPr="00974DAA">
              <w:rPr>
                <w:rFonts w:eastAsia="Times New Roman" w:cs="Open Sans Light"/>
                <w:color w:val="000000"/>
                <w:sz w:val="16"/>
                <w:szCs w:val="16"/>
                <w:lang w:eastAsia="en-AU"/>
              </w:rPr>
              <w:t>Major cities</w:t>
            </w:r>
          </w:p>
        </w:tc>
        <w:tc>
          <w:tcPr>
            <w:tcW w:w="1980" w:type="dxa"/>
            <w:tcBorders>
              <w:top w:val="nil"/>
              <w:left w:val="nil"/>
              <w:bottom w:val="single" w:sz="4" w:space="0" w:color="ADD6EA"/>
              <w:right w:val="nil"/>
            </w:tcBorders>
            <w:shd w:val="clear" w:color="000000" w:fill="FFFFFF"/>
            <w:vAlign w:val="center"/>
            <w:hideMark/>
          </w:tcPr>
          <w:p w14:paraId="40E16349"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5,239</w:t>
            </w:r>
          </w:p>
        </w:tc>
        <w:tc>
          <w:tcPr>
            <w:tcW w:w="1980" w:type="dxa"/>
            <w:tcBorders>
              <w:top w:val="nil"/>
              <w:left w:val="nil"/>
              <w:bottom w:val="single" w:sz="4" w:space="0" w:color="ADD6EA"/>
              <w:right w:val="nil"/>
            </w:tcBorders>
            <w:shd w:val="clear" w:color="000000" w:fill="FFFFFF"/>
            <w:vAlign w:val="center"/>
          </w:tcPr>
          <w:p w14:paraId="21AAB5E6"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33</w:t>
            </w:r>
          </w:p>
        </w:tc>
        <w:tc>
          <w:tcPr>
            <w:tcW w:w="1720" w:type="dxa"/>
            <w:tcBorders>
              <w:top w:val="nil"/>
              <w:left w:val="nil"/>
              <w:bottom w:val="single" w:sz="4" w:space="0" w:color="ADD6EA"/>
              <w:right w:val="nil"/>
            </w:tcBorders>
            <w:shd w:val="clear" w:color="000000" w:fill="FFFFFF"/>
            <w:vAlign w:val="center"/>
          </w:tcPr>
          <w:p w14:paraId="2D10EBE2"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16</w:t>
            </w:r>
          </w:p>
        </w:tc>
      </w:tr>
      <w:tr w:rsidR="00316C3C" w:rsidRPr="00974DAA" w14:paraId="5F8B64FE" w14:textId="77777777">
        <w:trPr>
          <w:trHeight w:val="315"/>
        </w:trPr>
        <w:tc>
          <w:tcPr>
            <w:tcW w:w="3040" w:type="dxa"/>
            <w:tcBorders>
              <w:top w:val="nil"/>
              <w:left w:val="nil"/>
              <w:bottom w:val="single" w:sz="4" w:space="0" w:color="ADD6EA"/>
              <w:right w:val="nil"/>
            </w:tcBorders>
            <w:shd w:val="clear" w:color="000000" w:fill="FFFFFF"/>
            <w:vAlign w:val="center"/>
            <w:hideMark/>
          </w:tcPr>
          <w:p w14:paraId="1BCAF360" w14:textId="77777777" w:rsidR="00316C3C" w:rsidRPr="00974DAA" w:rsidRDefault="00316C3C">
            <w:pPr>
              <w:tabs>
                <w:tab w:val="clear" w:pos="567"/>
              </w:tabs>
              <w:spacing w:before="0" w:line="240" w:lineRule="auto"/>
              <w:rPr>
                <w:rFonts w:eastAsia="Times New Roman" w:cs="Open Sans Light"/>
                <w:color w:val="000000"/>
                <w:sz w:val="16"/>
                <w:szCs w:val="16"/>
                <w:lang w:eastAsia="en-AU"/>
              </w:rPr>
            </w:pPr>
            <w:r w:rsidRPr="00974DAA">
              <w:rPr>
                <w:rFonts w:eastAsia="Times New Roman" w:cs="Open Sans Light"/>
                <w:color w:val="000000"/>
                <w:sz w:val="16"/>
                <w:szCs w:val="16"/>
                <w:lang w:eastAsia="en-AU"/>
              </w:rPr>
              <w:t>Inner regional</w:t>
            </w:r>
          </w:p>
        </w:tc>
        <w:tc>
          <w:tcPr>
            <w:tcW w:w="1980" w:type="dxa"/>
            <w:tcBorders>
              <w:top w:val="nil"/>
              <w:left w:val="nil"/>
              <w:bottom w:val="single" w:sz="4" w:space="0" w:color="ADD6EA"/>
              <w:right w:val="nil"/>
            </w:tcBorders>
            <w:shd w:val="clear" w:color="000000" w:fill="FFFFFF"/>
            <w:vAlign w:val="center"/>
            <w:hideMark/>
          </w:tcPr>
          <w:p w14:paraId="53E7776D"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1,819</w:t>
            </w:r>
          </w:p>
        </w:tc>
        <w:tc>
          <w:tcPr>
            <w:tcW w:w="1980" w:type="dxa"/>
            <w:tcBorders>
              <w:top w:val="nil"/>
              <w:left w:val="nil"/>
              <w:bottom w:val="single" w:sz="4" w:space="0" w:color="ADD6EA"/>
              <w:right w:val="nil"/>
            </w:tcBorders>
            <w:shd w:val="clear" w:color="000000" w:fill="FFFFFF"/>
            <w:vAlign w:val="center"/>
          </w:tcPr>
          <w:p w14:paraId="71DD6A5C"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40</w:t>
            </w:r>
          </w:p>
        </w:tc>
        <w:tc>
          <w:tcPr>
            <w:tcW w:w="1720" w:type="dxa"/>
            <w:tcBorders>
              <w:top w:val="nil"/>
              <w:left w:val="nil"/>
              <w:bottom w:val="single" w:sz="4" w:space="0" w:color="ADD6EA"/>
              <w:right w:val="nil"/>
            </w:tcBorders>
            <w:shd w:val="clear" w:color="000000" w:fill="FFFFFF"/>
            <w:vAlign w:val="center"/>
          </w:tcPr>
          <w:p w14:paraId="56463C7D"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24</w:t>
            </w:r>
          </w:p>
        </w:tc>
      </w:tr>
      <w:tr w:rsidR="00316C3C" w:rsidRPr="00974DAA" w14:paraId="2DBB86E0" w14:textId="77777777">
        <w:trPr>
          <w:trHeight w:val="315"/>
        </w:trPr>
        <w:tc>
          <w:tcPr>
            <w:tcW w:w="3040" w:type="dxa"/>
            <w:tcBorders>
              <w:top w:val="nil"/>
              <w:left w:val="nil"/>
              <w:bottom w:val="single" w:sz="4" w:space="0" w:color="ADD6EA"/>
              <w:right w:val="nil"/>
            </w:tcBorders>
            <w:shd w:val="clear" w:color="000000" w:fill="FFFFFF"/>
            <w:vAlign w:val="center"/>
            <w:hideMark/>
          </w:tcPr>
          <w:p w14:paraId="01AE5F76" w14:textId="77777777" w:rsidR="00316C3C" w:rsidRPr="00974DAA" w:rsidRDefault="00316C3C">
            <w:pPr>
              <w:tabs>
                <w:tab w:val="clear" w:pos="567"/>
              </w:tabs>
              <w:spacing w:before="0" w:line="240" w:lineRule="auto"/>
              <w:rPr>
                <w:rFonts w:eastAsia="Times New Roman" w:cs="Open Sans Light"/>
                <w:color w:val="000000"/>
                <w:sz w:val="16"/>
                <w:szCs w:val="16"/>
                <w:lang w:eastAsia="en-AU"/>
              </w:rPr>
            </w:pPr>
            <w:r w:rsidRPr="00974DAA">
              <w:rPr>
                <w:rFonts w:eastAsia="Times New Roman" w:cs="Open Sans Light"/>
                <w:color w:val="000000"/>
                <w:sz w:val="16"/>
                <w:szCs w:val="16"/>
                <w:lang w:eastAsia="en-AU"/>
              </w:rPr>
              <w:t>Outer regional</w:t>
            </w:r>
          </w:p>
        </w:tc>
        <w:tc>
          <w:tcPr>
            <w:tcW w:w="1980" w:type="dxa"/>
            <w:tcBorders>
              <w:top w:val="nil"/>
              <w:left w:val="nil"/>
              <w:bottom w:val="single" w:sz="4" w:space="0" w:color="ADD6EA"/>
              <w:right w:val="nil"/>
            </w:tcBorders>
            <w:shd w:val="clear" w:color="000000" w:fill="FFFFFF"/>
            <w:vAlign w:val="center"/>
            <w:hideMark/>
          </w:tcPr>
          <w:p w14:paraId="1990D6A9"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866</w:t>
            </w:r>
          </w:p>
        </w:tc>
        <w:tc>
          <w:tcPr>
            <w:tcW w:w="1980" w:type="dxa"/>
            <w:tcBorders>
              <w:top w:val="nil"/>
              <w:left w:val="nil"/>
              <w:bottom w:val="single" w:sz="4" w:space="0" w:color="ADD6EA"/>
              <w:right w:val="nil"/>
            </w:tcBorders>
            <w:shd w:val="clear" w:color="000000" w:fill="FFFFFF"/>
            <w:vAlign w:val="center"/>
          </w:tcPr>
          <w:p w14:paraId="6487CBFD"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32</w:t>
            </w:r>
          </w:p>
        </w:tc>
        <w:tc>
          <w:tcPr>
            <w:tcW w:w="1720" w:type="dxa"/>
            <w:tcBorders>
              <w:top w:val="nil"/>
              <w:left w:val="nil"/>
              <w:bottom w:val="single" w:sz="4" w:space="0" w:color="ADD6EA"/>
              <w:right w:val="nil"/>
            </w:tcBorders>
            <w:shd w:val="clear" w:color="000000" w:fill="FFFFFF"/>
            <w:vAlign w:val="center"/>
          </w:tcPr>
          <w:p w14:paraId="48A99B66"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19</w:t>
            </w:r>
          </w:p>
        </w:tc>
      </w:tr>
      <w:tr w:rsidR="00316C3C" w:rsidRPr="00974DAA" w14:paraId="1A07BFD1" w14:textId="77777777">
        <w:trPr>
          <w:trHeight w:val="315"/>
        </w:trPr>
        <w:tc>
          <w:tcPr>
            <w:tcW w:w="3040" w:type="dxa"/>
            <w:tcBorders>
              <w:top w:val="nil"/>
              <w:left w:val="nil"/>
              <w:bottom w:val="single" w:sz="4" w:space="0" w:color="ADD6EA"/>
              <w:right w:val="nil"/>
            </w:tcBorders>
            <w:shd w:val="clear" w:color="000000" w:fill="FFFFFF"/>
            <w:vAlign w:val="center"/>
            <w:hideMark/>
          </w:tcPr>
          <w:p w14:paraId="0E320BA8" w14:textId="77777777" w:rsidR="00316C3C" w:rsidRPr="00974DAA" w:rsidRDefault="00316C3C">
            <w:pPr>
              <w:tabs>
                <w:tab w:val="clear" w:pos="567"/>
              </w:tabs>
              <w:spacing w:before="0" w:line="240" w:lineRule="auto"/>
              <w:rPr>
                <w:rFonts w:eastAsia="Times New Roman" w:cs="Open Sans Light"/>
                <w:color w:val="000000"/>
                <w:sz w:val="16"/>
                <w:szCs w:val="16"/>
                <w:lang w:eastAsia="en-AU"/>
              </w:rPr>
            </w:pPr>
            <w:r w:rsidRPr="00974DAA">
              <w:rPr>
                <w:rFonts w:eastAsia="Times New Roman" w:cs="Open Sans Light"/>
                <w:color w:val="000000"/>
                <w:sz w:val="16"/>
                <w:szCs w:val="16"/>
                <w:lang w:eastAsia="en-AU"/>
              </w:rPr>
              <w:t>Remote/very remote</w:t>
            </w:r>
          </w:p>
        </w:tc>
        <w:tc>
          <w:tcPr>
            <w:tcW w:w="1980" w:type="dxa"/>
            <w:tcBorders>
              <w:top w:val="nil"/>
              <w:left w:val="nil"/>
              <w:bottom w:val="single" w:sz="4" w:space="0" w:color="ADD6EA"/>
              <w:right w:val="nil"/>
            </w:tcBorders>
            <w:shd w:val="clear" w:color="000000" w:fill="FFFFFF"/>
            <w:vAlign w:val="center"/>
            <w:hideMark/>
          </w:tcPr>
          <w:p w14:paraId="30F5DC10"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sidRPr="00974DAA">
              <w:rPr>
                <w:rFonts w:eastAsia="Times New Roman" w:cs="Open Sans Light"/>
                <w:color w:val="000000"/>
                <w:sz w:val="16"/>
                <w:szCs w:val="16"/>
                <w:lang w:eastAsia="en-AU"/>
              </w:rPr>
              <w:t>286</w:t>
            </w:r>
          </w:p>
        </w:tc>
        <w:tc>
          <w:tcPr>
            <w:tcW w:w="1980" w:type="dxa"/>
            <w:tcBorders>
              <w:top w:val="nil"/>
              <w:left w:val="nil"/>
              <w:bottom w:val="single" w:sz="4" w:space="0" w:color="ADD6EA"/>
              <w:right w:val="nil"/>
            </w:tcBorders>
            <w:shd w:val="clear" w:color="000000" w:fill="FFFFFF"/>
            <w:vAlign w:val="center"/>
          </w:tcPr>
          <w:p w14:paraId="630815D8"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62</w:t>
            </w:r>
          </w:p>
        </w:tc>
        <w:tc>
          <w:tcPr>
            <w:tcW w:w="1720" w:type="dxa"/>
            <w:tcBorders>
              <w:top w:val="nil"/>
              <w:left w:val="nil"/>
              <w:bottom w:val="single" w:sz="4" w:space="0" w:color="ADD6EA"/>
              <w:right w:val="nil"/>
            </w:tcBorders>
            <w:shd w:val="clear" w:color="000000" w:fill="FFFFFF"/>
            <w:vAlign w:val="center"/>
          </w:tcPr>
          <w:p w14:paraId="483AFCF9" w14:textId="77777777" w:rsidR="00316C3C" w:rsidRPr="00974DAA" w:rsidRDefault="00316C3C">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37</w:t>
            </w:r>
          </w:p>
        </w:tc>
      </w:tr>
      <w:tr w:rsidR="00316C3C" w:rsidRPr="00974DAA" w14:paraId="3EC2BA7B" w14:textId="77777777">
        <w:trPr>
          <w:trHeight w:val="315"/>
        </w:trPr>
        <w:tc>
          <w:tcPr>
            <w:tcW w:w="3040" w:type="dxa"/>
            <w:tcBorders>
              <w:top w:val="nil"/>
              <w:left w:val="nil"/>
              <w:bottom w:val="single" w:sz="4" w:space="0" w:color="ADD6EA"/>
              <w:right w:val="nil"/>
            </w:tcBorders>
            <w:shd w:val="clear" w:color="000000" w:fill="D6E7F0"/>
            <w:vAlign w:val="center"/>
            <w:hideMark/>
          </w:tcPr>
          <w:p w14:paraId="365662DC" w14:textId="77777777" w:rsidR="00316C3C" w:rsidRPr="00974DAA" w:rsidRDefault="00316C3C">
            <w:pPr>
              <w:tabs>
                <w:tab w:val="clear" w:pos="567"/>
              </w:tabs>
              <w:spacing w:before="0" w:line="240" w:lineRule="auto"/>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Total</w:t>
            </w:r>
          </w:p>
        </w:tc>
        <w:tc>
          <w:tcPr>
            <w:tcW w:w="1980" w:type="dxa"/>
            <w:tcBorders>
              <w:top w:val="nil"/>
              <w:left w:val="nil"/>
              <w:bottom w:val="single" w:sz="4" w:space="0" w:color="ADD6EA"/>
              <w:right w:val="nil"/>
            </w:tcBorders>
            <w:shd w:val="clear" w:color="000000" w:fill="D6E7F0"/>
            <w:vAlign w:val="center"/>
            <w:hideMark/>
          </w:tcPr>
          <w:p w14:paraId="2B1B52A9" w14:textId="77777777" w:rsidR="00316C3C" w:rsidRPr="00974DAA" w:rsidRDefault="00316C3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74DAA">
              <w:rPr>
                <w:rFonts w:ascii="Open Sans Semibold" w:eastAsia="Times New Roman" w:hAnsi="Open Sans Semibold" w:cs="Open Sans Semibold"/>
                <w:color w:val="000000"/>
                <w:sz w:val="16"/>
                <w:szCs w:val="16"/>
                <w:lang w:eastAsia="en-AU"/>
              </w:rPr>
              <w:t>8,352</w:t>
            </w:r>
          </w:p>
        </w:tc>
        <w:tc>
          <w:tcPr>
            <w:tcW w:w="1980" w:type="dxa"/>
            <w:tcBorders>
              <w:top w:val="nil"/>
              <w:left w:val="nil"/>
              <w:bottom w:val="single" w:sz="4" w:space="0" w:color="ADD6EA"/>
              <w:right w:val="nil"/>
            </w:tcBorders>
            <w:shd w:val="clear" w:color="000000" w:fill="D6E7F0"/>
            <w:vAlign w:val="center"/>
          </w:tcPr>
          <w:p w14:paraId="523EF4D6" w14:textId="77777777" w:rsidR="00316C3C" w:rsidRPr="00974DAA" w:rsidRDefault="00316C3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35</w:t>
            </w:r>
          </w:p>
        </w:tc>
        <w:tc>
          <w:tcPr>
            <w:tcW w:w="1720" w:type="dxa"/>
            <w:tcBorders>
              <w:top w:val="nil"/>
              <w:left w:val="nil"/>
              <w:bottom w:val="single" w:sz="4" w:space="0" w:color="ADD6EA"/>
              <w:right w:val="nil"/>
            </w:tcBorders>
            <w:shd w:val="clear" w:color="000000" w:fill="D6E7F0"/>
            <w:vAlign w:val="center"/>
          </w:tcPr>
          <w:p w14:paraId="54438E9B" w14:textId="77777777" w:rsidR="00316C3C" w:rsidRPr="00974DAA" w:rsidRDefault="00316C3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19</w:t>
            </w:r>
          </w:p>
        </w:tc>
      </w:tr>
    </w:tbl>
    <w:p w14:paraId="14DF8B64" w14:textId="01D7F935" w:rsidR="00BC543C" w:rsidRDefault="004526F1" w:rsidP="008A54C1">
      <w:pPr>
        <w:pStyle w:val="CGCTablenote"/>
        <w:tabs>
          <w:tab w:val="clear" w:pos="567"/>
          <w:tab w:val="clear" w:pos="680"/>
          <w:tab w:val="left" w:pos="709"/>
        </w:tabs>
        <w:ind w:left="709" w:hanging="596"/>
        <w:rPr>
          <w:rFonts w:ascii="Work Sans" w:hAnsi="Work Sans"/>
        </w:rPr>
      </w:pPr>
      <w:r w:rsidRPr="00214433">
        <w:rPr>
          <w:rFonts w:ascii="Work Sans" w:hAnsi="Work Sans"/>
        </w:rPr>
        <w:t>Note:</w:t>
      </w:r>
      <w:r w:rsidRPr="00214433">
        <w:rPr>
          <w:rFonts w:ascii="Work Sans" w:hAnsi="Work Sans"/>
        </w:rPr>
        <w:tab/>
        <w:t>The proportion of lower urgency presentations for the ACEM method was estimated at 50% of the AIHW method for major cities and 60% for other remoteness regions.</w:t>
      </w:r>
    </w:p>
    <w:p w14:paraId="2F2B63D1" w14:textId="00DF90DB" w:rsidR="008A54C1" w:rsidRPr="008A54C1" w:rsidRDefault="008A54C1" w:rsidP="008A54C1">
      <w:pPr>
        <w:pStyle w:val="CGCTablenote"/>
        <w:ind w:left="709" w:hanging="596"/>
        <w:rPr>
          <w:rFonts w:ascii="Work Sans" w:hAnsi="Work Sans"/>
        </w:rPr>
      </w:pPr>
      <w:r w:rsidRPr="008A54C1">
        <w:rPr>
          <w:rFonts w:ascii="Work Sans" w:hAnsi="Work Sans"/>
        </w:rPr>
        <w:t xml:space="preserve">Source: </w:t>
      </w:r>
      <w:r>
        <w:rPr>
          <w:rFonts w:ascii="Work Sans" w:hAnsi="Work Sans"/>
        </w:rPr>
        <w:t>Commission calculation.</w:t>
      </w:r>
    </w:p>
    <w:p w14:paraId="1102A7AD" w14:textId="77777777" w:rsidR="00052EF2" w:rsidRPr="003D738F" w:rsidRDefault="00052EF2" w:rsidP="00052EF2">
      <w:pPr>
        <w:pStyle w:val="CGC2025ParaNumbers"/>
      </w:pPr>
      <w:r w:rsidRPr="003D738F">
        <w:t>The latest Independent Health and Aged Care Pricing Authority data indicate that emergency department triage 4 and 5 presentations make up 48.8% of total emergency department presentations, but only account for 32.4% of the cost, resulting in a cost to activity ratio of 0.324/0.488=0.6</w:t>
      </w:r>
      <w:r>
        <w:t>6</w:t>
      </w:r>
      <w:r w:rsidRPr="003D738F">
        <w:t xml:space="preserve">. Applying this ratio to the </w:t>
      </w:r>
      <w:r w:rsidRPr="003D738F">
        <w:lastRenderedPageBreak/>
        <w:t>activity level of 1</w:t>
      </w:r>
      <w:r>
        <w:t>9</w:t>
      </w:r>
      <w:r w:rsidRPr="003D738F">
        <w:t>%, the proportion of emergency department expenditure on GP</w:t>
      </w:r>
      <w:r>
        <w:noBreakHyphen/>
      </w:r>
      <w:r w:rsidRPr="003D738F">
        <w:t>type presentations would be around 1</w:t>
      </w:r>
      <w:r>
        <w:t>3</w:t>
      </w:r>
      <w:r w:rsidRPr="003D738F">
        <w:t>%.</w:t>
      </w:r>
    </w:p>
    <w:p w14:paraId="2DE749C0" w14:textId="1BF6E101" w:rsidR="00052EF2" w:rsidRPr="00406D88" w:rsidRDefault="00052EF2" w:rsidP="00052EF2">
      <w:pPr>
        <w:pStyle w:val="CGC2025ParaNumbers"/>
      </w:pPr>
      <w:r>
        <w:t>The proposed substitutability level for emergency departments is shown in</w:t>
      </w:r>
      <w:r w:rsidR="00406D88">
        <w:t xml:space="preserve"> </w:t>
      </w:r>
      <w:r>
        <w:fldChar w:fldCharType="begin"/>
      </w:r>
      <w:r>
        <w:instrText xml:space="preserve"> REF _Ref138162034 \h </w:instrText>
      </w:r>
      <w:r>
        <w:fldChar w:fldCharType="separate"/>
      </w:r>
      <w:r w:rsidR="00312054">
        <w:t xml:space="preserve">Table </w:t>
      </w:r>
      <w:r w:rsidR="00312054">
        <w:rPr>
          <w:noProof/>
        </w:rPr>
        <w:t>7</w:t>
      </w:r>
      <w:r>
        <w:fldChar w:fldCharType="end"/>
      </w:r>
      <w:r>
        <w:t>.</w:t>
      </w:r>
    </w:p>
    <w:p w14:paraId="65C96882" w14:textId="1D749E7D" w:rsidR="00C16260" w:rsidRDefault="00FC1B68" w:rsidP="00214433">
      <w:pPr>
        <w:pStyle w:val="CGC2025Caption"/>
        <w:tabs>
          <w:tab w:val="left" w:pos="1134"/>
        </w:tabs>
      </w:pPr>
      <w:bookmarkStart w:id="70" w:name="_Ref138162034"/>
      <w:r>
        <w:t xml:space="preserve">Table </w:t>
      </w:r>
      <w:fldSimple w:instr=" SEQ Table \* ARABIC ">
        <w:r w:rsidR="00312054">
          <w:rPr>
            <w:noProof/>
          </w:rPr>
          <w:t>7</w:t>
        </w:r>
      </w:fldSimple>
      <w:bookmarkEnd w:id="70"/>
      <w:r>
        <w:tab/>
      </w:r>
      <w:r w:rsidR="002D7EC5" w:rsidRPr="005539BF">
        <w:t>Proposed substitutability level emergency departments</w:t>
      </w:r>
      <w:r w:rsidR="00C56526">
        <w:t xml:space="preserve">, </w:t>
      </w:r>
      <w:r w:rsidR="002D7EC5" w:rsidRPr="005539BF">
        <w:t>2025 Review</w:t>
      </w:r>
    </w:p>
    <w:tbl>
      <w:tblPr>
        <w:tblW w:w="8789" w:type="dxa"/>
        <w:tblLook w:val="04A0" w:firstRow="1" w:lastRow="0" w:firstColumn="1" w:lastColumn="0" w:noHBand="0" w:noVBand="1"/>
      </w:tblPr>
      <w:tblGrid>
        <w:gridCol w:w="2552"/>
        <w:gridCol w:w="2835"/>
        <w:gridCol w:w="3402"/>
      </w:tblGrid>
      <w:tr w:rsidR="001154AD" w:rsidRPr="00054A5C" w14:paraId="28436F2D" w14:textId="77777777" w:rsidTr="12B6223B">
        <w:trPr>
          <w:trHeight w:val="315"/>
        </w:trPr>
        <w:tc>
          <w:tcPr>
            <w:tcW w:w="2552" w:type="dxa"/>
            <w:tcBorders>
              <w:top w:val="nil"/>
              <w:left w:val="nil"/>
              <w:bottom w:val="single" w:sz="4" w:space="0" w:color="ADD6EA"/>
              <w:right w:val="nil"/>
            </w:tcBorders>
            <w:shd w:val="clear" w:color="auto" w:fill="006991"/>
            <w:noWrap/>
            <w:vAlign w:val="center"/>
            <w:hideMark/>
          </w:tcPr>
          <w:p w14:paraId="7C79747C" w14:textId="77777777" w:rsidR="001154AD" w:rsidRPr="00054A5C" w:rsidRDefault="001154AD">
            <w:pPr>
              <w:keepNext/>
              <w:tabs>
                <w:tab w:val="clear" w:pos="567"/>
              </w:tabs>
              <w:spacing w:before="0" w:line="240" w:lineRule="auto"/>
              <w:jc w:val="right"/>
              <w:rPr>
                <w:rFonts w:eastAsia="Times New Roman" w:cs="Open Sans Light"/>
                <w:b/>
                <w:bCs/>
                <w:color w:val="FFFFFF"/>
                <w:sz w:val="16"/>
                <w:szCs w:val="16"/>
                <w:lang w:eastAsia="en-AU"/>
              </w:rPr>
            </w:pPr>
            <w:r w:rsidRPr="00054A5C">
              <w:rPr>
                <w:rFonts w:eastAsia="Times New Roman" w:cs="Open Sans Light"/>
                <w:b/>
                <w:bCs/>
                <w:color w:val="FFFFFF"/>
                <w:sz w:val="16"/>
                <w:szCs w:val="16"/>
                <w:lang w:eastAsia="en-AU"/>
              </w:rPr>
              <w:t> </w:t>
            </w:r>
          </w:p>
        </w:tc>
        <w:tc>
          <w:tcPr>
            <w:tcW w:w="2835" w:type="dxa"/>
            <w:tcBorders>
              <w:top w:val="nil"/>
              <w:left w:val="nil"/>
              <w:bottom w:val="single" w:sz="4" w:space="0" w:color="ADD6EA"/>
              <w:right w:val="nil"/>
            </w:tcBorders>
            <w:shd w:val="clear" w:color="auto" w:fill="006991"/>
            <w:vAlign w:val="center"/>
            <w:hideMark/>
          </w:tcPr>
          <w:p w14:paraId="5A76A95D" w14:textId="77777777" w:rsidR="001154AD" w:rsidRPr="00054A5C" w:rsidRDefault="001154AD">
            <w:pPr>
              <w:keepNext/>
              <w:tabs>
                <w:tab w:val="clear" w:pos="567"/>
              </w:tabs>
              <w:spacing w:before="0" w:line="240" w:lineRule="auto"/>
              <w:jc w:val="right"/>
              <w:rPr>
                <w:rFonts w:eastAsia="Times New Roman" w:cs="Open Sans Light"/>
                <w:b/>
                <w:bCs/>
                <w:color w:val="FFFFFF"/>
                <w:sz w:val="16"/>
                <w:szCs w:val="16"/>
                <w:lang w:eastAsia="en-AU"/>
              </w:rPr>
            </w:pPr>
            <w:r w:rsidRPr="00054A5C">
              <w:rPr>
                <w:rFonts w:eastAsia="Times New Roman" w:cs="Open Sans Light"/>
                <w:b/>
                <w:bCs/>
                <w:color w:val="FFFFFF"/>
                <w:sz w:val="16"/>
                <w:szCs w:val="16"/>
                <w:lang w:eastAsia="en-AU"/>
              </w:rPr>
              <w:t>Substitutability R2020</w:t>
            </w:r>
          </w:p>
        </w:tc>
        <w:tc>
          <w:tcPr>
            <w:tcW w:w="3402" w:type="dxa"/>
            <w:tcBorders>
              <w:top w:val="nil"/>
              <w:left w:val="nil"/>
              <w:bottom w:val="single" w:sz="4" w:space="0" w:color="ADD6EA"/>
              <w:right w:val="nil"/>
            </w:tcBorders>
            <w:shd w:val="clear" w:color="auto" w:fill="006991"/>
            <w:vAlign w:val="center"/>
            <w:hideMark/>
          </w:tcPr>
          <w:p w14:paraId="154C396B" w14:textId="77777777" w:rsidR="001154AD" w:rsidRPr="00054A5C" w:rsidRDefault="001154AD">
            <w:pPr>
              <w:keepNext/>
              <w:tabs>
                <w:tab w:val="clear" w:pos="567"/>
              </w:tabs>
              <w:spacing w:before="0" w:line="240" w:lineRule="auto"/>
              <w:jc w:val="right"/>
              <w:rPr>
                <w:rFonts w:eastAsia="Times New Roman" w:cs="Open Sans Light"/>
                <w:b/>
                <w:bCs/>
                <w:color w:val="FFFFFF"/>
                <w:sz w:val="16"/>
                <w:szCs w:val="16"/>
                <w:lang w:eastAsia="en-AU"/>
              </w:rPr>
            </w:pPr>
            <w:r w:rsidRPr="00054A5C">
              <w:rPr>
                <w:rFonts w:eastAsia="Times New Roman" w:cs="Open Sans Light"/>
                <w:b/>
                <w:bCs/>
                <w:color w:val="FFFFFF"/>
                <w:sz w:val="16"/>
                <w:szCs w:val="16"/>
                <w:lang w:eastAsia="en-AU"/>
              </w:rPr>
              <w:t>Substitutability R2025</w:t>
            </w:r>
          </w:p>
        </w:tc>
      </w:tr>
      <w:tr w:rsidR="001154AD" w:rsidRPr="00054A5C" w14:paraId="116641A9" w14:textId="77777777" w:rsidTr="12B6223B">
        <w:trPr>
          <w:trHeight w:val="357"/>
        </w:trPr>
        <w:tc>
          <w:tcPr>
            <w:tcW w:w="2552" w:type="dxa"/>
            <w:tcBorders>
              <w:top w:val="nil"/>
              <w:left w:val="nil"/>
              <w:bottom w:val="single" w:sz="4" w:space="0" w:color="ADD6EA"/>
              <w:right w:val="nil"/>
            </w:tcBorders>
            <w:shd w:val="clear" w:color="auto" w:fill="auto"/>
            <w:vAlign w:val="center"/>
            <w:hideMark/>
          </w:tcPr>
          <w:p w14:paraId="3E0CD8C1" w14:textId="7F3C5CC0" w:rsidR="001154AD" w:rsidRPr="00054A5C" w:rsidRDefault="6B31D7A2">
            <w:pPr>
              <w:keepNext/>
              <w:tabs>
                <w:tab w:val="clear" w:pos="567"/>
              </w:tabs>
              <w:spacing w:before="0" w:line="240" w:lineRule="auto"/>
              <w:rPr>
                <w:rFonts w:eastAsia="Times New Roman" w:cs="Open Sans Light"/>
                <w:color w:val="000000"/>
                <w:sz w:val="16"/>
                <w:szCs w:val="16"/>
                <w:lang w:eastAsia="en-AU"/>
              </w:rPr>
            </w:pPr>
            <w:r w:rsidRPr="12B6223B">
              <w:rPr>
                <w:rFonts w:eastAsia="Times New Roman" w:cs="Open Sans Light"/>
                <w:color w:val="000000" w:themeColor="text1"/>
                <w:sz w:val="16"/>
                <w:szCs w:val="16"/>
                <w:lang w:eastAsia="en-AU"/>
              </w:rPr>
              <w:t>Emergency departments</w:t>
            </w:r>
          </w:p>
        </w:tc>
        <w:tc>
          <w:tcPr>
            <w:tcW w:w="2835" w:type="dxa"/>
            <w:tcBorders>
              <w:top w:val="nil"/>
              <w:left w:val="nil"/>
              <w:bottom w:val="single" w:sz="4" w:space="0" w:color="ADD6EA"/>
              <w:right w:val="nil"/>
            </w:tcBorders>
            <w:shd w:val="clear" w:color="auto" w:fill="auto"/>
            <w:vAlign w:val="center"/>
            <w:hideMark/>
          </w:tcPr>
          <w:p w14:paraId="0DE441ED" w14:textId="77777777" w:rsidR="001154AD" w:rsidRPr="00054A5C" w:rsidRDefault="001154AD">
            <w:pPr>
              <w:keepNext/>
              <w:tabs>
                <w:tab w:val="clear" w:pos="567"/>
              </w:tabs>
              <w:spacing w:before="0" w:line="240" w:lineRule="auto"/>
              <w:jc w:val="right"/>
              <w:rPr>
                <w:rFonts w:eastAsia="Times New Roman" w:cs="Open Sans Light"/>
                <w:color w:val="000000"/>
                <w:sz w:val="16"/>
                <w:szCs w:val="16"/>
                <w:lang w:eastAsia="en-AU"/>
              </w:rPr>
            </w:pPr>
            <w:r w:rsidRPr="00054A5C">
              <w:rPr>
                <w:rFonts w:eastAsia="Times New Roman" w:cs="Open Sans Light"/>
                <w:color w:val="000000"/>
                <w:sz w:val="16"/>
                <w:szCs w:val="16"/>
                <w:lang w:eastAsia="en-AU"/>
              </w:rPr>
              <w:t>15%</w:t>
            </w:r>
          </w:p>
        </w:tc>
        <w:tc>
          <w:tcPr>
            <w:tcW w:w="3402" w:type="dxa"/>
            <w:tcBorders>
              <w:top w:val="nil"/>
              <w:left w:val="nil"/>
              <w:bottom w:val="single" w:sz="4" w:space="0" w:color="ADD6EA"/>
              <w:right w:val="nil"/>
            </w:tcBorders>
            <w:shd w:val="clear" w:color="auto" w:fill="auto"/>
            <w:vAlign w:val="center"/>
            <w:hideMark/>
          </w:tcPr>
          <w:p w14:paraId="08C1E476" w14:textId="22BAEB8F" w:rsidR="001154AD" w:rsidRPr="00054A5C" w:rsidRDefault="6C2A7269">
            <w:pPr>
              <w:keepNext/>
              <w:tabs>
                <w:tab w:val="clear" w:pos="567"/>
              </w:tabs>
              <w:spacing w:before="0" w:line="240" w:lineRule="auto"/>
              <w:jc w:val="right"/>
              <w:rPr>
                <w:rFonts w:eastAsia="Times New Roman" w:cs="Open Sans Light"/>
                <w:color w:val="000000"/>
                <w:sz w:val="16"/>
                <w:szCs w:val="16"/>
                <w:lang w:eastAsia="en-AU"/>
              </w:rPr>
            </w:pPr>
            <w:r w:rsidRPr="12B6223B">
              <w:rPr>
                <w:rFonts w:eastAsia="Times New Roman" w:cs="Open Sans Light"/>
                <w:color w:val="000000" w:themeColor="text1"/>
                <w:sz w:val="16"/>
                <w:szCs w:val="16"/>
                <w:lang w:eastAsia="en-AU"/>
              </w:rPr>
              <w:t>1</w:t>
            </w:r>
            <w:r w:rsidR="0BBC2BBF" w:rsidRPr="12B6223B">
              <w:rPr>
                <w:rFonts w:eastAsia="Times New Roman" w:cs="Open Sans Light"/>
                <w:color w:val="000000" w:themeColor="text1"/>
                <w:sz w:val="16"/>
                <w:szCs w:val="16"/>
                <w:lang w:eastAsia="en-AU"/>
              </w:rPr>
              <w:t>3</w:t>
            </w:r>
            <w:r w:rsidRPr="12B6223B">
              <w:rPr>
                <w:rFonts w:eastAsia="Times New Roman" w:cs="Open Sans Light"/>
                <w:color w:val="000000" w:themeColor="text1"/>
                <w:sz w:val="16"/>
                <w:szCs w:val="16"/>
                <w:lang w:eastAsia="en-AU"/>
              </w:rPr>
              <w:t>%</w:t>
            </w:r>
          </w:p>
        </w:tc>
      </w:tr>
    </w:tbl>
    <w:p w14:paraId="5BBC7975" w14:textId="70F2FAA7" w:rsidR="00F32CAB" w:rsidRDefault="000154B6" w:rsidP="00A1223D">
      <w:pPr>
        <w:pStyle w:val="CGC2025TableNote"/>
        <w:ind w:left="0" w:firstLine="0"/>
      </w:pPr>
      <w:r>
        <w:t>Source: Commission calculation.</w:t>
      </w:r>
    </w:p>
    <w:p w14:paraId="3067E3F9" w14:textId="70CF8027" w:rsidR="00F9351C" w:rsidRPr="00D128D7" w:rsidRDefault="00F9351C" w:rsidP="00F9351C">
      <w:pPr>
        <w:pStyle w:val="CGC2025ParaNumbers"/>
      </w:pPr>
      <w:r>
        <w:t>Attachment A describes the methods for estimating the non</w:t>
      </w:r>
      <w:r w:rsidR="00D13869">
        <w:t>-</w:t>
      </w:r>
      <w:r>
        <w:t xml:space="preserve">state sector substitutability levels for admitted and </w:t>
      </w:r>
      <w:r w:rsidR="008F31DA">
        <w:t>non</w:t>
      </w:r>
      <w:r w:rsidR="00FC13BC">
        <w:t>-</w:t>
      </w:r>
      <w:r w:rsidR="008F31DA">
        <w:t>admitted</w:t>
      </w:r>
      <w:r>
        <w:t xml:space="preserve"> patients and community and public health services. The substitutability levels for these components proposed for the 2025 Review, after applying the 2020 Review method to the most recent data, are shown in</w:t>
      </w:r>
      <w:r w:rsidR="00D128D7">
        <w:t xml:space="preserve"> </w:t>
      </w:r>
      <w:r>
        <w:fldChar w:fldCharType="begin"/>
      </w:r>
      <w:r>
        <w:instrText xml:space="preserve"> REF _Ref138162133 \h </w:instrText>
      </w:r>
      <w:r>
        <w:fldChar w:fldCharType="separate"/>
      </w:r>
      <w:r w:rsidR="00312054" w:rsidRPr="00DD6E06">
        <w:rPr>
          <w:bCs/>
        </w:rPr>
        <w:t xml:space="preserve">Table </w:t>
      </w:r>
      <w:r w:rsidR="00312054">
        <w:rPr>
          <w:bCs/>
          <w:noProof/>
        </w:rPr>
        <w:t>8</w:t>
      </w:r>
      <w:r>
        <w:fldChar w:fldCharType="end"/>
      </w:r>
      <w:r>
        <w:t>.</w:t>
      </w:r>
    </w:p>
    <w:p w14:paraId="1BFB25C5" w14:textId="60994651" w:rsidR="00615B2C" w:rsidRPr="00DD6E06" w:rsidRDefault="00615B2C" w:rsidP="00DD6E06">
      <w:pPr>
        <w:pStyle w:val="CGC2025Caption"/>
        <w:ind w:left="1134" w:hanging="1134"/>
        <w:rPr>
          <w:bCs/>
        </w:rPr>
      </w:pPr>
      <w:bookmarkStart w:id="71" w:name="_Ref138162133"/>
      <w:r w:rsidRPr="00DD6E06">
        <w:rPr>
          <w:bCs/>
        </w:rPr>
        <w:t xml:space="preserve">Table </w:t>
      </w:r>
      <w:r w:rsidRPr="00DD6E06">
        <w:rPr>
          <w:bCs/>
        </w:rPr>
        <w:fldChar w:fldCharType="begin"/>
      </w:r>
      <w:r w:rsidRPr="00DD6E06">
        <w:rPr>
          <w:bCs/>
        </w:rPr>
        <w:instrText xml:space="preserve"> SEQ Table \* ARABIC </w:instrText>
      </w:r>
      <w:r w:rsidRPr="00DD6E06">
        <w:rPr>
          <w:bCs/>
        </w:rPr>
        <w:fldChar w:fldCharType="separate"/>
      </w:r>
      <w:r w:rsidR="00312054">
        <w:rPr>
          <w:bCs/>
          <w:noProof/>
        </w:rPr>
        <w:t>8</w:t>
      </w:r>
      <w:r w:rsidRPr="00DD6E06">
        <w:rPr>
          <w:bCs/>
        </w:rPr>
        <w:fldChar w:fldCharType="end"/>
      </w:r>
      <w:bookmarkEnd w:id="71"/>
      <w:r w:rsidRPr="00DD6E06">
        <w:rPr>
          <w:bCs/>
        </w:rPr>
        <w:tab/>
      </w:r>
      <w:r w:rsidR="00DD6E06" w:rsidRPr="00DD6E06">
        <w:rPr>
          <w:bCs/>
        </w:rPr>
        <w:t>Proposed substitutability levels for admitted and non</w:t>
      </w:r>
      <w:r w:rsidR="00C56526">
        <w:rPr>
          <w:bCs/>
        </w:rPr>
        <w:t>-</w:t>
      </w:r>
      <w:r w:rsidR="00DD6E06" w:rsidRPr="00DD6E06">
        <w:rPr>
          <w:bCs/>
        </w:rPr>
        <w:t>admitted patients and community health services</w:t>
      </w:r>
      <w:r w:rsidR="00C56526">
        <w:rPr>
          <w:bCs/>
        </w:rPr>
        <w:t xml:space="preserve">, </w:t>
      </w:r>
      <w:r w:rsidR="00DD6E06" w:rsidRPr="00DD6E06">
        <w:rPr>
          <w:bCs/>
        </w:rPr>
        <w:t>2025 Review</w:t>
      </w:r>
    </w:p>
    <w:tbl>
      <w:tblPr>
        <w:tblW w:w="8789" w:type="dxa"/>
        <w:tblLook w:val="04A0" w:firstRow="1" w:lastRow="0" w:firstColumn="1" w:lastColumn="0" w:noHBand="0" w:noVBand="1"/>
      </w:tblPr>
      <w:tblGrid>
        <w:gridCol w:w="2552"/>
        <w:gridCol w:w="2835"/>
        <w:gridCol w:w="3402"/>
      </w:tblGrid>
      <w:tr w:rsidR="00C56526" w:rsidRPr="00054A5C" w14:paraId="644F9C29" w14:textId="77777777">
        <w:trPr>
          <w:trHeight w:val="315"/>
        </w:trPr>
        <w:tc>
          <w:tcPr>
            <w:tcW w:w="2552" w:type="dxa"/>
            <w:tcBorders>
              <w:top w:val="nil"/>
              <w:left w:val="nil"/>
              <w:bottom w:val="single" w:sz="4" w:space="0" w:color="ADD6EA"/>
              <w:right w:val="nil"/>
            </w:tcBorders>
            <w:shd w:val="clear" w:color="000000" w:fill="006991"/>
            <w:noWrap/>
            <w:vAlign w:val="center"/>
            <w:hideMark/>
          </w:tcPr>
          <w:p w14:paraId="2A417703" w14:textId="77777777" w:rsidR="00C56526" w:rsidRPr="00054A5C" w:rsidRDefault="00C56526">
            <w:pPr>
              <w:keepNext/>
              <w:tabs>
                <w:tab w:val="clear" w:pos="567"/>
              </w:tabs>
              <w:spacing w:before="0" w:line="240" w:lineRule="auto"/>
              <w:jc w:val="right"/>
              <w:rPr>
                <w:rFonts w:eastAsia="Times New Roman" w:cs="Open Sans Light"/>
                <w:b/>
                <w:bCs/>
                <w:color w:val="FFFFFF"/>
                <w:sz w:val="16"/>
                <w:szCs w:val="16"/>
                <w:lang w:eastAsia="en-AU"/>
              </w:rPr>
            </w:pPr>
            <w:r w:rsidRPr="00054A5C">
              <w:rPr>
                <w:rFonts w:eastAsia="Times New Roman" w:cs="Open Sans Light"/>
                <w:b/>
                <w:bCs/>
                <w:color w:val="FFFFFF"/>
                <w:sz w:val="16"/>
                <w:szCs w:val="16"/>
                <w:lang w:eastAsia="en-AU"/>
              </w:rPr>
              <w:t> </w:t>
            </w:r>
          </w:p>
        </w:tc>
        <w:tc>
          <w:tcPr>
            <w:tcW w:w="2835" w:type="dxa"/>
            <w:tcBorders>
              <w:top w:val="nil"/>
              <w:left w:val="nil"/>
              <w:bottom w:val="single" w:sz="4" w:space="0" w:color="ADD6EA"/>
              <w:right w:val="nil"/>
            </w:tcBorders>
            <w:shd w:val="clear" w:color="000000" w:fill="006991"/>
            <w:vAlign w:val="center"/>
            <w:hideMark/>
          </w:tcPr>
          <w:p w14:paraId="2C7F86F5" w14:textId="77777777" w:rsidR="00C56526" w:rsidRPr="00054A5C" w:rsidRDefault="00C56526">
            <w:pPr>
              <w:keepNext/>
              <w:tabs>
                <w:tab w:val="clear" w:pos="567"/>
              </w:tabs>
              <w:spacing w:before="0" w:line="240" w:lineRule="auto"/>
              <w:jc w:val="right"/>
              <w:rPr>
                <w:rFonts w:eastAsia="Times New Roman" w:cs="Open Sans Light"/>
                <w:b/>
                <w:bCs/>
                <w:color w:val="FFFFFF"/>
                <w:sz w:val="16"/>
                <w:szCs w:val="16"/>
                <w:lang w:eastAsia="en-AU"/>
              </w:rPr>
            </w:pPr>
            <w:r w:rsidRPr="00054A5C">
              <w:rPr>
                <w:rFonts w:eastAsia="Times New Roman" w:cs="Open Sans Light"/>
                <w:b/>
                <w:bCs/>
                <w:color w:val="FFFFFF"/>
                <w:sz w:val="16"/>
                <w:szCs w:val="16"/>
                <w:lang w:eastAsia="en-AU"/>
              </w:rPr>
              <w:t>Substitutability R2020</w:t>
            </w:r>
          </w:p>
        </w:tc>
        <w:tc>
          <w:tcPr>
            <w:tcW w:w="3402" w:type="dxa"/>
            <w:tcBorders>
              <w:top w:val="nil"/>
              <w:left w:val="nil"/>
              <w:bottom w:val="single" w:sz="4" w:space="0" w:color="ADD6EA"/>
              <w:right w:val="nil"/>
            </w:tcBorders>
            <w:shd w:val="clear" w:color="000000" w:fill="006991"/>
            <w:vAlign w:val="center"/>
            <w:hideMark/>
          </w:tcPr>
          <w:p w14:paraId="336928D1" w14:textId="77777777" w:rsidR="00C56526" w:rsidRPr="00054A5C" w:rsidRDefault="00C56526">
            <w:pPr>
              <w:keepNext/>
              <w:tabs>
                <w:tab w:val="clear" w:pos="567"/>
              </w:tabs>
              <w:spacing w:before="0" w:line="240" w:lineRule="auto"/>
              <w:jc w:val="right"/>
              <w:rPr>
                <w:rFonts w:eastAsia="Times New Roman" w:cs="Open Sans Light"/>
                <w:b/>
                <w:bCs/>
                <w:color w:val="FFFFFF"/>
                <w:sz w:val="16"/>
                <w:szCs w:val="16"/>
                <w:lang w:eastAsia="en-AU"/>
              </w:rPr>
            </w:pPr>
            <w:r w:rsidRPr="00054A5C">
              <w:rPr>
                <w:rFonts w:eastAsia="Times New Roman" w:cs="Open Sans Light"/>
                <w:b/>
                <w:bCs/>
                <w:color w:val="FFFFFF"/>
                <w:sz w:val="16"/>
                <w:szCs w:val="16"/>
                <w:lang w:eastAsia="en-AU"/>
              </w:rPr>
              <w:t>Substitutability R2025</w:t>
            </w:r>
          </w:p>
        </w:tc>
      </w:tr>
      <w:tr w:rsidR="00C56526" w:rsidRPr="00054A5C" w14:paraId="2950EC7B" w14:textId="77777777">
        <w:trPr>
          <w:trHeight w:val="357"/>
        </w:trPr>
        <w:tc>
          <w:tcPr>
            <w:tcW w:w="2552" w:type="dxa"/>
            <w:tcBorders>
              <w:top w:val="nil"/>
              <w:left w:val="nil"/>
              <w:bottom w:val="single" w:sz="4" w:space="0" w:color="ADD6EA"/>
              <w:right w:val="nil"/>
            </w:tcBorders>
            <w:shd w:val="clear" w:color="auto" w:fill="auto"/>
            <w:vAlign w:val="center"/>
            <w:hideMark/>
          </w:tcPr>
          <w:p w14:paraId="5D26C09C" w14:textId="77777777" w:rsidR="00C56526" w:rsidRPr="00054A5C" w:rsidRDefault="00C56526">
            <w:pPr>
              <w:keepNext/>
              <w:tabs>
                <w:tab w:val="clear" w:pos="567"/>
              </w:tabs>
              <w:spacing w:before="0" w:line="240" w:lineRule="auto"/>
              <w:rPr>
                <w:rFonts w:eastAsia="Times New Roman" w:cs="Open Sans Light"/>
                <w:color w:val="000000"/>
                <w:sz w:val="16"/>
                <w:szCs w:val="16"/>
                <w:lang w:eastAsia="en-AU"/>
              </w:rPr>
            </w:pPr>
            <w:r w:rsidRPr="00054A5C">
              <w:rPr>
                <w:rFonts w:eastAsia="Times New Roman" w:cs="Open Sans Light"/>
                <w:color w:val="000000"/>
                <w:sz w:val="16"/>
                <w:szCs w:val="16"/>
                <w:lang w:eastAsia="en-AU"/>
              </w:rPr>
              <w:t>Admitted patients</w:t>
            </w:r>
          </w:p>
        </w:tc>
        <w:tc>
          <w:tcPr>
            <w:tcW w:w="2835" w:type="dxa"/>
            <w:tcBorders>
              <w:top w:val="nil"/>
              <w:left w:val="nil"/>
              <w:bottom w:val="single" w:sz="4" w:space="0" w:color="ADD6EA"/>
              <w:right w:val="nil"/>
            </w:tcBorders>
            <w:shd w:val="clear" w:color="auto" w:fill="auto"/>
            <w:vAlign w:val="center"/>
            <w:hideMark/>
          </w:tcPr>
          <w:p w14:paraId="32B81A35" w14:textId="77777777" w:rsidR="00C56526" w:rsidRPr="00054A5C" w:rsidRDefault="00C56526">
            <w:pPr>
              <w:keepNext/>
              <w:tabs>
                <w:tab w:val="clear" w:pos="567"/>
              </w:tabs>
              <w:spacing w:before="0" w:line="240" w:lineRule="auto"/>
              <w:jc w:val="right"/>
              <w:rPr>
                <w:rFonts w:eastAsia="Times New Roman" w:cs="Open Sans Light"/>
                <w:color w:val="000000"/>
                <w:sz w:val="16"/>
                <w:szCs w:val="16"/>
                <w:lang w:eastAsia="en-AU"/>
              </w:rPr>
            </w:pPr>
            <w:r w:rsidRPr="00054A5C">
              <w:rPr>
                <w:rFonts w:eastAsia="Times New Roman" w:cs="Open Sans Light"/>
                <w:color w:val="000000"/>
                <w:sz w:val="16"/>
                <w:szCs w:val="16"/>
                <w:lang w:eastAsia="en-AU"/>
              </w:rPr>
              <w:t>15%</w:t>
            </w:r>
          </w:p>
        </w:tc>
        <w:tc>
          <w:tcPr>
            <w:tcW w:w="3402" w:type="dxa"/>
            <w:tcBorders>
              <w:top w:val="nil"/>
              <w:left w:val="nil"/>
              <w:bottom w:val="single" w:sz="4" w:space="0" w:color="ADD6EA"/>
              <w:right w:val="nil"/>
            </w:tcBorders>
            <w:shd w:val="clear" w:color="auto" w:fill="auto"/>
            <w:vAlign w:val="center"/>
            <w:hideMark/>
          </w:tcPr>
          <w:p w14:paraId="5BD22E8E" w14:textId="77777777" w:rsidR="00C56526" w:rsidRPr="00054A5C" w:rsidRDefault="00C56526">
            <w:pPr>
              <w:keepNext/>
              <w:tabs>
                <w:tab w:val="clear" w:pos="567"/>
              </w:tabs>
              <w:spacing w:before="0" w:line="240" w:lineRule="auto"/>
              <w:jc w:val="right"/>
              <w:rPr>
                <w:rFonts w:eastAsia="Times New Roman" w:cs="Open Sans Light"/>
                <w:color w:val="000000"/>
                <w:sz w:val="16"/>
                <w:szCs w:val="16"/>
                <w:lang w:eastAsia="en-AU"/>
              </w:rPr>
            </w:pPr>
            <w:r w:rsidRPr="00054A5C">
              <w:rPr>
                <w:rFonts w:eastAsia="Times New Roman" w:cs="Open Sans Light"/>
                <w:color w:val="000000"/>
                <w:sz w:val="16"/>
                <w:szCs w:val="16"/>
                <w:lang w:eastAsia="en-AU"/>
              </w:rPr>
              <w:t>15%</w:t>
            </w:r>
          </w:p>
        </w:tc>
      </w:tr>
      <w:tr w:rsidR="00C56526" w:rsidRPr="00054A5C" w14:paraId="04AD7061" w14:textId="77777777">
        <w:trPr>
          <w:trHeight w:val="419"/>
        </w:trPr>
        <w:tc>
          <w:tcPr>
            <w:tcW w:w="2552" w:type="dxa"/>
            <w:tcBorders>
              <w:top w:val="nil"/>
              <w:left w:val="nil"/>
              <w:bottom w:val="single" w:sz="4" w:space="0" w:color="ADD6EA"/>
              <w:right w:val="nil"/>
            </w:tcBorders>
            <w:shd w:val="clear" w:color="auto" w:fill="auto"/>
            <w:vAlign w:val="center"/>
            <w:hideMark/>
          </w:tcPr>
          <w:p w14:paraId="208CFDEE" w14:textId="77777777" w:rsidR="00C56526" w:rsidRPr="00054A5C" w:rsidRDefault="00C56526">
            <w:pPr>
              <w:keepNext/>
              <w:tabs>
                <w:tab w:val="clear" w:pos="567"/>
              </w:tabs>
              <w:spacing w:before="0" w:line="240" w:lineRule="auto"/>
              <w:rPr>
                <w:rFonts w:eastAsia="Times New Roman" w:cs="Open Sans Light"/>
                <w:color w:val="000000"/>
                <w:sz w:val="16"/>
                <w:szCs w:val="16"/>
                <w:lang w:eastAsia="en-AU"/>
              </w:rPr>
            </w:pPr>
            <w:r w:rsidRPr="00054A5C">
              <w:rPr>
                <w:rFonts w:eastAsia="Times New Roman" w:cs="Open Sans Light"/>
                <w:color w:val="000000"/>
                <w:sz w:val="16"/>
                <w:szCs w:val="16"/>
                <w:lang w:eastAsia="en-AU"/>
              </w:rPr>
              <w:t>Non-admitted patients</w:t>
            </w:r>
          </w:p>
        </w:tc>
        <w:tc>
          <w:tcPr>
            <w:tcW w:w="2835" w:type="dxa"/>
            <w:tcBorders>
              <w:top w:val="nil"/>
              <w:left w:val="nil"/>
              <w:bottom w:val="single" w:sz="4" w:space="0" w:color="ADD6EA"/>
              <w:right w:val="nil"/>
            </w:tcBorders>
            <w:shd w:val="clear" w:color="auto" w:fill="auto"/>
            <w:vAlign w:val="center"/>
            <w:hideMark/>
          </w:tcPr>
          <w:p w14:paraId="5BF665BB" w14:textId="77777777" w:rsidR="00C56526" w:rsidRPr="00054A5C" w:rsidRDefault="00C56526">
            <w:pPr>
              <w:keepNext/>
              <w:tabs>
                <w:tab w:val="clear" w:pos="567"/>
              </w:tabs>
              <w:spacing w:before="0" w:line="240" w:lineRule="auto"/>
              <w:jc w:val="right"/>
              <w:rPr>
                <w:rFonts w:eastAsia="Times New Roman" w:cs="Open Sans Light"/>
                <w:color w:val="000000"/>
                <w:sz w:val="16"/>
                <w:szCs w:val="16"/>
                <w:lang w:eastAsia="en-AU"/>
              </w:rPr>
            </w:pPr>
            <w:r w:rsidRPr="00054A5C">
              <w:rPr>
                <w:rFonts w:eastAsia="Times New Roman" w:cs="Open Sans Light"/>
                <w:color w:val="000000"/>
                <w:sz w:val="16"/>
                <w:szCs w:val="16"/>
                <w:lang w:eastAsia="en-AU"/>
              </w:rPr>
              <w:t>30%</w:t>
            </w:r>
          </w:p>
        </w:tc>
        <w:tc>
          <w:tcPr>
            <w:tcW w:w="3402" w:type="dxa"/>
            <w:tcBorders>
              <w:top w:val="nil"/>
              <w:left w:val="nil"/>
              <w:bottom w:val="single" w:sz="4" w:space="0" w:color="ADD6EA"/>
              <w:right w:val="nil"/>
            </w:tcBorders>
            <w:shd w:val="clear" w:color="auto" w:fill="auto"/>
            <w:vAlign w:val="center"/>
            <w:hideMark/>
          </w:tcPr>
          <w:p w14:paraId="16A9A1B6" w14:textId="77777777" w:rsidR="00C56526" w:rsidRPr="00054A5C" w:rsidRDefault="00C56526">
            <w:pPr>
              <w:keepNext/>
              <w:tabs>
                <w:tab w:val="clear" w:pos="567"/>
              </w:tabs>
              <w:spacing w:before="0" w:line="240" w:lineRule="auto"/>
              <w:jc w:val="right"/>
              <w:rPr>
                <w:rFonts w:eastAsia="Times New Roman" w:cs="Open Sans Light"/>
                <w:color w:val="000000"/>
                <w:sz w:val="16"/>
                <w:szCs w:val="16"/>
                <w:lang w:eastAsia="en-AU"/>
              </w:rPr>
            </w:pPr>
            <w:r w:rsidRPr="00054A5C">
              <w:rPr>
                <w:rFonts w:eastAsia="Times New Roman" w:cs="Open Sans Light"/>
                <w:color w:val="000000"/>
                <w:sz w:val="16"/>
                <w:szCs w:val="16"/>
                <w:lang w:eastAsia="en-AU"/>
              </w:rPr>
              <w:t>25%</w:t>
            </w:r>
          </w:p>
        </w:tc>
      </w:tr>
      <w:tr w:rsidR="00C56526" w:rsidRPr="00054A5C" w14:paraId="75837529" w14:textId="77777777">
        <w:trPr>
          <w:trHeight w:val="383"/>
        </w:trPr>
        <w:tc>
          <w:tcPr>
            <w:tcW w:w="2552" w:type="dxa"/>
            <w:tcBorders>
              <w:top w:val="nil"/>
              <w:left w:val="nil"/>
              <w:bottom w:val="single" w:sz="4" w:space="0" w:color="ADD6EA"/>
              <w:right w:val="nil"/>
            </w:tcBorders>
            <w:shd w:val="clear" w:color="auto" w:fill="auto"/>
            <w:vAlign w:val="center"/>
            <w:hideMark/>
          </w:tcPr>
          <w:p w14:paraId="0CBCE1A1" w14:textId="77777777" w:rsidR="00C56526" w:rsidRPr="00054A5C" w:rsidRDefault="00C56526">
            <w:pPr>
              <w:keepNext/>
              <w:tabs>
                <w:tab w:val="clear" w:pos="567"/>
              </w:tabs>
              <w:spacing w:before="0" w:line="240" w:lineRule="auto"/>
              <w:rPr>
                <w:rFonts w:eastAsia="Times New Roman" w:cs="Open Sans Light"/>
                <w:color w:val="000000"/>
                <w:sz w:val="16"/>
                <w:szCs w:val="16"/>
                <w:lang w:eastAsia="en-AU"/>
              </w:rPr>
            </w:pPr>
            <w:r w:rsidRPr="00054A5C">
              <w:rPr>
                <w:rFonts w:eastAsia="Times New Roman" w:cs="Open Sans Light"/>
                <w:color w:val="000000"/>
                <w:sz w:val="16"/>
                <w:szCs w:val="16"/>
                <w:lang w:eastAsia="en-AU"/>
              </w:rPr>
              <w:t>Community health</w:t>
            </w:r>
          </w:p>
        </w:tc>
        <w:tc>
          <w:tcPr>
            <w:tcW w:w="2835" w:type="dxa"/>
            <w:tcBorders>
              <w:top w:val="nil"/>
              <w:left w:val="nil"/>
              <w:bottom w:val="single" w:sz="4" w:space="0" w:color="ADD6EA"/>
              <w:right w:val="nil"/>
            </w:tcBorders>
            <w:shd w:val="clear" w:color="auto" w:fill="auto"/>
            <w:vAlign w:val="center"/>
            <w:hideMark/>
          </w:tcPr>
          <w:p w14:paraId="45288D4B" w14:textId="77777777" w:rsidR="00C56526" w:rsidRPr="00054A5C" w:rsidRDefault="00C56526">
            <w:pPr>
              <w:keepNext/>
              <w:tabs>
                <w:tab w:val="clear" w:pos="567"/>
              </w:tabs>
              <w:spacing w:before="0" w:line="240" w:lineRule="auto"/>
              <w:jc w:val="right"/>
              <w:rPr>
                <w:rFonts w:eastAsia="Times New Roman" w:cs="Open Sans Light"/>
                <w:color w:val="000000"/>
                <w:sz w:val="16"/>
                <w:szCs w:val="16"/>
                <w:lang w:eastAsia="en-AU"/>
              </w:rPr>
            </w:pPr>
            <w:r w:rsidRPr="00054A5C">
              <w:rPr>
                <w:rFonts w:eastAsia="Times New Roman" w:cs="Open Sans Light"/>
                <w:color w:val="000000"/>
                <w:sz w:val="16"/>
                <w:szCs w:val="16"/>
                <w:lang w:eastAsia="en-AU"/>
              </w:rPr>
              <w:t>60%</w:t>
            </w:r>
          </w:p>
        </w:tc>
        <w:tc>
          <w:tcPr>
            <w:tcW w:w="3402" w:type="dxa"/>
            <w:tcBorders>
              <w:top w:val="nil"/>
              <w:left w:val="nil"/>
              <w:bottom w:val="single" w:sz="4" w:space="0" w:color="ADD6EA"/>
              <w:right w:val="nil"/>
            </w:tcBorders>
            <w:shd w:val="clear" w:color="auto" w:fill="auto"/>
            <w:vAlign w:val="center"/>
            <w:hideMark/>
          </w:tcPr>
          <w:p w14:paraId="3FC14BBD" w14:textId="77777777" w:rsidR="00C56526" w:rsidRPr="00054A5C" w:rsidRDefault="00C56526">
            <w:pPr>
              <w:keepNext/>
              <w:tabs>
                <w:tab w:val="clear" w:pos="567"/>
              </w:tabs>
              <w:spacing w:before="0" w:line="240" w:lineRule="auto"/>
              <w:jc w:val="right"/>
              <w:rPr>
                <w:rFonts w:eastAsia="Times New Roman" w:cs="Open Sans Light"/>
                <w:color w:val="000000"/>
                <w:sz w:val="16"/>
                <w:szCs w:val="16"/>
                <w:lang w:eastAsia="en-AU"/>
              </w:rPr>
            </w:pPr>
            <w:r w:rsidRPr="00054A5C">
              <w:rPr>
                <w:rFonts w:eastAsia="Times New Roman" w:cs="Open Sans Light"/>
                <w:color w:val="000000"/>
                <w:sz w:val="16"/>
                <w:szCs w:val="16"/>
                <w:lang w:eastAsia="en-AU"/>
              </w:rPr>
              <w:t>Not yet calculated (awaiting data inputs)</w:t>
            </w:r>
          </w:p>
        </w:tc>
      </w:tr>
    </w:tbl>
    <w:p w14:paraId="3DDF2F0F" w14:textId="35C713DE" w:rsidR="00B94E68" w:rsidRPr="00214433" w:rsidRDefault="00B94E68" w:rsidP="00B94E68">
      <w:pPr>
        <w:pStyle w:val="CGCTablenote"/>
        <w:rPr>
          <w:rFonts w:ascii="Work Sans" w:hAnsi="Work Sans"/>
        </w:rPr>
      </w:pPr>
      <w:bookmarkStart w:id="72" w:name="_Hlk137640147"/>
      <w:r w:rsidRPr="00214433">
        <w:rPr>
          <w:rFonts w:ascii="Work Sans" w:hAnsi="Work Sans"/>
        </w:rPr>
        <w:t xml:space="preserve">Source: Commission calculation (see Attachment A for details on </w:t>
      </w:r>
      <w:r w:rsidR="006C6C12" w:rsidRPr="00214433">
        <w:rPr>
          <w:rFonts w:ascii="Work Sans" w:hAnsi="Work Sans"/>
        </w:rPr>
        <w:t>calculation</w:t>
      </w:r>
      <w:r w:rsidR="00346681" w:rsidRPr="00214433">
        <w:rPr>
          <w:rFonts w:ascii="Work Sans" w:hAnsi="Work Sans"/>
        </w:rPr>
        <w:t>s</w:t>
      </w:r>
      <w:r w:rsidR="006C6C12" w:rsidRPr="00214433">
        <w:rPr>
          <w:rFonts w:ascii="Work Sans" w:hAnsi="Work Sans"/>
        </w:rPr>
        <w:t xml:space="preserve"> and </w:t>
      </w:r>
      <w:r w:rsidRPr="00214433">
        <w:rPr>
          <w:rFonts w:ascii="Work Sans" w:hAnsi="Work Sans"/>
        </w:rPr>
        <w:t>data sources).</w:t>
      </w:r>
    </w:p>
    <w:bookmarkEnd w:id="72"/>
    <w:p w14:paraId="69E9C299" w14:textId="3B33BEC0" w:rsidR="00A34BA3" w:rsidRPr="00FB0889" w:rsidRDefault="00A34BA3" w:rsidP="00A34BA3">
      <w:pPr>
        <w:pStyle w:val="CGC2025ParaNumbers"/>
      </w:pPr>
      <w:r>
        <w:t xml:space="preserve">The Commission’s preliminary view is to use the 2020 </w:t>
      </w:r>
      <w:r w:rsidR="000F2B0F">
        <w:t xml:space="preserve">Review </w:t>
      </w:r>
      <w:r>
        <w:t>method to update the substitutability levels for all components apart from emergency departments. For emergency departments the Commission is proposing to use data from the Australian Institute of Health and Welfare to update the calculations.</w:t>
      </w:r>
    </w:p>
    <w:p w14:paraId="2F5F54C7" w14:textId="5FDB3E1C" w:rsidR="00B42EA7" w:rsidRDefault="00B42EA7" w:rsidP="00B42EA7">
      <w:pPr>
        <w:pStyle w:val="Heading4"/>
      </w:pPr>
      <w:r>
        <w:t>Consultation question</w:t>
      </w:r>
    </w:p>
    <w:p w14:paraId="32778CBF" w14:textId="5CF8DE83" w:rsidR="00B42EA7" w:rsidRPr="00571F9E" w:rsidRDefault="00B42EA7" w:rsidP="00B42EA7">
      <w:r w:rsidRPr="001C4DF3">
        <w:rPr>
          <w:noProof/>
        </w:rPr>
        <mc:AlternateContent>
          <mc:Choice Requires="wps">
            <w:drawing>
              <wp:inline distT="0" distB="0" distL="0" distR="0" wp14:anchorId="527D3D74" wp14:editId="2793FD74">
                <wp:extent cx="5476875" cy="904875"/>
                <wp:effectExtent l="0" t="0" r="9525" b="9525"/>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875" cy="904875"/>
                        </a:xfrm>
                        <a:prstGeom prst="rect">
                          <a:avLst/>
                        </a:prstGeom>
                        <a:solidFill>
                          <a:srgbClr val="EBF3F5"/>
                        </a:solidFill>
                        <a:ln w="25400" cap="flat" cmpd="sng" algn="ctr">
                          <a:noFill/>
                          <a:prstDash val="solid"/>
                        </a:ln>
                        <a:effectLst/>
                      </wps:spPr>
                      <wps:txbx>
                        <w:txbxContent>
                          <w:p w14:paraId="0A076613" w14:textId="2859BB60" w:rsidR="006E3E96" w:rsidRPr="00707C57" w:rsidRDefault="006E3E96" w:rsidP="00F5467F">
                            <w:pPr>
                              <w:pStyle w:val="CGC2025Questionsnumbers2"/>
                              <w:numPr>
                                <w:ilvl w:val="0"/>
                                <w:numId w:val="0"/>
                              </w:numPr>
                              <w:ind w:left="454" w:hanging="454"/>
                            </w:pPr>
                            <w:r>
                              <w:t>Q5.</w:t>
                            </w:r>
                            <w:r>
                              <w:tab/>
                            </w:r>
                            <w:bookmarkStart w:id="73" w:name="_Hlk135822276"/>
                            <w:bookmarkStart w:id="74" w:name="_Hlk135822277"/>
                            <w:bookmarkStart w:id="75" w:name="_Hlk135822278"/>
                            <w:bookmarkStart w:id="76" w:name="_Hlk135822279"/>
                            <w:bookmarkStart w:id="77" w:name="_Hlk135822280"/>
                            <w:bookmarkStart w:id="78" w:name="_Hlk135822281"/>
                            <w:r w:rsidRPr="00707C57">
                              <w:t xml:space="preserve">Do states </w:t>
                            </w:r>
                            <w:r>
                              <w:t>support the</w:t>
                            </w:r>
                            <w:r w:rsidRPr="00707C57">
                              <w:t xml:space="preserve"> </w:t>
                            </w:r>
                            <w:r>
                              <w:t xml:space="preserve">use of Australian Institute of Health and Welfare data to update the </w:t>
                            </w:r>
                            <w:r w:rsidRPr="00110A12">
                              <w:t>non-state services substitutability level</w:t>
                            </w:r>
                            <w:r>
                              <w:t xml:space="preserve"> for the</w:t>
                            </w:r>
                            <w:r w:rsidRPr="00110A12">
                              <w:t xml:space="preserve"> </w:t>
                            </w:r>
                            <w:r>
                              <w:t>emergency departments component</w:t>
                            </w:r>
                            <w:r w:rsidR="00D10506">
                              <w:t>,</w:t>
                            </w:r>
                            <w:r>
                              <w:t xml:space="preserve"> while retaining the 2020 </w:t>
                            </w:r>
                            <w:r w:rsidR="00DE1E36">
                              <w:t xml:space="preserve">Review </w:t>
                            </w:r>
                            <w:r>
                              <w:t>method for other components?</w:t>
                            </w:r>
                            <w:bookmarkEnd w:id="73"/>
                            <w:bookmarkEnd w:id="74"/>
                            <w:bookmarkEnd w:id="75"/>
                            <w:bookmarkEnd w:id="76"/>
                            <w:bookmarkEnd w:id="77"/>
                            <w:bookmarkEnd w:id="78"/>
                          </w:p>
                          <w:p w14:paraId="72CF0022" w14:textId="77777777" w:rsidR="00281364" w:rsidRPr="00B5791A" w:rsidRDefault="00281364" w:rsidP="005F67EC">
                            <w:pPr>
                              <w:pStyle w:val="CGC2025Bullet1"/>
                              <w:numPr>
                                <w:ilvl w:val="0"/>
                                <w:numId w:val="0"/>
                              </w:numPr>
                              <w:rPr>
                                <w:lang w:eastAsia="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7D3D74" id="Rectangle 8" o:spid="_x0000_s1031" alt="&quot;&quot;" style="width:431.25pt;height:7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" fillcolor="#ebf3f5" stroked="f" strokeweight="2pt">
                <v:textbox>
                  <w:txbxContent>
                    <w:p w14:paraId="0A076613" w14:textId="2859BB60" w:rsidR="006E3E96" w:rsidRPr="00707C57" w:rsidRDefault="006E3E96" w:rsidP="00F5467F">
                      <w:pPr>
                        <w:pStyle w:val="CGC2025Questionsnumbers2"/>
                        <w:numPr>
                          <w:ilvl w:val="0"/>
                          <w:numId w:val="0"/>
                        </w:numPr>
                        <w:ind w:left="454" w:hanging="454"/>
                      </w:pPr>
                      <w:r>
                        <w:t>Q5.</w:t>
                      </w:r>
                      <w:r>
                        <w:tab/>
                      </w:r>
                      <w:bookmarkStart w:id="79" w:name="_Hlk135822276"/>
                      <w:bookmarkStart w:id="80" w:name="_Hlk135822277"/>
                      <w:bookmarkStart w:id="81" w:name="_Hlk135822278"/>
                      <w:bookmarkStart w:id="82" w:name="_Hlk135822279"/>
                      <w:bookmarkStart w:id="83" w:name="_Hlk135822280"/>
                      <w:bookmarkStart w:id="84" w:name="_Hlk135822281"/>
                      <w:r w:rsidRPr="00707C57">
                        <w:t xml:space="preserve">Do states </w:t>
                      </w:r>
                      <w:r>
                        <w:t>support the</w:t>
                      </w:r>
                      <w:r w:rsidRPr="00707C57">
                        <w:t xml:space="preserve"> </w:t>
                      </w:r>
                      <w:r>
                        <w:t xml:space="preserve">use of Australian Institute of Health and Welfare data to update the </w:t>
                      </w:r>
                      <w:r w:rsidRPr="00110A12">
                        <w:t>non-state services substitutability level</w:t>
                      </w:r>
                      <w:r>
                        <w:t xml:space="preserve"> for the</w:t>
                      </w:r>
                      <w:r w:rsidRPr="00110A12">
                        <w:t xml:space="preserve"> </w:t>
                      </w:r>
                      <w:r>
                        <w:t>emergency departments component</w:t>
                      </w:r>
                      <w:r w:rsidR="00D10506">
                        <w:t>,</w:t>
                      </w:r>
                      <w:r>
                        <w:t xml:space="preserve"> while retaining the 2020 </w:t>
                      </w:r>
                      <w:r w:rsidR="00DE1E36">
                        <w:t xml:space="preserve">Review </w:t>
                      </w:r>
                      <w:r>
                        <w:t>method for other components?</w:t>
                      </w:r>
                      <w:bookmarkEnd w:id="79"/>
                      <w:bookmarkEnd w:id="80"/>
                      <w:bookmarkEnd w:id="81"/>
                      <w:bookmarkEnd w:id="82"/>
                      <w:bookmarkEnd w:id="83"/>
                      <w:bookmarkEnd w:id="84"/>
                    </w:p>
                    <w:p w14:paraId="72CF0022" w14:textId="77777777" w:rsidR="00281364" w:rsidRPr="00B5791A" w:rsidRDefault="00281364" w:rsidP="005F67EC">
                      <w:pPr>
                        <w:pStyle w:val="CGC2025Bullet1"/>
                        <w:numPr>
                          <w:ilvl w:val="0"/>
                          <w:numId w:val="0"/>
                        </w:numPr>
                        <w:rPr>
                          <w:lang w:eastAsia="en-AU"/>
                        </w:rPr>
                      </w:pPr>
                    </w:p>
                  </w:txbxContent>
                </v:textbox>
                <w10:anchorlock/>
              </v:rect>
            </w:pict>
          </mc:Fallback>
        </mc:AlternateContent>
      </w:r>
    </w:p>
    <w:p w14:paraId="6DCD76B2" w14:textId="77777777" w:rsidR="00F427F0" w:rsidRPr="00FE3C19" w:rsidRDefault="00F427F0" w:rsidP="00F427F0">
      <w:pPr>
        <w:pStyle w:val="Heading2"/>
      </w:pPr>
      <w:bookmarkStart w:id="79" w:name="_Toc121741490"/>
      <w:bookmarkStart w:id="80" w:name="_Toc127428359"/>
      <w:bookmarkStart w:id="81" w:name="_Toc132729113"/>
      <w:bookmarkStart w:id="82" w:name="_Toc133236154"/>
      <w:bookmarkStart w:id="83" w:name="_Toc133236180"/>
      <w:bookmarkStart w:id="84" w:name="_Toc138753188"/>
      <w:r w:rsidRPr="00FE3C19">
        <w:t>Proposed assessment</w:t>
      </w:r>
      <w:bookmarkEnd w:id="79"/>
      <w:bookmarkEnd w:id="80"/>
      <w:bookmarkEnd w:id="81"/>
      <w:bookmarkEnd w:id="82"/>
      <w:bookmarkEnd w:id="83"/>
      <w:bookmarkEnd w:id="84"/>
    </w:p>
    <w:p w14:paraId="7E4F72A9" w14:textId="77777777" w:rsidR="00F427F0" w:rsidRPr="00FE3C19" w:rsidRDefault="00F427F0" w:rsidP="001F4B1F">
      <w:pPr>
        <w:pStyle w:val="Heading3"/>
      </w:pPr>
      <w:bookmarkStart w:id="85" w:name="_Toc132729114"/>
      <w:bookmarkStart w:id="86" w:name="_Toc133236155"/>
      <w:bookmarkStart w:id="87" w:name="_Toc133236181"/>
      <w:bookmarkStart w:id="88" w:name="_Toc138753189"/>
      <w:r w:rsidRPr="00FE3C19">
        <w:t>Differences from the 2020 Review approach</w:t>
      </w:r>
      <w:bookmarkEnd w:id="85"/>
      <w:bookmarkEnd w:id="86"/>
      <w:bookmarkEnd w:id="87"/>
      <w:bookmarkEnd w:id="88"/>
    </w:p>
    <w:p w14:paraId="48EEC218" w14:textId="04CF7F7C" w:rsidR="00F427F0" w:rsidRPr="001F4B1F" w:rsidRDefault="00F427F0" w:rsidP="004477FF">
      <w:pPr>
        <w:pStyle w:val="CGC2025ParaNumbers"/>
      </w:pPr>
      <w:r>
        <w:t xml:space="preserve">Subject to receiving state </w:t>
      </w:r>
      <w:r w:rsidR="00B33D39">
        <w:t>views</w:t>
      </w:r>
      <w:r>
        <w:t>, the Commission proposes:</w:t>
      </w:r>
    </w:p>
    <w:p w14:paraId="23C7C185" w14:textId="4E60E3E3" w:rsidR="00E27BB1" w:rsidRDefault="00E27BB1" w:rsidP="00E27BB1">
      <w:pPr>
        <w:pStyle w:val="CGC2025Bullet1"/>
      </w:pPr>
      <w:r w:rsidRPr="001F4B1F">
        <w:t>to use the Australian Institute of Health and Welfare data on community mental health activity, adjusted to compensate for lack of cost weights, to determine per capita use rates for mental health services for the socio-demographic assessment</w:t>
      </w:r>
      <w:r w:rsidR="002D72F7">
        <w:t xml:space="preserve"> </w:t>
      </w:r>
      <w:r w:rsidR="002D72F7">
        <w:noBreakHyphen/>
        <w:t xml:space="preserve"> i</w:t>
      </w:r>
      <w:r w:rsidRPr="001F4B1F">
        <w:t xml:space="preserve">t also proposes to expand the current proxy for activity (emergency department triage categories 4 and 5) to include non-admitted patient services, applied to the balance of the component </w:t>
      </w:r>
    </w:p>
    <w:p w14:paraId="4157E1B5" w14:textId="77777777" w:rsidR="00E27BB1" w:rsidRPr="00B42ACC" w:rsidRDefault="00E27BB1" w:rsidP="00E27BB1">
      <w:pPr>
        <w:pStyle w:val="CGC2025Bullet1"/>
      </w:pPr>
      <w:r w:rsidRPr="00B42ACC">
        <w:lastRenderedPageBreak/>
        <w:t xml:space="preserve">to use the 2020 method to update the </w:t>
      </w:r>
      <w:r>
        <w:t>non</w:t>
      </w:r>
      <w:r>
        <w:noBreakHyphen/>
        <w:t xml:space="preserve">state sector </w:t>
      </w:r>
      <w:r w:rsidRPr="00B42ACC">
        <w:t>substitutability levels for all components apart from emergency departments. For emergency departments the Commission is proposing to use data from the Australian Institute of Health and Welfare to update the calculations</w:t>
      </w:r>
      <w:r>
        <w:t>.</w:t>
      </w:r>
    </w:p>
    <w:p w14:paraId="6B345D67" w14:textId="129C3F41" w:rsidR="00F427F0" w:rsidRPr="00FE3C19" w:rsidRDefault="00F427F0" w:rsidP="001F4B1F">
      <w:pPr>
        <w:pStyle w:val="Heading3"/>
      </w:pPr>
      <w:bookmarkStart w:id="89" w:name="_Toc132729115"/>
      <w:bookmarkStart w:id="90" w:name="_Toc133236156"/>
      <w:bookmarkStart w:id="91" w:name="_Toc133236182"/>
      <w:bookmarkStart w:id="92" w:name="_Toc138753190"/>
      <w:r w:rsidRPr="00FE3C19">
        <w:t>Proposed assessment structure</w:t>
      </w:r>
      <w:bookmarkEnd w:id="89"/>
      <w:bookmarkEnd w:id="90"/>
      <w:bookmarkEnd w:id="91"/>
      <w:bookmarkEnd w:id="92"/>
    </w:p>
    <w:p w14:paraId="460CA2C7" w14:textId="6235A908" w:rsidR="00F427F0" w:rsidRDefault="004D73A4" w:rsidP="004477FF">
      <w:pPr>
        <w:pStyle w:val="CGC2025ParaNumbers"/>
      </w:pPr>
      <w:r>
        <w:t xml:space="preserve">Subject to state views, </w:t>
      </w:r>
      <w:r w:rsidR="00346681">
        <w:fldChar w:fldCharType="begin"/>
      </w:r>
      <w:r w:rsidR="00346681">
        <w:instrText xml:space="preserve"> REF _Ref137640652 \h </w:instrText>
      </w:r>
      <w:r w:rsidR="00346681">
        <w:fldChar w:fldCharType="separate"/>
      </w:r>
      <w:r w:rsidR="00312054" w:rsidRPr="001F0B30">
        <w:rPr>
          <w:bCs/>
        </w:rPr>
        <w:t xml:space="preserve">Table </w:t>
      </w:r>
      <w:r w:rsidR="00312054">
        <w:rPr>
          <w:bCs/>
          <w:noProof/>
        </w:rPr>
        <w:t>9</w:t>
      </w:r>
      <w:r w:rsidR="00346681">
        <w:fldChar w:fldCharType="end"/>
      </w:r>
      <w:r w:rsidR="00346681">
        <w:t xml:space="preserve"> </w:t>
      </w:r>
      <w:r w:rsidR="00F427F0">
        <w:t xml:space="preserve">shows the proposed structure of the </w:t>
      </w:r>
      <w:r w:rsidR="008476D6">
        <w:t>h</w:t>
      </w:r>
      <w:r w:rsidR="00F427F0">
        <w:t>ealth assessment for the 2025</w:t>
      </w:r>
      <w:r w:rsidR="008158D3">
        <w:t> </w:t>
      </w:r>
      <w:r w:rsidR="00F427F0">
        <w:t>Review.</w:t>
      </w:r>
    </w:p>
    <w:p w14:paraId="54879F38" w14:textId="516D8439" w:rsidR="001F0B30" w:rsidRPr="001F0B30" w:rsidRDefault="00B3623C" w:rsidP="00FC1090">
      <w:pPr>
        <w:pStyle w:val="CGC2025Caption"/>
        <w:keepNext/>
        <w:ind w:left="1134" w:hanging="1134"/>
        <w:rPr>
          <w:bCs/>
        </w:rPr>
      </w:pPr>
      <w:bookmarkStart w:id="93" w:name="_Ref137640652"/>
      <w:r w:rsidRPr="001F0B30">
        <w:rPr>
          <w:bCs/>
        </w:rPr>
        <w:t xml:space="preserve">Table </w:t>
      </w:r>
      <w:r w:rsidRPr="001F0B30">
        <w:rPr>
          <w:bCs/>
        </w:rPr>
        <w:fldChar w:fldCharType="begin"/>
      </w:r>
      <w:r w:rsidRPr="001F0B30">
        <w:rPr>
          <w:bCs/>
        </w:rPr>
        <w:instrText xml:space="preserve"> SEQ Table \* ARABIC </w:instrText>
      </w:r>
      <w:r w:rsidRPr="001F0B30">
        <w:rPr>
          <w:bCs/>
        </w:rPr>
        <w:fldChar w:fldCharType="separate"/>
      </w:r>
      <w:r w:rsidR="00312054">
        <w:rPr>
          <w:bCs/>
          <w:noProof/>
        </w:rPr>
        <w:t>9</w:t>
      </w:r>
      <w:r w:rsidRPr="001F0B30">
        <w:rPr>
          <w:bCs/>
        </w:rPr>
        <w:fldChar w:fldCharType="end"/>
      </w:r>
      <w:bookmarkEnd w:id="93"/>
      <w:r w:rsidR="00736E60" w:rsidRPr="001F0B30">
        <w:rPr>
          <w:bCs/>
        </w:rPr>
        <w:tab/>
      </w:r>
      <w:r w:rsidR="001F0B30" w:rsidRPr="001F0B30">
        <w:rPr>
          <w:bCs/>
        </w:rPr>
        <w:t xml:space="preserve">Proposed structure for the </w:t>
      </w:r>
      <w:r w:rsidR="008476D6">
        <w:rPr>
          <w:bCs/>
        </w:rPr>
        <w:t>h</w:t>
      </w:r>
      <w:r w:rsidR="001F0B30" w:rsidRPr="001F0B30">
        <w:rPr>
          <w:bCs/>
        </w:rPr>
        <w:t>ealth assessment, 2025 Review</w:t>
      </w:r>
    </w:p>
    <w:tbl>
      <w:tblPr>
        <w:tblW w:w="9120" w:type="dxa"/>
        <w:tblLook w:val="04A0" w:firstRow="1" w:lastRow="0" w:firstColumn="1" w:lastColumn="0" w:noHBand="0" w:noVBand="1"/>
      </w:tblPr>
      <w:tblGrid>
        <w:gridCol w:w="1462"/>
        <w:gridCol w:w="290"/>
        <w:gridCol w:w="1638"/>
        <w:gridCol w:w="4195"/>
        <w:gridCol w:w="258"/>
        <w:gridCol w:w="1277"/>
      </w:tblGrid>
      <w:tr w:rsidR="00FC1090" w:rsidRPr="008650AA" w14:paraId="2A3BD3E2" w14:textId="77777777">
        <w:trPr>
          <w:trHeight w:val="600"/>
        </w:trPr>
        <w:tc>
          <w:tcPr>
            <w:tcW w:w="1462" w:type="dxa"/>
            <w:tcBorders>
              <w:top w:val="nil"/>
              <w:left w:val="nil"/>
              <w:bottom w:val="nil"/>
              <w:right w:val="nil"/>
            </w:tcBorders>
            <w:shd w:val="clear" w:color="000000" w:fill="006991"/>
            <w:vAlign w:val="center"/>
            <w:hideMark/>
          </w:tcPr>
          <w:p w14:paraId="0C23856C" w14:textId="77777777" w:rsidR="00FC1090" w:rsidRPr="008650AA" w:rsidRDefault="00FC1090" w:rsidP="00FC1090">
            <w:pPr>
              <w:keepNext/>
              <w:tabs>
                <w:tab w:val="clear" w:pos="567"/>
              </w:tabs>
              <w:spacing w:before="0" w:line="240" w:lineRule="auto"/>
              <w:rPr>
                <w:rFonts w:eastAsia="Times New Roman" w:cs="Open Sans Light"/>
                <w:b/>
                <w:bCs/>
                <w:color w:val="FFFFFF"/>
                <w:sz w:val="16"/>
                <w:szCs w:val="16"/>
                <w:lang w:eastAsia="en-AU"/>
              </w:rPr>
            </w:pPr>
            <w:r w:rsidRPr="008650AA">
              <w:rPr>
                <w:rFonts w:eastAsia="Times New Roman" w:cs="Open Sans Light"/>
                <w:b/>
                <w:bCs/>
                <w:color w:val="FFFFFF"/>
                <w:sz w:val="16"/>
                <w:szCs w:val="16"/>
                <w:lang w:eastAsia="en-AU"/>
              </w:rPr>
              <w:t>Component </w:t>
            </w:r>
          </w:p>
        </w:tc>
        <w:tc>
          <w:tcPr>
            <w:tcW w:w="290" w:type="dxa"/>
            <w:tcBorders>
              <w:top w:val="nil"/>
              <w:left w:val="nil"/>
              <w:bottom w:val="nil"/>
              <w:right w:val="nil"/>
            </w:tcBorders>
            <w:shd w:val="clear" w:color="000000" w:fill="006991"/>
            <w:vAlign w:val="center"/>
            <w:hideMark/>
          </w:tcPr>
          <w:p w14:paraId="49C232A9" w14:textId="77777777" w:rsidR="00FC1090" w:rsidRPr="008650AA" w:rsidRDefault="00FC1090" w:rsidP="00FC1090">
            <w:pPr>
              <w:keepNext/>
              <w:tabs>
                <w:tab w:val="clear" w:pos="567"/>
              </w:tabs>
              <w:spacing w:before="0" w:line="240" w:lineRule="auto"/>
              <w:jc w:val="right"/>
              <w:rPr>
                <w:rFonts w:ascii="Arial" w:eastAsia="Times New Roman" w:hAnsi="Arial" w:cs="Arial"/>
                <w:b/>
                <w:bCs/>
                <w:color w:val="FFFFFF"/>
                <w:sz w:val="16"/>
                <w:szCs w:val="16"/>
                <w:lang w:eastAsia="en-AU"/>
              </w:rPr>
            </w:pPr>
            <w:r w:rsidRPr="008650AA">
              <w:rPr>
                <w:rFonts w:ascii="Arial" w:eastAsia="Times New Roman" w:hAnsi="Arial" w:cs="Arial"/>
                <w:b/>
                <w:bCs/>
                <w:color w:val="FFFFFF"/>
                <w:sz w:val="16"/>
                <w:szCs w:val="16"/>
                <w:lang w:eastAsia="en-AU"/>
              </w:rPr>
              <w:t> </w:t>
            </w:r>
            <w:r w:rsidRPr="008650AA">
              <w:rPr>
                <w:rFonts w:eastAsia="Times New Roman" w:cs="Open Sans Light"/>
                <w:b/>
                <w:bCs/>
                <w:color w:val="FFFFFF"/>
                <w:sz w:val="16"/>
                <w:szCs w:val="16"/>
                <w:lang w:eastAsia="en-AU"/>
              </w:rPr>
              <w:t> </w:t>
            </w:r>
          </w:p>
        </w:tc>
        <w:tc>
          <w:tcPr>
            <w:tcW w:w="1638" w:type="dxa"/>
            <w:tcBorders>
              <w:top w:val="nil"/>
              <w:left w:val="nil"/>
              <w:bottom w:val="nil"/>
              <w:right w:val="nil"/>
            </w:tcBorders>
            <w:shd w:val="clear" w:color="000000" w:fill="006991"/>
            <w:vAlign w:val="center"/>
            <w:hideMark/>
          </w:tcPr>
          <w:p w14:paraId="3A1E609A" w14:textId="77777777" w:rsidR="00FC1090" w:rsidRPr="008650AA" w:rsidRDefault="00FC1090" w:rsidP="00FC1090">
            <w:pPr>
              <w:keepNext/>
              <w:tabs>
                <w:tab w:val="clear" w:pos="567"/>
              </w:tabs>
              <w:spacing w:before="0" w:line="240" w:lineRule="auto"/>
              <w:rPr>
                <w:rFonts w:eastAsia="Times New Roman" w:cs="Open Sans Light"/>
                <w:b/>
                <w:bCs/>
                <w:color w:val="FFFFFF"/>
                <w:sz w:val="16"/>
                <w:szCs w:val="16"/>
                <w:lang w:eastAsia="en-AU"/>
              </w:rPr>
            </w:pPr>
            <w:r w:rsidRPr="008650AA">
              <w:rPr>
                <w:rFonts w:eastAsia="Times New Roman" w:cs="Open Sans Light"/>
                <w:b/>
                <w:bCs/>
                <w:color w:val="FFFFFF"/>
                <w:sz w:val="16"/>
                <w:szCs w:val="16"/>
                <w:lang w:eastAsia="en-AU"/>
              </w:rPr>
              <w:t>Driver </w:t>
            </w:r>
          </w:p>
        </w:tc>
        <w:tc>
          <w:tcPr>
            <w:tcW w:w="4195" w:type="dxa"/>
            <w:tcBorders>
              <w:top w:val="nil"/>
              <w:left w:val="nil"/>
              <w:bottom w:val="nil"/>
              <w:right w:val="nil"/>
            </w:tcBorders>
            <w:shd w:val="clear" w:color="000000" w:fill="006991"/>
            <w:vAlign w:val="center"/>
            <w:hideMark/>
          </w:tcPr>
          <w:p w14:paraId="3A6CBA4E" w14:textId="77777777" w:rsidR="00FC1090" w:rsidRPr="008650AA" w:rsidRDefault="00FC1090" w:rsidP="00FC1090">
            <w:pPr>
              <w:keepNext/>
              <w:tabs>
                <w:tab w:val="clear" w:pos="567"/>
              </w:tabs>
              <w:spacing w:before="0" w:line="240" w:lineRule="auto"/>
              <w:rPr>
                <w:rFonts w:eastAsia="Times New Roman" w:cs="Open Sans Light"/>
                <w:b/>
                <w:bCs/>
                <w:color w:val="FFFFFF"/>
                <w:sz w:val="16"/>
                <w:szCs w:val="16"/>
                <w:lang w:eastAsia="en-AU"/>
              </w:rPr>
            </w:pPr>
            <w:r w:rsidRPr="008650AA">
              <w:rPr>
                <w:rFonts w:eastAsia="Times New Roman" w:cs="Open Sans Light"/>
                <w:b/>
                <w:bCs/>
                <w:color w:val="FFFFFF"/>
                <w:sz w:val="16"/>
                <w:szCs w:val="16"/>
                <w:lang w:eastAsia="en-AU"/>
              </w:rPr>
              <w:t>Influence measured by driver </w:t>
            </w:r>
          </w:p>
        </w:tc>
        <w:tc>
          <w:tcPr>
            <w:tcW w:w="258" w:type="dxa"/>
            <w:tcBorders>
              <w:top w:val="nil"/>
              <w:left w:val="nil"/>
              <w:bottom w:val="nil"/>
              <w:right w:val="nil"/>
            </w:tcBorders>
            <w:shd w:val="clear" w:color="000000" w:fill="006991"/>
            <w:vAlign w:val="center"/>
            <w:hideMark/>
          </w:tcPr>
          <w:p w14:paraId="78340B50" w14:textId="77777777" w:rsidR="00FC1090" w:rsidRPr="008650AA" w:rsidRDefault="00FC1090" w:rsidP="00FC1090">
            <w:pPr>
              <w:keepNext/>
              <w:tabs>
                <w:tab w:val="clear" w:pos="567"/>
              </w:tabs>
              <w:spacing w:before="0" w:line="240" w:lineRule="auto"/>
              <w:rPr>
                <w:rFonts w:eastAsia="Times New Roman" w:cs="Open Sans Light"/>
                <w:b/>
                <w:bCs/>
                <w:color w:val="FFFFFF"/>
                <w:sz w:val="16"/>
                <w:szCs w:val="16"/>
                <w:lang w:eastAsia="en-AU"/>
              </w:rPr>
            </w:pPr>
            <w:r w:rsidRPr="008650AA">
              <w:rPr>
                <w:rFonts w:eastAsia="Times New Roman" w:cs="Open Sans Light"/>
                <w:b/>
                <w:bCs/>
                <w:color w:val="FFFFFF"/>
                <w:sz w:val="16"/>
                <w:szCs w:val="16"/>
                <w:lang w:eastAsia="en-AU"/>
              </w:rPr>
              <w:t> </w:t>
            </w:r>
          </w:p>
        </w:tc>
        <w:tc>
          <w:tcPr>
            <w:tcW w:w="1277" w:type="dxa"/>
            <w:tcBorders>
              <w:top w:val="nil"/>
              <w:left w:val="nil"/>
              <w:bottom w:val="nil"/>
              <w:right w:val="nil"/>
            </w:tcBorders>
            <w:shd w:val="clear" w:color="000000" w:fill="006991"/>
            <w:vAlign w:val="center"/>
            <w:hideMark/>
          </w:tcPr>
          <w:p w14:paraId="7FA2F91D" w14:textId="77777777" w:rsidR="00FC1090" w:rsidRPr="008650AA" w:rsidRDefault="00FC1090" w:rsidP="00FC1090">
            <w:pPr>
              <w:keepNext/>
              <w:tabs>
                <w:tab w:val="clear" w:pos="567"/>
              </w:tabs>
              <w:spacing w:before="0" w:line="240" w:lineRule="auto"/>
              <w:jc w:val="center"/>
              <w:rPr>
                <w:rFonts w:eastAsia="Times New Roman" w:cs="Open Sans Light"/>
                <w:b/>
                <w:bCs/>
                <w:color w:val="FFFFFF"/>
                <w:sz w:val="16"/>
                <w:szCs w:val="16"/>
                <w:lang w:eastAsia="en-AU"/>
              </w:rPr>
            </w:pPr>
            <w:r w:rsidRPr="008650AA">
              <w:rPr>
                <w:rFonts w:eastAsia="Times New Roman" w:cs="Open Sans Light"/>
                <w:b/>
                <w:bCs/>
                <w:color w:val="FFFFFF"/>
                <w:sz w:val="16"/>
                <w:szCs w:val="16"/>
                <w:lang w:eastAsia="en-AU"/>
              </w:rPr>
              <w:t>Change since 2020 Review?</w:t>
            </w:r>
          </w:p>
        </w:tc>
      </w:tr>
      <w:tr w:rsidR="00FC1090" w:rsidRPr="008650AA" w14:paraId="6EEF84C2" w14:textId="77777777">
        <w:trPr>
          <w:trHeight w:val="555"/>
        </w:trPr>
        <w:tc>
          <w:tcPr>
            <w:tcW w:w="1462" w:type="dxa"/>
            <w:tcBorders>
              <w:top w:val="single" w:sz="4" w:space="0" w:color="DDEBF7"/>
              <w:left w:val="nil"/>
              <w:bottom w:val="nil"/>
              <w:right w:val="nil"/>
            </w:tcBorders>
            <w:shd w:val="clear" w:color="auto" w:fill="auto"/>
            <w:hideMark/>
          </w:tcPr>
          <w:p w14:paraId="543C52CD"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Admitted patients </w:t>
            </w:r>
          </w:p>
        </w:tc>
        <w:tc>
          <w:tcPr>
            <w:tcW w:w="290" w:type="dxa"/>
            <w:tcBorders>
              <w:top w:val="single" w:sz="4" w:space="0" w:color="DDEBF7"/>
              <w:left w:val="nil"/>
              <w:bottom w:val="single" w:sz="4" w:space="0" w:color="DDEBF7"/>
              <w:right w:val="nil"/>
            </w:tcBorders>
            <w:shd w:val="clear" w:color="auto" w:fill="auto"/>
            <w:hideMark/>
          </w:tcPr>
          <w:p w14:paraId="29416A2D" w14:textId="77777777" w:rsidR="00FC1090" w:rsidRPr="008650AA" w:rsidRDefault="00FC1090" w:rsidP="00FC1090">
            <w:pPr>
              <w:keepNext/>
              <w:tabs>
                <w:tab w:val="clear" w:pos="567"/>
              </w:tabs>
              <w:spacing w:before="0" w:line="240" w:lineRule="auto"/>
              <w:jc w:val="right"/>
              <w:rPr>
                <w:rFonts w:ascii="Arial" w:eastAsia="Times New Roman" w:hAnsi="Arial" w:cs="Arial"/>
                <w:color w:val="000000"/>
                <w:sz w:val="16"/>
                <w:szCs w:val="16"/>
                <w:lang w:eastAsia="en-AU"/>
              </w:rPr>
            </w:pPr>
            <w:r w:rsidRPr="008650AA">
              <w:rPr>
                <w:rFonts w:ascii="Arial" w:eastAsia="Times New Roman" w:hAnsi="Arial" w:cs="Arial"/>
                <w:color w:val="000000"/>
                <w:sz w:val="16"/>
                <w:szCs w:val="16"/>
                <w:lang w:eastAsia="en-AU"/>
              </w:rPr>
              <w:t> </w:t>
            </w:r>
            <w:r w:rsidRPr="008650AA">
              <w:rPr>
                <w:rFonts w:eastAsia="Times New Roman" w:cs="Open Sans Light"/>
                <w:color w:val="000000"/>
                <w:sz w:val="16"/>
                <w:szCs w:val="16"/>
                <w:lang w:eastAsia="en-AU"/>
              </w:rPr>
              <w:t> </w:t>
            </w:r>
          </w:p>
        </w:tc>
        <w:tc>
          <w:tcPr>
            <w:tcW w:w="1638" w:type="dxa"/>
            <w:tcBorders>
              <w:top w:val="single" w:sz="4" w:space="0" w:color="DDEBF7"/>
              <w:left w:val="nil"/>
              <w:bottom w:val="single" w:sz="4" w:space="0" w:color="DDEBF7"/>
              <w:right w:val="nil"/>
            </w:tcBorders>
            <w:shd w:val="clear" w:color="auto" w:fill="auto"/>
            <w:hideMark/>
          </w:tcPr>
          <w:p w14:paraId="4D9302CF"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Socio-demographic composition </w:t>
            </w:r>
          </w:p>
        </w:tc>
        <w:tc>
          <w:tcPr>
            <w:tcW w:w="4195" w:type="dxa"/>
            <w:tcBorders>
              <w:top w:val="single" w:sz="4" w:space="0" w:color="DDEBF7"/>
              <w:left w:val="nil"/>
              <w:bottom w:val="single" w:sz="4" w:space="0" w:color="DDEBF7"/>
              <w:right w:val="nil"/>
            </w:tcBorders>
            <w:shd w:val="clear" w:color="auto" w:fill="auto"/>
            <w:hideMark/>
          </w:tcPr>
          <w:p w14:paraId="1BDF9D76" w14:textId="0DFAC8C3"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that the use and cost of services varies by age, socio-economic status, remoteness, and Indigenous status</w:t>
            </w:r>
            <w:r w:rsidR="0060595F">
              <w:rPr>
                <w:rFonts w:eastAsia="Times New Roman" w:cs="Open Sans Light"/>
                <w:color w:val="000000"/>
                <w:sz w:val="16"/>
                <w:szCs w:val="16"/>
                <w:lang w:eastAsia="en-AU"/>
              </w:rPr>
              <w:t>.</w:t>
            </w:r>
          </w:p>
        </w:tc>
        <w:tc>
          <w:tcPr>
            <w:tcW w:w="258" w:type="dxa"/>
            <w:tcBorders>
              <w:top w:val="single" w:sz="4" w:space="0" w:color="DDEBF7"/>
              <w:left w:val="nil"/>
              <w:bottom w:val="single" w:sz="4" w:space="0" w:color="DDEBF7"/>
              <w:right w:val="nil"/>
            </w:tcBorders>
            <w:shd w:val="clear" w:color="auto" w:fill="auto"/>
            <w:hideMark/>
          </w:tcPr>
          <w:p w14:paraId="6CA87EAC"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single" w:sz="4" w:space="0" w:color="DDEBF7"/>
              <w:left w:val="nil"/>
              <w:bottom w:val="single" w:sz="4" w:space="0" w:color="DDEBF7"/>
              <w:right w:val="nil"/>
            </w:tcBorders>
            <w:shd w:val="clear" w:color="auto" w:fill="auto"/>
            <w:hideMark/>
          </w:tcPr>
          <w:p w14:paraId="17107F47"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2DD34E5B" w14:textId="77777777">
        <w:trPr>
          <w:trHeight w:val="555"/>
        </w:trPr>
        <w:tc>
          <w:tcPr>
            <w:tcW w:w="1462" w:type="dxa"/>
            <w:tcBorders>
              <w:top w:val="nil"/>
              <w:left w:val="nil"/>
              <w:bottom w:val="nil"/>
              <w:right w:val="nil"/>
            </w:tcBorders>
            <w:shd w:val="clear" w:color="auto" w:fill="auto"/>
            <w:hideMark/>
          </w:tcPr>
          <w:p w14:paraId="75C4E8A1"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p>
        </w:tc>
        <w:tc>
          <w:tcPr>
            <w:tcW w:w="290" w:type="dxa"/>
            <w:tcBorders>
              <w:top w:val="nil"/>
              <w:left w:val="nil"/>
              <w:bottom w:val="single" w:sz="4" w:space="0" w:color="DDEBF7"/>
              <w:right w:val="nil"/>
            </w:tcBorders>
            <w:shd w:val="clear" w:color="auto" w:fill="auto"/>
            <w:hideMark/>
          </w:tcPr>
          <w:p w14:paraId="1E1D66E5" w14:textId="77777777" w:rsidR="00FC1090" w:rsidRPr="008650AA" w:rsidRDefault="00FC1090" w:rsidP="00FC1090">
            <w:pPr>
              <w:keepNext/>
              <w:tabs>
                <w:tab w:val="clear" w:pos="567"/>
              </w:tabs>
              <w:spacing w:before="0" w:line="240" w:lineRule="auto"/>
              <w:jc w:val="right"/>
              <w:rPr>
                <w:rFonts w:ascii="Arial" w:eastAsia="Times New Roman" w:hAnsi="Arial" w:cs="Arial"/>
                <w:color w:val="000000"/>
                <w:sz w:val="16"/>
                <w:szCs w:val="16"/>
                <w:lang w:eastAsia="en-AU"/>
              </w:rPr>
            </w:pPr>
            <w:r w:rsidRPr="008650AA">
              <w:rPr>
                <w:rFonts w:ascii="Arial" w:eastAsia="Times New Roman" w:hAnsi="Arial" w:cs="Arial"/>
                <w:color w:val="000000"/>
                <w:sz w:val="16"/>
                <w:szCs w:val="16"/>
                <w:lang w:eastAsia="en-AU"/>
              </w:rPr>
              <w:t> </w:t>
            </w: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69012326"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Non-state sector</w:t>
            </w:r>
          </w:p>
        </w:tc>
        <w:tc>
          <w:tcPr>
            <w:tcW w:w="4195" w:type="dxa"/>
            <w:tcBorders>
              <w:top w:val="nil"/>
              <w:left w:val="nil"/>
              <w:bottom w:val="single" w:sz="4" w:space="0" w:color="DDEBF7"/>
              <w:right w:val="nil"/>
            </w:tcBorders>
            <w:shd w:val="clear" w:color="auto" w:fill="auto"/>
            <w:hideMark/>
          </w:tcPr>
          <w:p w14:paraId="6BAE5F57"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that non-state funded health services such as private health insurance funded hospital services affect state health spending.</w:t>
            </w:r>
          </w:p>
        </w:tc>
        <w:tc>
          <w:tcPr>
            <w:tcW w:w="258" w:type="dxa"/>
            <w:tcBorders>
              <w:top w:val="nil"/>
              <w:left w:val="nil"/>
              <w:bottom w:val="single" w:sz="4" w:space="0" w:color="DDEBF7"/>
              <w:right w:val="nil"/>
            </w:tcBorders>
            <w:shd w:val="clear" w:color="auto" w:fill="auto"/>
            <w:hideMark/>
          </w:tcPr>
          <w:p w14:paraId="1B8C7416"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764E1D9F"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33864EAA" w14:textId="77777777">
        <w:trPr>
          <w:trHeight w:val="241"/>
        </w:trPr>
        <w:tc>
          <w:tcPr>
            <w:tcW w:w="1462" w:type="dxa"/>
            <w:tcBorders>
              <w:top w:val="nil"/>
              <w:left w:val="nil"/>
              <w:bottom w:val="single" w:sz="4" w:space="0" w:color="DDEBF7"/>
              <w:right w:val="nil"/>
            </w:tcBorders>
            <w:shd w:val="clear" w:color="auto" w:fill="auto"/>
            <w:hideMark/>
          </w:tcPr>
          <w:p w14:paraId="1E71BAA0"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290" w:type="dxa"/>
            <w:tcBorders>
              <w:top w:val="nil"/>
              <w:left w:val="nil"/>
              <w:bottom w:val="single" w:sz="4" w:space="0" w:color="DDEBF7"/>
              <w:right w:val="nil"/>
            </w:tcBorders>
            <w:shd w:val="clear" w:color="auto" w:fill="auto"/>
            <w:hideMark/>
          </w:tcPr>
          <w:p w14:paraId="0C113D22"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0C62ECE3"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Wage costs</w:t>
            </w:r>
            <w:r>
              <w:rPr>
                <w:rFonts w:eastAsia="Times New Roman" w:cs="Open Sans Light"/>
                <w:color w:val="000000"/>
                <w:sz w:val="16"/>
                <w:szCs w:val="16"/>
                <w:lang w:eastAsia="en-AU"/>
              </w:rPr>
              <w:t xml:space="preserve"> </w:t>
            </w:r>
            <w:r w:rsidRPr="00AF68FA">
              <w:rPr>
                <w:rFonts w:eastAsia="Times New Roman" w:cs="Open Sans Light"/>
                <w:color w:val="000000"/>
                <w:sz w:val="16"/>
                <w:szCs w:val="16"/>
                <w:vertAlign w:val="superscript"/>
                <w:lang w:eastAsia="en-AU"/>
              </w:rPr>
              <w:t>(b)</w:t>
            </w:r>
            <w:r w:rsidRPr="008650AA">
              <w:rPr>
                <w:rFonts w:eastAsia="Times New Roman" w:cs="Open Sans Light"/>
                <w:color w:val="000000"/>
                <w:sz w:val="16"/>
                <w:szCs w:val="16"/>
                <w:lang w:eastAsia="en-AU"/>
              </w:rPr>
              <w:t> </w:t>
            </w:r>
          </w:p>
        </w:tc>
        <w:tc>
          <w:tcPr>
            <w:tcW w:w="4195" w:type="dxa"/>
            <w:tcBorders>
              <w:top w:val="nil"/>
              <w:left w:val="nil"/>
              <w:bottom w:val="single" w:sz="4" w:space="0" w:color="DDEBF7"/>
              <w:right w:val="nil"/>
            </w:tcBorders>
            <w:shd w:val="clear" w:color="auto" w:fill="auto"/>
            <w:hideMark/>
          </w:tcPr>
          <w:p w14:paraId="4A268865"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differences in wage costs between states. </w:t>
            </w:r>
          </w:p>
        </w:tc>
        <w:tc>
          <w:tcPr>
            <w:tcW w:w="258" w:type="dxa"/>
            <w:tcBorders>
              <w:top w:val="nil"/>
              <w:left w:val="nil"/>
              <w:bottom w:val="single" w:sz="4" w:space="0" w:color="DDEBF7"/>
              <w:right w:val="nil"/>
            </w:tcBorders>
            <w:shd w:val="clear" w:color="auto" w:fill="auto"/>
            <w:hideMark/>
          </w:tcPr>
          <w:p w14:paraId="434B72EB"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40846E3F"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38E926D8" w14:textId="77777777">
        <w:trPr>
          <w:trHeight w:val="555"/>
        </w:trPr>
        <w:tc>
          <w:tcPr>
            <w:tcW w:w="1462" w:type="dxa"/>
            <w:tcBorders>
              <w:top w:val="nil"/>
              <w:left w:val="nil"/>
              <w:bottom w:val="single" w:sz="4" w:space="0" w:color="DDEBF7"/>
              <w:right w:val="nil"/>
            </w:tcBorders>
            <w:shd w:val="clear" w:color="auto" w:fill="auto"/>
            <w:hideMark/>
          </w:tcPr>
          <w:p w14:paraId="42849930"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Emergency departments </w:t>
            </w:r>
          </w:p>
        </w:tc>
        <w:tc>
          <w:tcPr>
            <w:tcW w:w="290" w:type="dxa"/>
            <w:tcBorders>
              <w:top w:val="nil"/>
              <w:left w:val="nil"/>
              <w:bottom w:val="single" w:sz="4" w:space="0" w:color="DDEBF7"/>
              <w:right w:val="nil"/>
            </w:tcBorders>
            <w:shd w:val="clear" w:color="auto" w:fill="auto"/>
            <w:hideMark/>
          </w:tcPr>
          <w:p w14:paraId="73F5A093" w14:textId="77777777" w:rsidR="00FC1090" w:rsidRPr="008650AA" w:rsidRDefault="00FC1090" w:rsidP="00FC1090">
            <w:pPr>
              <w:keepNext/>
              <w:tabs>
                <w:tab w:val="clear" w:pos="567"/>
              </w:tabs>
              <w:spacing w:before="0" w:line="240" w:lineRule="auto"/>
              <w:jc w:val="right"/>
              <w:rPr>
                <w:rFonts w:ascii="Arial" w:eastAsia="Times New Roman" w:hAnsi="Arial" w:cs="Arial"/>
                <w:color w:val="000000"/>
                <w:sz w:val="16"/>
                <w:szCs w:val="16"/>
                <w:lang w:eastAsia="en-AU"/>
              </w:rPr>
            </w:pPr>
            <w:r w:rsidRPr="008650AA">
              <w:rPr>
                <w:rFonts w:ascii="Arial" w:eastAsia="Times New Roman" w:hAnsi="Arial" w:cs="Arial"/>
                <w:color w:val="000000"/>
                <w:sz w:val="16"/>
                <w:szCs w:val="16"/>
                <w:lang w:eastAsia="en-AU"/>
              </w:rPr>
              <w:t> </w:t>
            </w: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311E14F3"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Socio-demographic composition </w:t>
            </w:r>
          </w:p>
        </w:tc>
        <w:tc>
          <w:tcPr>
            <w:tcW w:w="4195" w:type="dxa"/>
            <w:tcBorders>
              <w:top w:val="nil"/>
              <w:left w:val="nil"/>
              <w:bottom w:val="single" w:sz="4" w:space="0" w:color="DDEBF7"/>
              <w:right w:val="nil"/>
            </w:tcBorders>
            <w:shd w:val="clear" w:color="auto" w:fill="auto"/>
            <w:hideMark/>
          </w:tcPr>
          <w:p w14:paraId="6A167755" w14:textId="68BDCD79"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that the use and cost of services varies by age, socio-economic status, remoteness, and Indigenous status</w:t>
            </w:r>
            <w:r w:rsidR="0060595F">
              <w:rPr>
                <w:rFonts w:eastAsia="Times New Roman" w:cs="Open Sans Light"/>
                <w:color w:val="000000"/>
                <w:sz w:val="16"/>
                <w:szCs w:val="16"/>
                <w:lang w:eastAsia="en-AU"/>
              </w:rPr>
              <w:t>.</w:t>
            </w:r>
          </w:p>
        </w:tc>
        <w:tc>
          <w:tcPr>
            <w:tcW w:w="258" w:type="dxa"/>
            <w:tcBorders>
              <w:top w:val="nil"/>
              <w:left w:val="nil"/>
              <w:bottom w:val="single" w:sz="4" w:space="0" w:color="DDEBF7"/>
              <w:right w:val="nil"/>
            </w:tcBorders>
            <w:shd w:val="clear" w:color="auto" w:fill="auto"/>
            <w:hideMark/>
          </w:tcPr>
          <w:p w14:paraId="7AECD589"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6AC8EAEB"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001C24D9" w14:textId="77777777">
        <w:trPr>
          <w:trHeight w:val="555"/>
        </w:trPr>
        <w:tc>
          <w:tcPr>
            <w:tcW w:w="1462" w:type="dxa"/>
            <w:tcBorders>
              <w:top w:val="nil"/>
              <w:left w:val="nil"/>
              <w:bottom w:val="single" w:sz="4" w:space="0" w:color="DDEBF7"/>
              <w:right w:val="nil"/>
            </w:tcBorders>
            <w:shd w:val="clear" w:color="auto" w:fill="auto"/>
            <w:hideMark/>
          </w:tcPr>
          <w:p w14:paraId="6383EE7B"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290" w:type="dxa"/>
            <w:tcBorders>
              <w:top w:val="nil"/>
              <w:left w:val="nil"/>
              <w:bottom w:val="single" w:sz="4" w:space="0" w:color="DDEBF7"/>
              <w:right w:val="nil"/>
            </w:tcBorders>
            <w:shd w:val="clear" w:color="auto" w:fill="auto"/>
            <w:hideMark/>
          </w:tcPr>
          <w:p w14:paraId="5760BF7F" w14:textId="77777777" w:rsidR="00FC1090" w:rsidRPr="008650AA" w:rsidRDefault="00FC1090" w:rsidP="00FC1090">
            <w:pPr>
              <w:keepNext/>
              <w:tabs>
                <w:tab w:val="clear" w:pos="567"/>
              </w:tabs>
              <w:spacing w:before="0" w:line="240" w:lineRule="auto"/>
              <w:jc w:val="right"/>
              <w:rPr>
                <w:rFonts w:ascii="Arial" w:eastAsia="Times New Roman" w:hAnsi="Arial" w:cs="Arial"/>
                <w:color w:val="000000"/>
                <w:sz w:val="16"/>
                <w:szCs w:val="16"/>
                <w:lang w:eastAsia="en-AU"/>
              </w:rPr>
            </w:pPr>
            <w:r w:rsidRPr="008650AA">
              <w:rPr>
                <w:rFonts w:ascii="Arial" w:eastAsia="Times New Roman" w:hAnsi="Arial" w:cs="Arial"/>
                <w:color w:val="000000"/>
                <w:sz w:val="16"/>
                <w:szCs w:val="16"/>
                <w:lang w:eastAsia="en-AU"/>
              </w:rPr>
              <w:t> </w:t>
            </w: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359F4AAC"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Non-state sector</w:t>
            </w:r>
          </w:p>
        </w:tc>
        <w:tc>
          <w:tcPr>
            <w:tcW w:w="4195" w:type="dxa"/>
            <w:tcBorders>
              <w:top w:val="nil"/>
              <w:left w:val="nil"/>
              <w:bottom w:val="single" w:sz="4" w:space="0" w:color="DDEBF7"/>
              <w:right w:val="nil"/>
            </w:tcBorders>
            <w:shd w:val="clear" w:color="auto" w:fill="auto"/>
            <w:hideMark/>
          </w:tcPr>
          <w:p w14:paraId="3B0072AA"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that non-state health services, such as general practitioners (GPs), affect state health spending.</w:t>
            </w:r>
          </w:p>
        </w:tc>
        <w:tc>
          <w:tcPr>
            <w:tcW w:w="258" w:type="dxa"/>
            <w:tcBorders>
              <w:top w:val="nil"/>
              <w:left w:val="nil"/>
              <w:bottom w:val="single" w:sz="4" w:space="0" w:color="DDEBF7"/>
              <w:right w:val="nil"/>
            </w:tcBorders>
            <w:shd w:val="clear" w:color="auto" w:fill="auto"/>
            <w:hideMark/>
          </w:tcPr>
          <w:p w14:paraId="1B3BB6DB"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5CE2B3E4"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Yes</w:t>
            </w:r>
          </w:p>
        </w:tc>
      </w:tr>
      <w:tr w:rsidR="00FC1090" w:rsidRPr="008650AA" w14:paraId="398B6472" w14:textId="77777777">
        <w:trPr>
          <w:trHeight w:val="300"/>
        </w:trPr>
        <w:tc>
          <w:tcPr>
            <w:tcW w:w="1462" w:type="dxa"/>
            <w:tcBorders>
              <w:top w:val="nil"/>
              <w:left w:val="nil"/>
              <w:bottom w:val="single" w:sz="4" w:space="0" w:color="DDEBF7"/>
              <w:right w:val="nil"/>
            </w:tcBorders>
            <w:shd w:val="clear" w:color="auto" w:fill="auto"/>
            <w:hideMark/>
          </w:tcPr>
          <w:p w14:paraId="52BE4557"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290" w:type="dxa"/>
            <w:tcBorders>
              <w:top w:val="nil"/>
              <w:left w:val="nil"/>
              <w:bottom w:val="single" w:sz="4" w:space="0" w:color="DDEBF7"/>
              <w:right w:val="nil"/>
            </w:tcBorders>
            <w:shd w:val="clear" w:color="auto" w:fill="auto"/>
            <w:hideMark/>
          </w:tcPr>
          <w:p w14:paraId="6876F066"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35F16075"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Wage costs</w:t>
            </w:r>
            <w:r>
              <w:rPr>
                <w:rFonts w:eastAsia="Times New Roman" w:cs="Open Sans Light"/>
                <w:color w:val="000000"/>
                <w:sz w:val="16"/>
                <w:szCs w:val="16"/>
                <w:lang w:eastAsia="en-AU"/>
              </w:rPr>
              <w:t xml:space="preserve"> </w:t>
            </w:r>
            <w:r w:rsidRPr="00AF68FA">
              <w:rPr>
                <w:rFonts w:eastAsia="Times New Roman" w:cs="Open Sans Light"/>
                <w:color w:val="000000"/>
                <w:sz w:val="16"/>
                <w:szCs w:val="16"/>
                <w:vertAlign w:val="superscript"/>
                <w:lang w:eastAsia="en-AU"/>
              </w:rPr>
              <w:t>(b) </w:t>
            </w:r>
          </w:p>
        </w:tc>
        <w:tc>
          <w:tcPr>
            <w:tcW w:w="4195" w:type="dxa"/>
            <w:tcBorders>
              <w:top w:val="nil"/>
              <w:left w:val="nil"/>
              <w:bottom w:val="single" w:sz="4" w:space="0" w:color="DDEBF7"/>
              <w:right w:val="nil"/>
            </w:tcBorders>
            <w:shd w:val="clear" w:color="auto" w:fill="auto"/>
            <w:hideMark/>
          </w:tcPr>
          <w:p w14:paraId="080E3576"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differences in wage costs between states. </w:t>
            </w:r>
          </w:p>
        </w:tc>
        <w:tc>
          <w:tcPr>
            <w:tcW w:w="258" w:type="dxa"/>
            <w:tcBorders>
              <w:top w:val="nil"/>
              <w:left w:val="nil"/>
              <w:bottom w:val="single" w:sz="4" w:space="0" w:color="DDEBF7"/>
              <w:right w:val="nil"/>
            </w:tcBorders>
            <w:shd w:val="clear" w:color="auto" w:fill="auto"/>
            <w:hideMark/>
          </w:tcPr>
          <w:p w14:paraId="242591E3"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505A76C6"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29363BE0" w14:textId="77777777">
        <w:trPr>
          <w:trHeight w:val="555"/>
        </w:trPr>
        <w:tc>
          <w:tcPr>
            <w:tcW w:w="1462" w:type="dxa"/>
            <w:tcBorders>
              <w:top w:val="nil"/>
              <w:left w:val="nil"/>
              <w:bottom w:val="nil"/>
              <w:right w:val="nil"/>
            </w:tcBorders>
            <w:shd w:val="clear" w:color="auto" w:fill="auto"/>
            <w:hideMark/>
          </w:tcPr>
          <w:p w14:paraId="33992D13"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Non-admitted patients </w:t>
            </w:r>
          </w:p>
        </w:tc>
        <w:tc>
          <w:tcPr>
            <w:tcW w:w="290" w:type="dxa"/>
            <w:tcBorders>
              <w:top w:val="nil"/>
              <w:left w:val="nil"/>
              <w:bottom w:val="single" w:sz="4" w:space="0" w:color="DDEBF7"/>
              <w:right w:val="nil"/>
            </w:tcBorders>
            <w:shd w:val="clear" w:color="auto" w:fill="auto"/>
            <w:hideMark/>
          </w:tcPr>
          <w:p w14:paraId="16630C92" w14:textId="77777777" w:rsidR="00FC1090" w:rsidRPr="008650AA" w:rsidRDefault="00FC1090" w:rsidP="00FC1090">
            <w:pPr>
              <w:keepNext/>
              <w:tabs>
                <w:tab w:val="clear" w:pos="567"/>
              </w:tabs>
              <w:spacing w:before="0" w:line="240" w:lineRule="auto"/>
              <w:jc w:val="right"/>
              <w:rPr>
                <w:rFonts w:ascii="Arial" w:eastAsia="Times New Roman" w:hAnsi="Arial" w:cs="Arial"/>
                <w:color w:val="000000"/>
                <w:sz w:val="16"/>
                <w:szCs w:val="16"/>
                <w:lang w:eastAsia="en-AU"/>
              </w:rPr>
            </w:pPr>
            <w:r w:rsidRPr="008650AA">
              <w:rPr>
                <w:rFonts w:ascii="Arial" w:eastAsia="Times New Roman" w:hAnsi="Arial" w:cs="Arial"/>
                <w:color w:val="000000"/>
                <w:sz w:val="16"/>
                <w:szCs w:val="16"/>
                <w:lang w:eastAsia="en-AU"/>
              </w:rPr>
              <w:t> </w:t>
            </w: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70E5E845"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Socio-demographic composition </w:t>
            </w:r>
          </w:p>
        </w:tc>
        <w:tc>
          <w:tcPr>
            <w:tcW w:w="4195" w:type="dxa"/>
            <w:tcBorders>
              <w:top w:val="nil"/>
              <w:left w:val="nil"/>
              <w:bottom w:val="single" w:sz="4" w:space="0" w:color="DDEBF7"/>
              <w:right w:val="nil"/>
            </w:tcBorders>
            <w:shd w:val="clear" w:color="auto" w:fill="auto"/>
            <w:hideMark/>
          </w:tcPr>
          <w:p w14:paraId="3F0C97DA"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that the use and cost of services varies by age, socio-economic status, remoteness, and Indigenous status. </w:t>
            </w:r>
          </w:p>
        </w:tc>
        <w:tc>
          <w:tcPr>
            <w:tcW w:w="258" w:type="dxa"/>
            <w:tcBorders>
              <w:top w:val="nil"/>
              <w:left w:val="nil"/>
              <w:bottom w:val="single" w:sz="4" w:space="0" w:color="DDEBF7"/>
              <w:right w:val="nil"/>
            </w:tcBorders>
            <w:shd w:val="clear" w:color="auto" w:fill="auto"/>
            <w:hideMark/>
          </w:tcPr>
          <w:p w14:paraId="612A588A"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309397E0"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6F1BB187" w14:textId="77777777">
        <w:trPr>
          <w:trHeight w:val="555"/>
        </w:trPr>
        <w:tc>
          <w:tcPr>
            <w:tcW w:w="1462" w:type="dxa"/>
            <w:tcBorders>
              <w:top w:val="nil"/>
              <w:left w:val="nil"/>
              <w:bottom w:val="nil"/>
              <w:right w:val="nil"/>
            </w:tcBorders>
            <w:shd w:val="clear" w:color="auto" w:fill="auto"/>
            <w:hideMark/>
          </w:tcPr>
          <w:p w14:paraId="20A3CF80"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p>
        </w:tc>
        <w:tc>
          <w:tcPr>
            <w:tcW w:w="290" w:type="dxa"/>
            <w:tcBorders>
              <w:top w:val="nil"/>
              <w:left w:val="nil"/>
              <w:bottom w:val="single" w:sz="4" w:space="0" w:color="DDEBF7"/>
              <w:right w:val="nil"/>
            </w:tcBorders>
            <w:shd w:val="clear" w:color="auto" w:fill="auto"/>
            <w:hideMark/>
          </w:tcPr>
          <w:p w14:paraId="475C3425"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374956B2"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Non-state sector</w:t>
            </w:r>
          </w:p>
        </w:tc>
        <w:tc>
          <w:tcPr>
            <w:tcW w:w="4195" w:type="dxa"/>
            <w:tcBorders>
              <w:top w:val="nil"/>
              <w:left w:val="nil"/>
              <w:bottom w:val="single" w:sz="4" w:space="0" w:color="DDEBF7"/>
              <w:right w:val="nil"/>
            </w:tcBorders>
            <w:shd w:val="clear" w:color="auto" w:fill="auto"/>
            <w:hideMark/>
          </w:tcPr>
          <w:p w14:paraId="138FA9AF"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that non-state health services, such as specialists and private health professionals affect state health spending.</w:t>
            </w:r>
          </w:p>
        </w:tc>
        <w:tc>
          <w:tcPr>
            <w:tcW w:w="258" w:type="dxa"/>
            <w:tcBorders>
              <w:top w:val="nil"/>
              <w:left w:val="nil"/>
              <w:bottom w:val="single" w:sz="4" w:space="0" w:color="DDEBF7"/>
              <w:right w:val="nil"/>
            </w:tcBorders>
            <w:shd w:val="clear" w:color="auto" w:fill="auto"/>
            <w:hideMark/>
          </w:tcPr>
          <w:p w14:paraId="096D48D6"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408FFE4D"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34512175" w14:textId="77777777">
        <w:trPr>
          <w:trHeight w:val="300"/>
        </w:trPr>
        <w:tc>
          <w:tcPr>
            <w:tcW w:w="1462" w:type="dxa"/>
            <w:tcBorders>
              <w:top w:val="nil"/>
              <w:left w:val="nil"/>
              <w:bottom w:val="single" w:sz="4" w:space="0" w:color="DDEBF7"/>
              <w:right w:val="nil"/>
            </w:tcBorders>
            <w:shd w:val="clear" w:color="auto" w:fill="auto"/>
            <w:hideMark/>
          </w:tcPr>
          <w:p w14:paraId="147674EB"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290" w:type="dxa"/>
            <w:tcBorders>
              <w:top w:val="nil"/>
              <w:left w:val="nil"/>
              <w:bottom w:val="single" w:sz="4" w:space="0" w:color="DDEBF7"/>
              <w:right w:val="nil"/>
            </w:tcBorders>
            <w:shd w:val="clear" w:color="auto" w:fill="auto"/>
            <w:hideMark/>
          </w:tcPr>
          <w:p w14:paraId="1F700C00"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2889316C"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Wage costs </w:t>
            </w:r>
            <w:r w:rsidRPr="00AF68FA">
              <w:rPr>
                <w:rFonts w:eastAsia="Times New Roman" w:cs="Open Sans Light"/>
                <w:color w:val="000000"/>
                <w:sz w:val="16"/>
                <w:szCs w:val="16"/>
                <w:vertAlign w:val="superscript"/>
                <w:lang w:eastAsia="en-AU"/>
              </w:rPr>
              <w:t>(b)</w:t>
            </w:r>
          </w:p>
        </w:tc>
        <w:tc>
          <w:tcPr>
            <w:tcW w:w="4195" w:type="dxa"/>
            <w:tcBorders>
              <w:top w:val="nil"/>
              <w:left w:val="nil"/>
              <w:bottom w:val="single" w:sz="4" w:space="0" w:color="DDEBF7"/>
              <w:right w:val="nil"/>
            </w:tcBorders>
            <w:shd w:val="clear" w:color="auto" w:fill="auto"/>
            <w:hideMark/>
          </w:tcPr>
          <w:p w14:paraId="3239B269"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differences in wage costs between states. </w:t>
            </w:r>
          </w:p>
        </w:tc>
        <w:tc>
          <w:tcPr>
            <w:tcW w:w="258" w:type="dxa"/>
            <w:tcBorders>
              <w:top w:val="nil"/>
              <w:left w:val="nil"/>
              <w:bottom w:val="single" w:sz="4" w:space="0" w:color="DDEBF7"/>
              <w:right w:val="nil"/>
            </w:tcBorders>
            <w:shd w:val="clear" w:color="auto" w:fill="auto"/>
            <w:hideMark/>
          </w:tcPr>
          <w:p w14:paraId="6A7E2622"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0489C4D7"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295EA2B5" w14:textId="77777777">
        <w:trPr>
          <w:trHeight w:val="555"/>
        </w:trPr>
        <w:tc>
          <w:tcPr>
            <w:tcW w:w="1462" w:type="dxa"/>
            <w:tcBorders>
              <w:top w:val="nil"/>
              <w:left w:val="nil"/>
              <w:bottom w:val="nil"/>
              <w:right w:val="nil"/>
            </w:tcBorders>
            <w:shd w:val="clear" w:color="auto" w:fill="auto"/>
            <w:hideMark/>
          </w:tcPr>
          <w:p w14:paraId="277D4592"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xml:space="preserve">Community and public health </w:t>
            </w:r>
            <w:r w:rsidRPr="008650AA">
              <w:rPr>
                <w:rFonts w:eastAsia="Times New Roman" w:cs="Open Sans Light"/>
                <w:color w:val="000000"/>
                <w:sz w:val="16"/>
                <w:szCs w:val="16"/>
                <w:vertAlign w:val="superscript"/>
                <w:lang w:eastAsia="en-AU"/>
              </w:rPr>
              <w:t>(a)</w:t>
            </w:r>
          </w:p>
        </w:tc>
        <w:tc>
          <w:tcPr>
            <w:tcW w:w="290" w:type="dxa"/>
            <w:tcBorders>
              <w:top w:val="nil"/>
              <w:left w:val="nil"/>
              <w:bottom w:val="single" w:sz="4" w:space="0" w:color="DDEBF7"/>
              <w:right w:val="nil"/>
            </w:tcBorders>
            <w:shd w:val="clear" w:color="auto" w:fill="auto"/>
            <w:hideMark/>
          </w:tcPr>
          <w:p w14:paraId="0BE2B122"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12B21695"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Socio-demographic composition </w:t>
            </w:r>
            <w:r>
              <w:rPr>
                <w:rFonts w:eastAsia="Times New Roman" w:cs="Open Sans Light"/>
                <w:color w:val="000000"/>
                <w:sz w:val="16"/>
                <w:szCs w:val="16"/>
                <w:lang w:eastAsia="en-AU"/>
              </w:rPr>
              <w:br/>
              <w:t>(12.5% discount)</w:t>
            </w:r>
          </w:p>
        </w:tc>
        <w:tc>
          <w:tcPr>
            <w:tcW w:w="4195" w:type="dxa"/>
            <w:tcBorders>
              <w:top w:val="nil"/>
              <w:left w:val="nil"/>
              <w:bottom w:val="single" w:sz="4" w:space="0" w:color="DDEBF7"/>
              <w:right w:val="nil"/>
            </w:tcBorders>
            <w:shd w:val="clear" w:color="auto" w:fill="auto"/>
            <w:hideMark/>
          </w:tcPr>
          <w:p w14:paraId="55191291"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that the use and cost of services varies by age, socio-economic status, remoteness, and Indigenous status. </w:t>
            </w:r>
          </w:p>
        </w:tc>
        <w:tc>
          <w:tcPr>
            <w:tcW w:w="258" w:type="dxa"/>
            <w:tcBorders>
              <w:top w:val="nil"/>
              <w:left w:val="nil"/>
              <w:bottom w:val="single" w:sz="4" w:space="0" w:color="DDEBF7"/>
              <w:right w:val="nil"/>
            </w:tcBorders>
            <w:shd w:val="clear" w:color="auto" w:fill="auto"/>
            <w:hideMark/>
          </w:tcPr>
          <w:p w14:paraId="3DEA269C"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5AD7F1A8"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Yes</w:t>
            </w:r>
          </w:p>
        </w:tc>
      </w:tr>
      <w:tr w:rsidR="00FC1090" w:rsidRPr="008650AA" w14:paraId="22F3DE7A" w14:textId="77777777">
        <w:trPr>
          <w:trHeight w:val="555"/>
        </w:trPr>
        <w:tc>
          <w:tcPr>
            <w:tcW w:w="1462" w:type="dxa"/>
            <w:tcBorders>
              <w:top w:val="nil"/>
              <w:left w:val="nil"/>
              <w:bottom w:val="nil"/>
              <w:right w:val="nil"/>
            </w:tcBorders>
            <w:shd w:val="clear" w:color="auto" w:fill="auto"/>
            <w:hideMark/>
          </w:tcPr>
          <w:p w14:paraId="2E94CA14"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p>
        </w:tc>
        <w:tc>
          <w:tcPr>
            <w:tcW w:w="290" w:type="dxa"/>
            <w:tcBorders>
              <w:top w:val="nil"/>
              <w:left w:val="nil"/>
              <w:bottom w:val="single" w:sz="4" w:space="0" w:color="DDEBF7"/>
              <w:right w:val="nil"/>
            </w:tcBorders>
            <w:shd w:val="clear" w:color="auto" w:fill="auto"/>
            <w:hideMark/>
          </w:tcPr>
          <w:p w14:paraId="1D193051"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6A5F5F1A"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Non-state sector</w:t>
            </w:r>
          </w:p>
        </w:tc>
        <w:tc>
          <w:tcPr>
            <w:tcW w:w="4195" w:type="dxa"/>
            <w:tcBorders>
              <w:top w:val="nil"/>
              <w:left w:val="nil"/>
              <w:bottom w:val="single" w:sz="4" w:space="0" w:color="DDEBF7"/>
              <w:right w:val="nil"/>
            </w:tcBorders>
            <w:shd w:val="clear" w:color="auto" w:fill="auto"/>
            <w:hideMark/>
          </w:tcPr>
          <w:p w14:paraId="67D053D1"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that non-state health services, such as general practitioners (GPs), affect state health spending.</w:t>
            </w:r>
          </w:p>
        </w:tc>
        <w:tc>
          <w:tcPr>
            <w:tcW w:w="258" w:type="dxa"/>
            <w:tcBorders>
              <w:top w:val="nil"/>
              <w:left w:val="nil"/>
              <w:bottom w:val="single" w:sz="4" w:space="0" w:color="DDEBF7"/>
              <w:right w:val="nil"/>
            </w:tcBorders>
            <w:shd w:val="clear" w:color="auto" w:fill="auto"/>
            <w:hideMark/>
          </w:tcPr>
          <w:p w14:paraId="3E2C5DEE"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471C479B"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39833857" w14:textId="77777777">
        <w:trPr>
          <w:trHeight w:val="555"/>
        </w:trPr>
        <w:tc>
          <w:tcPr>
            <w:tcW w:w="1462" w:type="dxa"/>
            <w:tcBorders>
              <w:top w:val="nil"/>
              <w:left w:val="nil"/>
              <w:bottom w:val="nil"/>
              <w:right w:val="nil"/>
            </w:tcBorders>
            <w:shd w:val="clear" w:color="auto" w:fill="auto"/>
            <w:hideMark/>
          </w:tcPr>
          <w:p w14:paraId="00AAA7A5"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p>
        </w:tc>
        <w:tc>
          <w:tcPr>
            <w:tcW w:w="290" w:type="dxa"/>
            <w:tcBorders>
              <w:top w:val="nil"/>
              <w:left w:val="nil"/>
              <w:bottom w:val="single" w:sz="4" w:space="0" w:color="DDEBF7"/>
              <w:right w:val="nil"/>
            </w:tcBorders>
            <w:shd w:val="clear" w:color="auto" w:fill="auto"/>
            <w:hideMark/>
          </w:tcPr>
          <w:p w14:paraId="2DEE16B2"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21E97585"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Pr>
                <w:rFonts w:eastAsia="Times New Roman" w:cs="Open Sans Light"/>
                <w:color w:val="000000"/>
                <w:sz w:val="16"/>
                <w:szCs w:val="16"/>
                <w:lang w:eastAsia="en-AU"/>
              </w:rPr>
              <w:t>Commonwealth</w:t>
            </w:r>
            <w:r w:rsidRPr="008650AA">
              <w:rPr>
                <w:rFonts w:eastAsia="Times New Roman" w:cs="Open Sans Light"/>
                <w:color w:val="000000"/>
                <w:sz w:val="16"/>
                <w:szCs w:val="16"/>
                <w:lang w:eastAsia="en-AU"/>
              </w:rPr>
              <w:t xml:space="preserve"> grants adjustments</w:t>
            </w:r>
          </w:p>
        </w:tc>
        <w:tc>
          <w:tcPr>
            <w:tcW w:w="4195" w:type="dxa"/>
            <w:tcBorders>
              <w:top w:val="nil"/>
              <w:left w:val="nil"/>
              <w:bottom w:val="single" w:sz="4" w:space="0" w:color="DDEBF7"/>
              <w:right w:val="nil"/>
            </w:tcBorders>
            <w:shd w:val="clear" w:color="auto" w:fill="auto"/>
            <w:hideMark/>
          </w:tcPr>
          <w:p w14:paraId="144E3FE8"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xml:space="preserve">Recognises the impact of Commonwealth grants to Aboriginal Community Controlled Health Organisations </w:t>
            </w:r>
          </w:p>
        </w:tc>
        <w:tc>
          <w:tcPr>
            <w:tcW w:w="258" w:type="dxa"/>
            <w:tcBorders>
              <w:top w:val="nil"/>
              <w:left w:val="nil"/>
              <w:bottom w:val="single" w:sz="4" w:space="0" w:color="DDEBF7"/>
              <w:right w:val="nil"/>
            </w:tcBorders>
            <w:shd w:val="clear" w:color="auto" w:fill="auto"/>
            <w:hideMark/>
          </w:tcPr>
          <w:p w14:paraId="18F6552D"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3D2E6FC9"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3F65BF15" w14:textId="77777777">
        <w:trPr>
          <w:trHeight w:val="555"/>
        </w:trPr>
        <w:tc>
          <w:tcPr>
            <w:tcW w:w="1462" w:type="dxa"/>
            <w:tcBorders>
              <w:top w:val="nil"/>
              <w:left w:val="nil"/>
              <w:bottom w:val="nil"/>
              <w:right w:val="nil"/>
            </w:tcBorders>
            <w:shd w:val="clear" w:color="auto" w:fill="auto"/>
            <w:hideMark/>
          </w:tcPr>
          <w:p w14:paraId="7A153A51"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p>
        </w:tc>
        <w:tc>
          <w:tcPr>
            <w:tcW w:w="290" w:type="dxa"/>
            <w:tcBorders>
              <w:top w:val="nil"/>
              <w:left w:val="nil"/>
              <w:bottom w:val="single" w:sz="4" w:space="0" w:color="DDEBF7"/>
              <w:right w:val="nil"/>
            </w:tcBorders>
            <w:shd w:val="clear" w:color="auto" w:fill="auto"/>
            <w:hideMark/>
          </w:tcPr>
          <w:p w14:paraId="1B6B3807"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7B512F18"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Cross-border</w:t>
            </w:r>
          </w:p>
        </w:tc>
        <w:tc>
          <w:tcPr>
            <w:tcW w:w="4195" w:type="dxa"/>
            <w:tcBorders>
              <w:top w:val="nil"/>
              <w:left w:val="nil"/>
              <w:bottom w:val="single" w:sz="4" w:space="0" w:color="DDEBF7"/>
              <w:right w:val="nil"/>
            </w:tcBorders>
            <w:shd w:val="clear" w:color="auto" w:fill="auto"/>
            <w:hideMark/>
          </w:tcPr>
          <w:p w14:paraId="7488A1A7"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xml:space="preserve">Recognises the net cost that the ACT occurs in providing services to NSW residents. </w:t>
            </w:r>
          </w:p>
        </w:tc>
        <w:tc>
          <w:tcPr>
            <w:tcW w:w="258" w:type="dxa"/>
            <w:tcBorders>
              <w:top w:val="nil"/>
              <w:left w:val="nil"/>
              <w:bottom w:val="single" w:sz="4" w:space="0" w:color="DDEBF7"/>
              <w:right w:val="nil"/>
            </w:tcBorders>
            <w:shd w:val="clear" w:color="auto" w:fill="auto"/>
            <w:hideMark/>
          </w:tcPr>
          <w:p w14:paraId="38AE8046"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197BD9F8"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119F8F6A" w14:textId="77777777">
        <w:trPr>
          <w:trHeight w:val="300"/>
        </w:trPr>
        <w:tc>
          <w:tcPr>
            <w:tcW w:w="1462" w:type="dxa"/>
            <w:tcBorders>
              <w:top w:val="nil"/>
              <w:left w:val="nil"/>
              <w:bottom w:val="single" w:sz="4" w:space="0" w:color="DDEBF7"/>
              <w:right w:val="nil"/>
            </w:tcBorders>
            <w:shd w:val="clear" w:color="auto" w:fill="auto"/>
            <w:hideMark/>
          </w:tcPr>
          <w:p w14:paraId="3D60671D"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290" w:type="dxa"/>
            <w:tcBorders>
              <w:top w:val="nil"/>
              <w:left w:val="nil"/>
              <w:bottom w:val="single" w:sz="4" w:space="0" w:color="DDEBF7"/>
              <w:right w:val="nil"/>
            </w:tcBorders>
            <w:shd w:val="clear" w:color="auto" w:fill="auto"/>
            <w:hideMark/>
          </w:tcPr>
          <w:p w14:paraId="36609F40"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33CA1A51"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Wage costs </w:t>
            </w:r>
            <w:r w:rsidRPr="00AF68FA">
              <w:rPr>
                <w:rFonts w:eastAsia="Times New Roman" w:cs="Open Sans Light"/>
                <w:color w:val="000000"/>
                <w:sz w:val="16"/>
                <w:szCs w:val="16"/>
                <w:vertAlign w:val="superscript"/>
                <w:lang w:eastAsia="en-AU"/>
              </w:rPr>
              <w:t>(b)</w:t>
            </w:r>
          </w:p>
        </w:tc>
        <w:tc>
          <w:tcPr>
            <w:tcW w:w="4195" w:type="dxa"/>
            <w:tcBorders>
              <w:top w:val="nil"/>
              <w:left w:val="nil"/>
              <w:bottom w:val="single" w:sz="4" w:space="0" w:color="DDEBF7"/>
              <w:right w:val="nil"/>
            </w:tcBorders>
            <w:shd w:val="clear" w:color="auto" w:fill="auto"/>
            <w:hideMark/>
          </w:tcPr>
          <w:p w14:paraId="6B605483"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differences in wage costs between states. </w:t>
            </w:r>
          </w:p>
        </w:tc>
        <w:tc>
          <w:tcPr>
            <w:tcW w:w="258" w:type="dxa"/>
            <w:tcBorders>
              <w:top w:val="nil"/>
              <w:left w:val="nil"/>
              <w:bottom w:val="single" w:sz="4" w:space="0" w:color="DDEBF7"/>
              <w:right w:val="nil"/>
            </w:tcBorders>
            <w:shd w:val="clear" w:color="auto" w:fill="auto"/>
            <w:hideMark/>
          </w:tcPr>
          <w:p w14:paraId="6997238B"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663B725F"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0AF04056" w14:textId="77777777">
        <w:trPr>
          <w:trHeight w:val="555"/>
        </w:trPr>
        <w:tc>
          <w:tcPr>
            <w:tcW w:w="1462" w:type="dxa"/>
            <w:tcBorders>
              <w:top w:val="nil"/>
              <w:left w:val="nil"/>
              <w:bottom w:val="single" w:sz="4" w:space="0" w:color="DDEBF7"/>
              <w:right w:val="nil"/>
            </w:tcBorders>
            <w:shd w:val="clear" w:color="auto" w:fill="auto"/>
            <w:hideMark/>
          </w:tcPr>
          <w:p w14:paraId="314D9460"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Non-hospital patient transport</w:t>
            </w:r>
          </w:p>
        </w:tc>
        <w:tc>
          <w:tcPr>
            <w:tcW w:w="290" w:type="dxa"/>
            <w:tcBorders>
              <w:top w:val="nil"/>
              <w:left w:val="nil"/>
              <w:bottom w:val="single" w:sz="4" w:space="0" w:color="DDEBF7"/>
              <w:right w:val="nil"/>
            </w:tcBorders>
            <w:shd w:val="clear" w:color="auto" w:fill="auto"/>
            <w:hideMark/>
          </w:tcPr>
          <w:p w14:paraId="0841E991"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63AA061D"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Socio-demographic composition </w:t>
            </w:r>
          </w:p>
        </w:tc>
        <w:tc>
          <w:tcPr>
            <w:tcW w:w="4195" w:type="dxa"/>
            <w:tcBorders>
              <w:top w:val="nil"/>
              <w:left w:val="nil"/>
              <w:bottom w:val="single" w:sz="4" w:space="0" w:color="DDEBF7"/>
              <w:right w:val="nil"/>
            </w:tcBorders>
            <w:shd w:val="clear" w:color="auto" w:fill="auto"/>
            <w:hideMark/>
          </w:tcPr>
          <w:p w14:paraId="0CB96759"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that remoteness influences service use. </w:t>
            </w:r>
          </w:p>
        </w:tc>
        <w:tc>
          <w:tcPr>
            <w:tcW w:w="258" w:type="dxa"/>
            <w:tcBorders>
              <w:top w:val="nil"/>
              <w:left w:val="nil"/>
              <w:bottom w:val="single" w:sz="4" w:space="0" w:color="DDEBF7"/>
              <w:right w:val="nil"/>
            </w:tcBorders>
            <w:shd w:val="clear" w:color="auto" w:fill="auto"/>
            <w:hideMark/>
          </w:tcPr>
          <w:p w14:paraId="3FBE6885"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06BC9016"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r w:rsidR="00FC1090" w:rsidRPr="008650AA" w14:paraId="286CA7EE" w14:textId="77777777">
        <w:trPr>
          <w:trHeight w:val="300"/>
        </w:trPr>
        <w:tc>
          <w:tcPr>
            <w:tcW w:w="1462" w:type="dxa"/>
            <w:tcBorders>
              <w:top w:val="nil"/>
              <w:left w:val="nil"/>
              <w:bottom w:val="single" w:sz="4" w:space="0" w:color="DDEBF7"/>
              <w:right w:val="nil"/>
            </w:tcBorders>
            <w:shd w:val="clear" w:color="auto" w:fill="auto"/>
            <w:hideMark/>
          </w:tcPr>
          <w:p w14:paraId="3DE0DA64"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290" w:type="dxa"/>
            <w:tcBorders>
              <w:top w:val="nil"/>
              <w:left w:val="nil"/>
              <w:bottom w:val="single" w:sz="4" w:space="0" w:color="DDEBF7"/>
              <w:right w:val="nil"/>
            </w:tcBorders>
            <w:shd w:val="clear" w:color="auto" w:fill="auto"/>
            <w:hideMark/>
          </w:tcPr>
          <w:p w14:paraId="7626FC2D" w14:textId="77777777" w:rsidR="00FC1090" w:rsidRPr="008650AA" w:rsidRDefault="00FC1090" w:rsidP="00FC1090">
            <w:pPr>
              <w:keepNext/>
              <w:tabs>
                <w:tab w:val="clear" w:pos="567"/>
              </w:tabs>
              <w:spacing w:before="0" w:line="240" w:lineRule="auto"/>
              <w:jc w:val="right"/>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638" w:type="dxa"/>
            <w:tcBorders>
              <w:top w:val="nil"/>
              <w:left w:val="nil"/>
              <w:bottom w:val="single" w:sz="4" w:space="0" w:color="DDEBF7"/>
              <w:right w:val="nil"/>
            </w:tcBorders>
            <w:shd w:val="clear" w:color="auto" w:fill="auto"/>
            <w:hideMark/>
          </w:tcPr>
          <w:p w14:paraId="50A53FFC"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Wage costs </w:t>
            </w:r>
            <w:r w:rsidRPr="00AF68FA">
              <w:rPr>
                <w:rFonts w:eastAsia="Times New Roman" w:cs="Open Sans Light"/>
                <w:color w:val="000000"/>
                <w:sz w:val="16"/>
                <w:szCs w:val="16"/>
                <w:vertAlign w:val="superscript"/>
                <w:lang w:eastAsia="en-AU"/>
              </w:rPr>
              <w:t>(b)</w:t>
            </w:r>
          </w:p>
        </w:tc>
        <w:tc>
          <w:tcPr>
            <w:tcW w:w="4195" w:type="dxa"/>
            <w:tcBorders>
              <w:top w:val="nil"/>
              <w:left w:val="nil"/>
              <w:bottom w:val="single" w:sz="4" w:space="0" w:color="DDEBF7"/>
              <w:right w:val="nil"/>
            </w:tcBorders>
            <w:shd w:val="clear" w:color="auto" w:fill="auto"/>
            <w:hideMark/>
          </w:tcPr>
          <w:p w14:paraId="6E948747"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Recognises differences in wage costs between states. </w:t>
            </w:r>
          </w:p>
        </w:tc>
        <w:tc>
          <w:tcPr>
            <w:tcW w:w="258" w:type="dxa"/>
            <w:tcBorders>
              <w:top w:val="nil"/>
              <w:left w:val="nil"/>
              <w:bottom w:val="single" w:sz="4" w:space="0" w:color="DDEBF7"/>
              <w:right w:val="nil"/>
            </w:tcBorders>
            <w:shd w:val="clear" w:color="auto" w:fill="auto"/>
            <w:hideMark/>
          </w:tcPr>
          <w:p w14:paraId="53169BBD" w14:textId="77777777" w:rsidR="00FC1090" w:rsidRPr="008650AA" w:rsidRDefault="00FC1090" w:rsidP="00FC1090">
            <w:pPr>
              <w:keepNext/>
              <w:tabs>
                <w:tab w:val="clear" w:pos="567"/>
              </w:tabs>
              <w:spacing w:before="0" w:line="240" w:lineRule="auto"/>
              <w:rPr>
                <w:rFonts w:eastAsia="Times New Roman" w:cs="Open Sans Light"/>
                <w:color w:val="000000"/>
                <w:sz w:val="16"/>
                <w:szCs w:val="16"/>
                <w:lang w:eastAsia="en-AU"/>
              </w:rPr>
            </w:pPr>
            <w:r w:rsidRPr="008650AA">
              <w:rPr>
                <w:rFonts w:eastAsia="Times New Roman" w:cs="Open Sans Light"/>
                <w:color w:val="000000"/>
                <w:sz w:val="16"/>
                <w:szCs w:val="16"/>
                <w:lang w:eastAsia="en-AU"/>
              </w:rPr>
              <w:t> </w:t>
            </w:r>
          </w:p>
        </w:tc>
        <w:tc>
          <w:tcPr>
            <w:tcW w:w="1277" w:type="dxa"/>
            <w:tcBorders>
              <w:top w:val="nil"/>
              <w:left w:val="nil"/>
              <w:bottom w:val="single" w:sz="4" w:space="0" w:color="DDEBF7"/>
              <w:right w:val="nil"/>
            </w:tcBorders>
            <w:shd w:val="clear" w:color="auto" w:fill="auto"/>
            <w:hideMark/>
          </w:tcPr>
          <w:p w14:paraId="25617FB2" w14:textId="77777777" w:rsidR="00FC1090" w:rsidRPr="008650AA" w:rsidRDefault="00FC1090" w:rsidP="00FC1090">
            <w:pPr>
              <w:keepNext/>
              <w:tabs>
                <w:tab w:val="clear" w:pos="567"/>
              </w:tabs>
              <w:spacing w:before="0" w:line="240" w:lineRule="auto"/>
              <w:jc w:val="center"/>
              <w:rPr>
                <w:rFonts w:eastAsia="Times New Roman" w:cs="Open Sans Light"/>
                <w:color w:val="000000"/>
                <w:sz w:val="16"/>
                <w:szCs w:val="16"/>
                <w:lang w:eastAsia="en-AU"/>
              </w:rPr>
            </w:pPr>
            <w:r w:rsidRPr="008650AA">
              <w:rPr>
                <w:rFonts w:eastAsia="Times New Roman" w:cs="Open Sans Light"/>
                <w:color w:val="000000"/>
                <w:sz w:val="16"/>
                <w:szCs w:val="16"/>
                <w:lang w:eastAsia="en-AU"/>
              </w:rPr>
              <w:t>No</w:t>
            </w:r>
          </w:p>
        </w:tc>
      </w:tr>
    </w:tbl>
    <w:p w14:paraId="2A9D2B9A" w14:textId="63496DC9" w:rsidR="0015360F" w:rsidRPr="00214433" w:rsidRDefault="0015360F" w:rsidP="00FC1090">
      <w:pPr>
        <w:pStyle w:val="CGCTablenote"/>
        <w:keepNext/>
        <w:rPr>
          <w:rFonts w:ascii="Work Sans" w:hAnsi="Work Sans"/>
        </w:rPr>
      </w:pPr>
      <w:r w:rsidRPr="00214433">
        <w:rPr>
          <w:rFonts w:ascii="Work Sans" w:hAnsi="Work Sans"/>
        </w:rPr>
        <w:t>(a)</w:t>
      </w:r>
      <w:r w:rsidRPr="00214433">
        <w:rPr>
          <w:rFonts w:ascii="Work Sans" w:hAnsi="Work Sans"/>
        </w:rPr>
        <w:tab/>
        <w:t xml:space="preserve">The Commission proposes a change to the assessment of community and public health as follows: use the Australian Institute of Health and Welfare data on community mental health activity to determine per capita use rates for mental health services for the socio-demographic groups used in the health assessment; and expand the current proxy for activity (emergency department triage categories 4 and 5) to include non-admitted patient services, applied to the balance of the component. </w:t>
      </w:r>
    </w:p>
    <w:p w14:paraId="6A9E86A3" w14:textId="77777777" w:rsidR="0015360F" w:rsidRPr="00214433" w:rsidRDefault="0015360F" w:rsidP="00FC1090">
      <w:pPr>
        <w:pStyle w:val="CGCTablenote"/>
        <w:keepNext/>
        <w:rPr>
          <w:rFonts w:ascii="Work Sans" w:hAnsi="Work Sans"/>
        </w:rPr>
      </w:pPr>
      <w:r w:rsidRPr="18B9C39F">
        <w:rPr>
          <w:rFonts w:ascii="Work Sans" w:hAnsi="Work Sans"/>
        </w:rPr>
        <w:t>(b)</w:t>
      </w:r>
      <w:r>
        <w:tab/>
      </w:r>
      <w:r w:rsidRPr="18B9C39F">
        <w:rPr>
          <w:rFonts w:ascii="Work Sans" w:hAnsi="Work Sans"/>
        </w:rPr>
        <w:t>The Commission will separately consult with states on the wages assessment.</w:t>
      </w:r>
    </w:p>
    <w:p w14:paraId="0D1E7223" w14:textId="6140756E" w:rsidR="18B9C39F" w:rsidRDefault="18B9C39F" w:rsidP="18B9C39F">
      <w:pPr>
        <w:keepNext/>
      </w:pPr>
    </w:p>
    <w:p w14:paraId="70C825A0" w14:textId="14320CDE" w:rsidR="18B9C39F" w:rsidRDefault="18B9C39F">
      <w:r>
        <w:br w:type="page"/>
      </w:r>
    </w:p>
    <w:p w14:paraId="24BE0C6E" w14:textId="77777777" w:rsidR="00AB6FFE" w:rsidRPr="00AB6FFE" w:rsidRDefault="00AB6FFE" w:rsidP="00F971B0">
      <w:pPr>
        <w:pStyle w:val="Heading3"/>
      </w:pPr>
      <w:bookmarkStart w:id="94" w:name="_Toc132729116"/>
      <w:bookmarkStart w:id="95" w:name="_Toc133236157"/>
      <w:bookmarkStart w:id="96" w:name="_Toc133236183"/>
      <w:bookmarkStart w:id="97" w:name="_Toc138753191"/>
      <w:r w:rsidRPr="00AB6FFE">
        <w:lastRenderedPageBreak/>
        <w:t>New data requirements</w:t>
      </w:r>
      <w:bookmarkEnd w:id="94"/>
      <w:bookmarkEnd w:id="95"/>
      <w:bookmarkEnd w:id="96"/>
      <w:bookmarkEnd w:id="97"/>
    </w:p>
    <w:p w14:paraId="39C3E8F0" w14:textId="5898DF89" w:rsidR="007264AD" w:rsidRPr="00F971B0" w:rsidRDefault="007264AD" w:rsidP="00180ABF">
      <w:pPr>
        <w:pStyle w:val="CGC2025ParaNumbers"/>
      </w:pPr>
      <w:bookmarkStart w:id="98" w:name="_Toc121741493"/>
      <w:bookmarkStart w:id="99" w:name="_Toc127428362"/>
      <w:bookmarkStart w:id="100" w:name="_Toc132729117"/>
      <w:bookmarkStart w:id="101" w:name="_Toc133236158"/>
      <w:bookmarkStart w:id="102" w:name="_Toc133236184"/>
      <w:r>
        <w:t>As referenced in paragrap</w:t>
      </w:r>
      <w:r w:rsidR="0097004D">
        <w:t xml:space="preserve">h </w:t>
      </w:r>
      <w:r w:rsidR="00C901FE">
        <w:fldChar w:fldCharType="begin"/>
      </w:r>
      <w:r w:rsidR="00C901FE">
        <w:instrText xml:space="preserve"> REF _Ref138753022 \r \h </w:instrText>
      </w:r>
      <w:r w:rsidR="00C901FE">
        <w:fldChar w:fldCharType="separate"/>
      </w:r>
      <w:r w:rsidR="00312054">
        <w:t>7</w:t>
      </w:r>
      <w:r w:rsidR="00C901FE">
        <w:fldChar w:fldCharType="end"/>
      </w:r>
      <w:r w:rsidR="0097004D">
        <w:t xml:space="preserve"> </w:t>
      </w:r>
      <w:r>
        <w:t xml:space="preserve">data on state expenses on aero-medical transport and Patient Assistance Travel Schemes are only updated every 5 years. Information on the timing of these data requests will be provided in July 2023 (see Attachment D). </w:t>
      </w:r>
    </w:p>
    <w:p w14:paraId="672F4910" w14:textId="51CC00F0" w:rsidR="00AB6FFE" w:rsidRDefault="00AB6FFE" w:rsidP="00346681">
      <w:pPr>
        <w:pStyle w:val="Heading2"/>
        <w:keepNext/>
      </w:pPr>
      <w:bookmarkStart w:id="103" w:name="_Toc138753192"/>
      <w:r w:rsidRPr="00AB6FFE">
        <w:t>Consultation</w:t>
      </w:r>
      <w:bookmarkEnd w:id="98"/>
      <w:bookmarkEnd w:id="99"/>
      <w:bookmarkEnd w:id="100"/>
      <w:bookmarkEnd w:id="101"/>
      <w:bookmarkEnd w:id="102"/>
      <w:bookmarkEnd w:id="103"/>
    </w:p>
    <w:p w14:paraId="1902B564" w14:textId="77777777" w:rsidR="0007476E" w:rsidRPr="00D53ED9" w:rsidRDefault="0007476E" w:rsidP="00346681">
      <w:pPr>
        <w:pStyle w:val="CGC2025ParaNumbers"/>
        <w:keepNext/>
        <w:rPr>
          <w:szCs w:val="20"/>
        </w:rPr>
      </w:pPr>
      <w:bookmarkStart w:id="104" w:name="_Hlk121314611"/>
      <w:r>
        <w:t>The Commission welcomes state views on the consultation question identified in this paper (outlined below) and the proposed assessment. State submissions should accord with the 2025 Review framework. States are welcome to raise other relevant issues with the Commission.</w:t>
      </w:r>
      <w:bookmarkEnd w:id="104"/>
      <w:r>
        <w:t xml:space="preserve"> </w:t>
      </w:r>
    </w:p>
    <w:p w14:paraId="5EBBAE71" w14:textId="77777777" w:rsidR="00B17FBC" w:rsidRDefault="00B17FBC" w:rsidP="00DF1423">
      <w:pPr>
        <w:keepNext/>
        <w:rPr>
          <w:rFonts w:ascii="Work Sans" w:hAnsi="Work Sans"/>
          <w:szCs w:val="20"/>
        </w:rPr>
      </w:pPr>
      <w:r w:rsidRPr="001C4DF3">
        <w:rPr>
          <w:noProof/>
        </w:rPr>
        <mc:AlternateContent>
          <mc:Choice Requires="wps">
            <w:drawing>
              <wp:inline distT="0" distB="0" distL="0" distR="0" wp14:anchorId="1E4C6780" wp14:editId="1D011B99">
                <wp:extent cx="5638800" cy="3857625"/>
                <wp:effectExtent l="0" t="0" r="0" b="9525"/>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8800" cy="3857625"/>
                        </a:xfrm>
                        <a:prstGeom prst="rect">
                          <a:avLst/>
                        </a:prstGeom>
                        <a:solidFill>
                          <a:srgbClr val="EBF3F5"/>
                        </a:solidFill>
                        <a:ln w="25400" cap="flat" cmpd="sng" algn="ctr">
                          <a:noFill/>
                          <a:prstDash val="solid"/>
                        </a:ln>
                        <a:effectLst/>
                      </wps:spPr>
                      <wps:txbx>
                        <w:txbxContent>
                          <w:p w14:paraId="15F00481" w14:textId="7F503E01" w:rsidR="00653298" w:rsidRPr="00653298" w:rsidRDefault="00653298" w:rsidP="00653298">
                            <w:pPr>
                              <w:pStyle w:val="CGC2025Questionsnumbers2"/>
                            </w:pPr>
                            <w:r w:rsidRPr="00653298">
                              <w:t>Do states agree that in a post-pandemic environment, the hospital and patient transport assessments remain fit for purpose?</w:t>
                            </w:r>
                          </w:p>
                          <w:p w14:paraId="33E99478" w14:textId="4612E1E4" w:rsidR="00653298" w:rsidRPr="00653298" w:rsidRDefault="00653298" w:rsidP="00653298">
                            <w:pPr>
                              <w:pStyle w:val="CGC2025Questionsnumbers2"/>
                            </w:pPr>
                            <w:r w:rsidRPr="00653298">
                              <w:t>Do states agree that the proposed changes to the community and public health assessment in this paper will contribute to making the assessment more responsive to developments affecting this part of the health system?</w:t>
                            </w:r>
                          </w:p>
                          <w:p w14:paraId="22F17DA3" w14:textId="2895F5DD" w:rsidR="00653298" w:rsidRPr="00653298" w:rsidRDefault="00653298" w:rsidP="00653298">
                            <w:pPr>
                              <w:pStyle w:val="CGC2025Questionsnumbers2"/>
                            </w:pPr>
                            <w:r w:rsidRPr="00653298">
                              <w:t>Do states consider the experiences with the COVID-19 pandemic have implications for the health assessment?</w:t>
                            </w:r>
                          </w:p>
                          <w:p w14:paraId="256D98FA" w14:textId="71252A64" w:rsidR="00653298" w:rsidRPr="00653298" w:rsidRDefault="00653298" w:rsidP="00653298">
                            <w:pPr>
                              <w:pStyle w:val="CGC2025Questionsnumbers2"/>
                            </w:pPr>
                            <w:r w:rsidRPr="00653298">
                              <w:t xml:space="preserve">Do states agree to: </w:t>
                            </w:r>
                          </w:p>
                          <w:p w14:paraId="78928296" w14:textId="77777777" w:rsidR="00653298" w:rsidRPr="00653298" w:rsidRDefault="00653298" w:rsidP="00DF1423">
                            <w:pPr>
                              <w:pStyle w:val="CGC2025Bullet1"/>
                            </w:pPr>
                            <w:r w:rsidRPr="00653298">
                              <w:t>use the Australian Institute of Health and Welfare data on community mental health activity, adjusted to compensate for lack of cost weights, to determine per capita use rates for mental health services?</w:t>
                            </w:r>
                          </w:p>
                          <w:p w14:paraId="27A8B78B" w14:textId="77777777" w:rsidR="00653298" w:rsidRPr="00653298" w:rsidRDefault="00653298" w:rsidP="00DF1423">
                            <w:pPr>
                              <w:pStyle w:val="CGC2025Bullet1"/>
                            </w:pPr>
                            <w:r w:rsidRPr="00653298">
                              <w:t>expand the current proxy to include non-admitted patient services, applied to the balance of the component?</w:t>
                            </w:r>
                          </w:p>
                          <w:p w14:paraId="0E961D80" w14:textId="77777777" w:rsidR="00653298" w:rsidRPr="00653298" w:rsidRDefault="00653298" w:rsidP="00DF1423">
                            <w:pPr>
                              <w:pStyle w:val="CGC2025Bullet1"/>
                            </w:pPr>
                            <w:r w:rsidRPr="00653298">
                              <w:t>continue to apply a discount of 12.5% to the community health socio-demographic assessment?</w:t>
                            </w:r>
                          </w:p>
                          <w:p w14:paraId="2FF66E59" w14:textId="3797C85D" w:rsidR="00653298" w:rsidRPr="00653298" w:rsidRDefault="00653298" w:rsidP="00653298">
                            <w:pPr>
                              <w:pStyle w:val="CGC2025Questionsnumbers2"/>
                            </w:pPr>
                            <w:r w:rsidRPr="00653298">
                              <w:t xml:space="preserve">Do states support the use of Australian Institute of Health and Welfare data to update the non-state services substitutability level for the emergency departments component, while retaining the 2020 </w:t>
                            </w:r>
                            <w:r w:rsidR="00DE1E36">
                              <w:t xml:space="preserve">Review </w:t>
                            </w:r>
                            <w:r w:rsidRPr="00653298">
                              <w:t>method for other components?</w:t>
                            </w:r>
                          </w:p>
                          <w:p w14:paraId="3DAD5832" w14:textId="20E6A6EF" w:rsidR="00B17FBC" w:rsidRPr="00F733EB" w:rsidRDefault="00B17FBC" w:rsidP="00F733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4C6780" id="Rectangle 1" o:spid="_x0000_s1032" alt="&quot;&quot;" style="width:444pt;height:30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" fillcolor="#ebf3f5" stroked="f" strokeweight="2pt">
                <v:textbox>
                  <w:txbxContent>
                    <w:p w14:paraId="15F00481" w14:textId="7F503E01" w:rsidR="00653298" w:rsidRPr="00653298" w:rsidRDefault="00653298" w:rsidP="00653298">
                      <w:pPr>
                        <w:pStyle w:val="CGC2025Questionsnumbers2"/>
                      </w:pPr>
                      <w:r w:rsidRPr="00653298">
                        <w:t>Do states agree that in a post-pandemic environment, the hospital and patient transport assessments remain fit for purpose?</w:t>
                      </w:r>
                    </w:p>
                    <w:p w14:paraId="33E99478" w14:textId="4612E1E4" w:rsidR="00653298" w:rsidRPr="00653298" w:rsidRDefault="00653298" w:rsidP="00653298">
                      <w:pPr>
                        <w:pStyle w:val="CGC2025Questionsnumbers2"/>
                      </w:pPr>
                      <w:r w:rsidRPr="00653298">
                        <w:t>Do states agree that the proposed changes to the community and public health assessment in this paper will contribute to making the assessment more responsive to developments affecting this part of the health system?</w:t>
                      </w:r>
                    </w:p>
                    <w:p w14:paraId="22F17DA3" w14:textId="2895F5DD" w:rsidR="00653298" w:rsidRPr="00653298" w:rsidRDefault="00653298" w:rsidP="00653298">
                      <w:pPr>
                        <w:pStyle w:val="CGC2025Questionsnumbers2"/>
                      </w:pPr>
                      <w:r w:rsidRPr="00653298">
                        <w:t>Do states consider the experiences with the COVID-19 pandemic have implications for the health assessment?</w:t>
                      </w:r>
                    </w:p>
                    <w:p w14:paraId="256D98FA" w14:textId="71252A64" w:rsidR="00653298" w:rsidRPr="00653298" w:rsidRDefault="00653298" w:rsidP="00653298">
                      <w:pPr>
                        <w:pStyle w:val="CGC2025Questionsnumbers2"/>
                      </w:pPr>
                      <w:r w:rsidRPr="00653298">
                        <w:t xml:space="preserve">Do states agree to: </w:t>
                      </w:r>
                    </w:p>
                    <w:p w14:paraId="78928296" w14:textId="77777777" w:rsidR="00653298" w:rsidRPr="00653298" w:rsidRDefault="00653298" w:rsidP="00DF1423">
                      <w:pPr>
                        <w:pStyle w:val="CGC2025Bullet1"/>
                      </w:pPr>
                      <w:r w:rsidRPr="00653298">
                        <w:t>use the Australian Institute of Health and Welfare data on community mental health activity, adjusted to compensate for lack of cost weights, to determine per capita use rates for mental health services?</w:t>
                      </w:r>
                    </w:p>
                    <w:p w14:paraId="27A8B78B" w14:textId="77777777" w:rsidR="00653298" w:rsidRPr="00653298" w:rsidRDefault="00653298" w:rsidP="00DF1423">
                      <w:pPr>
                        <w:pStyle w:val="CGC2025Bullet1"/>
                      </w:pPr>
                      <w:r w:rsidRPr="00653298">
                        <w:t>expand the current proxy to include non-admitted patient services, applied to the balance of the component?</w:t>
                      </w:r>
                    </w:p>
                    <w:p w14:paraId="0E961D80" w14:textId="77777777" w:rsidR="00653298" w:rsidRPr="00653298" w:rsidRDefault="00653298" w:rsidP="00DF1423">
                      <w:pPr>
                        <w:pStyle w:val="CGC2025Bullet1"/>
                      </w:pPr>
                      <w:r w:rsidRPr="00653298">
                        <w:t>continue to apply a discount of 12.5% to the community health socio-demographic assessment?</w:t>
                      </w:r>
                    </w:p>
                    <w:p w14:paraId="2FF66E59" w14:textId="3797C85D" w:rsidR="00653298" w:rsidRPr="00653298" w:rsidRDefault="00653298" w:rsidP="00653298">
                      <w:pPr>
                        <w:pStyle w:val="CGC2025Questionsnumbers2"/>
                      </w:pPr>
                      <w:r w:rsidRPr="00653298">
                        <w:t xml:space="preserve">Do states support the use of Australian Institute of Health and Welfare data to update the non-state services substitutability level for the emergency departments component, while retaining the 2020 </w:t>
                      </w:r>
                      <w:r w:rsidR="00DE1E36">
                        <w:t xml:space="preserve">Review </w:t>
                      </w:r>
                      <w:r w:rsidRPr="00653298">
                        <w:t>method for other components?</w:t>
                      </w:r>
                    </w:p>
                    <w:p w14:paraId="3DAD5832" w14:textId="20E6A6EF" w:rsidR="00B17FBC" w:rsidRPr="00F733EB" w:rsidRDefault="00B17FBC" w:rsidP="00F733EB"/>
                  </w:txbxContent>
                </v:textbox>
                <w10:anchorlock/>
              </v:rect>
            </w:pict>
          </mc:Fallback>
        </mc:AlternateContent>
      </w:r>
    </w:p>
    <w:p w14:paraId="30BD27F4" w14:textId="290F70E3" w:rsidR="00377F68" w:rsidRPr="00294D2F" w:rsidRDefault="00377F68" w:rsidP="00294D2F"/>
    <w:p w14:paraId="16547CE7" w14:textId="77777777" w:rsidR="004F0684" w:rsidRDefault="004F0684">
      <w:pPr>
        <w:tabs>
          <w:tab w:val="clear" w:pos="567"/>
        </w:tabs>
        <w:spacing w:before="0" w:after="200" w:line="276" w:lineRule="auto"/>
        <w:rPr>
          <w:rFonts w:ascii="Work Sans" w:eastAsia="Times New Roman" w:hAnsi="Work Sans" w:cs="Open Sans"/>
          <w:b/>
          <w:bCs/>
          <w:color w:val="006991"/>
          <w:sz w:val="36"/>
          <w:szCs w:val="36"/>
        </w:rPr>
      </w:pPr>
      <w:bookmarkStart w:id="105" w:name="_Toc133236159"/>
      <w:bookmarkStart w:id="106" w:name="_Toc133236185"/>
      <w:r>
        <w:br w:type="page"/>
      </w:r>
    </w:p>
    <w:p w14:paraId="21BD5759" w14:textId="3CD3455A" w:rsidR="00A5102B" w:rsidRDefault="00A5102B" w:rsidP="00294D2F">
      <w:pPr>
        <w:pStyle w:val="CGC2025Heading2AttachmentFollower"/>
      </w:pPr>
      <w:bookmarkStart w:id="107" w:name="_Toc138753193"/>
      <w:r w:rsidRPr="00294D2F">
        <w:rPr>
          <w:rStyle w:val="Heading2Char"/>
        </w:rPr>
        <w:lastRenderedPageBreak/>
        <w:t xml:space="preserve">Attachment </w:t>
      </w:r>
      <w:r w:rsidR="00F26AA8" w:rsidRPr="00294D2F">
        <w:rPr>
          <w:rStyle w:val="Heading2Char"/>
        </w:rPr>
        <w:t>A</w:t>
      </w:r>
      <w:r w:rsidRPr="00294D2F">
        <w:rPr>
          <w:rStyle w:val="Heading2Char"/>
        </w:rPr>
        <w:t>:</w:t>
      </w:r>
      <w:r w:rsidRPr="00DB7A2E">
        <w:t xml:space="preserve"> </w:t>
      </w:r>
      <w:bookmarkEnd w:id="105"/>
      <w:bookmarkEnd w:id="106"/>
      <w:r w:rsidR="00221201" w:rsidRPr="00221201">
        <w:t>Updating non-state sector substitutability levels</w:t>
      </w:r>
      <w:bookmarkEnd w:id="107"/>
    </w:p>
    <w:p w14:paraId="48FF3AAF" w14:textId="665A77E8" w:rsidR="00FC20DE" w:rsidRPr="00191F60" w:rsidRDefault="00FC20DE" w:rsidP="00191F60">
      <w:pPr>
        <w:pStyle w:val="CGC2025ParaNumbers"/>
      </w:pPr>
      <w:r>
        <w:t>The 2020 Review substitutability levels and the indicators of non-state service use are shown in</w:t>
      </w:r>
      <w:r w:rsidR="00D10506">
        <w:t xml:space="preserve"> </w:t>
      </w:r>
      <w:r>
        <w:fldChar w:fldCharType="begin"/>
      </w:r>
      <w:r>
        <w:instrText xml:space="preserve"> REF _Ref133843959 \h  \* MERGEFORMAT </w:instrText>
      </w:r>
      <w:r>
        <w:fldChar w:fldCharType="separate"/>
      </w:r>
      <w:r w:rsidR="00312054" w:rsidRPr="005539BF">
        <w:t>Table A</w:t>
      </w:r>
      <w:r w:rsidR="00312054">
        <w:t>1</w:t>
      </w:r>
      <w:r>
        <w:fldChar w:fldCharType="end"/>
      </w:r>
      <w:r>
        <w:t>. The table also shows how these changed from the 2015 Review.</w:t>
      </w:r>
    </w:p>
    <w:p w14:paraId="027B2B90" w14:textId="1F5F34C0" w:rsidR="00FC20DE" w:rsidRPr="005539BF" w:rsidRDefault="00FC20DE" w:rsidP="00FC20DE">
      <w:pPr>
        <w:pStyle w:val="Caption"/>
        <w:rPr>
          <w:rFonts w:ascii="Work Sans" w:hAnsi="Work Sans"/>
        </w:rPr>
      </w:pPr>
      <w:bookmarkStart w:id="108" w:name="_Ref133843959"/>
      <w:r w:rsidRPr="005539BF">
        <w:rPr>
          <w:rFonts w:ascii="Work Sans" w:hAnsi="Work Sans"/>
        </w:rPr>
        <w:t>Table A</w:t>
      </w:r>
      <w:r w:rsidRPr="005539BF">
        <w:rPr>
          <w:rFonts w:ascii="Work Sans" w:hAnsi="Work Sans"/>
        </w:rPr>
        <w:fldChar w:fldCharType="begin"/>
      </w:r>
      <w:r w:rsidRPr="005539BF">
        <w:rPr>
          <w:rFonts w:ascii="Work Sans" w:hAnsi="Work Sans"/>
        </w:rPr>
        <w:instrText xml:space="preserve"> SEQ Table_A \* ARABIC </w:instrText>
      </w:r>
      <w:r w:rsidRPr="005539BF">
        <w:rPr>
          <w:rFonts w:ascii="Work Sans" w:hAnsi="Work Sans"/>
        </w:rPr>
        <w:fldChar w:fldCharType="separate"/>
      </w:r>
      <w:r w:rsidR="00312054">
        <w:rPr>
          <w:rFonts w:ascii="Work Sans" w:hAnsi="Work Sans"/>
          <w:noProof/>
        </w:rPr>
        <w:t>1</w:t>
      </w:r>
      <w:r w:rsidRPr="005539BF">
        <w:rPr>
          <w:rFonts w:ascii="Work Sans" w:hAnsi="Work Sans"/>
        </w:rPr>
        <w:fldChar w:fldCharType="end"/>
      </w:r>
      <w:bookmarkEnd w:id="108"/>
      <w:r w:rsidRPr="005539BF">
        <w:rPr>
          <w:rFonts w:ascii="Work Sans" w:hAnsi="Work Sans"/>
        </w:rPr>
        <w:tab/>
        <w:t>Changes to the substitutability levels and indicators in the 2020 Review</w:t>
      </w:r>
    </w:p>
    <w:tbl>
      <w:tblPr>
        <w:tblW w:w="8647" w:type="dxa"/>
        <w:tblLook w:val="04A0" w:firstRow="1" w:lastRow="0" w:firstColumn="1" w:lastColumn="0" w:noHBand="0" w:noVBand="1"/>
      </w:tblPr>
      <w:tblGrid>
        <w:gridCol w:w="1701"/>
        <w:gridCol w:w="1276"/>
        <w:gridCol w:w="1276"/>
        <w:gridCol w:w="2268"/>
        <w:gridCol w:w="2126"/>
      </w:tblGrid>
      <w:tr w:rsidR="00FC20DE" w:rsidRPr="00897EEB" w14:paraId="44F0E2AE" w14:textId="77777777">
        <w:trPr>
          <w:trHeight w:val="585"/>
        </w:trPr>
        <w:tc>
          <w:tcPr>
            <w:tcW w:w="1701" w:type="dxa"/>
            <w:tcBorders>
              <w:top w:val="nil"/>
              <w:left w:val="nil"/>
              <w:bottom w:val="single" w:sz="4" w:space="0" w:color="ADD6EA"/>
              <w:right w:val="nil"/>
            </w:tcBorders>
            <w:shd w:val="clear" w:color="000000" w:fill="006991"/>
            <w:noWrap/>
            <w:vAlign w:val="center"/>
            <w:hideMark/>
          </w:tcPr>
          <w:p w14:paraId="4A42DA93" w14:textId="77777777" w:rsidR="00FC20DE" w:rsidRPr="00897EEB" w:rsidRDefault="00FC20DE">
            <w:pPr>
              <w:tabs>
                <w:tab w:val="clear" w:pos="567"/>
              </w:tabs>
              <w:spacing w:before="0" w:line="240" w:lineRule="auto"/>
              <w:jc w:val="right"/>
              <w:rPr>
                <w:rFonts w:eastAsia="Times New Roman" w:cs="Open Sans Light"/>
                <w:b/>
                <w:bCs/>
                <w:color w:val="FFFFFF"/>
                <w:sz w:val="16"/>
                <w:szCs w:val="16"/>
                <w:lang w:eastAsia="en-AU"/>
              </w:rPr>
            </w:pPr>
            <w:r w:rsidRPr="00897EEB">
              <w:rPr>
                <w:rFonts w:eastAsia="Times New Roman" w:cs="Open Sans Light"/>
                <w:b/>
                <w:bCs/>
                <w:color w:val="FFFFFF"/>
                <w:sz w:val="16"/>
                <w:szCs w:val="16"/>
                <w:lang w:eastAsia="en-AU"/>
              </w:rPr>
              <w:t> </w:t>
            </w:r>
          </w:p>
        </w:tc>
        <w:tc>
          <w:tcPr>
            <w:tcW w:w="1276" w:type="dxa"/>
            <w:tcBorders>
              <w:top w:val="nil"/>
              <w:left w:val="nil"/>
              <w:bottom w:val="single" w:sz="4" w:space="0" w:color="ADD6EA"/>
              <w:right w:val="nil"/>
            </w:tcBorders>
            <w:shd w:val="clear" w:color="000000" w:fill="006991"/>
            <w:vAlign w:val="center"/>
            <w:hideMark/>
          </w:tcPr>
          <w:p w14:paraId="01C81A24" w14:textId="77777777" w:rsidR="00FC20DE" w:rsidRPr="00897EEB" w:rsidRDefault="00FC20DE">
            <w:pPr>
              <w:tabs>
                <w:tab w:val="clear" w:pos="567"/>
              </w:tabs>
              <w:spacing w:before="0" w:line="240" w:lineRule="auto"/>
              <w:jc w:val="right"/>
              <w:rPr>
                <w:rFonts w:eastAsia="Times New Roman" w:cs="Open Sans Light"/>
                <w:b/>
                <w:bCs/>
                <w:color w:val="FFFFFF"/>
                <w:sz w:val="16"/>
                <w:szCs w:val="16"/>
                <w:lang w:eastAsia="en-AU"/>
              </w:rPr>
            </w:pPr>
            <w:r w:rsidRPr="00897EEB">
              <w:rPr>
                <w:rFonts w:eastAsia="Times New Roman" w:cs="Open Sans Light"/>
                <w:b/>
                <w:bCs/>
                <w:color w:val="FFFFFF"/>
                <w:sz w:val="16"/>
                <w:szCs w:val="16"/>
                <w:lang w:eastAsia="en-AU"/>
              </w:rPr>
              <w:t>Substitutability R2015</w:t>
            </w:r>
          </w:p>
        </w:tc>
        <w:tc>
          <w:tcPr>
            <w:tcW w:w="1276" w:type="dxa"/>
            <w:tcBorders>
              <w:top w:val="nil"/>
              <w:left w:val="nil"/>
              <w:bottom w:val="single" w:sz="4" w:space="0" w:color="ADD6EA"/>
              <w:right w:val="nil"/>
            </w:tcBorders>
            <w:shd w:val="clear" w:color="000000" w:fill="006991"/>
            <w:vAlign w:val="center"/>
            <w:hideMark/>
          </w:tcPr>
          <w:p w14:paraId="749F8E4C" w14:textId="77777777" w:rsidR="00FC20DE" w:rsidRPr="00897EEB" w:rsidRDefault="00FC20DE">
            <w:pPr>
              <w:tabs>
                <w:tab w:val="clear" w:pos="567"/>
              </w:tabs>
              <w:spacing w:before="0" w:line="240" w:lineRule="auto"/>
              <w:jc w:val="right"/>
              <w:rPr>
                <w:rFonts w:eastAsia="Times New Roman" w:cs="Open Sans Light"/>
                <w:b/>
                <w:bCs/>
                <w:color w:val="FFFFFF"/>
                <w:sz w:val="16"/>
                <w:szCs w:val="16"/>
                <w:lang w:eastAsia="en-AU"/>
              </w:rPr>
            </w:pPr>
            <w:r w:rsidRPr="00897EEB">
              <w:rPr>
                <w:rFonts w:eastAsia="Times New Roman" w:cs="Open Sans Light"/>
                <w:b/>
                <w:bCs/>
                <w:color w:val="FFFFFF"/>
                <w:sz w:val="16"/>
                <w:szCs w:val="16"/>
                <w:lang w:eastAsia="en-AU"/>
              </w:rPr>
              <w:t>Substitutability R2020</w:t>
            </w:r>
          </w:p>
        </w:tc>
        <w:tc>
          <w:tcPr>
            <w:tcW w:w="2268" w:type="dxa"/>
            <w:tcBorders>
              <w:top w:val="nil"/>
              <w:left w:val="nil"/>
              <w:bottom w:val="single" w:sz="4" w:space="0" w:color="ADD6EA"/>
              <w:right w:val="nil"/>
            </w:tcBorders>
            <w:shd w:val="clear" w:color="000000" w:fill="006991"/>
            <w:noWrap/>
            <w:vAlign w:val="center"/>
            <w:hideMark/>
          </w:tcPr>
          <w:p w14:paraId="2822F4CC" w14:textId="77777777" w:rsidR="00FC20DE" w:rsidRPr="00897EEB" w:rsidRDefault="00FC20DE">
            <w:pPr>
              <w:tabs>
                <w:tab w:val="clear" w:pos="567"/>
              </w:tabs>
              <w:spacing w:before="0" w:line="240" w:lineRule="auto"/>
              <w:jc w:val="right"/>
              <w:rPr>
                <w:rFonts w:eastAsia="Times New Roman" w:cs="Open Sans Light"/>
                <w:b/>
                <w:bCs/>
                <w:color w:val="FFFFFF"/>
                <w:sz w:val="16"/>
                <w:szCs w:val="16"/>
                <w:lang w:eastAsia="en-AU"/>
              </w:rPr>
            </w:pPr>
            <w:r w:rsidRPr="00897EEB">
              <w:rPr>
                <w:rFonts w:eastAsia="Times New Roman" w:cs="Open Sans Light"/>
                <w:b/>
                <w:bCs/>
                <w:color w:val="FFFFFF"/>
                <w:sz w:val="16"/>
                <w:szCs w:val="16"/>
                <w:lang w:eastAsia="en-AU"/>
              </w:rPr>
              <w:t>Indicator R2015</w:t>
            </w:r>
          </w:p>
        </w:tc>
        <w:tc>
          <w:tcPr>
            <w:tcW w:w="2126" w:type="dxa"/>
            <w:tcBorders>
              <w:top w:val="nil"/>
              <w:left w:val="nil"/>
              <w:bottom w:val="single" w:sz="4" w:space="0" w:color="ADD6EA"/>
              <w:right w:val="nil"/>
            </w:tcBorders>
            <w:shd w:val="clear" w:color="000000" w:fill="006991"/>
            <w:noWrap/>
            <w:vAlign w:val="center"/>
            <w:hideMark/>
          </w:tcPr>
          <w:p w14:paraId="6015F1FA" w14:textId="77777777" w:rsidR="00FC20DE" w:rsidRPr="00897EEB" w:rsidRDefault="00FC20DE">
            <w:pPr>
              <w:tabs>
                <w:tab w:val="clear" w:pos="567"/>
              </w:tabs>
              <w:spacing w:before="0" w:line="240" w:lineRule="auto"/>
              <w:jc w:val="right"/>
              <w:rPr>
                <w:rFonts w:eastAsia="Times New Roman" w:cs="Open Sans Light"/>
                <w:b/>
                <w:bCs/>
                <w:color w:val="FFFFFF"/>
                <w:sz w:val="16"/>
                <w:szCs w:val="16"/>
                <w:lang w:eastAsia="en-AU"/>
              </w:rPr>
            </w:pPr>
            <w:r w:rsidRPr="00897EEB">
              <w:rPr>
                <w:rFonts w:eastAsia="Times New Roman" w:cs="Open Sans Light"/>
                <w:b/>
                <w:bCs/>
                <w:color w:val="FFFFFF"/>
                <w:sz w:val="16"/>
                <w:szCs w:val="16"/>
                <w:lang w:eastAsia="en-AU"/>
              </w:rPr>
              <w:t>Indicator R2020</w:t>
            </w:r>
          </w:p>
        </w:tc>
      </w:tr>
      <w:tr w:rsidR="00FC20DE" w:rsidRPr="00897EEB" w14:paraId="26AD482D" w14:textId="77777777">
        <w:trPr>
          <w:trHeight w:val="555"/>
        </w:trPr>
        <w:tc>
          <w:tcPr>
            <w:tcW w:w="1701" w:type="dxa"/>
            <w:tcBorders>
              <w:top w:val="nil"/>
              <w:left w:val="nil"/>
              <w:bottom w:val="single" w:sz="4" w:space="0" w:color="ADD6EA"/>
              <w:right w:val="nil"/>
            </w:tcBorders>
            <w:shd w:val="clear" w:color="auto" w:fill="auto"/>
            <w:vAlign w:val="center"/>
            <w:hideMark/>
          </w:tcPr>
          <w:p w14:paraId="68350566" w14:textId="77777777" w:rsidR="00FC20DE" w:rsidRPr="00897EEB" w:rsidRDefault="00FC20DE">
            <w:pPr>
              <w:tabs>
                <w:tab w:val="clear" w:pos="567"/>
              </w:tabs>
              <w:spacing w:before="0" w:line="240" w:lineRule="auto"/>
              <w:rPr>
                <w:rFonts w:eastAsia="Times New Roman" w:cs="Open Sans Light"/>
                <w:color w:val="000000"/>
                <w:sz w:val="16"/>
                <w:szCs w:val="16"/>
                <w:lang w:eastAsia="en-AU"/>
              </w:rPr>
            </w:pPr>
            <w:r w:rsidRPr="00897EEB">
              <w:rPr>
                <w:rFonts w:eastAsia="Times New Roman" w:cs="Open Sans Light"/>
                <w:color w:val="000000"/>
                <w:sz w:val="16"/>
                <w:szCs w:val="16"/>
                <w:lang w:eastAsia="en-AU"/>
              </w:rPr>
              <w:t>Admitted patients</w:t>
            </w:r>
          </w:p>
        </w:tc>
        <w:tc>
          <w:tcPr>
            <w:tcW w:w="1276" w:type="dxa"/>
            <w:tcBorders>
              <w:top w:val="nil"/>
              <w:left w:val="nil"/>
              <w:bottom w:val="single" w:sz="4" w:space="0" w:color="ADD6EA"/>
              <w:right w:val="nil"/>
            </w:tcBorders>
            <w:shd w:val="clear" w:color="auto" w:fill="auto"/>
            <w:vAlign w:val="center"/>
            <w:hideMark/>
          </w:tcPr>
          <w:p w14:paraId="551D123D"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15%</w:t>
            </w:r>
          </w:p>
        </w:tc>
        <w:tc>
          <w:tcPr>
            <w:tcW w:w="1276" w:type="dxa"/>
            <w:tcBorders>
              <w:top w:val="nil"/>
              <w:left w:val="nil"/>
              <w:bottom w:val="single" w:sz="4" w:space="0" w:color="ADD6EA"/>
              <w:right w:val="nil"/>
            </w:tcBorders>
            <w:shd w:val="clear" w:color="auto" w:fill="auto"/>
            <w:vAlign w:val="center"/>
            <w:hideMark/>
          </w:tcPr>
          <w:p w14:paraId="5751957C"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15%</w:t>
            </w:r>
          </w:p>
        </w:tc>
        <w:tc>
          <w:tcPr>
            <w:tcW w:w="2268" w:type="dxa"/>
            <w:tcBorders>
              <w:top w:val="nil"/>
              <w:left w:val="nil"/>
              <w:bottom w:val="single" w:sz="4" w:space="0" w:color="ADD6EA"/>
              <w:right w:val="nil"/>
            </w:tcBorders>
            <w:shd w:val="clear" w:color="auto" w:fill="auto"/>
            <w:vAlign w:val="center"/>
            <w:hideMark/>
          </w:tcPr>
          <w:p w14:paraId="6FE0A264"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 xml:space="preserve">Private patient </w:t>
            </w:r>
            <w:r w:rsidRPr="00897EEB">
              <w:rPr>
                <w:rFonts w:eastAsia="Times New Roman" w:cs="Open Sans Light"/>
                <w:color w:val="000000"/>
                <w:sz w:val="16"/>
                <w:szCs w:val="16"/>
                <w:lang w:eastAsia="en-AU"/>
              </w:rPr>
              <w:br/>
              <w:t>separations</w:t>
            </w:r>
          </w:p>
        </w:tc>
        <w:tc>
          <w:tcPr>
            <w:tcW w:w="2126" w:type="dxa"/>
            <w:tcBorders>
              <w:top w:val="nil"/>
              <w:left w:val="nil"/>
              <w:bottom w:val="single" w:sz="4" w:space="0" w:color="ADD6EA"/>
              <w:right w:val="nil"/>
            </w:tcBorders>
            <w:shd w:val="clear" w:color="auto" w:fill="auto"/>
            <w:vAlign w:val="center"/>
            <w:hideMark/>
          </w:tcPr>
          <w:p w14:paraId="17C2C932"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Private patient separations</w:t>
            </w:r>
          </w:p>
        </w:tc>
      </w:tr>
      <w:tr w:rsidR="00FC20DE" w:rsidRPr="00897EEB" w14:paraId="434E4267" w14:textId="77777777">
        <w:trPr>
          <w:trHeight w:val="555"/>
        </w:trPr>
        <w:tc>
          <w:tcPr>
            <w:tcW w:w="1701" w:type="dxa"/>
            <w:tcBorders>
              <w:top w:val="nil"/>
              <w:left w:val="nil"/>
              <w:bottom w:val="single" w:sz="4" w:space="0" w:color="ADD6EA"/>
              <w:right w:val="nil"/>
            </w:tcBorders>
            <w:shd w:val="clear" w:color="auto" w:fill="auto"/>
            <w:vAlign w:val="center"/>
            <w:hideMark/>
          </w:tcPr>
          <w:p w14:paraId="60B6A4FC" w14:textId="77777777" w:rsidR="00FC20DE" w:rsidRPr="00897EEB" w:rsidRDefault="00FC20DE">
            <w:pPr>
              <w:tabs>
                <w:tab w:val="clear" w:pos="567"/>
              </w:tabs>
              <w:spacing w:before="0" w:line="240" w:lineRule="auto"/>
              <w:rPr>
                <w:rFonts w:eastAsia="Times New Roman" w:cs="Open Sans Light"/>
                <w:color w:val="000000"/>
                <w:sz w:val="16"/>
                <w:szCs w:val="16"/>
                <w:lang w:eastAsia="en-AU"/>
              </w:rPr>
            </w:pPr>
            <w:r w:rsidRPr="00897EEB">
              <w:rPr>
                <w:rFonts w:eastAsia="Times New Roman" w:cs="Open Sans Light"/>
                <w:color w:val="000000"/>
                <w:sz w:val="16"/>
                <w:szCs w:val="16"/>
                <w:lang w:eastAsia="en-AU"/>
              </w:rPr>
              <w:t xml:space="preserve">Emergency </w:t>
            </w:r>
            <w:r w:rsidRPr="00897EEB">
              <w:rPr>
                <w:rFonts w:eastAsia="Times New Roman" w:cs="Open Sans Light"/>
                <w:color w:val="000000"/>
                <w:sz w:val="16"/>
                <w:szCs w:val="16"/>
                <w:lang w:eastAsia="en-AU"/>
              </w:rPr>
              <w:br/>
              <w:t>departments</w:t>
            </w:r>
          </w:p>
        </w:tc>
        <w:tc>
          <w:tcPr>
            <w:tcW w:w="1276" w:type="dxa"/>
            <w:tcBorders>
              <w:top w:val="nil"/>
              <w:left w:val="nil"/>
              <w:bottom w:val="single" w:sz="4" w:space="0" w:color="ADD6EA"/>
              <w:right w:val="nil"/>
            </w:tcBorders>
            <w:shd w:val="clear" w:color="auto" w:fill="auto"/>
            <w:vAlign w:val="center"/>
            <w:hideMark/>
          </w:tcPr>
          <w:p w14:paraId="59E4520E"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15%</w:t>
            </w:r>
          </w:p>
        </w:tc>
        <w:tc>
          <w:tcPr>
            <w:tcW w:w="1276" w:type="dxa"/>
            <w:tcBorders>
              <w:top w:val="nil"/>
              <w:left w:val="nil"/>
              <w:bottom w:val="single" w:sz="4" w:space="0" w:color="ADD6EA"/>
              <w:right w:val="nil"/>
            </w:tcBorders>
            <w:shd w:val="clear" w:color="auto" w:fill="auto"/>
            <w:vAlign w:val="center"/>
            <w:hideMark/>
          </w:tcPr>
          <w:p w14:paraId="272CBC41"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15%</w:t>
            </w:r>
          </w:p>
        </w:tc>
        <w:tc>
          <w:tcPr>
            <w:tcW w:w="2268" w:type="dxa"/>
            <w:tcBorders>
              <w:top w:val="nil"/>
              <w:left w:val="nil"/>
              <w:bottom w:val="single" w:sz="4" w:space="0" w:color="ADD6EA"/>
              <w:right w:val="nil"/>
            </w:tcBorders>
            <w:shd w:val="clear" w:color="auto" w:fill="auto"/>
            <w:vAlign w:val="center"/>
            <w:hideMark/>
          </w:tcPr>
          <w:p w14:paraId="7A3EC2EE"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 xml:space="preserve">Bulk billed GP benefits </w:t>
            </w:r>
          </w:p>
        </w:tc>
        <w:tc>
          <w:tcPr>
            <w:tcW w:w="2126" w:type="dxa"/>
            <w:tcBorders>
              <w:top w:val="nil"/>
              <w:left w:val="nil"/>
              <w:bottom w:val="single" w:sz="4" w:space="0" w:color="ADD6EA"/>
              <w:right w:val="nil"/>
            </w:tcBorders>
            <w:shd w:val="clear" w:color="auto" w:fill="auto"/>
            <w:vAlign w:val="center"/>
            <w:hideMark/>
          </w:tcPr>
          <w:p w14:paraId="54C922F0"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Bulk billed GP benefits</w:t>
            </w:r>
          </w:p>
        </w:tc>
      </w:tr>
      <w:tr w:rsidR="00FC20DE" w:rsidRPr="00897EEB" w14:paraId="31581C1F" w14:textId="77777777">
        <w:trPr>
          <w:trHeight w:val="555"/>
        </w:trPr>
        <w:tc>
          <w:tcPr>
            <w:tcW w:w="1701" w:type="dxa"/>
            <w:tcBorders>
              <w:top w:val="nil"/>
              <w:left w:val="nil"/>
              <w:bottom w:val="single" w:sz="4" w:space="0" w:color="ADD6EA"/>
              <w:right w:val="nil"/>
            </w:tcBorders>
            <w:shd w:val="clear" w:color="auto" w:fill="auto"/>
            <w:vAlign w:val="center"/>
            <w:hideMark/>
          </w:tcPr>
          <w:p w14:paraId="2C5654DE" w14:textId="77777777" w:rsidR="00FC20DE" w:rsidRPr="00897EEB" w:rsidRDefault="00FC20DE">
            <w:pPr>
              <w:tabs>
                <w:tab w:val="clear" w:pos="567"/>
              </w:tabs>
              <w:spacing w:before="0" w:line="240" w:lineRule="auto"/>
              <w:rPr>
                <w:rFonts w:eastAsia="Times New Roman" w:cs="Open Sans Light"/>
                <w:color w:val="000000"/>
                <w:sz w:val="16"/>
                <w:szCs w:val="16"/>
                <w:lang w:eastAsia="en-AU"/>
              </w:rPr>
            </w:pPr>
            <w:r w:rsidRPr="00897EEB">
              <w:rPr>
                <w:rFonts w:eastAsia="Times New Roman" w:cs="Open Sans Light"/>
                <w:color w:val="000000"/>
                <w:sz w:val="16"/>
                <w:szCs w:val="16"/>
                <w:lang w:eastAsia="en-AU"/>
              </w:rPr>
              <w:t>Non-admitted patients</w:t>
            </w:r>
          </w:p>
        </w:tc>
        <w:tc>
          <w:tcPr>
            <w:tcW w:w="1276" w:type="dxa"/>
            <w:tcBorders>
              <w:top w:val="nil"/>
              <w:left w:val="nil"/>
              <w:bottom w:val="single" w:sz="4" w:space="0" w:color="ADD6EA"/>
              <w:right w:val="nil"/>
            </w:tcBorders>
            <w:shd w:val="clear" w:color="auto" w:fill="auto"/>
            <w:vAlign w:val="center"/>
            <w:hideMark/>
          </w:tcPr>
          <w:p w14:paraId="07028E43"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40%</w:t>
            </w:r>
          </w:p>
        </w:tc>
        <w:tc>
          <w:tcPr>
            <w:tcW w:w="1276" w:type="dxa"/>
            <w:tcBorders>
              <w:top w:val="nil"/>
              <w:left w:val="nil"/>
              <w:bottom w:val="single" w:sz="4" w:space="0" w:color="ADD6EA"/>
              <w:right w:val="nil"/>
            </w:tcBorders>
            <w:shd w:val="clear" w:color="auto" w:fill="auto"/>
            <w:vAlign w:val="center"/>
            <w:hideMark/>
          </w:tcPr>
          <w:p w14:paraId="08184A01"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30%</w:t>
            </w:r>
          </w:p>
        </w:tc>
        <w:tc>
          <w:tcPr>
            <w:tcW w:w="2268" w:type="dxa"/>
            <w:tcBorders>
              <w:top w:val="nil"/>
              <w:left w:val="nil"/>
              <w:bottom w:val="single" w:sz="4" w:space="0" w:color="ADD6EA"/>
              <w:right w:val="nil"/>
            </w:tcBorders>
            <w:shd w:val="clear" w:color="auto" w:fill="auto"/>
            <w:vAlign w:val="center"/>
            <w:hideMark/>
          </w:tcPr>
          <w:p w14:paraId="26DBBB8B"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 xml:space="preserve">Bulk billed specialist and </w:t>
            </w:r>
            <w:r w:rsidRPr="00897EEB">
              <w:rPr>
                <w:rFonts w:eastAsia="Times New Roman" w:cs="Open Sans Light"/>
                <w:color w:val="000000"/>
                <w:sz w:val="16"/>
                <w:szCs w:val="16"/>
                <w:lang w:eastAsia="en-AU"/>
              </w:rPr>
              <w:br/>
              <w:t>diagnostic services benefits</w:t>
            </w:r>
          </w:p>
        </w:tc>
        <w:tc>
          <w:tcPr>
            <w:tcW w:w="2126" w:type="dxa"/>
            <w:tcBorders>
              <w:top w:val="nil"/>
              <w:left w:val="nil"/>
              <w:bottom w:val="single" w:sz="4" w:space="0" w:color="ADD6EA"/>
              <w:right w:val="nil"/>
            </w:tcBorders>
            <w:shd w:val="clear" w:color="auto" w:fill="auto"/>
            <w:vAlign w:val="center"/>
            <w:hideMark/>
          </w:tcPr>
          <w:p w14:paraId="56B6794B"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 xml:space="preserve">Bulk billed operations and </w:t>
            </w:r>
            <w:r w:rsidRPr="00897EEB">
              <w:rPr>
                <w:rFonts w:eastAsia="Times New Roman" w:cs="Open Sans Light"/>
                <w:color w:val="000000"/>
                <w:sz w:val="16"/>
                <w:szCs w:val="16"/>
                <w:lang w:eastAsia="en-AU"/>
              </w:rPr>
              <w:br/>
              <w:t>specialist services benefits</w:t>
            </w:r>
          </w:p>
        </w:tc>
      </w:tr>
      <w:tr w:rsidR="00FC20DE" w:rsidRPr="00897EEB" w14:paraId="3A04B773" w14:textId="77777777">
        <w:trPr>
          <w:trHeight w:val="315"/>
        </w:trPr>
        <w:tc>
          <w:tcPr>
            <w:tcW w:w="1701" w:type="dxa"/>
            <w:tcBorders>
              <w:top w:val="nil"/>
              <w:left w:val="nil"/>
              <w:bottom w:val="single" w:sz="4" w:space="0" w:color="ADD6EA"/>
              <w:right w:val="nil"/>
            </w:tcBorders>
            <w:shd w:val="clear" w:color="auto" w:fill="auto"/>
            <w:vAlign w:val="center"/>
            <w:hideMark/>
          </w:tcPr>
          <w:p w14:paraId="1C3B9DFE" w14:textId="77777777" w:rsidR="00FC20DE" w:rsidRPr="00897EEB" w:rsidRDefault="00FC20DE">
            <w:pPr>
              <w:tabs>
                <w:tab w:val="clear" w:pos="567"/>
              </w:tabs>
              <w:spacing w:before="0" w:line="240" w:lineRule="auto"/>
              <w:rPr>
                <w:rFonts w:eastAsia="Times New Roman" w:cs="Open Sans Light"/>
                <w:color w:val="000000"/>
                <w:sz w:val="16"/>
                <w:szCs w:val="16"/>
                <w:lang w:eastAsia="en-AU"/>
              </w:rPr>
            </w:pPr>
            <w:r w:rsidRPr="00897EEB">
              <w:rPr>
                <w:rFonts w:eastAsia="Times New Roman" w:cs="Open Sans Light"/>
                <w:color w:val="000000"/>
                <w:sz w:val="16"/>
                <w:szCs w:val="16"/>
                <w:lang w:eastAsia="en-AU"/>
              </w:rPr>
              <w:t>Community health</w:t>
            </w:r>
          </w:p>
        </w:tc>
        <w:tc>
          <w:tcPr>
            <w:tcW w:w="1276" w:type="dxa"/>
            <w:tcBorders>
              <w:top w:val="nil"/>
              <w:left w:val="nil"/>
              <w:bottom w:val="single" w:sz="4" w:space="0" w:color="ADD6EA"/>
              <w:right w:val="nil"/>
            </w:tcBorders>
            <w:shd w:val="clear" w:color="auto" w:fill="auto"/>
            <w:vAlign w:val="center"/>
            <w:hideMark/>
          </w:tcPr>
          <w:p w14:paraId="3628CCC0"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70%</w:t>
            </w:r>
          </w:p>
        </w:tc>
        <w:tc>
          <w:tcPr>
            <w:tcW w:w="1276" w:type="dxa"/>
            <w:tcBorders>
              <w:top w:val="nil"/>
              <w:left w:val="nil"/>
              <w:bottom w:val="single" w:sz="4" w:space="0" w:color="ADD6EA"/>
              <w:right w:val="nil"/>
            </w:tcBorders>
            <w:shd w:val="clear" w:color="auto" w:fill="auto"/>
            <w:vAlign w:val="center"/>
            <w:hideMark/>
          </w:tcPr>
          <w:p w14:paraId="5643B36C"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60%</w:t>
            </w:r>
          </w:p>
        </w:tc>
        <w:tc>
          <w:tcPr>
            <w:tcW w:w="2268" w:type="dxa"/>
            <w:tcBorders>
              <w:top w:val="nil"/>
              <w:left w:val="nil"/>
              <w:bottom w:val="single" w:sz="4" w:space="0" w:color="ADD6EA"/>
              <w:right w:val="nil"/>
            </w:tcBorders>
            <w:shd w:val="clear" w:color="auto" w:fill="auto"/>
            <w:vAlign w:val="center"/>
            <w:hideMark/>
          </w:tcPr>
          <w:p w14:paraId="7E470F9F"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 xml:space="preserve">Bulk billed GP benefits </w:t>
            </w:r>
          </w:p>
        </w:tc>
        <w:tc>
          <w:tcPr>
            <w:tcW w:w="2126" w:type="dxa"/>
            <w:tcBorders>
              <w:top w:val="nil"/>
              <w:left w:val="nil"/>
              <w:bottom w:val="single" w:sz="4" w:space="0" w:color="ADD6EA"/>
              <w:right w:val="nil"/>
            </w:tcBorders>
            <w:shd w:val="clear" w:color="auto" w:fill="auto"/>
            <w:vAlign w:val="center"/>
            <w:hideMark/>
          </w:tcPr>
          <w:p w14:paraId="072F3B5B" w14:textId="77777777" w:rsidR="00FC20DE" w:rsidRPr="00897EEB" w:rsidRDefault="00FC20DE">
            <w:pPr>
              <w:tabs>
                <w:tab w:val="clear" w:pos="567"/>
              </w:tabs>
              <w:spacing w:before="0" w:line="240" w:lineRule="auto"/>
              <w:jc w:val="right"/>
              <w:rPr>
                <w:rFonts w:eastAsia="Times New Roman" w:cs="Open Sans Light"/>
                <w:color w:val="000000"/>
                <w:sz w:val="16"/>
                <w:szCs w:val="16"/>
                <w:lang w:eastAsia="en-AU"/>
              </w:rPr>
            </w:pPr>
            <w:r w:rsidRPr="00897EEB">
              <w:rPr>
                <w:rFonts w:eastAsia="Times New Roman" w:cs="Open Sans Light"/>
                <w:color w:val="000000"/>
                <w:sz w:val="16"/>
                <w:szCs w:val="16"/>
                <w:lang w:eastAsia="en-AU"/>
              </w:rPr>
              <w:t>Bulk billed GP benefits</w:t>
            </w:r>
          </w:p>
        </w:tc>
      </w:tr>
    </w:tbl>
    <w:p w14:paraId="61FE82C1" w14:textId="018F6C9B" w:rsidR="00FC20DE" w:rsidRPr="00214433" w:rsidRDefault="00FC20DE" w:rsidP="00FC20DE">
      <w:pPr>
        <w:pStyle w:val="CGCTablenote"/>
        <w:rPr>
          <w:rFonts w:ascii="Work Sans" w:hAnsi="Work Sans"/>
        </w:rPr>
      </w:pPr>
      <w:r w:rsidRPr="00214433">
        <w:rPr>
          <w:rFonts w:ascii="Work Sans" w:hAnsi="Work Sans"/>
        </w:rPr>
        <w:t>Source: 2020 Review, Volume 2, Part B, Chapter 15</w:t>
      </w:r>
      <w:r w:rsidR="00766463">
        <w:rPr>
          <w:rFonts w:ascii="Work Sans" w:hAnsi="Work Sans"/>
        </w:rPr>
        <w:t>.</w:t>
      </w:r>
    </w:p>
    <w:p w14:paraId="7BEB06FE" w14:textId="77777777" w:rsidR="00FC20DE" w:rsidRPr="007A3C93" w:rsidRDefault="00FC20DE" w:rsidP="00FC20DE">
      <w:pPr>
        <w:pStyle w:val="Heading4"/>
      </w:pPr>
      <w:r w:rsidRPr="007A3C93">
        <w:t>Admitted patients</w:t>
      </w:r>
    </w:p>
    <w:p w14:paraId="52CB447B" w14:textId="77777777" w:rsidR="008C1F5E" w:rsidRPr="00B42ACC" w:rsidRDefault="008C1F5E" w:rsidP="00191F60">
      <w:pPr>
        <w:pStyle w:val="CGC2025ParaNumbers"/>
      </w:pPr>
      <w:r>
        <w:t xml:space="preserve">The main factors considered by the Commission to be influencing the level of substitutability of the non-state sector for state admitted patient services are the differences in the type of admitted patient activity in the state and non-state sectors and the level of privately insured patients with hospital coverage. </w:t>
      </w:r>
    </w:p>
    <w:p w14:paraId="5B0F07E9" w14:textId="77777777" w:rsidR="008C1F5E" w:rsidRPr="00B42ACC" w:rsidRDefault="008C1F5E" w:rsidP="00191F60">
      <w:pPr>
        <w:pStyle w:val="CGC2025ParaNumbers"/>
      </w:pPr>
      <w:r>
        <w:t>Based on these 2 factors, the Commission in the 2020 Review estimated the potential substitutability level for admitted patient services to be between 23% and 28%.</w:t>
      </w:r>
    </w:p>
    <w:p w14:paraId="6AAF5EB1" w14:textId="77777777" w:rsidR="008C1F5E" w:rsidRPr="00B42ACC" w:rsidRDefault="008C1F5E" w:rsidP="00191F60">
      <w:pPr>
        <w:pStyle w:val="CGC2025ParaNumbers"/>
      </w:pPr>
      <w:r>
        <w:t xml:space="preserve">The Commission considered this range to be an upper bound. </w:t>
      </w:r>
    </w:p>
    <w:p w14:paraId="64D09F77" w14:textId="31AFC116" w:rsidR="008C1F5E" w:rsidRPr="007A3C93" w:rsidRDefault="008C1F5E" w:rsidP="00191F60">
      <w:pPr>
        <w:pStyle w:val="CGC2025Bullet1"/>
      </w:pPr>
      <w:bookmarkStart w:id="109" w:name="_Hlk137642621"/>
      <w:r w:rsidRPr="007A3C93">
        <w:t xml:space="preserve">Applying the rate of private health insurance to public hospital services will overstate the proportion of patients with private health insurance who are treated in public hospitals. </w:t>
      </w:r>
      <w:r w:rsidRPr="00F9537E">
        <w:t>This</w:t>
      </w:r>
      <w:r w:rsidRPr="007A3C93">
        <w:t xml:space="preserve"> is because the proportion of public hospital patients with private health insurance is less than the proportion of all patients with private health insurance. </w:t>
      </w:r>
    </w:p>
    <w:p w14:paraId="3282790A" w14:textId="77777777" w:rsidR="008C1F5E" w:rsidRPr="007A3C93" w:rsidRDefault="008C1F5E" w:rsidP="00191F60">
      <w:pPr>
        <w:pStyle w:val="CGC2025Bullet1"/>
      </w:pPr>
      <w:r w:rsidRPr="007A3C93">
        <w:t xml:space="preserve">In addition, not all privately insured patients choose to utilise their private health insurance due to policy excesses and gaps charged by specialists. The Commission was not able to identify a data source indicating the proportion of patients in public hospitals with private health insurance. While Australian Institute of Health and Welfare data indicates that </w:t>
      </w:r>
      <w:r>
        <w:t>around 10</w:t>
      </w:r>
      <w:r w:rsidRPr="007A3C93">
        <w:t>% of public hospital patients are funded through private health insurance, it is not able to capture the proportion of publicly funded patients which chose not to use their private health insurance.</w:t>
      </w:r>
    </w:p>
    <w:p w14:paraId="526A422F" w14:textId="77777777" w:rsidR="008C1F5E" w:rsidRPr="00B42ACC" w:rsidRDefault="008C1F5E" w:rsidP="00191F60">
      <w:pPr>
        <w:pStyle w:val="CGC2025ParaNumbers"/>
      </w:pPr>
      <w:r>
        <w:t>In the absence of further information, the Commission exercised judgment and decided that a level of 15% for admitted patients allows for these factors. It implies that about 25% of non-emergency admitted patient services relate to privately insured patients.</w:t>
      </w:r>
    </w:p>
    <w:p w14:paraId="5179DED6" w14:textId="77777777" w:rsidR="008C1F5E" w:rsidRPr="007A3C93" w:rsidRDefault="008C1F5E" w:rsidP="008C1F5E">
      <w:pPr>
        <w:pStyle w:val="Heading5"/>
      </w:pPr>
      <w:r w:rsidRPr="007A3C93">
        <w:lastRenderedPageBreak/>
        <w:t>Updating the substitutability level</w:t>
      </w:r>
    </w:p>
    <w:p w14:paraId="4B66A8CF" w14:textId="77777777" w:rsidR="008C1F5E" w:rsidRPr="00B42ACC" w:rsidRDefault="008C1F5E" w:rsidP="00191F60">
      <w:pPr>
        <w:pStyle w:val="CGC2025ParaNumbers"/>
      </w:pPr>
      <w:r>
        <w:t xml:space="preserve">As private hospitals only perform limited emergency-type admitted patient services, only activity on non-emergency admitted patient services are used in the calculation. </w:t>
      </w:r>
    </w:p>
    <w:p w14:paraId="3C66EAB6" w14:textId="77777777" w:rsidR="008C1F5E" w:rsidRPr="00B42ACC" w:rsidRDefault="008C1F5E" w:rsidP="00191F60">
      <w:pPr>
        <w:pStyle w:val="CGC2025ParaNumbers"/>
      </w:pPr>
      <w:r>
        <w:t>Updated data on the proportion of non-emergency admitted patient services and the percentage of people with private health insurance were sourced from the Australian Institute of Health and Welfare (AIHW) and the Australian Prudential Regulation Authority (APRA).</w:t>
      </w:r>
    </w:p>
    <w:p w14:paraId="534715F8" w14:textId="4561E826" w:rsidR="008C1F5E" w:rsidRPr="00B42ACC" w:rsidRDefault="008C1F5E" w:rsidP="00191F60">
      <w:pPr>
        <w:pStyle w:val="CGC2025ParaNumbers"/>
      </w:pPr>
      <w:r w:rsidRPr="00B42ACC">
        <w:t>The proportion of non-emergency admitted patient services is largely unchanged since the 2020 Review (between 50% and 60%). Likewise, the proportion of people with private health insurance is consistent with the 2020 Review (44.9% in 202</w:t>
      </w:r>
      <w:r>
        <w:t>1</w:t>
      </w:r>
      <w:r w:rsidR="005E4BCF">
        <w:t>–</w:t>
      </w:r>
      <w:r>
        <w:t>22</w:t>
      </w:r>
      <w:r w:rsidRPr="00B42ACC">
        <w:t xml:space="preserve"> compared </w:t>
      </w:r>
      <w:r w:rsidR="007E06B3">
        <w:t>with</w:t>
      </w:r>
      <w:r w:rsidRPr="00B42ACC">
        <w:t xml:space="preserve"> 46.5% in 2016</w:t>
      </w:r>
      <w:r w:rsidR="005E4BCF">
        <w:t>–</w:t>
      </w:r>
      <w:r w:rsidRPr="00B42ACC">
        <w:t>17). This suggests a potential substitutability level between 23</w:t>
      </w:r>
      <w:r>
        <w:noBreakHyphen/>
      </w:r>
      <w:r w:rsidRPr="00B42ACC">
        <w:t>27%, consistent with the 23</w:t>
      </w:r>
      <w:r w:rsidR="005E4BCF">
        <w:t>–</w:t>
      </w:r>
      <w:r w:rsidRPr="00B42ACC">
        <w:t>28% range identified in the 2020 Review. As this range is an upper bound, the 15% substitutability level decided by the Commission during the 2020 Review still appears appropriate to use.</w:t>
      </w:r>
    </w:p>
    <w:p w14:paraId="69229A5E" w14:textId="77777777" w:rsidR="008C1F5E" w:rsidRPr="007A3C93" w:rsidRDefault="008C1F5E" w:rsidP="008C1F5E">
      <w:pPr>
        <w:pStyle w:val="Heading4"/>
      </w:pPr>
      <w:r w:rsidRPr="007A3C93">
        <w:t>Non-admitted patients</w:t>
      </w:r>
    </w:p>
    <w:p w14:paraId="6F88E8BA" w14:textId="77777777" w:rsidR="008C1F5E" w:rsidRPr="00B42ACC" w:rsidRDefault="008C1F5E" w:rsidP="00191F60">
      <w:pPr>
        <w:pStyle w:val="CGC2025ParaNumbers"/>
      </w:pPr>
      <w:r>
        <w:t>Many of the pre-hospital, post-hospital and clinical treatments in the non-admitted patients component are also provided by the non-state sector. The Commission has previously considered that the potential substitutability of these services is high, although out-of-pocket costs may limit the use of these services.</w:t>
      </w:r>
    </w:p>
    <w:p w14:paraId="72552CF1" w14:textId="50FE8069" w:rsidR="008C1F5E" w:rsidRPr="007A3C93" w:rsidRDefault="008C1F5E" w:rsidP="008C1F5E">
      <w:pPr>
        <w:pStyle w:val="Heading5"/>
      </w:pPr>
      <w:r w:rsidRPr="007A3C93">
        <w:t>Updating the substitutability level</w:t>
      </w:r>
    </w:p>
    <w:p w14:paraId="48A9FFAE" w14:textId="78180BAB" w:rsidR="008C1F5E" w:rsidRPr="00C03144" w:rsidRDefault="008C1F5E" w:rsidP="002E60A1">
      <w:pPr>
        <w:pStyle w:val="CGC2025ParaNumbers"/>
      </w:pPr>
      <w:r>
        <w:t xml:space="preserve">Data on non-admitted patient service provision were updated to 2020-21 and the substitutability level was re-calculated. Compared to the 2020 Review, there were only small changes in the substitutability for each group of non-admitted patient services. The updated substitutability levels are presented in </w:t>
      </w:r>
      <w:r>
        <w:fldChar w:fldCharType="begin"/>
      </w:r>
      <w:r>
        <w:instrText xml:space="preserve"> REF _Ref133843959 \h </w:instrText>
      </w:r>
      <w:r>
        <w:fldChar w:fldCharType="separate"/>
      </w:r>
      <w:r w:rsidR="00312054" w:rsidRPr="005539BF">
        <w:t>Table A</w:t>
      </w:r>
      <w:r w:rsidR="00312054">
        <w:rPr>
          <w:noProof/>
        </w:rPr>
        <w:t>1</w:t>
      </w:r>
      <w:r>
        <w:fldChar w:fldCharType="end"/>
      </w:r>
      <w:r>
        <w:t>.</w:t>
      </w:r>
    </w:p>
    <w:p w14:paraId="3CC27FDE" w14:textId="78BBC4BE" w:rsidR="008C1F5E" w:rsidRPr="00C03144" w:rsidRDefault="008C1F5E" w:rsidP="002E60A1">
      <w:pPr>
        <w:pStyle w:val="CGC2025ParaNumbers"/>
      </w:pPr>
      <w:r>
        <w:t>If the same method is applied as in the 2020 Review (a 50% discount, as about half of non-admitted patient services are linked to a previous hospital attendance), the substitutability level would be 32% (</w:t>
      </w:r>
      <w:r>
        <w:fldChar w:fldCharType="begin"/>
      </w:r>
      <w:r>
        <w:instrText xml:space="preserve"> REF _Ref133843982 \h </w:instrText>
      </w:r>
      <w:r>
        <w:fldChar w:fldCharType="separate"/>
      </w:r>
      <w:r w:rsidR="00312054" w:rsidRPr="00544A37">
        <w:rPr>
          <w:bCs/>
        </w:rPr>
        <w:t>Table A</w:t>
      </w:r>
      <w:r w:rsidR="00312054">
        <w:rPr>
          <w:bCs/>
          <w:noProof/>
        </w:rPr>
        <w:t>2</w:t>
      </w:r>
      <w:r>
        <w:fldChar w:fldCharType="end"/>
      </w:r>
      <w:r>
        <w:t>).</w:t>
      </w:r>
    </w:p>
    <w:p w14:paraId="0CB03055" w14:textId="56E589C6" w:rsidR="008C1F5E" w:rsidRPr="00544A37" w:rsidRDefault="008C1F5E" w:rsidP="00544A37">
      <w:pPr>
        <w:pStyle w:val="CGC2025Caption"/>
        <w:ind w:left="1134" w:hanging="1134"/>
        <w:rPr>
          <w:bCs/>
        </w:rPr>
      </w:pPr>
      <w:bookmarkStart w:id="110" w:name="_Ref133843982"/>
      <w:r w:rsidRPr="00544A37">
        <w:rPr>
          <w:bCs/>
        </w:rPr>
        <w:t>Table A</w:t>
      </w:r>
      <w:r w:rsidRPr="00544A37">
        <w:rPr>
          <w:bCs/>
        </w:rPr>
        <w:fldChar w:fldCharType="begin"/>
      </w:r>
      <w:r w:rsidRPr="00544A37">
        <w:rPr>
          <w:bCs/>
        </w:rPr>
        <w:instrText xml:space="preserve"> SEQ Table_A \* ARABIC </w:instrText>
      </w:r>
      <w:r w:rsidRPr="00544A37">
        <w:rPr>
          <w:bCs/>
        </w:rPr>
        <w:fldChar w:fldCharType="separate"/>
      </w:r>
      <w:r w:rsidR="00312054">
        <w:rPr>
          <w:bCs/>
          <w:noProof/>
        </w:rPr>
        <w:t>2</w:t>
      </w:r>
      <w:r w:rsidRPr="00544A37">
        <w:rPr>
          <w:bCs/>
        </w:rPr>
        <w:fldChar w:fldCharType="end"/>
      </w:r>
      <w:bookmarkEnd w:id="110"/>
      <w:r w:rsidRPr="00544A37">
        <w:rPr>
          <w:bCs/>
        </w:rPr>
        <w:tab/>
        <w:t>Estimation of state expenditure for each group of non-admitted patient services, 2025 Review</w:t>
      </w:r>
    </w:p>
    <w:tbl>
      <w:tblPr>
        <w:tblW w:w="0" w:type="auto"/>
        <w:tblLayout w:type="fixed"/>
        <w:tblLook w:val="04A0" w:firstRow="1" w:lastRow="0" w:firstColumn="1" w:lastColumn="0" w:noHBand="0" w:noVBand="1"/>
      </w:tblPr>
      <w:tblGrid>
        <w:gridCol w:w="2181"/>
        <w:gridCol w:w="229"/>
        <w:gridCol w:w="709"/>
        <w:gridCol w:w="1276"/>
        <w:gridCol w:w="1275"/>
        <w:gridCol w:w="1418"/>
        <w:gridCol w:w="1536"/>
      </w:tblGrid>
      <w:tr w:rsidR="008C1F5E" w:rsidRPr="00FF5BF7" w14:paraId="67157044" w14:textId="77777777">
        <w:trPr>
          <w:trHeight w:val="357"/>
        </w:trPr>
        <w:tc>
          <w:tcPr>
            <w:tcW w:w="2181" w:type="dxa"/>
            <w:tcBorders>
              <w:top w:val="nil"/>
              <w:left w:val="nil"/>
              <w:bottom w:val="nil"/>
              <w:right w:val="nil"/>
            </w:tcBorders>
            <w:shd w:val="clear" w:color="000000" w:fill="006991"/>
            <w:vAlign w:val="bottom"/>
            <w:hideMark/>
          </w:tcPr>
          <w:p w14:paraId="5E3AE7B2" w14:textId="77777777" w:rsidR="008C1F5E" w:rsidRPr="0065360D" w:rsidRDefault="008C1F5E">
            <w:pPr>
              <w:keepNext/>
              <w:keepLines/>
              <w:widowControl w:val="0"/>
              <w:tabs>
                <w:tab w:val="clear" w:pos="567"/>
              </w:tabs>
              <w:spacing w:before="0" w:line="240" w:lineRule="auto"/>
              <w:rPr>
                <w:rFonts w:eastAsia="Times New Roman" w:cs="Open Sans Light"/>
                <w:b/>
                <w:color w:val="FFFFFF"/>
                <w:sz w:val="16"/>
                <w:szCs w:val="16"/>
                <w:lang w:eastAsia="en-AU"/>
              </w:rPr>
            </w:pPr>
            <w:r w:rsidRPr="0065360D">
              <w:rPr>
                <w:rFonts w:eastAsia="Times New Roman" w:cs="Open Sans Light"/>
                <w:b/>
                <w:color w:val="FFFFFF"/>
                <w:sz w:val="16"/>
                <w:szCs w:val="16"/>
                <w:lang w:eastAsia="en-AU"/>
              </w:rPr>
              <w:t> Group of services</w:t>
            </w:r>
          </w:p>
        </w:tc>
        <w:tc>
          <w:tcPr>
            <w:tcW w:w="938" w:type="dxa"/>
            <w:gridSpan w:val="2"/>
            <w:tcBorders>
              <w:top w:val="nil"/>
              <w:left w:val="nil"/>
              <w:bottom w:val="nil"/>
              <w:right w:val="nil"/>
            </w:tcBorders>
            <w:shd w:val="clear" w:color="000000" w:fill="006991"/>
            <w:vAlign w:val="bottom"/>
            <w:hideMark/>
          </w:tcPr>
          <w:p w14:paraId="14D7880F" w14:textId="77777777" w:rsidR="008C1F5E" w:rsidRPr="0065360D" w:rsidRDefault="008C1F5E">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65360D">
              <w:rPr>
                <w:rFonts w:eastAsia="Times New Roman" w:cs="Open Sans Light"/>
                <w:b/>
                <w:color w:val="FFFFFF"/>
                <w:sz w:val="16"/>
                <w:szCs w:val="16"/>
                <w:lang w:eastAsia="en-AU"/>
              </w:rPr>
              <w:t>Share of activity</w:t>
            </w:r>
          </w:p>
        </w:tc>
        <w:tc>
          <w:tcPr>
            <w:tcW w:w="1276" w:type="dxa"/>
            <w:tcBorders>
              <w:top w:val="nil"/>
              <w:left w:val="nil"/>
              <w:bottom w:val="nil"/>
              <w:right w:val="nil"/>
            </w:tcBorders>
            <w:shd w:val="clear" w:color="000000" w:fill="006991"/>
            <w:vAlign w:val="bottom"/>
            <w:hideMark/>
          </w:tcPr>
          <w:p w14:paraId="2B8B6C9C" w14:textId="77777777" w:rsidR="008C1F5E" w:rsidRPr="0065360D" w:rsidRDefault="008C1F5E">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65360D">
              <w:rPr>
                <w:rFonts w:eastAsia="Times New Roman" w:cs="Open Sans Light"/>
                <w:b/>
                <w:color w:val="FFFFFF"/>
                <w:sz w:val="16"/>
                <w:szCs w:val="16"/>
                <w:lang w:eastAsia="en-AU"/>
              </w:rPr>
              <w:t>Average expenditure</w:t>
            </w:r>
          </w:p>
        </w:tc>
        <w:tc>
          <w:tcPr>
            <w:tcW w:w="1275" w:type="dxa"/>
            <w:tcBorders>
              <w:top w:val="nil"/>
              <w:left w:val="nil"/>
              <w:bottom w:val="nil"/>
              <w:right w:val="nil"/>
            </w:tcBorders>
            <w:shd w:val="clear" w:color="000000" w:fill="006991"/>
            <w:vAlign w:val="bottom"/>
            <w:hideMark/>
          </w:tcPr>
          <w:p w14:paraId="1ED26940" w14:textId="552A37D1" w:rsidR="008C1F5E" w:rsidRPr="0065360D" w:rsidRDefault="008C1F5E">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65360D">
              <w:rPr>
                <w:rFonts w:eastAsia="Times New Roman" w:cs="Open Sans Light"/>
                <w:b/>
                <w:color w:val="FFFFFF"/>
                <w:sz w:val="16"/>
                <w:szCs w:val="16"/>
                <w:lang w:eastAsia="en-AU"/>
              </w:rPr>
              <w:t>Estimated share of expenditure</w:t>
            </w:r>
            <w:r w:rsidR="004E2081" w:rsidRPr="004E2081">
              <w:rPr>
                <w:rFonts w:eastAsia="Times New Roman" w:cs="Open Sans Light"/>
                <w:b/>
                <w:color w:val="FFFFFF"/>
                <w:sz w:val="16"/>
                <w:szCs w:val="16"/>
                <w:vertAlign w:val="superscript"/>
                <w:lang w:eastAsia="en-AU"/>
              </w:rPr>
              <w:t>(a)</w:t>
            </w:r>
            <w:r w:rsidRPr="0065360D">
              <w:rPr>
                <w:rFonts w:eastAsia="Times New Roman" w:cs="Open Sans Light"/>
                <w:b/>
                <w:color w:val="FFFFFF"/>
                <w:sz w:val="16"/>
                <w:szCs w:val="16"/>
                <w:lang w:eastAsia="en-AU"/>
              </w:rPr>
              <w:t xml:space="preserve"> </w:t>
            </w:r>
          </w:p>
        </w:tc>
        <w:tc>
          <w:tcPr>
            <w:tcW w:w="1418" w:type="dxa"/>
            <w:tcBorders>
              <w:top w:val="nil"/>
              <w:left w:val="nil"/>
              <w:bottom w:val="nil"/>
              <w:right w:val="nil"/>
            </w:tcBorders>
            <w:shd w:val="clear" w:color="000000" w:fill="006991"/>
            <w:vAlign w:val="bottom"/>
            <w:hideMark/>
          </w:tcPr>
          <w:p w14:paraId="091C8828" w14:textId="77777777" w:rsidR="008C1F5E" w:rsidRPr="0065360D" w:rsidRDefault="008C1F5E">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65360D">
              <w:rPr>
                <w:rFonts w:eastAsia="Times New Roman" w:cs="Open Sans Light"/>
                <w:b/>
                <w:color w:val="FFFFFF"/>
                <w:sz w:val="16"/>
                <w:szCs w:val="16"/>
                <w:lang w:eastAsia="en-AU"/>
              </w:rPr>
              <w:t>Substitutable service available</w:t>
            </w:r>
          </w:p>
        </w:tc>
        <w:tc>
          <w:tcPr>
            <w:tcW w:w="1536" w:type="dxa"/>
            <w:tcBorders>
              <w:top w:val="nil"/>
              <w:left w:val="nil"/>
              <w:bottom w:val="nil"/>
              <w:right w:val="nil"/>
            </w:tcBorders>
            <w:shd w:val="clear" w:color="000000" w:fill="006991"/>
            <w:vAlign w:val="bottom"/>
            <w:hideMark/>
          </w:tcPr>
          <w:p w14:paraId="26A01A15" w14:textId="649E1BA8" w:rsidR="008C1F5E" w:rsidRPr="0065360D" w:rsidRDefault="008C1F5E">
            <w:pPr>
              <w:keepNext/>
              <w:keepLines/>
              <w:widowControl w:val="0"/>
              <w:tabs>
                <w:tab w:val="clear" w:pos="567"/>
              </w:tabs>
              <w:spacing w:before="0" w:line="240" w:lineRule="auto"/>
              <w:jc w:val="right"/>
              <w:rPr>
                <w:rFonts w:eastAsia="Times New Roman" w:cs="Open Sans Light"/>
                <w:b/>
                <w:color w:val="FFFFFF"/>
                <w:sz w:val="16"/>
                <w:szCs w:val="16"/>
                <w:lang w:eastAsia="en-AU"/>
              </w:rPr>
            </w:pPr>
            <w:r w:rsidRPr="0065360D">
              <w:rPr>
                <w:rFonts w:eastAsia="Times New Roman" w:cs="Open Sans Light"/>
                <w:b/>
                <w:color w:val="FFFFFF"/>
                <w:sz w:val="16"/>
                <w:szCs w:val="16"/>
                <w:lang w:eastAsia="en-AU"/>
              </w:rPr>
              <w:t xml:space="preserve">Expenditure </w:t>
            </w:r>
            <w:proofErr w:type="spellStart"/>
            <w:r w:rsidRPr="0065360D">
              <w:rPr>
                <w:rFonts w:eastAsia="Times New Roman" w:cs="Open Sans Light"/>
                <w:b/>
                <w:color w:val="FFFFFF"/>
                <w:sz w:val="16"/>
                <w:szCs w:val="16"/>
                <w:lang w:eastAsia="en-AU"/>
              </w:rPr>
              <w:t>w</w:t>
            </w:r>
            <w:r w:rsidR="007D5134">
              <w:rPr>
                <w:rFonts w:eastAsia="Times New Roman" w:cs="Open Sans Light"/>
                <w:b/>
                <w:color w:val="FFFFFF"/>
                <w:sz w:val="16"/>
                <w:szCs w:val="16"/>
                <w:lang w:eastAsia="en-AU"/>
              </w:rPr>
              <w:t>td</w:t>
            </w:r>
            <w:proofErr w:type="spellEnd"/>
            <w:r w:rsidR="007D5134">
              <w:rPr>
                <w:rFonts w:eastAsia="Times New Roman" w:cs="Open Sans Light"/>
                <w:b/>
                <w:color w:val="FFFFFF"/>
                <w:sz w:val="16"/>
                <w:szCs w:val="16"/>
                <w:lang w:eastAsia="en-AU"/>
              </w:rPr>
              <w:t>.</w:t>
            </w:r>
            <w:r w:rsidRPr="0065360D">
              <w:rPr>
                <w:rFonts w:eastAsia="Times New Roman" w:cs="Open Sans Light"/>
                <w:b/>
                <w:color w:val="FFFFFF"/>
                <w:sz w:val="16"/>
                <w:szCs w:val="16"/>
                <w:lang w:eastAsia="en-AU"/>
              </w:rPr>
              <w:t xml:space="preserve"> substitutability level</w:t>
            </w:r>
          </w:p>
        </w:tc>
      </w:tr>
      <w:tr w:rsidR="008C1F5E" w:rsidRPr="00FF5BF7" w14:paraId="2FBBB57B" w14:textId="77777777">
        <w:trPr>
          <w:trHeight w:val="243"/>
        </w:trPr>
        <w:tc>
          <w:tcPr>
            <w:tcW w:w="2181" w:type="dxa"/>
            <w:tcBorders>
              <w:top w:val="single" w:sz="4" w:space="0" w:color="ADD6EA"/>
              <w:left w:val="nil"/>
              <w:bottom w:val="nil"/>
              <w:right w:val="nil"/>
            </w:tcBorders>
            <w:shd w:val="clear" w:color="000000" w:fill="B6D5E4"/>
            <w:vAlign w:val="center"/>
            <w:hideMark/>
          </w:tcPr>
          <w:p w14:paraId="3C80DC56" w14:textId="77777777" w:rsidR="008C1F5E" w:rsidRPr="0065360D" w:rsidRDefault="008C1F5E">
            <w:pPr>
              <w:keepNext/>
              <w:keepLines/>
              <w:widowControl w:val="0"/>
              <w:tabs>
                <w:tab w:val="clear" w:pos="567"/>
              </w:tabs>
              <w:spacing w:before="0" w:line="240" w:lineRule="auto"/>
              <w:rPr>
                <w:rFonts w:eastAsia="Times New Roman" w:cs="Open Sans Light"/>
                <w:b/>
                <w:color w:val="000000"/>
                <w:sz w:val="16"/>
                <w:szCs w:val="16"/>
                <w:lang w:eastAsia="en-AU"/>
              </w:rPr>
            </w:pPr>
            <w:r w:rsidRPr="0065360D">
              <w:rPr>
                <w:rFonts w:eastAsia="Times New Roman" w:cs="Open Sans Light"/>
                <w:b/>
                <w:color w:val="000000"/>
                <w:sz w:val="16"/>
                <w:szCs w:val="16"/>
                <w:lang w:eastAsia="en-AU"/>
              </w:rPr>
              <w:t> </w:t>
            </w:r>
          </w:p>
        </w:tc>
        <w:tc>
          <w:tcPr>
            <w:tcW w:w="938" w:type="dxa"/>
            <w:gridSpan w:val="2"/>
            <w:tcBorders>
              <w:top w:val="single" w:sz="4" w:space="0" w:color="ADD6EA"/>
              <w:left w:val="nil"/>
              <w:bottom w:val="nil"/>
              <w:right w:val="nil"/>
            </w:tcBorders>
            <w:shd w:val="clear" w:color="000000" w:fill="B6D5E4"/>
            <w:noWrap/>
            <w:vAlign w:val="center"/>
            <w:hideMark/>
          </w:tcPr>
          <w:p w14:paraId="36919DD8" w14:textId="77777777" w:rsidR="008C1F5E" w:rsidRPr="0065360D" w:rsidRDefault="008C1F5E">
            <w:pPr>
              <w:keepNext/>
              <w:keepLines/>
              <w:widowControl w:val="0"/>
              <w:tabs>
                <w:tab w:val="clear" w:pos="567"/>
              </w:tabs>
              <w:spacing w:before="0" w:line="240" w:lineRule="auto"/>
              <w:jc w:val="right"/>
              <w:rPr>
                <w:rFonts w:eastAsia="Times New Roman" w:cs="Open Sans Light"/>
                <w:b/>
                <w:color w:val="000000"/>
                <w:sz w:val="16"/>
                <w:szCs w:val="16"/>
                <w:lang w:eastAsia="en-AU"/>
              </w:rPr>
            </w:pPr>
            <w:r w:rsidRPr="0065360D">
              <w:rPr>
                <w:rFonts w:eastAsia="Times New Roman" w:cs="Open Sans Light"/>
                <w:b/>
                <w:color w:val="000000"/>
                <w:sz w:val="16"/>
                <w:szCs w:val="16"/>
                <w:lang w:eastAsia="en-AU"/>
              </w:rPr>
              <w:t>%</w:t>
            </w:r>
          </w:p>
        </w:tc>
        <w:tc>
          <w:tcPr>
            <w:tcW w:w="1276" w:type="dxa"/>
            <w:tcBorders>
              <w:top w:val="single" w:sz="4" w:space="0" w:color="ADD6EA"/>
              <w:left w:val="nil"/>
              <w:bottom w:val="nil"/>
              <w:right w:val="nil"/>
            </w:tcBorders>
            <w:shd w:val="clear" w:color="000000" w:fill="B6D5E4"/>
            <w:noWrap/>
            <w:vAlign w:val="center"/>
            <w:hideMark/>
          </w:tcPr>
          <w:p w14:paraId="0B612FB4" w14:textId="77777777" w:rsidR="008C1F5E" w:rsidRPr="0065360D" w:rsidRDefault="008C1F5E">
            <w:pPr>
              <w:keepNext/>
              <w:keepLines/>
              <w:widowControl w:val="0"/>
              <w:tabs>
                <w:tab w:val="clear" w:pos="567"/>
              </w:tabs>
              <w:spacing w:before="0" w:line="240" w:lineRule="auto"/>
              <w:jc w:val="right"/>
              <w:rPr>
                <w:rFonts w:eastAsia="Times New Roman" w:cs="Open Sans Light"/>
                <w:b/>
                <w:color w:val="000000"/>
                <w:sz w:val="16"/>
                <w:szCs w:val="16"/>
                <w:lang w:eastAsia="en-AU"/>
              </w:rPr>
            </w:pPr>
            <w:r w:rsidRPr="0065360D">
              <w:rPr>
                <w:rFonts w:eastAsia="Times New Roman" w:cs="Open Sans Light"/>
                <w:b/>
                <w:color w:val="000000"/>
                <w:sz w:val="16"/>
                <w:szCs w:val="16"/>
                <w:lang w:eastAsia="en-AU"/>
              </w:rPr>
              <w:t>$pc</w:t>
            </w:r>
          </w:p>
        </w:tc>
        <w:tc>
          <w:tcPr>
            <w:tcW w:w="1275" w:type="dxa"/>
            <w:tcBorders>
              <w:top w:val="single" w:sz="4" w:space="0" w:color="ADD6EA"/>
              <w:left w:val="nil"/>
              <w:bottom w:val="nil"/>
              <w:right w:val="nil"/>
            </w:tcBorders>
            <w:shd w:val="clear" w:color="000000" w:fill="B6D5E4"/>
            <w:noWrap/>
            <w:vAlign w:val="center"/>
            <w:hideMark/>
          </w:tcPr>
          <w:p w14:paraId="2A6FC3C4" w14:textId="77777777" w:rsidR="008C1F5E" w:rsidRPr="0065360D" w:rsidRDefault="008C1F5E">
            <w:pPr>
              <w:keepNext/>
              <w:keepLines/>
              <w:widowControl w:val="0"/>
              <w:tabs>
                <w:tab w:val="clear" w:pos="567"/>
              </w:tabs>
              <w:spacing w:before="0" w:line="240" w:lineRule="auto"/>
              <w:jc w:val="right"/>
              <w:rPr>
                <w:rFonts w:eastAsia="Times New Roman" w:cs="Open Sans Light"/>
                <w:b/>
                <w:color w:val="000000"/>
                <w:sz w:val="16"/>
                <w:szCs w:val="16"/>
                <w:lang w:eastAsia="en-AU"/>
              </w:rPr>
            </w:pPr>
            <w:r w:rsidRPr="0065360D">
              <w:rPr>
                <w:rFonts w:eastAsia="Times New Roman" w:cs="Open Sans Light"/>
                <w:b/>
                <w:color w:val="000000"/>
                <w:sz w:val="16"/>
                <w:szCs w:val="16"/>
                <w:lang w:eastAsia="en-AU"/>
              </w:rPr>
              <w:t>%</w:t>
            </w:r>
          </w:p>
        </w:tc>
        <w:tc>
          <w:tcPr>
            <w:tcW w:w="1418" w:type="dxa"/>
            <w:tcBorders>
              <w:top w:val="single" w:sz="4" w:space="0" w:color="ADD6EA"/>
              <w:left w:val="nil"/>
              <w:bottom w:val="nil"/>
              <w:right w:val="nil"/>
            </w:tcBorders>
            <w:shd w:val="clear" w:color="000000" w:fill="B6D5E4"/>
            <w:noWrap/>
            <w:vAlign w:val="center"/>
          </w:tcPr>
          <w:p w14:paraId="1CB5F299" w14:textId="77777777" w:rsidR="008C1F5E" w:rsidRPr="0065360D" w:rsidRDefault="008C1F5E">
            <w:pPr>
              <w:keepNext/>
              <w:keepLines/>
              <w:widowControl w:val="0"/>
              <w:tabs>
                <w:tab w:val="clear" w:pos="567"/>
              </w:tabs>
              <w:spacing w:before="0" w:line="240" w:lineRule="auto"/>
              <w:jc w:val="right"/>
              <w:rPr>
                <w:rFonts w:eastAsia="Times New Roman" w:cs="Open Sans Light"/>
                <w:b/>
                <w:color w:val="000000"/>
                <w:sz w:val="16"/>
                <w:szCs w:val="16"/>
                <w:lang w:eastAsia="en-AU"/>
              </w:rPr>
            </w:pPr>
          </w:p>
        </w:tc>
        <w:tc>
          <w:tcPr>
            <w:tcW w:w="1536" w:type="dxa"/>
            <w:tcBorders>
              <w:top w:val="single" w:sz="4" w:space="0" w:color="ADD6EA"/>
              <w:left w:val="nil"/>
              <w:bottom w:val="nil"/>
              <w:right w:val="nil"/>
            </w:tcBorders>
            <w:shd w:val="clear" w:color="000000" w:fill="B6D5E4"/>
            <w:noWrap/>
            <w:vAlign w:val="center"/>
          </w:tcPr>
          <w:p w14:paraId="0B289A7F" w14:textId="77777777" w:rsidR="008C1F5E" w:rsidRPr="0065360D" w:rsidRDefault="008C1F5E">
            <w:pPr>
              <w:keepNext/>
              <w:keepLines/>
              <w:widowControl w:val="0"/>
              <w:tabs>
                <w:tab w:val="clear" w:pos="567"/>
              </w:tabs>
              <w:spacing w:before="0" w:line="240" w:lineRule="auto"/>
              <w:jc w:val="right"/>
              <w:rPr>
                <w:rFonts w:eastAsia="Times New Roman" w:cs="Open Sans Light"/>
                <w:b/>
                <w:color w:val="000000"/>
                <w:sz w:val="16"/>
                <w:szCs w:val="16"/>
                <w:lang w:eastAsia="en-AU"/>
              </w:rPr>
            </w:pPr>
            <w:r w:rsidRPr="0065360D">
              <w:rPr>
                <w:rFonts w:eastAsia="Times New Roman" w:cs="Open Sans Light"/>
                <w:b/>
                <w:color w:val="000000"/>
                <w:sz w:val="16"/>
                <w:szCs w:val="16"/>
                <w:lang w:eastAsia="en-AU"/>
              </w:rPr>
              <w:t>%</w:t>
            </w:r>
          </w:p>
        </w:tc>
      </w:tr>
      <w:tr w:rsidR="008C1F5E" w:rsidRPr="00C33555" w14:paraId="6BD6CB5C" w14:textId="77777777">
        <w:trPr>
          <w:trHeight w:val="300"/>
        </w:trPr>
        <w:tc>
          <w:tcPr>
            <w:tcW w:w="2181" w:type="dxa"/>
            <w:tcBorders>
              <w:top w:val="single" w:sz="4" w:space="0" w:color="ADD6EA"/>
              <w:left w:val="nil"/>
              <w:bottom w:val="nil"/>
              <w:right w:val="nil"/>
            </w:tcBorders>
            <w:shd w:val="clear" w:color="auto" w:fill="auto"/>
            <w:vAlign w:val="center"/>
          </w:tcPr>
          <w:p w14:paraId="4F2E0421" w14:textId="77777777" w:rsidR="008C1F5E" w:rsidRPr="00A319A4" w:rsidRDefault="008C1F5E">
            <w:pPr>
              <w:keepNext/>
              <w:keepLines/>
              <w:widowControl w:val="0"/>
              <w:tabs>
                <w:tab w:val="clear" w:pos="567"/>
              </w:tabs>
              <w:spacing w:before="0" w:line="240" w:lineRule="auto"/>
              <w:rPr>
                <w:rFonts w:eastAsia="Times New Roman" w:cs="Open Sans Light"/>
                <w:color w:val="000000"/>
                <w:sz w:val="16"/>
                <w:szCs w:val="16"/>
                <w:lang w:eastAsia="en-AU"/>
              </w:rPr>
            </w:pPr>
            <w:r w:rsidRPr="00A319A4">
              <w:rPr>
                <w:rFonts w:eastAsia="Times New Roman" w:cs="Open Sans Light"/>
                <w:color w:val="000000"/>
                <w:sz w:val="16"/>
                <w:szCs w:val="16"/>
                <w:lang w:eastAsia="en-AU"/>
              </w:rPr>
              <w:t>Procedure clinics</w:t>
            </w:r>
          </w:p>
        </w:tc>
        <w:tc>
          <w:tcPr>
            <w:tcW w:w="938" w:type="dxa"/>
            <w:gridSpan w:val="2"/>
            <w:tcBorders>
              <w:top w:val="single" w:sz="4" w:space="0" w:color="ADD6EA"/>
              <w:left w:val="nil"/>
              <w:bottom w:val="nil"/>
              <w:right w:val="nil"/>
            </w:tcBorders>
            <w:shd w:val="clear" w:color="auto" w:fill="auto"/>
            <w:noWrap/>
            <w:vAlign w:val="center"/>
          </w:tcPr>
          <w:p w14:paraId="336134AA"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10</w:t>
            </w:r>
          </w:p>
        </w:tc>
        <w:tc>
          <w:tcPr>
            <w:tcW w:w="1276" w:type="dxa"/>
            <w:tcBorders>
              <w:top w:val="single" w:sz="4" w:space="0" w:color="ADD6EA"/>
              <w:left w:val="nil"/>
              <w:bottom w:val="nil"/>
              <w:right w:val="nil"/>
            </w:tcBorders>
            <w:shd w:val="clear" w:color="auto" w:fill="auto"/>
            <w:noWrap/>
            <w:vAlign w:val="center"/>
          </w:tcPr>
          <w:p w14:paraId="332E2CF5"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675</w:t>
            </w:r>
          </w:p>
        </w:tc>
        <w:tc>
          <w:tcPr>
            <w:tcW w:w="1275" w:type="dxa"/>
            <w:tcBorders>
              <w:top w:val="single" w:sz="4" w:space="0" w:color="ADD6EA"/>
              <w:left w:val="nil"/>
              <w:bottom w:val="nil"/>
              <w:right w:val="nil"/>
            </w:tcBorders>
            <w:shd w:val="clear" w:color="auto" w:fill="auto"/>
            <w:noWrap/>
            <w:vAlign w:val="center"/>
          </w:tcPr>
          <w:p w14:paraId="0D7F8C9F"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19</w:t>
            </w:r>
          </w:p>
        </w:tc>
        <w:tc>
          <w:tcPr>
            <w:tcW w:w="1418" w:type="dxa"/>
            <w:tcBorders>
              <w:top w:val="single" w:sz="4" w:space="0" w:color="ADD6EA"/>
              <w:left w:val="nil"/>
              <w:bottom w:val="nil"/>
              <w:right w:val="nil"/>
            </w:tcBorders>
            <w:shd w:val="clear" w:color="auto" w:fill="auto"/>
            <w:noWrap/>
            <w:vAlign w:val="center"/>
          </w:tcPr>
          <w:p w14:paraId="71426C87"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Yes</w:t>
            </w:r>
          </w:p>
        </w:tc>
        <w:tc>
          <w:tcPr>
            <w:tcW w:w="1536" w:type="dxa"/>
            <w:tcBorders>
              <w:top w:val="single" w:sz="4" w:space="0" w:color="ADD6EA"/>
              <w:left w:val="nil"/>
              <w:bottom w:val="nil"/>
              <w:right w:val="nil"/>
            </w:tcBorders>
            <w:shd w:val="clear" w:color="auto" w:fill="auto"/>
            <w:noWrap/>
            <w:vAlign w:val="center"/>
          </w:tcPr>
          <w:p w14:paraId="1C4A5CCC"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19</w:t>
            </w:r>
          </w:p>
        </w:tc>
      </w:tr>
      <w:tr w:rsidR="008C1F5E" w:rsidRPr="00C33555" w14:paraId="33EEB849" w14:textId="77777777">
        <w:trPr>
          <w:trHeight w:val="300"/>
        </w:trPr>
        <w:tc>
          <w:tcPr>
            <w:tcW w:w="2410" w:type="dxa"/>
            <w:gridSpan w:val="2"/>
            <w:tcBorders>
              <w:top w:val="single" w:sz="4" w:space="0" w:color="ADD6EA"/>
              <w:left w:val="nil"/>
              <w:bottom w:val="nil"/>
              <w:right w:val="nil"/>
            </w:tcBorders>
            <w:shd w:val="clear" w:color="auto" w:fill="auto"/>
            <w:vAlign w:val="center"/>
          </w:tcPr>
          <w:p w14:paraId="2A446CAD" w14:textId="77777777" w:rsidR="008C1F5E" w:rsidRPr="00A319A4" w:rsidRDefault="008C1F5E">
            <w:pPr>
              <w:keepNext/>
              <w:keepLines/>
              <w:widowControl w:val="0"/>
              <w:tabs>
                <w:tab w:val="clear" w:pos="567"/>
              </w:tabs>
              <w:spacing w:before="0" w:line="240" w:lineRule="auto"/>
              <w:rPr>
                <w:rFonts w:eastAsia="Times New Roman" w:cs="Open Sans Light"/>
                <w:color w:val="000000"/>
                <w:sz w:val="16"/>
                <w:szCs w:val="16"/>
                <w:lang w:eastAsia="en-AU"/>
              </w:rPr>
            </w:pPr>
            <w:r w:rsidRPr="00A319A4">
              <w:rPr>
                <w:rFonts w:eastAsia="Times New Roman" w:cs="Open Sans Light"/>
                <w:color w:val="000000"/>
                <w:sz w:val="16"/>
                <w:szCs w:val="16"/>
                <w:lang w:eastAsia="en-AU"/>
              </w:rPr>
              <w:t>Medical consultation clinics</w:t>
            </w:r>
            <w:r>
              <w:rPr>
                <w:rFonts w:eastAsia="Times New Roman" w:cs="Open Sans Light"/>
                <w:color w:val="000000"/>
                <w:sz w:val="16"/>
                <w:szCs w:val="16"/>
                <w:lang w:eastAsia="en-AU"/>
              </w:rPr>
              <w:t xml:space="preserve"> </w:t>
            </w:r>
          </w:p>
        </w:tc>
        <w:tc>
          <w:tcPr>
            <w:tcW w:w="709" w:type="dxa"/>
            <w:tcBorders>
              <w:top w:val="single" w:sz="4" w:space="0" w:color="ADD6EA"/>
              <w:left w:val="nil"/>
              <w:bottom w:val="nil"/>
              <w:right w:val="nil"/>
            </w:tcBorders>
            <w:shd w:val="clear" w:color="auto" w:fill="auto"/>
            <w:noWrap/>
            <w:vAlign w:val="center"/>
          </w:tcPr>
          <w:p w14:paraId="1E0A0430"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39</w:t>
            </w:r>
          </w:p>
        </w:tc>
        <w:tc>
          <w:tcPr>
            <w:tcW w:w="1276" w:type="dxa"/>
            <w:tcBorders>
              <w:top w:val="single" w:sz="4" w:space="0" w:color="ADD6EA"/>
              <w:left w:val="nil"/>
              <w:bottom w:val="nil"/>
              <w:right w:val="nil"/>
            </w:tcBorders>
            <w:shd w:val="clear" w:color="auto" w:fill="auto"/>
            <w:noWrap/>
            <w:vAlign w:val="center"/>
          </w:tcPr>
          <w:p w14:paraId="014F6907"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408</w:t>
            </w:r>
          </w:p>
        </w:tc>
        <w:tc>
          <w:tcPr>
            <w:tcW w:w="1275" w:type="dxa"/>
            <w:tcBorders>
              <w:top w:val="single" w:sz="4" w:space="0" w:color="ADD6EA"/>
              <w:left w:val="nil"/>
              <w:bottom w:val="nil"/>
              <w:right w:val="nil"/>
            </w:tcBorders>
            <w:shd w:val="clear" w:color="auto" w:fill="auto"/>
            <w:noWrap/>
            <w:vAlign w:val="center"/>
          </w:tcPr>
          <w:p w14:paraId="5E7CDEE0"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45</w:t>
            </w:r>
          </w:p>
        </w:tc>
        <w:tc>
          <w:tcPr>
            <w:tcW w:w="1418" w:type="dxa"/>
            <w:tcBorders>
              <w:top w:val="single" w:sz="4" w:space="0" w:color="ADD6EA"/>
              <w:left w:val="nil"/>
              <w:bottom w:val="nil"/>
              <w:right w:val="nil"/>
            </w:tcBorders>
            <w:shd w:val="clear" w:color="auto" w:fill="auto"/>
            <w:noWrap/>
            <w:vAlign w:val="center"/>
          </w:tcPr>
          <w:p w14:paraId="777F0D17"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Yes</w:t>
            </w:r>
          </w:p>
        </w:tc>
        <w:tc>
          <w:tcPr>
            <w:tcW w:w="1536" w:type="dxa"/>
            <w:tcBorders>
              <w:top w:val="single" w:sz="4" w:space="0" w:color="ADD6EA"/>
              <w:left w:val="nil"/>
              <w:bottom w:val="nil"/>
              <w:right w:val="nil"/>
            </w:tcBorders>
            <w:shd w:val="clear" w:color="auto" w:fill="auto"/>
            <w:noWrap/>
            <w:vAlign w:val="center"/>
          </w:tcPr>
          <w:p w14:paraId="60262F3A"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45</w:t>
            </w:r>
          </w:p>
        </w:tc>
      </w:tr>
      <w:tr w:rsidR="008C1F5E" w:rsidRPr="00C33555" w14:paraId="3A4BCD74" w14:textId="77777777">
        <w:trPr>
          <w:trHeight w:val="300"/>
        </w:trPr>
        <w:tc>
          <w:tcPr>
            <w:tcW w:w="2181" w:type="dxa"/>
            <w:tcBorders>
              <w:top w:val="single" w:sz="4" w:space="0" w:color="ADD6EA"/>
              <w:left w:val="nil"/>
              <w:bottom w:val="nil"/>
              <w:right w:val="nil"/>
            </w:tcBorders>
            <w:shd w:val="clear" w:color="auto" w:fill="auto"/>
            <w:vAlign w:val="center"/>
          </w:tcPr>
          <w:p w14:paraId="682097CB" w14:textId="77777777" w:rsidR="008C1F5E" w:rsidRPr="00A319A4" w:rsidRDefault="008C1F5E">
            <w:pPr>
              <w:keepNext/>
              <w:keepLines/>
              <w:widowControl w:val="0"/>
              <w:tabs>
                <w:tab w:val="clear" w:pos="567"/>
              </w:tabs>
              <w:spacing w:before="0" w:line="240" w:lineRule="auto"/>
              <w:rPr>
                <w:rFonts w:eastAsia="Times New Roman" w:cs="Open Sans Light"/>
                <w:color w:val="000000"/>
                <w:sz w:val="16"/>
                <w:szCs w:val="16"/>
                <w:lang w:eastAsia="en-AU"/>
              </w:rPr>
            </w:pPr>
            <w:r w:rsidRPr="00A319A4">
              <w:rPr>
                <w:rFonts w:eastAsia="Times New Roman" w:cs="Open Sans Light"/>
                <w:color w:val="000000"/>
                <w:sz w:val="16"/>
                <w:szCs w:val="16"/>
                <w:lang w:eastAsia="en-AU"/>
              </w:rPr>
              <w:t>Allied health clinics</w:t>
            </w:r>
            <w:r>
              <w:rPr>
                <w:rFonts w:eastAsia="Times New Roman" w:cs="Open Sans Light"/>
                <w:color w:val="000000"/>
                <w:sz w:val="16"/>
                <w:szCs w:val="16"/>
                <w:lang w:eastAsia="en-AU"/>
              </w:rPr>
              <w:t xml:space="preserve"> </w:t>
            </w:r>
            <w:r w:rsidRPr="00AF68FA">
              <w:rPr>
                <w:rFonts w:eastAsia="Times New Roman" w:cs="Open Sans Light"/>
                <w:color w:val="000000"/>
                <w:sz w:val="16"/>
                <w:szCs w:val="16"/>
                <w:vertAlign w:val="superscript"/>
                <w:lang w:eastAsia="en-AU"/>
              </w:rPr>
              <w:t>(b)</w:t>
            </w:r>
          </w:p>
        </w:tc>
        <w:tc>
          <w:tcPr>
            <w:tcW w:w="938" w:type="dxa"/>
            <w:gridSpan w:val="2"/>
            <w:tcBorders>
              <w:top w:val="single" w:sz="4" w:space="0" w:color="ADD6EA"/>
              <w:left w:val="nil"/>
              <w:bottom w:val="nil"/>
              <w:right w:val="nil"/>
            </w:tcBorders>
            <w:shd w:val="clear" w:color="auto" w:fill="auto"/>
            <w:noWrap/>
            <w:vAlign w:val="center"/>
          </w:tcPr>
          <w:p w14:paraId="456C2754"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51</w:t>
            </w:r>
          </w:p>
        </w:tc>
        <w:tc>
          <w:tcPr>
            <w:tcW w:w="1276" w:type="dxa"/>
            <w:tcBorders>
              <w:top w:val="single" w:sz="4" w:space="0" w:color="ADD6EA"/>
              <w:left w:val="nil"/>
              <w:bottom w:val="nil"/>
              <w:right w:val="nil"/>
            </w:tcBorders>
            <w:shd w:val="clear" w:color="auto" w:fill="auto"/>
            <w:noWrap/>
            <w:vAlign w:val="center"/>
          </w:tcPr>
          <w:p w14:paraId="612DA086"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254</w:t>
            </w:r>
          </w:p>
        </w:tc>
        <w:tc>
          <w:tcPr>
            <w:tcW w:w="1275" w:type="dxa"/>
            <w:tcBorders>
              <w:top w:val="single" w:sz="4" w:space="0" w:color="ADD6EA"/>
              <w:left w:val="nil"/>
              <w:bottom w:val="nil"/>
              <w:right w:val="nil"/>
            </w:tcBorders>
            <w:shd w:val="clear" w:color="auto" w:fill="auto"/>
            <w:noWrap/>
            <w:vAlign w:val="center"/>
          </w:tcPr>
          <w:p w14:paraId="2E741ACF"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36</w:t>
            </w:r>
          </w:p>
        </w:tc>
        <w:tc>
          <w:tcPr>
            <w:tcW w:w="1418" w:type="dxa"/>
            <w:tcBorders>
              <w:top w:val="single" w:sz="4" w:space="0" w:color="ADD6EA"/>
              <w:left w:val="nil"/>
              <w:bottom w:val="nil"/>
              <w:right w:val="nil"/>
            </w:tcBorders>
            <w:shd w:val="clear" w:color="auto" w:fill="auto"/>
            <w:noWrap/>
            <w:vAlign w:val="center"/>
          </w:tcPr>
          <w:p w14:paraId="373540C8"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No</w:t>
            </w:r>
          </w:p>
        </w:tc>
        <w:tc>
          <w:tcPr>
            <w:tcW w:w="1536" w:type="dxa"/>
            <w:tcBorders>
              <w:top w:val="single" w:sz="4" w:space="0" w:color="ADD6EA"/>
              <w:left w:val="nil"/>
              <w:bottom w:val="nil"/>
              <w:right w:val="nil"/>
            </w:tcBorders>
            <w:shd w:val="clear" w:color="auto" w:fill="auto"/>
            <w:noWrap/>
            <w:vAlign w:val="center"/>
          </w:tcPr>
          <w:p w14:paraId="1102FA5F" w14:textId="77777777" w:rsidR="008C1F5E" w:rsidRPr="00A319A4" w:rsidRDefault="008C1F5E">
            <w:pPr>
              <w:keepNext/>
              <w:keepLines/>
              <w:widowControl w:val="0"/>
              <w:tabs>
                <w:tab w:val="clear" w:pos="567"/>
              </w:tabs>
              <w:spacing w:before="0" w:line="240" w:lineRule="auto"/>
              <w:jc w:val="right"/>
              <w:rPr>
                <w:rFonts w:eastAsia="Times New Roman" w:cs="Open Sans Light"/>
                <w:color w:val="000000"/>
                <w:sz w:val="16"/>
                <w:szCs w:val="18"/>
                <w:lang w:eastAsia="en-AU"/>
              </w:rPr>
            </w:pPr>
            <w:r w:rsidRPr="00A319A4">
              <w:rPr>
                <w:rFonts w:eastAsia="Times New Roman" w:cs="Open Sans Light"/>
                <w:color w:val="000000"/>
                <w:sz w:val="16"/>
                <w:szCs w:val="18"/>
                <w:lang w:eastAsia="en-AU"/>
              </w:rPr>
              <w:t>0</w:t>
            </w:r>
          </w:p>
        </w:tc>
      </w:tr>
      <w:tr w:rsidR="008C1F5E" w:rsidRPr="00747472" w14:paraId="62E28365" w14:textId="77777777">
        <w:trPr>
          <w:trHeight w:val="300"/>
        </w:trPr>
        <w:tc>
          <w:tcPr>
            <w:tcW w:w="2181" w:type="dxa"/>
            <w:tcBorders>
              <w:top w:val="single" w:sz="4" w:space="0" w:color="ADD6EA"/>
              <w:left w:val="nil"/>
              <w:bottom w:val="nil"/>
              <w:right w:val="nil"/>
            </w:tcBorders>
            <w:shd w:val="clear" w:color="000000" w:fill="D6E7F0"/>
            <w:vAlign w:val="center"/>
          </w:tcPr>
          <w:p w14:paraId="0915A4CC" w14:textId="77777777" w:rsidR="008C1F5E" w:rsidRPr="00A319A4" w:rsidRDefault="008C1F5E">
            <w:pPr>
              <w:keepNext/>
              <w:keepLines/>
              <w:widowControl w:val="0"/>
              <w:tabs>
                <w:tab w:val="clear" w:pos="567"/>
              </w:tabs>
              <w:spacing w:before="0" w:line="240" w:lineRule="auto"/>
              <w:rPr>
                <w:rFonts w:eastAsia="Times New Roman" w:cs="Open Sans Light"/>
                <w:color w:val="000000"/>
                <w:sz w:val="16"/>
                <w:szCs w:val="16"/>
                <w:lang w:eastAsia="en-AU"/>
              </w:rPr>
            </w:pPr>
            <w:r w:rsidRPr="00A319A4">
              <w:rPr>
                <w:rFonts w:eastAsia="Times New Roman" w:cs="Open Sans Light"/>
                <w:color w:val="000000"/>
                <w:sz w:val="16"/>
                <w:szCs w:val="16"/>
                <w:lang w:eastAsia="en-AU"/>
              </w:rPr>
              <w:t>Total</w:t>
            </w:r>
          </w:p>
        </w:tc>
        <w:tc>
          <w:tcPr>
            <w:tcW w:w="938" w:type="dxa"/>
            <w:gridSpan w:val="2"/>
            <w:tcBorders>
              <w:top w:val="single" w:sz="4" w:space="0" w:color="ADD6EA"/>
              <w:left w:val="nil"/>
              <w:bottom w:val="nil"/>
              <w:right w:val="nil"/>
            </w:tcBorders>
            <w:shd w:val="clear" w:color="000000" w:fill="D6E7F0"/>
            <w:noWrap/>
            <w:vAlign w:val="center"/>
          </w:tcPr>
          <w:p w14:paraId="1E5FEECB" w14:textId="77777777" w:rsidR="008C1F5E" w:rsidRPr="00A319A4" w:rsidRDefault="008C1F5E">
            <w:pPr>
              <w:keepNext/>
              <w:keepLines/>
              <w:widowControl w:val="0"/>
              <w:tabs>
                <w:tab w:val="clear" w:pos="567"/>
              </w:tabs>
              <w:spacing w:before="0" w:line="240" w:lineRule="auto"/>
              <w:jc w:val="right"/>
              <w:rPr>
                <w:rFonts w:eastAsia="Times New Roman" w:cs="Open Sans Light"/>
                <w:b/>
                <w:color w:val="000000"/>
                <w:sz w:val="16"/>
                <w:szCs w:val="18"/>
                <w:highlight w:val="yellow"/>
                <w:lang w:eastAsia="en-AU"/>
              </w:rPr>
            </w:pPr>
          </w:p>
        </w:tc>
        <w:tc>
          <w:tcPr>
            <w:tcW w:w="1276" w:type="dxa"/>
            <w:tcBorders>
              <w:top w:val="single" w:sz="4" w:space="0" w:color="ADD6EA"/>
              <w:left w:val="nil"/>
              <w:bottom w:val="nil"/>
              <w:right w:val="nil"/>
            </w:tcBorders>
            <w:shd w:val="clear" w:color="000000" w:fill="D6E7F0"/>
            <w:noWrap/>
            <w:vAlign w:val="center"/>
          </w:tcPr>
          <w:p w14:paraId="61589C90" w14:textId="77777777" w:rsidR="008C1F5E" w:rsidRPr="00A319A4" w:rsidRDefault="008C1F5E">
            <w:pPr>
              <w:keepNext/>
              <w:keepLines/>
              <w:widowControl w:val="0"/>
              <w:tabs>
                <w:tab w:val="clear" w:pos="567"/>
              </w:tabs>
              <w:spacing w:before="0" w:line="240" w:lineRule="auto"/>
              <w:jc w:val="right"/>
              <w:rPr>
                <w:rFonts w:eastAsia="Times New Roman" w:cs="Open Sans Light"/>
                <w:b/>
                <w:color w:val="000000"/>
                <w:sz w:val="16"/>
                <w:szCs w:val="18"/>
                <w:highlight w:val="yellow"/>
                <w:lang w:eastAsia="en-AU"/>
              </w:rPr>
            </w:pPr>
          </w:p>
        </w:tc>
        <w:tc>
          <w:tcPr>
            <w:tcW w:w="1275" w:type="dxa"/>
            <w:tcBorders>
              <w:top w:val="single" w:sz="4" w:space="0" w:color="ADD6EA"/>
              <w:left w:val="nil"/>
              <w:bottom w:val="nil"/>
              <w:right w:val="nil"/>
            </w:tcBorders>
            <w:shd w:val="clear" w:color="000000" w:fill="D6E7F0"/>
            <w:noWrap/>
            <w:vAlign w:val="center"/>
          </w:tcPr>
          <w:p w14:paraId="1F7B30B5" w14:textId="77777777" w:rsidR="008C1F5E" w:rsidRPr="00A319A4" w:rsidRDefault="008C1F5E">
            <w:pPr>
              <w:keepNext/>
              <w:keepLines/>
              <w:widowControl w:val="0"/>
              <w:tabs>
                <w:tab w:val="clear" w:pos="567"/>
              </w:tabs>
              <w:spacing w:before="0" w:line="240" w:lineRule="auto"/>
              <w:jc w:val="right"/>
              <w:rPr>
                <w:rFonts w:eastAsia="Times New Roman" w:cs="Open Sans Light"/>
                <w:b/>
                <w:color w:val="000000"/>
                <w:sz w:val="16"/>
                <w:szCs w:val="18"/>
                <w:lang w:eastAsia="en-AU"/>
              </w:rPr>
            </w:pPr>
            <w:r w:rsidRPr="00A319A4">
              <w:rPr>
                <w:rFonts w:eastAsia="Times New Roman" w:cs="Open Sans Light"/>
                <w:b/>
                <w:color w:val="000000"/>
                <w:sz w:val="16"/>
                <w:szCs w:val="18"/>
                <w:lang w:eastAsia="en-AU"/>
              </w:rPr>
              <w:t>100</w:t>
            </w:r>
          </w:p>
        </w:tc>
        <w:tc>
          <w:tcPr>
            <w:tcW w:w="1418" w:type="dxa"/>
            <w:tcBorders>
              <w:top w:val="single" w:sz="4" w:space="0" w:color="ADD6EA"/>
              <w:left w:val="nil"/>
              <w:bottom w:val="nil"/>
              <w:right w:val="nil"/>
            </w:tcBorders>
            <w:shd w:val="clear" w:color="000000" w:fill="D6E7F0"/>
            <w:noWrap/>
            <w:vAlign w:val="center"/>
          </w:tcPr>
          <w:p w14:paraId="540854E9" w14:textId="77777777" w:rsidR="008C1F5E" w:rsidRPr="00A319A4" w:rsidRDefault="008C1F5E">
            <w:pPr>
              <w:keepNext/>
              <w:keepLines/>
              <w:widowControl w:val="0"/>
              <w:tabs>
                <w:tab w:val="clear" w:pos="567"/>
              </w:tabs>
              <w:spacing w:before="0" w:line="240" w:lineRule="auto"/>
              <w:jc w:val="right"/>
              <w:rPr>
                <w:rFonts w:eastAsia="Times New Roman" w:cs="Open Sans Light"/>
                <w:b/>
                <w:color w:val="000000"/>
                <w:sz w:val="16"/>
                <w:szCs w:val="18"/>
                <w:lang w:eastAsia="en-AU"/>
              </w:rPr>
            </w:pPr>
          </w:p>
        </w:tc>
        <w:tc>
          <w:tcPr>
            <w:tcW w:w="1536" w:type="dxa"/>
            <w:tcBorders>
              <w:top w:val="single" w:sz="4" w:space="0" w:color="ADD6EA"/>
              <w:left w:val="nil"/>
              <w:bottom w:val="nil"/>
              <w:right w:val="nil"/>
            </w:tcBorders>
            <w:shd w:val="clear" w:color="000000" w:fill="D6E7F0"/>
            <w:noWrap/>
            <w:vAlign w:val="center"/>
          </w:tcPr>
          <w:p w14:paraId="5EAE6195" w14:textId="77777777" w:rsidR="008C1F5E" w:rsidRPr="00A319A4" w:rsidRDefault="008C1F5E">
            <w:pPr>
              <w:keepNext/>
              <w:keepLines/>
              <w:widowControl w:val="0"/>
              <w:tabs>
                <w:tab w:val="clear" w:pos="567"/>
              </w:tabs>
              <w:spacing w:before="0" w:line="240" w:lineRule="auto"/>
              <w:jc w:val="right"/>
              <w:rPr>
                <w:rFonts w:eastAsia="Times New Roman" w:cs="Open Sans Light"/>
                <w:b/>
                <w:color w:val="000000"/>
                <w:sz w:val="16"/>
                <w:szCs w:val="18"/>
                <w:lang w:eastAsia="en-AU"/>
              </w:rPr>
            </w:pPr>
            <w:r w:rsidRPr="00A319A4">
              <w:rPr>
                <w:rFonts w:eastAsia="Times New Roman" w:cs="Open Sans Light"/>
                <w:b/>
                <w:color w:val="000000"/>
                <w:sz w:val="16"/>
                <w:szCs w:val="18"/>
                <w:lang w:eastAsia="en-AU"/>
              </w:rPr>
              <w:t>64</w:t>
            </w:r>
          </w:p>
        </w:tc>
      </w:tr>
    </w:tbl>
    <w:p w14:paraId="26D7939B" w14:textId="6D58DBBD" w:rsidR="008C1F5E" w:rsidRPr="00214433" w:rsidRDefault="008C1F5E" w:rsidP="008A18AD">
      <w:pPr>
        <w:pStyle w:val="CGCTablenote"/>
        <w:ind w:left="709" w:hanging="596"/>
        <w:rPr>
          <w:rFonts w:ascii="Work Sans" w:hAnsi="Work Sans"/>
        </w:rPr>
      </w:pPr>
      <w:r w:rsidRPr="00214433">
        <w:rPr>
          <w:rFonts w:ascii="Work Sans" w:hAnsi="Work Sans"/>
        </w:rPr>
        <w:t>(a)</w:t>
      </w:r>
      <w:r w:rsidRPr="00214433">
        <w:rPr>
          <w:rFonts w:ascii="Work Sans" w:hAnsi="Work Sans"/>
        </w:rPr>
        <w:tab/>
      </w:r>
      <w:r w:rsidR="008A18AD" w:rsidRPr="00214433">
        <w:rPr>
          <w:rFonts w:ascii="Work Sans" w:hAnsi="Work Sans"/>
        </w:rPr>
        <w:tab/>
      </w:r>
      <w:r w:rsidRPr="00214433">
        <w:rPr>
          <w:rFonts w:ascii="Work Sans" w:hAnsi="Work Sans"/>
        </w:rPr>
        <w:t>For each group of services, the share of expenditure is estimated as the proportion of activity times average expenditure, divided by the sum of the proportion of activity times average expenditure.</w:t>
      </w:r>
    </w:p>
    <w:p w14:paraId="374679F3" w14:textId="394EDFE3" w:rsidR="008C1F5E" w:rsidRPr="00214433" w:rsidRDefault="008C1F5E" w:rsidP="008A18AD">
      <w:pPr>
        <w:pStyle w:val="CGCTablenote"/>
        <w:ind w:left="709" w:hanging="596"/>
        <w:rPr>
          <w:rFonts w:ascii="Work Sans" w:hAnsi="Work Sans"/>
        </w:rPr>
      </w:pPr>
      <w:r w:rsidRPr="00214433">
        <w:rPr>
          <w:rFonts w:ascii="Work Sans" w:hAnsi="Work Sans"/>
        </w:rPr>
        <w:t>(b)</w:t>
      </w:r>
      <w:r w:rsidRPr="00214433">
        <w:rPr>
          <w:rFonts w:ascii="Work Sans" w:hAnsi="Work Sans"/>
        </w:rPr>
        <w:tab/>
      </w:r>
      <w:r w:rsidR="008A18AD" w:rsidRPr="00214433">
        <w:rPr>
          <w:rFonts w:ascii="Work Sans" w:hAnsi="Work Sans"/>
        </w:rPr>
        <w:tab/>
      </w:r>
      <w:r w:rsidRPr="00214433">
        <w:rPr>
          <w:rFonts w:ascii="Work Sans" w:hAnsi="Work Sans"/>
        </w:rPr>
        <w:t>Although allied health services are available in the private sector, most are linked to an earlier admitted patient episode and are eligible only for a small number of patients. As a result</w:t>
      </w:r>
      <w:r w:rsidR="000D6DB3" w:rsidRPr="00214433">
        <w:rPr>
          <w:rFonts w:ascii="Work Sans" w:hAnsi="Work Sans"/>
        </w:rPr>
        <w:t>,</w:t>
      </w:r>
      <w:r w:rsidRPr="00214433">
        <w:rPr>
          <w:rFonts w:ascii="Work Sans" w:hAnsi="Work Sans"/>
        </w:rPr>
        <w:t xml:space="preserve"> allied health clinics are generally not considered substitutable.</w:t>
      </w:r>
    </w:p>
    <w:p w14:paraId="25C1348C" w14:textId="77777777" w:rsidR="008C1F5E" w:rsidRPr="00214433" w:rsidRDefault="008C1F5E" w:rsidP="008A18AD">
      <w:pPr>
        <w:pStyle w:val="CGCTablenote"/>
        <w:ind w:left="709" w:hanging="596"/>
        <w:rPr>
          <w:rFonts w:ascii="Work Sans" w:hAnsi="Work Sans"/>
        </w:rPr>
      </w:pPr>
      <w:r w:rsidRPr="00214433">
        <w:rPr>
          <w:rFonts w:ascii="Work Sans" w:hAnsi="Work Sans"/>
        </w:rPr>
        <w:t>Source:</w:t>
      </w:r>
      <w:r w:rsidRPr="00214433">
        <w:rPr>
          <w:rFonts w:ascii="Work Sans" w:hAnsi="Work Sans"/>
        </w:rPr>
        <w:tab/>
      </w:r>
      <w:r w:rsidRPr="00214433">
        <w:rPr>
          <w:rFonts w:ascii="Work Sans" w:hAnsi="Work Sans"/>
        </w:rPr>
        <w:tab/>
        <w:t>Commission calculation based on data from AIHW (2022) Non-admitted patient care tables 2020-21, Table 2.4, and IHACPA (2021) National Hospital Cost Data Collection Cost report: Round 24 Financial Year 2019-20, Table 13.</w:t>
      </w:r>
    </w:p>
    <w:p w14:paraId="0009AD77" w14:textId="18546881" w:rsidR="008C1F5E" w:rsidRPr="00B42ACC" w:rsidRDefault="008C1F5E" w:rsidP="005F4AFC">
      <w:pPr>
        <w:pStyle w:val="CGC2025ParaNumbers"/>
      </w:pPr>
      <w:r>
        <w:lastRenderedPageBreak/>
        <w:t>If the same method is applied as in the 2020 Review (a 50% discount, as about half of non-admitted patient services are linked to a previous hospital attendance), the substitutability level would be 32% (</w:t>
      </w:r>
      <w:r>
        <w:fldChar w:fldCharType="begin"/>
      </w:r>
      <w:r>
        <w:instrText xml:space="preserve"> REF _Ref133843982 \h </w:instrText>
      </w:r>
      <w:r>
        <w:fldChar w:fldCharType="separate"/>
      </w:r>
      <w:r w:rsidR="00312054" w:rsidRPr="00544A37">
        <w:rPr>
          <w:bCs/>
        </w:rPr>
        <w:t>Table A</w:t>
      </w:r>
      <w:r w:rsidR="00312054">
        <w:rPr>
          <w:bCs/>
          <w:noProof/>
        </w:rPr>
        <w:t>2</w:t>
      </w:r>
      <w:r>
        <w:fldChar w:fldCharType="end"/>
      </w:r>
      <w:r w:rsidR="000D6DB3">
        <w:t>)</w:t>
      </w:r>
      <w:r>
        <w:t>.</w:t>
      </w:r>
    </w:p>
    <w:p w14:paraId="0E50501A" w14:textId="09B51669" w:rsidR="008C1F5E" w:rsidRPr="00B42ACC" w:rsidRDefault="008C1F5E" w:rsidP="005F4AFC">
      <w:pPr>
        <w:pStyle w:val="CGC2025ParaNumbers"/>
      </w:pPr>
      <w:r w:rsidRPr="00B42ACC">
        <w:t>In the 2020 Review, an alternative method calculated the substitutability level as in</w:t>
      </w:r>
      <w:r>
        <w:t xml:space="preserve"> </w:t>
      </w:r>
      <w:r w:rsidR="00312054">
        <w:fldChar w:fldCharType="begin"/>
      </w:r>
      <w:r w:rsidR="00312054">
        <w:instrText xml:space="preserve"> REF _Ref133843982 \h </w:instrText>
      </w:r>
      <w:r w:rsidR="00312054">
        <w:fldChar w:fldCharType="separate"/>
      </w:r>
      <w:r w:rsidR="00312054" w:rsidRPr="00544A37">
        <w:rPr>
          <w:bCs/>
        </w:rPr>
        <w:t>Table A</w:t>
      </w:r>
      <w:r w:rsidR="00312054">
        <w:rPr>
          <w:bCs/>
          <w:noProof/>
        </w:rPr>
        <w:t>2</w:t>
      </w:r>
      <w:r w:rsidR="00312054">
        <w:fldChar w:fldCharType="end"/>
      </w:r>
      <w:r w:rsidR="00312054">
        <w:t xml:space="preserve"> </w:t>
      </w:r>
      <w:r w:rsidRPr="00B42ACC">
        <w:t>but also considered the proportion of bulk billed benefits for each sub</w:t>
      </w:r>
      <w:r>
        <w:noBreakHyphen/>
      </w:r>
      <w:r w:rsidRPr="00B42ACC">
        <w:t>component. If this alternative method is applied in the current review, the expenditure weighted substitutability level would be 17.5%.</w:t>
      </w:r>
      <w:r>
        <w:rPr>
          <w:rStyle w:val="FootnoteReference"/>
        </w:rPr>
        <w:footnoteReference w:id="6"/>
      </w:r>
      <w:r w:rsidRPr="00B42ACC">
        <w:t xml:space="preserve"> As done in the previous review, taking the average of the substitutability levels from each method (32% and 17.5%) would result in an average level of 25% for the 2025 Review. </w:t>
      </w:r>
    </w:p>
    <w:p w14:paraId="3A1DACD2" w14:textId="77777777" w:rsidR="008C1F5E" w:rsidRPr="007A3C93" w:rsidRDefault="008C1F5E" w:rsidP="008C1F5E">
      <w:pPr>
        <w:pStyle w:val="Heading4"/>
      </w:pPr>
      <w:r w:rsidRPr="007A3C93">
        <w:t>Community health</w:t>
      </w:r>
    </w:p>
    <w:p w14:paraId="1F7BBE57" w14:textId="4D7FEC5B" w:rsidR="008C1F5E" w:rsidRPr="00B42ACC" w:rsidRDefault="008C1F5E" w:rsidP="005F4AFC">
      <w:pPr>
        <w:pStyle w:val="CGC2025ParaNumbers"/>
      </w:pPr>
      <w:r>
        <w:t xml:space="preserve">Many of the community and public health services assessed in the health category are also provided by </w:t>
      </w:r>
      <w:r w:rsidR="00A949FF">
        <w:t>g</w:t>
      </w:r>
      <w:r>
        <w:t xml:space="preserve">eneral </w:t>
      </w:r>
      <w:r w:rsidR="00A949FF">
        <w:t>p</w:t>
      </w:r>
      <w:r>
        <w:t>ractitioners and other private clinicians. There is strong evidence of a high level of substitutability between the non-state sector and community and public health services.</w:t>
      </w:r>
    </w:p>
    <w:p w14:paraId="6941CCE5" w14:textId="77777777" w:rsidR="008C1F5E" w:rsidRPr="00B42ACC" w:rsidRDefault="008C1F5E" w:rsidP="005F4AFC">
      <w:pPr>
        <w:pStyle w:val="CGC2025ParaNumbers"/>
      </w:pPr>
      <w:r>
        <w:t>However, the heterogeneity of the various community and public health services increases the difficulty in determining the overall level of non-state sector substitutability.</w:t>
      </w:r>
    </w:p>
    <w:p w14:paraId="1C5E5D5D" w14:textId="77777777" w:rsidR="008C1F5E" w:rsidRPr="007A3C93" w:rsidRDefault="008C1F5E" w:rsidP="008C1F5E">
      <w:pPr>
        <w:pStyle w:val="Heading5"/>
      </w:pPr>
      <w:r w:rsidRPr="007A3C93">
        <w:t>Updating the substitutability level</w:t>
      </w:r>
    </w:p>
    <w:p w14:paraId="6B306909" w14:textId="787509C5" w:rsidR="008C1F5E" w:rsidRPr="00B42ACC" w:rsidRDefault="008C1F5E" w:rsidP="005F4AFC">
      <w:pPr>
        <w:pStyle w:val="CGC2025ParaNumbers"/>
      </w:pPr>
      <w:bookmarkStart w:id="111" w:name="_Ref129869918"/>
      <w:r>
        <w:t>For the 2020 Review</w:t>
      </w:r>
      <w:r w:rsidR="004D33BE">
        <w:t>,</w:t>
      </w:r>
      <w:r>
        <w:t xml:space="preserve"> a substitutability range was estimated for individual community health services. These ranges were grouped by no (or nil) substitutability, very low substitutability (0</w:t>
      </w:r>
      <w:r w:rsidR="00743A7D">
        <w:t>–</w:t>
      </w:r>
      <w:r>
        <w:t>20% of activity is substitutable), low substitutability (21</w:t>
      </w:r>
      <w:r w:rsidR="00743A7D">
        <w:t>–</w:t>
      </w:r>
      <w:r>
        <w:t>40%), medium substitutability (41</w:t>
      </w:r>
      <w:r w:rsidR="00743A7D">
        <w:t>–</w:t>
      </w:r>
      <w:r>
        <w:t>60%), high substitutability (61</w:t>
      </w:r>
      <w:r w:rsidR="00743A7D">
        <w:t>–</w:t>
      </w:r>
      <w:r>
        <w:t>80%) and very high substitutability (81</w:t>
      </w:r>
      <w:r w:rsidR="00743A7D">
        <w:t>–</w:t>
      </w:r>
      <w:r>
        <w:t>100%). A summary of the groups of community and public health services and associated substitutability ranges is provided in</w:t>
      </w:r>
      <w:r w:rsidR="009523F2">
        <w:t xml:space="preserve"> </w:t>
      </w:r>
      <w:r>
        <w:fldChar w:fldCharType="begin"/>
      </w:r>
      <w:r>
        <w:instrText xml:space="preserve"> REF _Ref138163350 \h </w:instrText>
      </w:r>
      <w:r>
        <w:fldChar w:fldCharType="separate"/>
      </w:r>
      <w:r w:rsidR="00312054" w:rsidRPr="005539BF">
        <w:t>Table A</w:t>
      </w:r>
      <w:r w:rsidR="00312054">
        <w:rPr>
          <w:noProof/>
        </w:rPr>
        <w:t>3</w:t>
      </w:r>
      <w:r>
        <w:fldChar w:fldCharType="end"/>
      </w:r>
      <w:r>
        <w:t>.</w:t>
      </w:r>
    </w:p>
    <w:p w14:paraId="3B3A7D93" w14:textId="020C9977" w:rsidR="008C1F5E" w:rsidRPr="005539BF" w:rsidRDefault="008C1F5E" w:rsidP="008C1F5E">
      <w:pPr>
        <w:pStyle w:val="Caption"/>
        <w:rPr>
          <w:rFonts w:ascii="Work Sans" w:hAnsi="Work Sans"/>
        </w:rPr>
      </w:pPr>
      <w:bookmarkStart w:id="112" w:name="_Ref138163350"/>
      <w:r w:rsidRPr="005539BF">
        <w:rPr>
          <w:rFonts w:ascii="Work Sans" w:hAnsi="Work Sans"/>
        </w:rPr>
        <w:lastRenderedPageBreak/>
        <w:t>Table A</w:t>
      </w:r>
      <w:r w:rsidRPr="005539BF">
        <w:rPr>
          <w:rFonts w:ascii="Work Sans" w:hAnsi="Work Sans"/>
        </w:rPr>
        <w:fldChar w:fldCharType="begin"/>
      </w:r>
      <w:r w:rsidRPr="005539BF">
        <w:rPr>
          <w:rFonts w:ascii="Work Sans" w:hAnsi="Work Sans"/>
        </w:rPr>
        <w:instrText xml:space="preserve"> SEQ Table_A \* ARABIC </w:instrText>
      </w:r>
      <w:r w:rsidRPr="005539BF">
        <w:rPr>
          <w:rFonts w:ascii="Work Sans" w:hAnsi="Work Sans"/>
        </w:rPr>
        <w:fldChar w:fldCharType="separate"/>
      </w:r>
      <w:r w:rsidR="00312054">
        <w:rPr>
          <w:rFonts w:ascii="Work Sans" w:hAnsi="Work Sans"/>
          <w:noProof/>
        </w:rPr>
        <w:t>3</w:t>
      </w:r>
      <w:r w:rsidRPr="005539BF">
        <w:rPr>
          <w:rFonts w:ascii="Work Sans" w:hAnsi="Work Sans"/>
        </w:rPr>
        <w:fldChar w:fldCharType="end"/>
      </w:r>
      <w:bookmarkEnd w:id="112"/>
      <w:r w:rsidRPr="005539BF">
        <w:rPr>
          <w:rFonts w:ascii="Work Sans" w:hAnsi="Work Sans"/>
        </w:rPr>
        <w:tab/>
        <w:t>Substitutability of community health services, 2020 Review</w:t>
      </w:r>
    </w:p>
    <w:tbl>
      <w:tblPr>
        <w:tblW w:w="8940" w:type="dxa"/>
        <w:tblLayout w:type="fixed"/>
        <w:tblCellMar>
          <w:left w:w="28" w:type="dxa"/>
          <w:right w:w="28" w:type="dxa"/>
        </w:tblCellMar>
        <w:tblLook w:val="04A0" w:firstRow="1" w:lastRow="0" w:firstColumn="1" w:lastColumn="0" w:noHBand="0" w:noVBand="1"/>
      </w:tblPr>
      <w:tblGrid>
        <w:gridCol w:w="3600"/>
        <w:gridCol w:w="1720"/>
        <w:gridCol w:w="1654"/>
        <w:gridCol w:w="1966"/>
      </w:tblGrid>
      <w:tr w:rsidR="008C1F5E" w:rsidRPr="00FC44F2" w14:paraId="78779B83" w14:textId="77777777">
        <w:trPr>
          <w:trHeight w:val="555"/>
        </w:trPr>
        <w:tc>
          <w:tcPr>
            <w:tcW w:w="3600" w:type="dxa"/>
            <w:tcBorders>
              <w:top w:val="nil"/>
              <w:left w:val="nil"/>
              <w:bottom w:val="single" w:sz="2" w:space="0" w:color="ADD6EA"/>
              <w:right w:val="nil"/>
            </w:tcBorders>
            <w:shd w:val="clear" w:color="000000" w:fill="006991"/>
            <w:hideMark/>
          </w:tcPr>
          <w:p w14:paraId="4DF03B41" w14:textId="77777777" w:rsidR="008C1F5E" w:rsidRPr="00FC44F2" w:rsidRDefault="008C1F5E">
            <w:pPr>
              <w:keepNext/>
              <w:keepLines/>
              <w:tabs>
                <w:tab w:val="clear" w:pos="567"/>
              </w:tabs>
              <w:spacing w:before="0" w:line="240" w:lineRule="auto"/>
              <w:ind w:left="142" w:hanging="142"/>
              <w:rPr>
                <w:rFonts w:ascii="Open Sans Semibold" w:eastAsia="Times New Roman" w:hAnsi="Open Sans Semibold" w:cs="Open Sans Semibold"/>
                <w:color w:val="FFFFFF"/>
                <w:sz w:val="16"/>
                <w:szCs w:val="16"/>
                <w:lang w:eastAsia="en-AU"/>
              </w:rPr>
            </w:pPr>
            <w:bookmarkStart w:id="113" w:name="RANGE!A3:D3"/>
            <w:r w:rsidRPr="00FC44F2">
              <w:rPr>
                <w:rFonts w:ascii="Open Sans Semibold" w:eastAsia="Times New Roman" w:hAnsi="Open Sans Semibold" w:cs="Open Sans Semibold"/>
                <w:color w:val="FFFFFF"/>
                <w:sz w:val="16"/>
                <w:szCs w:val="16"/>
                <w:lang w:eastAsia="en-AU"/>
              </w:rPr>
              <w:t>Group of services</w:t>
            </w:r>
            <w:bookmarkEnd w:id="113"/>
          </w:p>
        </w:tc>
        <w:tc>
          <w:tcPr>
            <w:tcW w:w="1720" w:type="dxa"/>
            <w:tcBorders>
              <w:top w:val="nil"/>
              <w:left w:val="nil"/>
              <w:bottom w:val="single" w:sz="2" w:space="0" w:color="ADD6EA"/>
              <w:right w:val="nil"/>
            </w:tcBorders>
            <w:shd w:val="clear" w:color="000000" w:fill="006991"/>
            <w:hideMark/>
          </w:tcPr>
          <w:p w14:paraId="141E1810" w14:textId="77777777" w:rsidR="008C1F5E" w:rsidRPr="00FC44F2" w:rsidRDefault="008C1F5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4F2">
              <w:rPr>
                <w:rFonts w:ascii="Open Sans Semibold" w:eastAsia="Times New Roman" w:hAnsi="Open Sans Semibold" w:cs="Open Sans Semibold"/>
                <w:color w:val="FFFFFF"/>
                <w:sz w:val="16"/>
                <w:szCs w:val="16"/>
                <w:lang w:eastAsia="en-AU"/>
              </w:rPr>
              <w:t>Substitutability range</w:t>
            </w:r>
          </w:p>
        </w:tc>
        <w:tc>
          <w:tcPr>
            <w:tcW w:w="1654" w:type="dxa"/>
            <w:tcBorders>
              <w:top w:val="nil"/>
              <w:left w:val="nil"/>
              <w:bottom w:val="single" w:sz="2" w:space="0" w:color="ADD6EA"/>
              <w:right w:val="nil"/>
            </w:tcBorders>
            <w:shd w:val="clear" w:color="000000" w:fill="006991"/>
            <w:hideMark/>
          </w:tcPr>
          <w:p w14:paraId="618DE36B" w14:textId="77777777" w:rsidR="008C1F5E" w:rsidRPr="00FC44F2" w:rsidRDefault="008C1F5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4F2">
              <w:rPr>
                <w:rFonts w:ascii="Open Sans Semibold" w:eastAsia="Times New Roman" w:hAnsi="Open Sans Semibold" w:cs="Open Sans Semibold"/>
                <w:color w:val="FFFFFF"/>
                <w:sz w:val="16"/>
                <w:szCs w:val="16"/>
                <w:lang w:eastAsia="en-AU"/>
              </w:rPr>
              <w:t xml:space="preserve">Share of expenditure </w:t>
            </w:r>
            <w:r w:rsidRPr="00AF68FA">
              <w:rPr>
                <w:rFonts w:ascii="Open Sans Semibold" w:eastAsia="Times New Roman" w:hAnsi="Open Sans Semibold" w:cs="Open Sans Semibold"/>
                <w:color w:val="FFFFFF"/>
                <w:sz w:val="16"/>
                <w:szCs w:val="16"/>
                <w:vertAlign w:val="superscript"/>
                <w:lang w:eastAsia="en-AU"/>
              </w:rPr>
              <w:t>(a)</w:t>
            </w:r>
          </w:p>
        </w:tc>
        <w:tc>
          <w:tcPr>
            <w:tcW w:w="1966" w:type="dxa"/>
            <w:tcBorders>
              <w:top w:val="nil"/>
              <w:left w:val="nil"/>
              <w:bottom w:val="single" w:sz="2" w:space="0" w:color="ADD6EA"/>
              <w:right w:val="nil"/>
            </w:tcBorders>
            <w:shd w:val="clear" w:color="000000" w:fill="006991"/>
            <w:hideMark/>
          </w:tcPr>
          <w:p w14:paraId="1B5A7643" w14:textId="77777777" w:rsidR="008C1F5E" w:rsidRPr="00FC44F2" w:rsidRDefault="008C1F5E">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4F2">
              <w:rPr>
                <w:rFonts w:ascii="Open Sans Semibold" w:eastAsia="Times New Roman" w:hAnsi="Open Sans Semibold" w:cs="Open Sans Semibold"/>
                <w:color w:val="FFFFFF"/>
                <w:sz w:val="16"/>
                <w:szCs w:val="16"/>
                <w:lang w:eastAsia="en-AU"/>
              </w:rPr>
              <w:t>Expenditure</w:t>
            </w:r>
            <w:r w:rsidRPr="00FC44F2">
              <w:rPr>
                <w:rFonts w:ascii="Open Sans Semibold" w:eastAsia="Times New Roman" w:hAnsi="Open Sans Semibold" w:cs="Open Sans Semibold"/>
                <w:color w:val="FFFFFF"/>
                <w:sz w:val="16"/>
                <w:szCs w:val="16"/>
                <w:lang w:eastAsia="en-AU"/>
              </w:rPr>
              <w:noBreakHyphen/>
              <w:t>weighted substitutability</w:t>
            </w:r>
          </w:p>
        </w:tc>
      </w:tr>
      <w:tr w:rsidR="008C1F5E" w:rsidRPr="00FC44F2" w14:paraId="18924647" w14:textId="77777777">
        <w:trPr>
          <w:trHeight w:val="259"/>
        </w:trPr>
        <w:tc>
          <w:tcPr>
            <w:tcW w:w="3600" w:type="dxa"/>
            <w:tcBorders>
              <w:top w:val="single" w:sz="2" w:space="0" w:color="ADD6EA"/>
              <w:left w:val="nil"/>
              <w:bottom w:val="single" w:sz="2" w:space="0" w:color="ADD6EA"/>
              <w:right w:val="nil"/>
            </w:tcBorders>
            <w:shd w:val="clear" w:color="000000" w:fill="B6D5E4"/>
            <w:vAlign w:val="center"/>
            <w:hideMark/>
          </w:tcPr>
          <w:p w14:paraId="1F95F31E" w14:textId="77777777" w:rsidR="008C1F5E" w:rsidRPr="00FC44F2" w:rsidRDefault="008C1F5E">
            <w:pPr>
              <w:keepNext/>
              <w:keepLines/>
              <w:tabs>
                <w:tab w:val="clear" w:pos="567"/>
              </w:tabs>
              <w:spacing w:before="0" w:line="240" w:lineRule="auto"/>
              <w:ind w:hanging="142"/>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 </w:t>
            </w:r>
          </w:p>
        </w:tc>
        <w:tc>
          <w:tcPr>
            <w:tcW w:w="1720" w:type="dxa"/>
            <w:tcBorders>
              <w:top w:val="single" w:sz="2" w:space="0" w:color="ADD6EA"/>
              <w:left w:val="nil"/>
              <w:bottom w:val="single" w:sz="2" w:space="0" w:color="ADD6EA"/>
              <w:right w:val="nil"/>
            </w:tcBorders>
            <w:shd w:val="clear" w:color="000000" w:fill="B6D5E4"/>
            <w:vAlign w:val="center"/>
            <w:hideMark/>
          </w:tcPr>
          <w:p w14:paraId="569C898F" w14:textId="77777777" w:rsidR="008C1F5E" w:rsidRPr="00FC44F2" w:rsidRDefault="008C1F5E">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w:t>
            </w:r>
          </w:p>
        </w:tc>
        <w:tc>
          <w:tcPr>
            <w:tcW w:w="1654" w:type="dxa"/>
            <w:tcBorders>
              <w:top w:val="single" w:sz="2" w:space="0" w:color="ADD6EA"/>
              <w:left w:val="nil"/>
              <w:bottom w:val="single" w:sz="2" w:space="0" w:color="ADD6EA"/>
              <w:right w:val="nil"/>
            </w:tcBorders>
            <w:shd w:val="clear" w:color="000000" w:fill="B6D5E4"/>
            <w:vAlign w:val="center"/>
            <w:hideMark/>
          </w:tcPr>
          <w:p w14:paraId="4E560D9D" w14:textId="77777777" w:rsidR="008C1F5E" w:rsidRPr="00FC44F2" w:rsidRDefault="008C1F5E">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w:t>
            </w:r>
          </w:p>
        </w:tc>
        <w:tc>
          <w:tcPr>
            <w:tcW w:w="1966" w:type="dxa"/>
            <w:tcBorders>
              <w:top w:val="single" w:sz="2" w:space="0" w:color="ADD6EA"/>
              <w:left w:val="nil"/>
              <w:bottom w:val="single" w:sz="2" w:space="0" w:color="ADD6EA"/>
              <w:right w:val="nil"/>
            </w:tcBorders>
            <w:shd w:val="clear" w:color="000000" w:fill="B6D5E4"/>
            <w:vAlign w:val="center"/>
            <w:hideMark/>
          </w:tcPr>
          <w:p w14:paraId="565511A2" w14:textId="77777777" w:rsidR="008C1F5E" w:rsidRPr="00FC44F2" w:rsidRDefault="008C1F5E">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w:t>
            </w:r>
          </w:p>
        </w:tc>
      </w:tr>
      <w:tr w:rsidR="008C1F5E" w:rsidRPr="00FC44F2" w14:paraId="4DA0DE00"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3E9EBDC7" w14:textId="77777777" w:rsidR="008C1F5E" w:rsidRPr="00FC44F2" w:rsidRDefault="008C1F5E">
            <w:pPr>
              <w:keepNext/>
              <w:keepLines/>
              <w:tabs>
                <w:tab w:val="clear" w:pos="567"/>
              </w:tabs>
              <w:spacing w:before="0" w:line="240" w:lineRule="auto"/>
              <w:ind w:left="142" w:hanging="142"/>
              <w:rPr>
                <w:rFonts w:ascii="Open Sans Semibold" w:eastAsia="Times New Roman" w:hAnsi="Open Sans Semibold" w:cs="Open Sans Semibold"/>
                <w:sz w:val="16"/>
                <w:szCs w:val="16"/>
                <w:lang w:eastAsia="en-AU"/>
              </w:rPr>
            </w:pPr>
            <w:r w:rsidRPr="00FC44F2">
              <w:rPr>
                <w:rFonts w:ascii="Open Sans Semibold" w:eastAsia="Times New Roman" w:hAnsi="Open Sans Semibold" w:cs="Open Sans Semibold"/>
                <w:sz w:val="16"/>
                <w:szCs w:val="16"/>
                <w:lang w:eastAsia="en-AU"/>
              </w:rPr>
              <w:t>Community health services</w:t>
            </w:r>
          </w:p>
        </w:tc>
        <w:tc>
          <w:tcPr>
            <w:tcW w:w="1720" w:type="dxa"/>
            <w:tcBorders>
              <w:top w:val="single" w:sz="2" w:space="0" w:color="ADD6EA"/>
              <w:left w:val="nil"/>
              <w:bottom w:val="single" w:sz="2" w:space="0" w:color="ADD6EA"/>
              <w:right w:val="nil"/>
            </w:tcBorders>
            <w:shd w:val="clear" w:color="000000" w:fill="FFFFFF"/>
            <w:vAlign w:val="bottom"/>
            <w:hideMark/>
          </w:tcPr>
          <w:p w14:paraId="6AE346AB"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c>
          <w:tcPr>
            <w:tcW w:w="1654" w:type="dxa"/>
            <w:tcBorders>
              <w:top w:val="single" w:sz="2" w:space="0" w:color="ADD6EA"/>
              <w:left w:val="nil"/>
              <w:bottom w:val="single" w:sz="2" w:space="0" w:color="ADD6EA"/>
              <w:right w:val="nil"/>
            </w:tcBorders>
            <w:shd w:val="clear" w:color="000000" w:fill="FFFFFF"/>
            <w:vAlign w:val="bottom"/>
            <w:hideMark/>
          </w:tcPr>
          <w:p w14:paraId="2C1B03FC"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c>
          <w:tcPr>
            <w:tcW w:w="1966" w:type="dxa"/>
            <w:tcBorders>
              <w:top w:val="single" w:sz="2" w:space="0" w:color="ADD6EA"/>
              <w:left w:val="nil"/>
              <w:bottom w:val="single" w:sz="2" w:space="0" w:color="ADD6EA"/>
              <w:right w:val="nil"/>
            </w:tcBorders>
            <w:shd w:val="clear" w:color="000000" w:fill="FFFFFF"/>
            <w:vAlign w:val="bottom"/>
            <w:hideMark/>
          </w:tcPr>
          <w:p w14:paraId="2374A9C0"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r>
      <w:tr w:rsidR="008C1F5E" w:rsidRPr="00FC44F2" w14:paraId="4AB57FFB"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2F718922"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Public dental services</w:t>
            </w:r>
          </w:p>
        </w:tc>
        <w:tc>
          <w:tcPr>
            <w:tcW w:w="1720" w:type="dxa"/>
            <w:tcBorders>
              <w:top w:val="single" w:sz="2" w:space="0" w:color="ADD6EA"/>
              <w:left w:val="nil"/>
              <w:bottom w:val="single" w:sz="2" w:space="0" w:color="ADD6EA"/>
              <w:right w:val="nil"/>
            </w:tcBorders>
            <w:shd w:val="clear" w:color="000000" w:fill="FFFFFF"/>
            <w:vAlign w:val="bottom"/>
            <w:hideMark/>
          </w:tcPr>
          <w:p w14:paraId="31A69CBE"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Low (21-40)</w:t>
            </w:r>
          </w:p>
        </w:tc>
        <w:tc>
          <w:tcPr>
            <w:tcW w:w="1654" w:type="dxa"/>
            <w:tcBorders>
              <w:top w:val="single" w:sz="2" w:space="0" w:color="ADD6EA"/>
              <w:left w:val="nil"/>
              <w:bottom w:val="single" w:sz="2" w:space="0" w:color="ADD6EA"/>
              <w:right w:val="nil"/>
            </w:tcBorders>
            <w:shd w:val="clear" w:color="000000" w:fill="FFFFFF"/>
            <w:vAlign w:val="bottom"/>
            <w:hideMark/>
          </w:tcPr>
          <w:p w14:paraId="5FD7F21F"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5</w:t>
            </w:r>
          </w:p>
        </w:tc>
        <w:tc>
          <w:tcPr>
            <w:tcW w:w="1966" w:type="dxa"/>
            <w:tcBorders>
              <w:top w:val="single" w:sz="2" w:space="0" w:color="ADD6EA"/>
              <w:left w:val="nil"/>
              <w:bottom w:val="single" w:sz="2" w:space="0" w:color="ADD6EA"/>
              <w:right w:val="nil"/>
            </w:tcBorders>
            <w:shd w:val="clear" w:color="000000" w:fill="FFFFFF"/>
            <w:vAlign w:val="bottom"/>
            <w:hideMark/>
          </w:tcPr>
          <w:p w14:paraId="7A708BF0"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≈1.4</w:t>
            </w:r>
          </w:p>
        </w:tc>
      </w:tr>
      <w:tr w:rsidR="008C1F5E" w:rsidRPr="00FC44F2" w14:paraId="60064AF9"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2FFB9B86"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Alcohol and other drug services</w:t>
            </w:r>
          </w:p>
        </w:tc>
        <w:tc>
          <w:tcPr>
            <w:tcW w:w="1720" w:type="dxa"/>
            <w:tcBorders>
              <w:top w:val="single" w:sz="2" w:space="0" w:color="ADD6EA"/>
              <w:left w:val="nil"/>
              <w:bottom w:val="single" w:sz="2" w:space="0" w:color="ADD6EA"/>
              <w:right w:val="nil"/>
            </w:tcBorders>
            <w:shd w:val="clear" w:color="000000" w:fill="FFFFFF"/>
            <w:vAlign w:val="bottom"/>
            <w:hideMark/>
          </w:tcPr>
          <w:p w14:paraId="628A2743"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Medium (41-60)</w:t>
            </w:r>
          </w:p>
        </w:tc>
        <w:tc>
          <w:tcPr>
            <w:tcW w:w="1654" w:type="dxa"/>
            <w:tcBorders>
              <w:top w:val="single" w:sz="2" w:space="0" w:color="ADD6EA"/>
              <w:left w:val="nil"/>
              <w:bottom w:val="single" w:sz="2" w:space="0" w:color="ADD6EA"/>
              <w:right w:val="nil"/>
            </w:tcBorders>
            <w:shd w:val="clear" w:color="000000" w:fill="FFFFFF"/>
            <w:vAlign w:val="bottom"/>
            <w:hideMark/>
          </w:tcPr>
          <w:p w14:paraId="69112F65"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4</w:t>
            </w:r>
          </w:p>
        </w:tc>
        <w:tc>
          <w:tcPr>
            <w:tcW w:w="1966" w:type="dxa"/>
            <w:tcBorders>
              <w:top w:val="single" w:sz="2" w:space="0" w:color="ADD6EA"/>
              <w:left w:val="nil"/>
              <w:bottom w:val="single" w:sz="2" w:space="0" w:color="ADD6EA"/>
              <w:right w:val="nil"/>
            </w:tcBorders>
            <w:shd w:val="clear" w:color="000000" w:fill="FFFFFF"/>
            <w:vAlign w:val="bottom"/>
            <w:hideMark/>
          </w:tcPr>
          <w:p w14:paraId="535431C6"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≈2.0</w:t>
            </w:r>
          </w:p>
        </w:tc>
      </w:tr>
      <w:tr w:rsidR="008C1F5E" w:rsidRPr="00FC44F2" w14:paraId="33A07D01"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6C772EB0"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Community mental health services</w:t>
            </w:r>
          </w:p>
        </w:tc>
        <w:tc>
          <w:tcPr>
            <w:tcW w:w="1720" w:type="dxa"/>
            <w:tcBorders>
              <w:top w:val="single" w:sz="2" w:space="0" w:color="ADD6EA"/>
              <w:left w:val="nil"/>
              <w:bottom w:val="single" w:sz="2" w:space="0" w:color="ADD6EA"/>
              <w:right w:val="nil"/>
            </w:tcBorders>
            <w:shd w:val="clear" w:color="000000" w:fill="FFFFFF"/>
            <w:vAlign w:val="bottom"/>
            <w:hideMark/>
          </w:tcPr>
          <w:p w14:paraId="3346F5EC"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Low (21-40)</w:t>
            </w:r>
          </w:p>
        </w:tc>
        <w:tc>
          <w:tcPr>
            <w:tcW w:w="1654" w:type="dxa"/>
            <w:tcBorders>
              <w:top w:val="single" w:sz="2" w:space="0" w:color="ADD6EA"/>
              <w:left w:val="nil"/>
              <w:bottom w:val="single" w:sz="2" w:space="0" w:color="ADD6EA"/>
              <w:right w:val="nil"/>
            </w:tcBorders>
            <w:shd w:val="clear" w:color="000000" w:fill="FFFFFF"/>
            <w:vAlign w:val="bottom"/>
            <w:hideMark/>
          </w:tcPr>
          <w:p w14:paraId="44552C6F"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19</w:t>
            </w:r>
          </w:p>
        </w:tc>
        <w:tc>
          <w:tcPr>
            <w:tcW w:w="1966" w:type="dxa"/>
            <w:tcBorders>
              <w:top w:val="single" w:sz="2" w:space="0" w:color="ADD6EA"/>
              <w:left w:val="nil"/>
              <w:bottom w:val="single" w:sz="2" w:space="0" w:color="ADD6EA"/>
              <w:right w:val="nil"/>
            </w:tcBorders>
            <w:shd w:val="clear" w:color="000000" w:fill="FFFFFF"/>
            <w:vAlign w:val="bottom"/>
            <w:hideMark/>
          </w:tcPr>
          <w:p w14:paraId="12968607"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≈5.6</w:t>
            </w:r>
          </w:p>
        </w:tc>
      </w:tr>
      <w:tr w:rsidR="008C1F5E" w:rsidRPr="00FC44F2" w14:paraId="15F7C0ED"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2EE86DA0"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Other community health services</w:t>
            </w:r>
          </w:p>
        </w:tc>
        <w:tc>
          <w:tcPr>
            <w:tcW w:w="1720" w:type="dxa"/>
            <w:tcBorders>
              <w:top w:val="single" w:sz="2" w:space="0" w:color="ADD6EA"/>
              <w:left w:val="nil"/>
              <w:bottom w:val="single" w:sz="2" w:space="0" w:color="ADD6EA"/>
              <w:right w:val="nil"/>
            </w:tcBorders>
            <w:shd w:val="clear" w:color="000000" w:fill="FFFFFF"/>
            <w:vAlign w:val="bottom"/>
            <w:hideMark/>
          </w:tcPr>
          <w:p w14:paraId="25C259EF"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Very high (81-100)</w:t>
            </w:r>
          </w:p>
        </w:tc>
        <w:tc>
          <w:tcPr>
            <w:tcW w:w="1654" w:type="dxa"/>
            <w:tcBorders>
              <w:top w:val="single" w:sz="2" w:space="0" w:color="ADD6EA"/>
              <w:left w:val="nil"/>
              <w:bottom w:val="single" w:sz="2" w:space="0" w:color="ADD6EA"/>
              <w:right w:val="nil"/>
            </w:tcBorders>
            <w:shd w:val="clear" w:color="000000" w:fill="FFFFFF"/>
            <w:vAlign w:val="bottom"/>
            <w:hideMark/>
          </w:tcPr>
          <w:p w14:paraId="2C00F241"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54</w:t>
            </w:r>
          </w:p>
        </w:tc>
        <w:tc>
          <w:tcPr>
            <w:tcW w:w="1966" w:type="dxa"/>
            <w:tcBorders>
              <w:top w:val="single" w:sz="2" w:space="0" w:color="ADD6EA"/>
              <w:left w:val="nil"/>
              <w:bottom w:val="single" w:sz="2" w:space="0" w:color="ADD6EA"/>
              <w:right w:val="nil"/>
            </w:tcBorders>
            <w:shd w:val="clear" w:color="000000" w:fill="FFFFFF"/>
            <w:vAlign w:val="bottom"/>
            <w:hideMark/>
          </w:tcPr>
          <w:p w14:paraId="3B5A6594"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≈48.3</w:t>
            </w:r>
          </w:p>
        </w:tc>
      </w:tr>
      <w:tr w:rsidR="008C1F5E" w:rsidRPr="00FC44F2" w14:paraId="57F4B31D"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5CB0F5A0" w14:textId="77777777" w:rsidR="008C1F5E" w:rsidRPr="00FC44F2" w:rsidRDefault="008C1F5E">
            <w:pPr>
              <w:keepNext/>
              <w:keepLines/>
              <w:tabs>
                <w:tab w:val="clear" w:pos="567"/>
              </w:tabs>
              <w:spacing w:before="0" w:line="240" w:lineRule="auto"/>
              <w:ind w:left="142" w:hanging="142"/>
              <w:rPr>
                <w:rFonts w:ascii="Open Sans Semibold" w:eastAsia="Times New Roman" w:hAnsi="Open Sans Semibold" w:cs="Open Sans Semibold"/>
                <w:sz w:val="16"/>
                <w:szCs w:val="16"/>
                <w:lang w:eastAsia="en-AU"/>
              </w:rPr>
            </w:pPr>
            <w:r w:rsidRPr="00FC44F2">
              <w:rPr>
                <w:rFonts w:ascii="Open Sans Semibold" w:eastAsia="Times New Roman" w:hAnsi="Open Sans Semibold" w:cs="Open Sans Semibold"/>
                <w:sz w:val="16"/>
                <w:szCs w:val="16"/>
                <w:lang w:eastAsia="en-AU"/>
              </w:rPr>
              <w:t xml:space="preserve">Public health services </w:t>
            </w:r>
          </w:p>
        </w:tc>
        <w:tc>
          <w:tcPr>
            <w:tcW w:w="1720" w:type="dxa"/>
            <w:tcBorders>
              <w:top w:val="single" w:sz="2" w:space="0" w:color="ADD6EA"/>
              <w:left w:val="nil"/>
              <w:bottom w:val="single" w:sz="2" w:space="0" w:color="ADD6EA"/>
              <w:right w:val="nil"/>
            </w:tcBorders>
            <w:shd w:val="clear" w:color="000000" w:fill="FFFFFF"/>
            <w:vAlign w:val="bottom"/>
            <w:hideMark/>
          </w:tcPr>
          <w:p w14:paraId="0BCBD771"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c>
          <w:tcPr>
            <w:tcW w:w="1654" w:type="dxa"/>
            <w:tcBorders>
              <w:top w:val="single" w:sz="2" w:space="0" w:color="ADD6EA"/>
              <w:left w:val="nil"/>
              <w:bottom w:val="single" w:sz="2" w:space="0" w:color="ADD6EA"/>
              <w:right w:val="nil"/>
            </w:tcBorders>
            <w:shd w:val="clear" w:color="000000" w:fill="FFFFFF"/>
            <w:vAlign w:val="bottom"/>
            <w:hideMark/>
          </w:tcPr>
          <w:p w14:paraId="2614B523"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c>
          <w:tcPr>
            <w:tcW w:w="1966" w:type="dxa"/>
            <w:tcBorders>
              <w:top w:val="single" w:sz="2" w:space="0" w:color="ADD6EA"/>
              <w:left w:val="nil"/>
              <w:bottom w:val="single" w:sz="2" w:space="0" w:color="ADD6EA"/>
              <w:right w:val="nil"/>
            </w:tcBorders>
            <w:shd w:val="clear" w:color="000000" w:fill="FFFFFF"/>
            <w:vAlign w:val="bottom"/>
            <w:hideMark/>
          </w:tcPr>
          <w:p w14:paraId="0375C434"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 </w:t>
            </w:r>
          </w:p>
        </w:tc>
      </w:tr>
      <w:tr w:rsidR="008C1F5E" w:rsidRPr="00FC44F2" w14:paraId="6BC4BB17"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61885086"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 xml:space="preserve">Cancer screening </w:t>
            </w:r>
          </w:p>
        </w:tc>
        <w:tc>
          <w:tcPr>
            <w:tcW w:w="1720" w:type="dxa"/>
            <w:tcBorders>
              <w:top w:val="single" w:sz="2" w:space="0" w:color="ADD6EA"/>
              <w:left w:val="nil"/>
              <w:bottom w:val="single" w:sz="2" w:space="0" w:color="ADD6EA"/>
              <w:right w:val="nil"/>
            </w:tcBorders>
            <w:shd w:val="clear" w:color="000000" w:fill="FFFFFF"/>
            <w:vAlign w:val="bottom"/>
            <w:hideMark/>
          </w:tcPr>
          <w:p w14:paraId="45862196"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Medium (41-60)</w:t>
            </w:r>
          </w:p>
        </w:tc>
        <w:tc>
          <w:tcPr>
            <w:tcW w:w="1654" w:type="dxa"/>
            <w:tcBorders>
              <w:top w:val="single" w:sz="2" w:space="0" w:color="ADD6EA"/>
              <w:left w:val="nil"/>
              <w:bottom w:val="single" w:sz="2" w:space="0" w:color="ADD6EA"/>
              <w:right w:val="nil"/>
            </w:tcBorders>
            <w:shd w:val="clear" w:color="000000" w:fill="FFFFFF"/>
            <w:vAlign w:val="bottom"/>
            <w:hideMark/>
          </w:tcPr>
          <w:p w14:paraId="45C34977"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3</w:t>
            </w:r>
          </w:p>
        </w:tc>
        <w:tc>
          <w:tcPr>
            <w:tcW w:w="1966" w:type="dxa"/>
            <w:tcBorders>
              <w:top w:val="single" w:sz="2" w:space="0" w:color="ADD6EA"/>
              <w:left w:val="nil"/>
              <w:bottom w:val="single" w:sz="2" w:space="0" w:color="ADD6EA"/>
              <w:right w:val="nil"/>
            </w:tcBorders>
            <w:shd w:val="clear" w:color="000000" w:fill="FFFFFF"/>
            <w:vAlign w:val="bottom"/>
            <w:hideMark/>
          </w:tcPr>
          <w:p w14:paraId="6FE62921"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≈1.6</w:t>
            </w:r>
          </w:p>
        </w:tc>
      </w:tr>
      <w:tr w:rsidR="008C1F5E" w:rsidRPr="00FC44F2" w14:paraId="48B3E18C"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754A54F8"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Organised immunisation</w:t>
            </w:r>
          </w:p>
        </w:tc>
        <w:tc>
          <w:tcPr>
            <w:tcW w:w="1720" w:type="dxa"/>
            <w:tcBorders>
              <w:top w:val="single" w:sz="2" w:space="0" w:color="ADD6EA"/>
              <w:left w:val="nil"/>
              <w:bottom w:val="single" w:sz="2" w:space="0" w:color="ADD6EA"/>
              <w:right w:val="nil"/>
            </w:tcBorders>
            <w:shd w:val="clear" w:color="000000" w:fill="FFFFFF"/>
            <w:vAlign w:val="bottom"/>
            <w:hideMark/>
          </w:tcPr>
          <w:p w14:paraId="3FAA926C"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High (61-80)</w:t>
            </w:r>
          </w:p>
        </w:tc>
        <w:tc>
          <w:tcPr>
            <w:tcW w:w="1654" w:type="dxa"/>
            <w:tcBorders>
              <w:top w:val="single" w:sz="2" w:space="0" w:color="ADD6EA"/>
              <w:left w:val="nil"/>
              <w:bottom w:val="single" w:sz="2" w:space="0" w:color="ADD6EA"/>
              <w:right w:val="nil"/>
            </w:tcBorders>
            <w:shd w:val="clear" w:color="000000" w:fill="FFFFFF"/>
            <w:vAlign w:val="bottom"/>
            <w:hideMark/>
          </w:tcPr>
          <w:p w14:paraId="0DC01B78"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4</w:t>
            </w:r>
          </w:p>
        </w:tc>
        <w:tc>
          <w:tcPr>
            <w:tcW w:w="1966" w:type="dxa"/>
            <w:tcBorders>
              <w:top w:val="single" w:sz="2" w:space="0" w:color="ADD6EA"/>
              <w:left w:val="nil"/>
              <w:bottom w:val="single" w:sz="2" w:space="0" w:color="ADD6EA"/>
              <w:right w:val="nil"/>
            </w:tcBorders>
            <w:shd w:val="clear" w:color="000000" w:fill="FFFFFF"/>
            <w:vAlign w:val="bottom"/>
            <w:hideMark/>
          </w:tcPr>
          <w:p w14:paraId="1DEA8318"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≈2.9</w:t>
            </w:r>
          </w:p>
        </w:tc>
      </w:tr>
      <w:tr w:rsidR="008C1F5E" w:rsidRPr="00FC44F2" w14:paraId="2BF0425B"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37E089AF"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Health promotion</w:t>
            </w:r>
          </w:p>
        </w:tc>
        <w:tc>
          <w:tcPr>
            <w:tcW w:w="1720" w:type="dxa"/>
            <w:tcBorders>
              <w:top w:val="single" w:sz="2" w:space="0" w:color="ADD6EA"/>
              <w:left w:val="nil"/>
              <w:bottom w:val="single" w:sz="2" w:space="0" w:color="ADD6EA"/>
              <w:right w:val="nil"/>
            </w:tcBorders>
            <w:shd w:val="clear" w:color="000000" w:fill="FFFFFF"/>
            <w:vAlign w:val="bottom"/>
            <w:hideMark/>
          </w:tcPr>
          <w:p w14:paraId="3C0EBF8A"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Very low (0-20)</w:t>
            </w:r>
          </w:p>
        </w:tc>
        <w:tc>
          <w:tcPr>
            <w:tcW w:w="1654" w:type="dxa"/>
            <w:tcBorders>
              <w:top w:val="single" w:sz="2" w:space="0" w:color="ADD6EA"/>
              <w:left w:val="nil"/>
              <w:bottom w:val="single" w:sz="2" w:space="0" w:color="ADD6EA"/>
              <w:right w:val="nil"/>
            </w:tcBorders>
            <w:shd w:val="clear" w:color="000000" w:fill="FFFFFF"/>
            <w:vAlign w:val="bottom"/>
            <w:hideMark/>
          </w:tcPr>
          <w:p w14:paraId="1CD6D71E"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5</w:t>
            </w:r>
          </w:p>
        </w:tc>
        <w:tc>
          <w:tcPr>
            <w:tcW w:w="1966" w:type="dxa"/>
            <w:tcBorders>
              <w:top w:val="single" w:sz="2" w:space="0" w:color="ADD6EA"/>
              <w:left w:val="nil"/>
              <w:bottom w:val="single" w:sz="2" w:space="0" w:color="ADD6EA"/>
              <w:right w:val="nil"/>
            </w:tcBorders>
            <w:shd w:val="clear" w:color="000000" w:fill="FFFFFF"/>
            <w:vAlign w:val="bottom"/>
            <w:hideMark/>
          </w:tcPr>
          <w:p w14:paraId="79076666"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≈0.5</w:t>
            </w:r>
          </w:p>
        </w:tc>
      </w:tr>
      <w:tr w:rsidR="008C1F5E" w:rsidRPr="00FC44F2" w14:paraId="345D2A15"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3B2E54BB"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Communicable disease control</w:t>
            </w:r>
          </w:p>
        </w:tc>
        <w:tc>
          <w:tcPr>
            <w:tcW w:w="1720" w:type="dxa"/>
            <w:tcBorders>
              <w:top w:val="single" w:sz="2" w:space="0" w:color="ADD6EA"/>
              <w:left w:val="nil"/>
              <w:bottom w:val="single" w:sz="2" w:space="0" w:color="ADD6EA"/>
              <w:right w:val="nil"/>
            </w:tcBorders>
            <w:shd w:val="clear" w:color="000000" w:fill="FFFFFF"/>
            <w:vAlign w:val="bottom"/>
            <w:hideMark/>
          </w:tcPr>
          <w:p w14:paraId="7B756232"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Nil</w:t>
            </w:r>
          </w:p>
        </w:tc>
        <w:tc>
          <w:tcPr>
            <w:tcW w:w="1654" w:type="dxa"/>
            <w:tcBorders>
              <w:top w:val="single" w:sz="2" w:space="0" w:color="ADD6EA"/>
              <w:left w:val="nil"/>
              <w:bottom w:val="single" w:sz="2" w:space="0" w:color="ADD6EA"/>
              <w:right w:val="nil"/>
            </w:tcBorders>
            <w:shd w:val="clear" w:color="000000" w:fill="FFFFFF"/>
            <w:vAlign w:val="bottom"/>
            <w:hideMark/>
          </w:tcPr>
          <w:p w14:paraId="61451751"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3</w:t>
            </w:r>
          </w:p>
        </w:tc>
        <w:tc>
          <w:tcPr>
            <w:tcW w:w="1966" w:type="dxa"/>
            <w:tcBorders>
              <w:top w:val="single" w:sz="2" w:space="0" w:color="ADD6EA"/>
              <w:left w:val="nil"/>
              <w:bottom w:val="single" w:sz="2" w:space="0" w:color="ADD6EA"/>
              <w:right w:val="nil"/>
            </w:tcBorders>
            <w:shd w:val="clear" w:color="000000" w:fill="FFFFFF"/>
            <w:vAlign w:val="bottom"/>
            <w:hideMark/>
          </w:tcPr>
          <w:p w14:paraId="329C61B5"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≈0</w:t>
            </w:r>
          </w:p>
        </w:tc>
      </w:tr>
      <w:tr w:rsidR="008C1F5E" w:rsidRPr="00FC44F2" w14:paraId="20E64E22"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75242C7C"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Environmental health</w:t>
            </w:r>
          </w:p>
        </w:tc>
        <w:tc>
          <w:tcPr>
            <w:tcW w:w="1720" w:type="dxa"/>
            <w:tcBorders>
              <w:top w:val="single" w:sz="2" w:space="0" w:color="ADD6EA"/>
              <w:left w:val="nil"/>
              <w:bottom w:val="single" w:sz="2" w:space="0" w:color="ADD6EA"/>
              <w:right w:val="nil"/>
            </w:tcBorders>
            <w:shd w:val="clear" w:color="000000" w:fill="FFFFFF"/>
            <w:vAlign w:val="bottom"/>
            <w:hideMark/>
          </w:tcPr>
          <w:p w14:paraId="07CB8E7B"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Nil</w:t>
            </w:r>
          </w:p>
        </w:tc>
        <w:tc>
          <w:tcPr>
            <w:tcW w:w="1654" w:type="dxa"/>
            <w:tcBorders>
              <w:top w:val="single" w:sz="2" w:space="0" w:color="ADD6EA"/>
              <w:left w:val="nil"/>
              <w:bottom w:val="single" w:sz="2" w:space="0" w:color="ADD6EA"/>
              <w:right w:val="nil"/>
            </w:tcBorders>
            <w:shd w:val="clear" w:color="000000" w:fill="FFFFFF"/>
            <w:vAlign w:val="bottom"/>
            <w:hideMark/>
          </w:tcPr>
          <w:p w14:paraId="2725BADC"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1</w:t>
            </w:r>
          </w:p>
        </w:tc>
        <w:tc>
          <w:tcPr>
            <w:tcW w:w="1966" w:type="dxa"/>
            <w:tcBorders>
              <w:top w:val="single" w:sz="2" w:space="0" w:color="ADD6EA"/>
              <w:left w:val="nil"/>
              <w:bottom w:val="single" w:sz="2" w:space="0" w:color="ADD6EA"/>
              <w:right w:val="nil"/>
            </w:tcBorders>
            <w:shd w:val="clear" w:color="000000" w:fill="FFFFFF"/>
            <w:vAlign w:val="bottom"/>
            <w:hideMark/>
          </w:tcPr>
          <w:p w14:paraId="6D7E49E8"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≈0</w:t>
            </w:r>
          </w:p>
        </w:tc>
      </w:tr>
      <w:tr w:rsidR="008C1F5E" w:rsidRPr="00FC44F2" w14:paraId="6E32185E" w14:textId="77777777">
        <w:trPr>
          <w:trHeight w:val="315"/>
        </w:trPr>
        <w:tc>
          <w:tcPr>
            <w:tcW w:w="3600" w:type="dxa"/>
            <w:tcBorders>
              <w:top w:val="single" w:sz="2" w:space="0" w:color="ADD6EA"/>
              <w:left w:val="nil"/>
              <w:bottom w:val="single" w:sz="2" w:space="0" w:color="ADD6EA"/>
              <w:right w:val="nil"/>
            </w:tcBorders>
            <w:shd w:val="clear" w:color="000000" w:fill="FFFFFF"/>
            <w:vAlign w:val="bottom"/>
            <w:hideMark/>
          </w:tcPr>
          <w:p w14:paraId="3E5023C7" w14:textId="77777777" w:rsidR="008C1F5E" w:rsidRPr="00FC44F2" w:rsidRDefault="008C1F5E">
            <w:pPr>
              <w:keepNext/>
              <w:keepLines/>
              <w:tabs>
                <w:tab w:val="clear" w:pos="567"/>
              </w:tabs>
              <w:spacing w:before="0" w:line="240" w:lineRule="auto"/>
              <w:ind w:firstLineChars="100" w:firstLine="160"/>
              <w:rPr>
                <w:rFonts w:eastAsia="Times New Roman" w:cs="Open Sans Light"/>
                <w:sz w:val="16"/>
                <w:szCs w:val="16"/>
                <w:lang w:eastAsia="en-AU"/>
              </w:rPr>
            </w:pPr>
            <w:r w:rsidRPr="00FC44F2">
              <w:rPr>
                <w:rFonts w:eastAsia="Times New Roman" w:cs="Open Sans Light"/>
                <w:sz w:val="16"/>
                <w:szCs w:val="16"/>
                <w:lang w:eastAsia="en-AU"/>
              </w:rPr>
              <w:t>Other public health services</w:t>
            </w:r>
          </w:p>
        </w:tc>
        <w:tc>
          <w:tcPr>
            <w:tcW w:w="1720" w:type="dxa"/>
            <w:tcBorders>
              <w:top w:val="single" w:sz="2" w:space="0" w:color="ADD6EA"/>
              <w:left w:val="nil"/>
              <w:bottom w:val="single" w:sz="2" w:space="0" w:color="ADD6EA"/>
              <w:right w:val="nil"/>
            </w:tcBorders>
            <w:shd w:val="clear" w:color="000000" w:fill="FFFFFF"/>
            <w:vAlign w:val="bottom"/>
            <w:hideMark/>
          </w:tcPr>
          <w:p w14:paraId="23795054"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Very low (0-20)</w:t>
            </w:r>
          </w:p>
        </w:tc>
        <w:tc>
          <w:tcPr>
            <w:tcW w:w="1654" w:type="dxa"/>
            <w:tcBorders>
              <w:top w:val="single" w:sz="2" w:space="0" w:color="ADD6EA"/>
              <w:left w:val="nil"/>
              <w:bottom w:val="single" w:sz="2" w:space="0" w:color="ADD6EA"/>
              <w:right w:val="nil"/>
            </w:tcBorders>
            <w:shd w:val="clear" w:color="000000" w:fill="FFFFFF"/>
            <w:vAlign w:val="bottom"/>
            <w:hideMark/>
          </w:tcPr>
          <w:p w14:paraId="000B617D"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2</w:t>
            </w:r>
          </w:p>
        </w:tc>
        <w:tc>
          <w:tcPr>
            <w:tcW w:w="1966" w:type="dxa"/>
            <w:tcBorders>
              <w:top w:val="single" w:sz="2" w:space="0" w:color="ADD6EA"/>
              <w:left w:val="nil"/>
              <w:bottom w:val="single" w:sz="2" w:space="0" w:color="ADD6EA"/>
              <w:right w:val="nil"/>
            </w:tcBorders>
            <w:shd w:val="clear" w:color="000000" w:fill="FFFFFF"/>
            <w:vAlign w:val="bottom"/>
            <w:hideMark/>
          </w:tcPr>
          <w:p w14:paraId="4FA7AA03" w14:textId="77777777" w:rsidR="008C1F5E" w:rsidRPr="00FC44F2" w:rsidRDefault="008C1F5E">
            <w:pPr>
              <w:keepNext/>
              <w:keepLines/>
              <w:tabs>
                <w:tab w:val="clear" w:pos="567"/>
              </w:tabs>
              <w:spacing w:before="0" w:line="240" w:lineRule="auto"/>
              <w:jc w:val="right"/>
              <w:rPr>
                <w:rFonts w:eastAsia="Times New Roman" w:cs="Open Sans Light"/>
                <w:sz w:val="16"/>
                <w:szCs w:val="16"/>
                <w:lang w:eastAsia="en-AU"/>
              </w:rPr>
            </w:pPr>
            <w:r w:rsidRPr="00FC44F2">
              <w:rPr>
                <w:rFonts w:eastAsia="Times New Roman" w:cs="Open Sans Light"/>
                <w:sz w:val="16"/>
                <w:szCs w:val="16"/>
                <w:lang w:eastAsia="en-AU"/>
              </w:rPr>
              <w:t>≈0.2</w:t>
            </w:r>
          </w:p>
        </w:tc>
      </w:tr>
      <w:tr w:rsidR="008C1F5E" w:rsidRPr="00FC44F2" w14:paraId="17B53B1E" w14:textId="77777777">
        <w:trPr>
          <w:trHeight w:val="315"/>
        </w:trPr>
        <w:tc>
          <w:tcPr>
            <w:tcW w:w="3600" w:type="dxa"/>
            <w:tcBorders>
              <w:top w:val="single" w:sz="2" w:space="0" w:color="ADD6EA"/>
              <w:left w:val="nil"/>
              <w:bottom w:val="single" w:sz="2" w:space="0" w:color="ADD6EA"/>
              <w:right w:val="nil"/>
            </w:tcBorders>
            <w:shd w:val="clear" w:color="000000" w:fill="D6E7F0"/>
            <w:vAlign w:val="bottom"/>
            <w:hideMark/>
          </w:tcPr>
          <w:p w14:paraId="12DDCF7A" w14:textId="77777777" w:rsidR="008C1F5E" w:rsidRPr="00FC44F2" w:rsidRDefault="008C1F5E">
            <w:pPr>
              <w:keepNext/>
              <w:keepLines/>
              <w:tabs>
                <w:tab w:val="clear" w:pos="567"/>
              </w:tabs>
              <w:spacing w:before="0" w:line="240" w:lineRule="auto"/>
              <w:ind w:left="142" w:hanging="142"/>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Total</w:t>
            </w:r>
          </w:p>
        </w:tc>
        <w:tc>
          <w:tcPr>
            <w:tcW w:w="1720" w:type="dxa"/>
            <w:tcBorders>
              <w:top w:val="single" w:sz="2" w:space="0" w:color="ADD6EA"/>
              <w:left w:val="nil"/>
              <w:bottom w:val="single" w:sz="2" w:space="0" w:color="ADD6EA"/>
              <w:right w:val="nil"/>
            </w:tcBorders>
            <w:shd w:val="clear" w:color="000000" w:fill="D6E7F0"/>
            <w:vAlign w:val="bottom"/>
            <w:hideMark/>
          </w:tcPr>
          <w:p w14:paraId="626D4293" w14:textId="77777777" w:rsidR="008C1F5E" w:rsidRPr="00FC44F2" w:rsidRDefault="008C1F5E">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c>
          <w:tcPr>
            <w:tcW w:w="1654" w:type="dxa"/>
            <w:tcBorders>
              <w:top w:val="single" w:sz="2" w:space="0" w:color="ADD6EA"/>
              <w:left w:val="nil"/>
              <w:bottom w:val="single" w:sz="2" w:space="0" w:color="ADD6EA"/>
              <w:right w:val="nil"/>
            </w:tcBorders>
            <w:shd w:val="clear" w:color="000000" w:fill="D6E7F0"/>
            <w:vAlign w:val="bottom"/>
            <w:hideMark/>
          </w:tcPr>
          <w:p w14:paraId="149FF7A4" w14:textId="77777777" w:rsidR="008C1F5E" w:rsidRPr="00FC44F2" w:rsidRDefault="008C1F5E">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100</w:t>
            </w:r>
          </w:p>
        </w:tc>
        <w:tc>
          <w:tcPr>
            <w:tcW w:w="1966" w:type="dxa"/>
            <w:tcBorders>
              <w:top w:val="single" w:sz="2" w:space="0" w:color="ADD6EA"/>
              <w:left w:val="nil"/>
              <w:bottom w:val="single" w:sz="2" w:space="0" w:color="ADD6EA"/>
              <w:right w:val="nil"/>
            </w:tcBorders>
            <w:shd w:val="clear" w:color="000000" w:fill="D6E7F0"/>
            <w:vAlign w:val="bottom"/>
            <w:hideMark/>
          </w:tcPr>
          <w:p w14:paraId="57EC1A2E" w14:textId="77777777" w:rsidR="008C1F5E" w:rsidRPr="00FC44F2" w:rsidRDefault="008C1F5E">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4F2">
              <w:rPr>
                <w:rFonts w:ascii="Open Sans Semibold" w:eastAsia="Times New Roman" w:hAnsi="Open Sans Semibold" w:cs="Open Sans Semibold"/>
                <w:color w:val="000000"/>
                <w:sz w:val="16"/>
                <w:szCs w:val="16"/>
                <w:lang w:eastAsia="en-AU"/>
              </w:rPr>
              <w:t>≈62.5</w:t>
            </w:r>
          </w:p>
        </w:tc>
      </w:tr>
    </w:tbl>
    <w:p w14:paraId="1EA9B0A9" w14:textId="073F2F87" w:rsidR="008C1F5E" w:rsidRPr="00214433" w:rsidRDefault="008C1F5E" w:rsidP="004120B3">
      <w:pPr>
        <w:pStyle w:val="CGCTablenote"/>
        <w:ind w:left="709" w:hanging="596"/>
        <w:rPr>
          <w:rFonts w:ascii="Work Sans" w:hAnsi="Work Sans"/>
        </w:rPr>
      </w:pPr>
      <w:r w:rsidRPr="00214433">
        <w:rPr>
          <w:rFonts w:ascii="Work Sans" w:hAnsi="Work Sans"/>
        </w:rPr>
        <w:t>(a)</w:t>
      </w:r>
      <w:r w:rsidRPr="00214433">
        <w:rPr>
          <w:rFonts w:ascii="Work Sans" w:hAnsi="Work Sans"/>
        </w:rPr>
        <w:tab/>
      </w:r>
      <w:r w:rsidR="00B55B56">
        <w:rPr>
          <w:rFonts w:ascii="Work Sans" w:hAnsi="Work Sans"/>
        </w:rPr>
        <w:tab/>
      </w:r>
      <w:r w:rsidRPr="00214433">
        <w:rPr>
          <w:rFonts w:ascii="Work Sans" w:hAnsi="Work Sans"/>
        </w:rPr>
        <w:t>The average proportion for 2014</w:t>
      </w:r>
      <w:r w:rsidR="00B55B56">
        <w:rPr>
          <w:rFonts w:ascii="Work Sans" w:hAnsi="Work Sans"/>
        </w:rPr>
        <w:t>–</w:t>
      </w:r>
      <w:r w:rsidRPr="00214433">
        <w:rPr>
          <w:rFonts w:ascii="Work Sans" w:hAnsi="Work Sans"/>
        </w:rPr>
        <w:t>15 and 2015</w:t>
      </w:r>
      <w:r w:rsidR="00B55B56">
        <w:rPr>
          <w:rFonts w:ascii="Work Sans" w:hAnsi="Work Sans"/>
        </w:rPr>
        <w:t>–</w:t>
      </w:r>
      <w:r w:rsidRPr="00214433">
        <w:rPr>
          <w:rFonts w:ascii="Work Sans" w:hAnsi="Work Sans"/>
        </w:rPr>
        <w:t>16.</w:t>
      </w:r>
    </w:p>
    <w:p w14:paraId="6EEB1729" w14:textId="63CB252A" w:rsidR="008C1F5E" w:rsidRPr="00214433" w:rsidRDefault="008C1F5E" w:rsidP="008C1F5E">
      <w:pPr>
        <w:pStyle w:val="CGCTablenote"/>
        <w:rPr>
          <w:rFonts w:ascii="Work Sans" w:hAnsi="Work Sans"/>
        </w:rPr>
      </w:pPr>
      <w:r w:rsidRPr="00214433">
        <w:rPr>
          <w:rFonts w:ascii="Work Sans" w:hAnsi="Work Sans"/>
        </w:rPr>
        <w:t>Source:</w:t>
      </w:r>
      <w:r w:rsidRPr="00214433">
        <w:rPr>
          <w:rFonts w:ascii="Work Sans" w:hAnsi="Work Sans"/>
        </w:rPr>
        <w:tab/>
        <w:t>Volume 2 Chapter 15 – Health of the Report on GST Revenue Sharing Relativities, 2020 Review, Table A15-6</w:t>
      </w:r>
      <w:r w:rsidR="00440195">
        <w:rPr>
          <w:rFonts w:ascii="Work Sans" w:hAnsi="Work Sans"/>
        </w:rPr>
        <w:t>,</w:t>
      </w:r>
      <w:r w:rsidRPr="00214433">
        <w:rPr>
          <w:rFonts w:ascii="Work Sans" w:hAnsi="Work Sans"/>
        </w:rPr>
        <w:t xml:space="preserve"> p178.</w:t>
      </w:r>
    </w:p>
    <w:bookmarkEnd w:id="111"/>
    <w:p w14:paraId="18804BEB" w14:textId="77777777" w:rsidR="008C1F5E" w:rsidRPr="00B42ACC" w:rsidRDefault="008C1F5E" w:rsidP="00263558">
      <w:pPr>
        <w:pStyle w:val="CGC2025ParaNumbers"/>
      </w:pPr>
      <w:r w:rsidRPr="00B42ACC">
        <w:t>These substitutability ranges were weighted by the share of state spending on each community and public health service to get an expenditure-weighted substitutability level. When aggregated across all community and health services a substitutability level of approximately 60% was obtained. This substitutability ratio was applied to the bulk-billed GP benefits paid as a proxy for non</w:t>
      </w:r>
      <w:r>
        <w:noBreakHyphen/>
      </w:r>
      <w:r w:rsidRPr="00B42ACC">
        <w:t>state community health services.</w:t>
      </w:r>
    </w:p>
    <w:p w14:paraId="0CED2D39" w14:textId="77777777" w:rsidR="008C1F5E" w:rsidRPr="007A3C93" w:rsidRDefault="008C1F5E" w:rsidP="00263558">
      <w:pPr>
        <w:pStyle w:val="CGC2025ParaNumbers"/>
      </w:pPr>
      <w:r w:rsidRPr="00B42ACC">
        <w:t>The Commission will request the latest years of data on state spending for each element of community and public health services from the Australian Institute of Health and Welfare. The Commission will work with the Australian Institute of Health and Welfare to investigate the impact of COVID</w:t>
      </w:r>
      <w:r>
        <w:noBreakHyphen/>
      </w:r>
      <w:r w:rsidRPr="00B42ACC">
        <w:t>19 on the data, whether it impacts the fitness for purpose of the data and if it can be used to update the substitutability level for the 2025 Review.</w:t>
      </w:r>
    </w:p>
    <w:bookmarkEnd w:id="109"/>
    <w:p w14:paraId="01EC95B0" w14:textId="77777777" w:rsidR="008C1F5E" w:rsidRPr="00B42ACC" w:rsidRDefault="008C1F5E" w:rsidP="008C1F5E"/>
    <w:p w14:paraId="6B689758" w14:textId="074A8C4E" w:rsidR="005E42F5" w:rsidRDefault="005E42F5">
      <w:pPr>
        <w:tabs>
          <w:tab w:val="clear" w:pos="567"/>
        </w:tabs>
        <w:spacing w:before="0" w:after="200" w:line="276" w:lineRule="auto"/>
        <w:rPr>
          <w:rStyle w:val="Heading2Char"/>
          <w:rFonts w:eastAsiaTheme="minorHAnsi"/>
        </w:rPr>
      </w:pPr>
    </w:p>
    <w:p w14:paraId="49E8715D" w14:textId="77777777" w:rsidR="008C1F5E" w:rsidRDefault="008C1F5E">
      <w:pPr>
        <w:tabs>
          <w:tab w:val="clear" w:pos="567"/>
        </w:tabs>
        <w:spacing w:before="0" w:after="200" w:line="276" w:lineRule="auto"/>
        <w:rPr>
          <w:rStyle w:val="Heading2Char"/>
          <w:rFonts w:eastAsiaTheme="minorHAnsi"/>
        </w:rPr>
      </w:pPr>
      <w:r>
        <w:rPr>
          <w:rStyle w:val="Heading2Char"/>
          <w:rFonts w:eastAsiaTheme="minorHAnsi"/>
        </w:rPr>
        <w:br w:type="page"/>
      </w:r>
    </w:p>
    <w:p w14:paraId="7FEC2FBC" w14:textId="51F5486D" w:rsidR="00FC2B8F" w:rsidRDefault="00FC2B8F" w:rsidP="00FC2B8F">
      <w:pPr>
        <w:pStyle w:val="CGC2025Heading2AttachmentFollower"/>
      </w:pPr>
      <w:bookmarkStart w:id="114" w:name="_Toc138753194"/>
      <w:r w:rsidRPr="00294D2F">
        <w:rPr>
          <w:rStyle w:val="Heading2Char"/>
        </w:rPr>
        <w:lastRenderedPageBreak/>
        <w:t xml:space="preserve">Attachment </w:t>
      </w:r>
      <w:r w:rsidR="00D24BB6">
        <w:rPr>
          <w:rStyle w:val="Heading2Char"/>
        </w:rPr>
        <w:t>B</w:t>
      </w:r>
      <w:r w:rsidRPr="00294D2F">
        <w:rPr>
          <w:rStyle w:val="Heading2Char"/>
        </w:rPr>
        <w:t>:</w:t>
      </w:r>
      <w:r w:rsidRPr="00DB7A2E">
        <w:t xml:space="preserve"> </w:t>
      </w:r>
      <w:r w:rsidR="00E6695B" w:rsidRPr="00E6695B">
        <w:t>Community health: Additional analysis of direct activity measure</w:t>
      </w:r>
      <w:bookmarkEnd w:id="114"/>
    </w:p>
    <w:p w14:paraId="1DBF3954" w14:textId="4EB8DDC8" w:rsidR="007E119B" w:rsidRDefault="00AC7F2F" w:rsidP="007E119B">
      <w:pPr>
        <w:pStyle w:val="CGC2025Caption"/>
        <w:ind w:left="1134" w:hanging="1134"/>
        <w:rPr>
          <w:bCs/>
        </w:rPr>
      </w:pPr>
      <w:bookmarkStart w:id="115" w:name="_Ref138161002"/>
      <w:r w:rsidRPr="007E119B">
        <w:rPr>
          <w:bCs/>
        </w:rPr>
        <w:t>Table B</w:t>
      </w:r>
      <w:r w:rsidRPr="007E119B">
        <w:rPr>
          <w:bCs/>
        </w:rPr>
        <w:fldChar w:fldCharType="begin"/>
      </w:r>
      <w:r w:rsidRPr="007E119B">
        <w:rPr>
          <w:bCs/>
        </w:rPr>
        <w:instrText xml:space="preserve"> SEQ Table_B \* ARABIC </w:instrText>
      </w:r>
      <w:r w:rsidRPr="007E119B">
        <w:rPr>
          <w:bCs/>
        </w:rPr>
        <w:fldChar w:fldCharType="separate"/>
      </w:r>
      <w:r w:rsidR="00312054">
        <w:rPr>
          <w:bCs/>
          <w:noProof/>
        </w:rPr>
        <w:t>1</w:t>
      </w:r>
      <w:r w:rsidRPr="007E119B">
        <w:rPr>
          <w:bCs/>
        </w:rPr>
        <w:fldChar w:fldCharType="end"/>
      </w:r>
      <w:bookmarkEnd w:id="115"/>
      <w:r w:rsidR="00BC6F11" w:rsidRPr="007E119B">
        <w:rPr>
          <w:bCs/>
        </w:rPr>
        <w:tab/>
      </w:r>
      <w:r w:rsidR="007E119B" w:rsidRPr="007E119B">
        <w:rPr>
          <w:bCs/>
        </w:rPr>
        <w:t>Current proxy indicator vs A</w:t>
      </w:r>
      <w:r w:rsidR="005D354D">
        <w:rPr>
          <w:bCs/>
        </w:rPr>
        <w:t xml:space="preserve">IHW </w:t>
      </w:r>
      <w:r w:rsidR="007E119B" w:rsidRPr="007E119B">
        <w:rPr>
          <w:bCs/>
        </w:rPr>
        <w:t>community mental health indicators, 2020</w:t>
      </w:r>
      <w:r w:rsidR="009131F8">
        <w:rPr>
          <w:bCs/>
        </w:rPr>
        <w:t>–</w:t>
      </w:r>
      <w:r w:rsidR="007E119B" w:rsidRPr="007E119B">
        <w:rPr>
          <w:bCs/>
        </w:rPr>
        <w:t>21 (relative per capita activity)</w:t>
      </w:r>
    </w:p>
    <w:tbl>
      <w:tblPr>
        <w:tblW w:w="8647" w:type="dxa"/>
        <w:tblLook w:val="04A0" w:firstRow="1" w:lastRow="0" w:firstColumn="1" w:lastColumn="0" w:noHBand="0" w:noVBand="1"/>
      </w:tblPr>
      <w:tblGrid>
        <w:gridCol w:w="3220"/>
        <w:gridCol w:w="1740"/>
        <w:gridCol w:w="1766"/>
        <w:gridCol w:w="29"/>
        <w:gridCol w:w="1892"/>
      </w:tblGrid>
      <w:tr w:rsidR="00FC7AF8" w:rsidRPr="009D3576" w14:paraId="15CE130D" w14:textId="77777777">
        <w:trPr>
          <w:trHeight w:val="315"/>
        </w:trPr>
        <w:tc>
          <w:tcPr>
            <w:tcW w:w="3220" w:type="dxa"/>
            <w:vMerge w:val="restart"/>
            <w:tcBorders>
              <w:top w:val="nil"/>
              <w:left w:val="nil"/>
              <w:bottom w:val="single" w:sz="4" w:space="0" w:color="ADD6EA"/>
              <w:right w:val="nil"/>
            </w:tcBorders>
            <w:shd w:val="clear" w:color="000000" w:fill="006991"/>
            <w:noWrap/>
            <w:vAlign w:val="bottom"/>
            <w:hideMark/>
          </w:tcPr>
          <w:p w14:paraId="1F89C650" w14:textId="77777777" w:rsidR="00FC7AF8" w:rsidRPr="009D3576" w:rsidRDefault="00FC7AF8">
            <w:pPr>
              <w:tabs>
                <w:tab w:val="clear" w:pos="567"/>
              </w:tabs>
              <w:spacing w:before="0" w:line="240" w:lineRule="auto"/>
              <w:rPr>
                <w:rFonts w:ascii="Work Sans" w:eastAsia="Times New Roman" w:hAnsi="Work Sans" w:cs="Calibri"/>
                <w:color w:val="000000"/>
                <w:sz w:val="16"/>
                <w:szCs w:val="16"/>
                <w:lang w:eastAsia="en-AU"/>
              </w:rPr>
            </w:pPr>
            <w:r w:rsidRPr="009D3576">
              <w:rPr>
                <w:rFonts w:ascii="Work Sans" w:eastAsia="Times New Roman" w:hAnsi="Work Sans" w:cs="Calibri"/>
                <w:color w:val="000000"/>
                <w:sz w:val="16"/>
                <w:szCs w:val="16"/>
                <w:lang w:eastAsia="en-AU"/>
              </w:rPr>
              <w:t> </w:t>
            </w:r>
          </w:p>
        </w:tc>
        <w:tc>
          <w:tcPr>
            <w:tcW w:w="1740" w:type="dxa"/>
            <w:vMerge w:val="restart"/>
            <w:tcBorders>
              <w:top w:val="nil"/>
              <w:left w:val="nil"/>
              <w:bottom w:val="single" w:sz="4" w:space="0" w:color="ADD6EA"/>
              <w:right w:val="nil"/>
            </w:tcBorders>
            <w:shd w:val="clear" w:color="000000" w:fill="006991"/>
            <w:vAlign w:val="center"/>
            <w:hideMark/>
          </w:tcPr>
          <w:p w14:paraId="0389B339" w14:textId="77777777" w:rsidR="00FC7AF8" w:rsidRPr="009D3576" w:rsidRDefault="00FC7AF8">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9D3576">
              <w:rPr>
                <w:rFonts w:ascii="Open Sans Semibold" w:eastAsia="Times New Roman" w:hAnsi="Open Sans Semibold" w:cs="Open Sans Semibold"/>
                <w:color w:val="FFFFFF"/>
                <w:sz w:val="16"/>
                <w:szCs w:val="16"/>
                <w:lang w:eastAsia="en-AU"/>
              </w:rPr>
              <w:t>Current indicator</w:t>
            </w:r>
          </w:p>
        </w:tc>
        <w:tc>
          <w:tcPr>
            <w:tcW w:w="3687" w:type="dxa"/>
            <w:gridSpan w:val="3"/>
            <w:tcBorders>
              <w:top w:val="nil"/>
              <w:left w:val="nil"/>
              <w:bottom w:val="single" w:sz="4" w:space="0" w:color="ADD6EA"/>
              <w:right w:val="nil"/>
            </w:tcBorders>
            <w:shd w:val="clear" w:color="000000" w:fill="006991"/>
            <w:noWrap/>
            <w:vAlign w:val="center"/>
            <w:hideMark/>
          </w:tcPr>
          <w:p w14:paraId="54AD421C" w14:textId="77777777" w:rsidR="00FC7AF8" w:rsidRPr="009D3576" w:rsidRDefault="00FC7AF8">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9D3576">
              <w:rPr>
                <w:rFonts w:ascii="Open Sans Semibold" w:eastAsia="Times New Roman" w:hAnsi="Open Sans Semibold" w:cs="Open Sans Semibold"/>
                <w:color w:val="FFFFFF"/>
                <w:sz w:val="16"/>
                <w:szCs w:val="16"/>
                <w:lang w:eastAsia="en-AU"/>
              </w:rPr>
              <w:t>AIHW community mental health services</w:t>
            </w:r>
          </w:p>
        </w:tc>
      </w:tr>
      <w:tr w:rsidR="00FC7AF8" w:rsidRPr="009D3576" w14:paraId="680D3380" w14:textId="77777777">
        <w:trPr>
          <w:trHeight w:val="315"/>
        </w:trPr>
        <w:tc>
          <w:tcPr>
            <w:tcW w:w="3220" w:type="dxa"/>
            <w:vMerge/>
            <w:tcBorders>
              <w:top w:val="nil"/>
              <w:left w:val="nil"/>
              <w:bottom w:val="single" w:sz="4" w:space="0" w:color="ADD6EA"/>
              <w:right w:val="nil"/>
            </w:tcBorders>
            <w:vAlign w:val="center"/>
            <w:hideMark/>
          </w:tcPr>
          <w:p w14:paraId="1DBD9C43" w14:textId="77777777" w:rsidR="00FC7AF8" w:rsidRPr="009D3576" w:rsidRDefault="00FC7AF8">
            <w:pPr>
              <w:tabs>
                <w:tab w:val="clear" w:pos="567"/>
              </w:tabs>
              <w:spacing w:before="0" w:line="240" w:lineRule="auto"/>
              <w:rPr>
                <w:rFonts w:ascii="Work Sans" w:eastAsia="Times New Roman" w:hAnsi="Work Sans" w:cs="Calibri"/>
                <w:color w:val="000000"/>
                <w:sz w:val="16"/>
                <w:szCs w:val="16"/>
                <w:lang w:eastAsia="en-AU"/>
              </w:rPr>
            </w:pPr>
          </w:p>
        </w:tc>
        <w:tc>
          <w:tcPr>
            <w:tcW w:w="1740" w:type="dxa"/>
            <w:vMerge/>
            <w:tcBorders>
              <w:top w:val="nil"/>
              <w:left w:val="nil"/>
              <w:bottom w:val="single" w:sz="4" w:space="0" w:color="ADD6EA"/>
              <w:right w:val="nil"/>
            </w:tcBorders>
            <w:vAlign w:val="center"/>
            <w:hideMark/>
          </w:tcPr>
          <w:p w14:paraId="0E207535" w14:textId="77777777" w:rsidR="00FC7AF8" w:rsidRPr="009D3576" w:rsidRDefault="00FC7AF8">
            <w:pPr>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1766" w:type="dxa"/>
            <w:tcBorders>
              <w:top w:val="nil"/>
              <w:left w:val="nil"/>
              <w:bottom w:val="single" w:sz="4" w:space="0" w:color="ADD6EA"/>
              <w:right w:val="nil"/>
            </w:tcBorders>
            <w:shd w:val="clear" w:color="000000" w:fill="006991"/>
            <w:noWrap/>
            <w:vAlign w:val="center"/>
            <w:hideMark/>
          </w:tcPr>
          <w:p w14:paraId="0E3D34F2" w14:textId="77777777" w:rsidR="00FC7AF8" w:rsidRPr="009D3576" w:rsidRDefault="00FC7AF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576">
              <w:rPr>
                <w:rFonts w:ascii="Open Sans Semibold" w:eastAsia="Times New Roman" w:hAnsi="Open Sans Semibold" w:cs="Open Sans Semibold"/>
                <w:color w:val="FFFFFF"/>
                <w:sz w:val="16"/>
                <w:szCs w:val="16"/>
                <w:lang w:eastAsia="en-AU"/>
              </w:rPr>
              <w:t>No. of contacts</w:t>
            </w:r>
          </w:p>
        </w:tc>
        <w:tc>
          <w:tcPr>
            <w:tcW w:w="1921" w:type="dxa"/>
            <w:gridSpan w:val="2"/>
            <w:tcBorders>
              <w:top w:val="nil"/>
              <w:left w:val="nil"/>
              <w:bottom w:val="single" w:sz="4" w:space="0" w:color="ADD6EA"/>
              <w:right w:val="nil"/>
            </w:tcBorders>
            <w:shd w:val="clear" w:color="000000" w:fill="006991"/>
            <w:noWrap/>
            <w:vAlign w:val="center"/>
            <w:hideMark/>
          </w:tcPr>
          <w:p w14:paraId="5D24CE5A" w14:textId="77777777" w:rsidR="00FC7AF8" w:rsidRPr="009D3576" w:rsidRDefault="00FC7AF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576">
              <w:rPr>
                <w:rFonts w:ascii="Open Sans Semibold" w:eastAsia="Times New Roman" w:hAnsi="Open Sans Semibold" w:cs="Open Sans Semibold"/>
                <w:color w:val="FFFFFF"/>
                <w:sz w:val="16"/>
                <w:szCs w:val="16"/>
                <w:lang w:eastAsia="en-AU"/>
              </w:rPr>
              <w:t>No. of patients</w:t>
            </w:r>
          </w:p>
        </w:tc>
      </w:tr>
      <w:tr w:rsidR="00FC7AF8" w:rsidRPr="009D3576" w14:paraId="568E43AC" w14:textId="77777777">
        <w:trPr>
          <w:trHeight w:val="259"/>
        </w:trPr>
        <w:tc>
          <w:tcPr>
            <w:tcW w:w="3220" w:type="dxa"/>
            <w:tcBorders>
              <w:top w:val="nil"/>
              <w:left w:val="nil"/>
              <w:bottom w:val="single" w:sz="4" w:space="0" w:color="ADD6EA"/>
              <w:right w:val="nil"/>
            </w:tcBorders>
            <w:shd w:val="clear" w:color="000000" w:fill="D6E7F0"/>
            <w:noWrap/>
            <w:vAlign w:val="bottom"/>
            <w:hideMark/>
          </w:tcPr>
          <w:p w14:paraId="5D7DA96A" w14:textId="77777777" w:rsidR="00FC7AF8" w:rsidRPr="009D3576" w:rsidRDefault="00FC7AF8">
            <w:pPr>
              <w:tabs>
                <w:tab w:val="clear" w:pos="567"/>
              </w:tabs>
              <w:spacing w:before="0" w:line="240" w:lineRule="auto"/>
              <w:rPr>
                <w:rFonts w:ascii="Work Sans" w:eastAsia="Times New Roman" w:hAnsi="Work Sans" w:cs="Calibri"/>
                <w:color w:val="000000"/>
                <w:sz w:val="16"/>
                <w:szCs w:val="16"/>
                <w:lang w:eastAsia="en-AU"/>
              </w:rPr>
            </w:pPr>
            <w:r w:rsidRPr="009D3576">
              <w:rPr>
                <w:rFonts w:ascii="Work Sans" w:eastAsia="Times New Roman" w:hAnsi="Work Sans" w:cs="Calibri"/>
                <w:color w:val="000000"/>
                <w:sz w:val="16"/>
                <w:szCs w:val="16"/>
                <w:lang w:eastAsia="en-AU"/>
              </w:rPr>
              <w:t> </w:t>
            </w:r>
          </w:p>
        </w:tc>
        <w:tc>
          <w:tcPr>
            <w:tcW w:w="1740" w:type="dxa"/>
            <w:tcBorders>
              <w:top w:val="nil"/>
              <w:left w:val="nil"/>
              <w:bottom w:val="single" w:sz="4" w:space="0" w:color="ADD6EA"/>
              <w:right w:val="nil"/>
            </w:tcBorders>
            <w:shd w:val="clear" w:color="000000" w:fill="D6E7F0"/>
            <w:noWrap/>
            <w:vAlign w:val="bottom"/>
            <w:hideMark/>
          </w:tcPr>
          <w:p w14:paraId="38D92146" w14:textId="77777777" w:rsidR="00FC7AF8" w:rsidRDefault="00FC7AF8">
            <w:pPr>
              <w:tabs>
                <w:tab w:val="clear" w:pos="567"/>
              </w:tabs>
              <w:spacing w:before="0" w:line="240" w:lineRule="auto"/>
              <w:jc w:val="right"/>
              <w:rPr>
                <w:rFonts w:ascii="Work Sans" w:eastAsia="Times New Roman" w:hAnsi="Work Sans" w:cs="Calibri"/>
                <w:color w:val="000000"/>
                <w:sz w:val="16"/>
                <w:szCs w:val="16"/>
                <w:lang w:eastAsia="en-AU"/>
              </w:rPr>
            </w:pPr>
            <w:r w:rsidRPr="009D3576">
              <w:rPr>
                <w:rFonts w:ascii="Work Sans" w:eastAsia="Times New Roman" w:hAnsi="Work Sans" w:cs="Calibri"/>
                <w:color w:val="000000"/>
                <w:sz w:val="16"/>
                <w:szCs w:val="16"/>
                <w:lang w:eastAsia="en-AU"/>
              </w:rPr>
              <w:t>%</w:t>
            </w:r>
            <w:r>
              <w:rPr>
                <w:rFonts w:ascii="Work Sans" w:eastAsia="Times New Roman" w:hAnsi="Work Sans" w:cs="Calibri"/>
                <w:color w:val="000000"/>
                <w:sz w:val="16"/>
                <w:szCs w:val="16"/>
                <w:lang w:eastAsia="en-AU"/>
              </w:rPr>
              <w:t>NWAU</w:t>
            </w:r>
            <w:r w:rsidRPr="009D3576">
              <w:rPr>
                <w:rFonts w:ascii="Work Sans" w:eastAsia="Times New Roman" w:hAnsi="Work Sans" w:cs="Calibri"/>
                <w:color w:val="000000"/>
                <w:sz w:val="16"/>
                <w:szCs w:val="16"/>
                <w:lang w:eastAsia="en-AU"/>
              </w:rPr>
              <w:t>/</w:t>
            </w:r>
          </w:p>
          <w:p w14:paraId="7CDE4521" w14:textId="77777777" w:rsidR="00FC7AF8" w:rsidRPr="009D3576" w:rsidRDefault="00FC7AF8">
            <w:pPr>
              <w:tabs>
                <w:tab w:val="clear" w:pos="567"/>
              </w:tabs>
              <w:spacing w:before="0" w:line="240" w:lineRule="auto"/>
              <w:jc w:val="right"/>
              <w:rPr>
                <w:rFonts w:ascii="Work Sans" w:eastAsia="Times New Roman" w:hAnsi="Work Sans" w:cs="Calibri"/>
                <w:color w:val="000000"/>
                <w:sz w:val="16"/>
                <w:szCs w:val="16"/>
                <w:lang w:eastAsia="en-AU"/>
              </w:rPr>
            </w:pPr>
            <w:r w:rsidRPr="009D3576">
              <w:rPr>
                <w:rFonts w:ascii="Work Sans" w:eastAsia="Times New Roman" w:hAnsi="Work Sans" w:cs="Calibri"/>
                <w:color w:val="000000"/>
                <w:sz w:val="16"/>
                <w:szCs w:val="16"/>
                <w:lang w:eastAsia="en-AU"/>
              </w:rPr>
              <w:t>%pop</w:t>
            </w:r>
            <w:r>
              <w:rPr>
                <w:rFonts w:ascii="Work Sans" w:eastAsia="Times New Roman" w:hAnsi="Work Sans" w:cs="Calibri"/>
                <w:color w:val="000000"/>
                <w:sz w:val="16"/>
                <w:szCs w:val="16"/>
                <w:lang w:eastAsia="en-AU"/>
              </w:rPr>
              <w:t>ulation</w:t>
            </w:r>
          </w:p>
        </w:tc>
        <w:tc>
          <w:tcPr>
            <w:tcW w:w="1766" w:type="dxa"/>
            <w:tcBorders>
              <w:top w:val="nil"/>
              <w:left w:val="nil"/>
              <w:bottom w:val="single" w:sz="4" w:space="0" w:color="ADD6EA"/>
              <w:right w:val="nil"/>
            </w:tcBorders>
            <w:shd w:val="clear" w:color="000000" w:fill="D6E7F0"/>
            <w:noWrap/>
            <w:vAlign w:val="bottom"/>
            <w:hideMark/>
          </w:tcPr>
          <w:p w14:paraId="760F06DC" w14:textId="77777777" w:rsidR="00FC7AF8" w:rsidRDefault="00FC7AF8">
            <w:pPr>
              <w:tabs>
                <w:tab w:val="clear" w:pos="567"/>
              </w:tabs>
              <w:spacing w:before="0" w:line="240" w:lineRule="auto"/>
              <w:jc w:val="right"/>
              <w:rPr>
                <w:rFonts w:ascii="Work Sans" w:eastAsia="Times New Roman" w:hAnsi="Work Sans" w:cs="Calibri"/>
                <w:color w:val="000000"/>
                <w:sz w:val="16"/>
                <w:szCs w:val="16"/>
                <w:lang w:eastAsia="en-AU"/>
              </w:rPr>
            </w:pPr>
            <w:r w:rsidRPr="009D3576">
              <w:rPr>
                <w:rFonts w:ascii="Work Sans" w:eastAsia="Times New Roman" w:hAnsi="Work Sans" w:cs="Calibri"/>
                <w:color w:val="000000"/>
                <w:sz w:val="16"/>
                <w:szCs w:val="16"/>
                <w:lang w:eastAsia="en-AU"/>
              </w:rPr>
              <w:t>%contacts/</w:t>
            </w:r>
          </w:p>
          <w:p w14:paraId="39871A23" w14:textId="77777777" w:rsidR="00FC7AF8" w:rsidRPr="009D3576" w:rsidRDefault="00FC7AF8">
            <w:pPr>
              <w:tabs>
                <w:tab w:val="clear" w:pos="567"/>
              </w:tabs>
              <w:spacing w:before="0" w:line="240" w:lineRule="auto"/>
              <w:jc w:val="right"/>
              <w:rPr>
                <w:rFonts w:ascii="Work Sans" w:eastAsia="Times New Roman" w:hAnsi="Work Sans" w:cs="Calibri"/>
                <w:color w:val="000000"/>
                <w:sz w:val="16"/>
                <w:szCs w:val="16"/>
                <w:lang w:eastAsia="en-AU"/>
              </w:rPr>
            </w:pPr>
            <w:r w:rsidRPr="009D3576">
              <w:rPr>
                <w:rFonts w:ascii="Work Sans" w:eastAsia="Times New Roman" w:hAnsi="Work Sans" w:cs="Calibri"/>
                <w:color w:val="000000"/>
                <w:sz w:val="16"/>
                <w:szCs w:val="16"/>
                <w:lang w:eastAsia="en-AU"/>
              </w:rPr>
              <w:t>%pop</w:t>
            </w:r>
            <w:r>
              <w:rPr>
                <w:rFonts w:ascii="Work Sans" w:eastAsia="Times New Roman" w:hAnsi="Work Sans" w:cs="Calibri"/>
                <w:color w:val="000000"/>
                <w:sz w:val="16"/>
                <w:szCs w:val="16"/>
                <w:lang w:eastAsia="en-AU"/>
              </w:rPr>
              <w:t>ulation</w:t>
            </w:r>
          </w:p>
        </w:tc>
        <w:tc>
          <w:tcPr>
            <w:tcW w:w="1921" w:type="dxa"/>
            <w:gridSpan w:val="2"/>
            <w:tcBorders>
              <w:top w:val="nil"/>
              <w:left w:val="nil"/>
              <w:bottom w:val="single" w:sz="4" w:space="0" w:color="ADD6EA"/>
              <w:right w:val="nil"/>
            </w:tcBorders>
            <w:shd w:val="clear" w:color="000000" w:fill="D6E7F0"/>
            <w:noWrap/>
            <w:vAlign w:val="bottom"/>
            <w:hideMark/>
          </w:tcPr>
          <w:p w14:paraId="0F028011" w14:textId="77777777" w:rsidR="00FC7AF8" w:rsidRDefault="00FC7AF8">
            <w:pPr>
              <w:tabs>
                <w:tab w:val="clear" w:pos="567"/>
              </w:tabs>
              <w:spacing w:before="0" w:line="240" w:lineRule="auto"/>
              <w:jc w:val="right"/>
              <w:rPr>
                <w:rFonts w:ascii="Work Sans" w:eastAsia="Times New Roman" w:hAnsi="Work Sans" w:cs="Calibri"/>
                <w:color w:val="000000"/>
                <w:sz w:val="16"/>
                <w:szCs w:val="16"/>
                <w:lang w:eastAsia="en-AU"/>
              </w:rPr>
            </w:pPr>
            <w:r w:rsidRPr="009D3576">
              <w:rPr>
                <w:rFonts w:ascii="Work Sans" w:eastAsia="Times New Roman" w:hAnsi="Work Sans" w:cs="Calibri"/>
                <w:color w:val="000000"/>
                <w:sz w:val="16"/>
                <w:szCs w:val="16"/>
                <w:lang w:eastAsia="en-AU"/>
              </w:rPr>
              <w:t>%patients/</w:t>
            </w:r>
          </w:p>
          <w:p w14:paraId="6DF7CD5C" w14:textId="77777777" w:rsidR="00FC7AF8" w:rsidRPr="009D3576" w:rsidRDefault="00FC7AF8">
            <w:pPr>
              <w:tabs>
                <w:tab w:val="clear" w:pos="567"/>
              </w:tabs>
              <w:spacing w:before="0" w:line="240" w:lineRule="auto"/>
              <w:jc w:val="right"/>
              <w:rPr>
                <w:rFonts w:ascii="Work Sans" w:eastAsia="Times New Roman" w:hAnsi="Work Sans" w:cs="Calibri"/>
                <w:color w:val="000000"/>
                <w:sz w:val="16"/>
                <w:szCs w:val="16"/>
                <w:lang w:eastAsia="en-AU"/>
              </w:rPr>
            </w:pPr>
            <w:r w:rsidRPr="009D3576">
              <w:rPr>
                <w:rFonts w:ascii="Work Sans" w:eastAsia="Times New Roman" w:hAnsi="Work Sans" w:cs="Calibri"/>
                <w:color w:val="000000"/>
                <w:sz w:val="16"/>
                <w:szCs w:val="16"/>
                <w:lang w:eastAsia="en-AU"/>
              </w:rPr>
              <w:t>%pop</w:t>
            </w:r>
            <w:r>
              <w:rPr>
                <w:rFonts w:ascii="Work Sans" w:eastAsia="Times New Roman" w:hAnsi="Work Sans" w:cs="Calibri"/>
                <w:color w:val="000000"/>
                <w:sz w:val="16"/>
                <w:szCs w:val="16"/>
                <w:lang w:eastAsia="en-AU"/>
              </w:rPr>
              <w:t>ulation</w:t>
            </w:r>
          </w:p>
        </w:tc>
      </w:tr>
      <w:tr w:rsidR="00FC7AF8" w:rsidRPr="00CF198A" w14:paraId="5CF5A330" w14:textId="77777777">
        <w:trPr>
          <w:trHeight w:val="300"/>
        </w:trPr>
        <w:tc>
          <w:tcPr>
            <w:tcW w:w="3220" w:type="dxa"/>
            <w:tcBorders>
              <w:top w:val="nil"/>
              <w:left w:val="nil"/>
              <w:bottom w:val="single" w:sz="4" w:space="0" w:color="ADD6EA"/>
              <w:right w:val="nil"/>
            </w:tcBorders>
            <w:shd w:val="clear" w:color="000000" w:fill="B6D5E4"/>
            <w:noWrap/>
            <w:vAlign w:val="bottom"/>
            <w:hideMark/>
          </w:tcPr>
          <w:p w14:paraId="2AC70410" w14:textId="77777777" w:rsidR="00FC7AF8" w:rsidRPr="00CF198A" w:rsidRDefault="00FC7AF8">
            <w:pPr>
              <w:spacing w:line="240" w:lineRule="auto"/>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Socio-economic status</w:t>
            </w:r>
          </w:p>
        </w:tc>
        <w:tc>
          <w:tcPr>
            <w:tcW w:w="1740" w:type="dxa"/>
            <w:tcBorders>
              <w:top w:val="nil"/>
              <w:left w:val="nil"/>
              <w:bottom w:val="single" w:sz="4" w:space="0" w:color="ADD6EA"/>
              <w:right w:val="nil"/>
            </w:tcBorders>
            <w:shd w:val="clear" w:color="000000" w:fill="B6D5E4"/>
            <w:noWrap/>
            <w:vAlign w:val="bottom"/>
            <w:hideMark/>
          </w:tcPr>
          <w:p w14:paraId="2FF3A6D7" w14:textId="77777777" w:rsidR="00FC7AF8" w:rsidRPr="00CF198A" w:rsidRDefault="00FC7AF8">
            <w:pPr>
              <w:spacing w:line="240" w:lineRule="auto"/>
              <w:rPr>
                <w:rFonts w:ascii="Work Sans" w:eastAsia="Times New Roman" w:hAnsi="Work Sans" w:cs="Calibri"/>
                <w:color w:val="000000"/>
                <w:sz w:val="16"/>
                <w:szCs w:val="16"/>
                <w:lang w:eastAsia="en-AU"/>
              </w:rPr>
            </w:pPr>
            <w:r w:rsidRPr="00CF198A">
              <w:rPr>
                <w:rFonts w:ascii="Work Sans" w:eastAsia="Times New Roman" w:hAnsi="Work Sans" w:cs="Calibri"/>
                <w:color w:val="000000"/>
                <w:sz w:val="16"/>
                <w:szCs w:val="16"/>
                <w:lang w:eastAsia="en-AU"/>
              </w:rPr>
              <w:t> </w:t>
            </w:r>
          </w:p>
        </w:tc>
        <w:tc>
          <w:tcPr>
            <w:tcW w:w="1795" w:type="dxa"/>
            <w:gridSpan w:val="2"/>
            <w:tcBorders>
              <w:left w:val="nil"/>
              <w:bottom w:val="single" w:sz="4" w:space="0" w:color="ADD6EA"/>
              <w:right w:val="nil"/>
            </w:tcBorders>
            <w:shd w:val="clear" w:color="000000" w:fill="B6D5E4"/>
            <w:noWrap/>
            <w:vAlign w:val="bottom"/>
            <w:hideMark/>
          </w:tcPr>
          <w:p w14:paraId="31545575" w14:textId="77777777" w:rsidR="00FC7AF8" w:rsidRPr="00CF198A" w:rsidRDefault="00FC7AF8">
            <w:pPr>
              <w:spacing w:line="240" w:lineRule="auto"/>
              <w:rPr>
                <w:rFonts w:ascii="Work Sans" w:eastAsia="Times New Roman" w:hAnsi="Work Sans" w:cs="Calibri"/>
                <w:color w:val="000000"/>
                <w:sz w:val="16"/>
                <w:szCs w:val="16"/>
                <w:lang w:eastAsia="en-AU"/>
              </w:rPr>
            </w:pPr>
            <w:r w:rsidRPr="00CF198A">
              <w:rPr>
                <w:rFonts w:ascii="Work Sans" w:eastAsia="Times New Roman" w:hAnsi="Work Sans" w:cs="Calibri"/>
                <w:color w:val="000000"/>
                <w:sz w:val="16"/>
                <w:szCs w:val="16"/>
                <w:lang w:eastAsia="en-AU"/>
              </w:rPr>
              <w:t> </w:t>
            </w:r>
          </w:p>
        </w:tc>
        <w:tc>
          <w:tcPr>
            <w:tcW w:w="1892" w:type="dxa"/>
            <w:tcBorders>
              <w:left w:val="nil"/>
              <w:bottom w:val="single" w:sz="4" w:space="0" w:color="ADD6EA"/>
              <w:right w:val="nil"/>
            </w:tcBorders>
            <w:shd w:val="clear" w:color="000000" w:fill="B6D5E4"/>
            <w:noWrap/>
            <w:vAlign w:val="bottom"/>
            <w:hideMark/>
          </w:tcPr>
          <w:p w14:paraId="0B5F2AB2" w14:textId="77777777" w:rsidR="00FC7AF8" w:rsidRPr="00CF198A" w:rsidRDefault="00FC7AF8">
            <w:pPr>
              <w:spacing w:line="240" w:lineRule="auto"/>
              <w:rPr>
                <w:rFonts w:ascii="Work Sans" w:eastAsia="Times New Roman" w:hAnsi="Work Sans" w:cs="Calibri"/>
                <w:color w:val="000000"/>
                <w:sz w:val="16"/>
                <w:szCs w:val="16"/>
                <w:lang w:eastAsia="en-AU"/>
              </w:rPr>
            </w:pPr>
            <w:r w:rsidRPr="00CF198A">
              <w:rPr>
                <w:rFonts w:ascii="Work Sans" w:eastAsia="Times New Roman" w:hAnsi="Work Sans" w:cs="Calibri"/>
                <w:color w:val="000000"/>
                <w:sz w:val="16"/>
                <w:szCs w:val="16"/>
                <w:lang w:eastAsia="en-AU"/>
              </w:rPr>
              <w:t> </w:t>
            </w:r>
          </w:p>
        </w:tc>
      </w:tr>
      <w:tr w:rsidR="00FC7AF8" w:rsidRPr="00CF198A" w14:paraId="1DE52906"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56824EF0"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Bottom 20%</w:t>
            </w:r>
          </w:p>
        </w:tc>
        <w:tc>
          <w:tcPr>
            <w:tcW w:w="1740" w:type="dxa"/>
            <w:tcBorders>
              <w:top w:val="nil"/>
              <w:left w:val="nil"/>
              <w:bottom w:val="single" w:sz="4" w:space="0" w:color="ADD6EA"/>
              <w:right w:val="nil"/>
            </w:tcBorders>
            <w:shd w:val="clear" w:color="000000" w:fill="FFFFFF"/>
            <w:noWrap/>
            <w:vAlign w:val="bottom"/>
            <w:hideMark/>
          </w:tcPr>
          <w:p w14:paraId="601B399B"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c>
          <w:tcPr>
            <w:tcW w:w="1795" w:type="dxa"/>
            <w:gridSpan w:val="2"/>
            <w:tcBorders>
              <w:top w:val="nil"/>
              <w:left w:val="nil"/>
              <w:bottom w:val="single" w:sz="4" w:space="0" w:color="ADD6EA"/>
              <w:right w:val="nil"/>
            </w:tcBorders>
            <w:shd w:val="clear" w:color="000000" w:fill="FFFFFF"/>
            <w:noWrap/>
            <w:vAlign w:val="bottom"/>
            <w:hideMark/>
          </w:tcPr>
          <w:p w14:paraId="0F7DE925"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c>
          <w:tcPr>
            <w:tcW w:w="1892" w:type="dxa"/>
            <w:tcBorders>
              <w:top w:val="nil"/>
              <w:left w:val="nil"/>
              <w:bottom w:val="single" w:sz="4" w:space="0" w:color="ADD6EA"/>
              <w:right w:val="nil"/>
            </w:tcBorders>
            <w:shd w:val="clear" w:color="000000" w:fill="FFFFFF"/>
            <w:noWrap/>
            <w:vAlign w:val="bottom"/>
            <w:hideMark/>
          </w:tcPr>
          <w:p w14:paraId="6C65F141"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r>
      <w:tr w:rsidR="00FC7AF8" w:rsidRPr="00CF198A" w14:paraId="2906A979"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7B639FEC"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Mid 60%</w:t>
            </w:r>
          </w:p>
        </w:tc>
        <w:tc>
          <w:tcPr>
            <w:tcW w:w="1740" w:type="dxa"/>
            <w:tcBorders>
              <w:top w:val="nil"/>
              <w:left w:val="nil"/>
              <w:bottom w:val="single" w:sz="4" w:space="0" w:color="ADD6EA"/>
              <w:right w:val="nil"/>
            </w:tcBorders>
            <w:shd w:val="clear" w:color="000000" w:fill="FFFFFF"/>
            <w:noWrap/>
            <w:vAlign w:val="bottom"/>
            <w:hideMark/>
          </w:tcPr>
          <w:p w14:paraId="37FB0B49"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795" w:type="dxa"/>
            <w:gridSpan w:val="2"/>
            <w:tcBorders>
              <w:top w:val="nil"/>
              <w:left w:val="nil"/>
              <w:bottom w:val="single" w:sz="4" w:space="0" w:color="ADD6EA"/>
              <w:right w:val="nil"/>
            </w:tcBorders>
            <w:shd w:val="clear" w:color="000000" w:fill="FFFFFF"/>
            <w:noWrap/>
            <w:vAlign w:val="bottom"/>
            <w:hideMark/>
          </w:tcPr>
          <w:p w14:paraId="34ECAE63"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892" w:type="dxa"/>
            <w:tcBorders>
              <w:top w:val="nil"/>
              <w:left w:val="nil"/>
              <w:bottom w:val="single" w:sz="4" w:space="0" w:color="ADD6EA"/>
              <w:right w:val="nil"/>
            </w:tcBorders>
            <w:shd w:val="clear" w:color="000000" w:fill="FFFFFF"/>
            <w:noWrap/>
            <w:vAlign w:val="bottom"/>
            <w:hideMark/>
          </w:tcPr>
          <w:p w14:paraId="76EACEA6"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r>
      <w:tr w:rsidR="00FC7AF8" w:rsidRPr="00CF198A" w14:paraId="2615C102"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7FA04179"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Top 20%</w:t>
            </w:r>
          </w:p>
        </w:tc>
        <w:tc>
          <w:tcPr>
            <w:tcW w:w="1740" w:type="dxa"/>
            <w:tcBorders>
              <w:top w:val="nil"/>
              <w:left w:val="nil"/>
              <w:bottom w:val="single" w:sz="4" w:space="0" w:color="ADD6EA"/>
              <w:right w:val="nil"/>
            </w:tcBorders>
            <w:shd w:val="clear" w:color="000000" w:fill="FFFFFF"/>
            <w:noWrap/>
            <w:vAlign w:val="bottom"/>
            <w:hideMark/>
          </w:tcPr>
          <w:p w14:paraId="41FCB9D7"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0.7</w:t>
            </w:r>
          </w:p>
        </w:tc>
        <w:tc>
          <w:tcPr>
            <w:tcW w:w="1795" w:type="dxa"/>
            <w:gridSpan w:val="2"/>
            <w:tcBorders>
              <w:top w:val="nil"/>
              <w:left w:val="nil"/>
              <w:bottom w:val="single" w:sz="4" w:space="0" w:color="ADD6EA"/>
              <w:right w:val="nil"/>
            </w:tcBorders>
            <w:shd w:val="clear" w:color="000000" w:fill="FFFFFF"/>
            <w:noWrap/>
            <w:vAlign w:val="bottom"/>
            <w:hideMark/>
          </w:tcPr>
          <w:p w14:paraId="177242C0"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0.8</w:t>
            </w:r>
          </w:p>
        </w:tc>
        <w:tc>
          <w:tcPr>
            <w:tcW w:w="1892" w:type="dxa"/>
            <w:tcBorders>
              <w:top w:val="nil"/>
              <w:left w:val="nil"/>
              <w:bottom w:val="single" w:sz="4" w:space="0" w:color="ADD6EA"/>
              <w:right w:val="nil"/>
            </w:tcBorders>
            <w:shd w:val="clear" w:color="000000" w:fill="FFFFFF"/>
            <w:noWrap/>
            <w:vAlign w:val="bottom"/>
            <w:hideMark/>
          </w:tcPr>
          <w:p w14:paraId="15778AD5"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0.7</w:t>
            </w:r>
          </w:p>
        </w:tc>
      </w:tr>
      <w:tr w:rsidR="00FC7AF8" w:rsidRPr="00CF198A" w14:paraId="59C6D990" w14:textId="77777777">
        <w:trPr>
          <w:trHeight w:val="300"/>
        </w:trPr>
        <w:tc>
          <w:tcPr>
            <w:tcW w:w="3220" w:type="dxa"/>
            <w:tcBorders>
              <w:top w:val="nil"/>
              <w:left w:val="nil"/>
              <w:bottom w:val="single" w:sz="4" w:space="0" w:color="ADD6EA"/>
              <w:right w:val="nil"/>
            </w:tcBorders>
            <w:shd w:val="clear" w:color="000000" w:fill="D6E7F0"/>
            <w:noWrap/>
            <w:vAlign w:val="bottom"/>
            <w:hideMark/>
          </w:tcPr>
          <w:p w14:paraId="2B9A22F9" w14:textId="77777777" w:rsidR="00FC7AF8" w:rsidRPr="00CF198A" w:rsidRDefault="00FC7AF8">
            <w:pPr>
              <w:spacing w:line="240" w:lineRule="auto"/>
              <w:ind w:firstLineChars="100" w:firstLine="160"/>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Ratio bottom/top</w:t>
            </w:r>
          </w:p>
        </w:tc>
        <w:tc>
          <w:tcPr>
            <w:tcW w:w="1740" w:type="dxa"/>
            <w:tcBorders>
              <w:top w:val="nil"/>
              <w:left w:val="nil"/>
              <w:bottom w:val="single" w:sz="4" w:space="0" w:color="ADD6EA"/>
              <w:right w:val="nil"/>
            </w:tcBorders>
            <w:shd w:val="clear" w:color="000000" w:fill="D6E7F0"/>
            <w:noWrap/>
            <w:vAlign w:val="bottom"/>
            <w:hideMark/>
          </w:tcPr>
          <w:p w14:paraId="533C7B9B"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1.7</w:t>
            </w:r>
          </w:p>
        </w:tc>
        <w:tc>
          <w:tcPr>
            <w:tcW w:w="1795" w:type="dxa"/>
            <w:gridSpan w:val="2"/>
            <w:tcBorders>
              <w:top w:val="nil"/>
              <w:left w:val="nil"/>
              <w:bottom w:val="single" w:sz="4" w:space="0" w:color="ADD6EA"/>
              <w:right w:val="nil"/>
            </w:tcBorders>
            <w:shd w:val="clear" w:color="000000" w:fill="D6E7F0"/>
            <w:noWrap/>
            <w:vAlign w:val="bottom"/>
            <w:hideMark/>
          </w:tcPr>
          <w:p w14:paraId="525EB848"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1.7</w:t>
            </w:r>
          </w:p>
        </w:tc>
        <w:tc>
          <w:tcPr>
            <w:tcW w:w="1892" w:type="dxa"/>
            <w:tcBorders>
              <w:top w:val="nil"/>
              <w:left w:val="nil"/>
              <w:bottom w:val="single" w:sz="4" w:space="0" w:color="ADD6EA"/>
              <w:right w:val="nil"/>
            </w:tcBorders>
            <w:shd w:val="clear" w:color="000000" w:fill="D6E7F0"/>
            <w:noWrap/>
            <w:vAlign w:val="bottom"/>
            <w:hideMark/>
          </w:tcPr>
          <w:p w14:paraId="16D08D3B"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1.9</w:t>
            </w:r>
          </w:p>
        </w:tc>
      </w:tr>
      <w:tr w:rsidR="00FC7AF8" w:rsidRPr="00CF198A" w14:paraId="7F0DF7AB" w14:textId="77777777">
        <w:trPr>
          <w:trHeight w:val="300"/>
        </w:trPr>
        <w:tc>
          <w:tcPr>
            <w:tcW w:w="3220" w:type="dxa"/>
            <w:tcBorders>
              <w:top w:val="nil"/>
              <w:left w:val="nil"/>
              <w:bottom w:val="single" w:sz="4" w:space="0" w:color="ADD6EA"/>
              <w:right w:val="nil"/>
            </w:tcBorders>
            <w:shd w:val="clear" w:color="000000" w:fill="B6D5E4"/>
            <w:noWrap/>
            <w:vAlign w:val="bottom"/>
            <w:hideMark/>
          </w:tcPr>
          <w:p w14:paraId="3C954DF1" w14:textId="77777777" w:rsidR="00FC7AF8" w:rsidRPr="00CF198A" w:rsidRDefault="00FC7AF8">
            <w:pPr>
              <w:spacing w:line="240" w:lineRule="auto"/>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Remoteness</w:t>
            </w:r>
          </w:p>
        </w:tc>
        <w:tc>
          <w:tcPr>
            <w:tcW w:w="1740" w:type="dxa"/>
            <w:tcBorders>
              <w:top w:val="nil"/>
              <w:left w:val="nil"/>
              <w:bottom w:val="single" w:sz="4" w:space="0" w:color="ADD6EA"/>
              <w:right w:val="nil"/>
            </w:tcBorders>
            <w:shd w:val="clear" w:color="000000" w:fill="B6D5E4"/>
            <w:noWrap/>
            <w:vAlign w:val="bottom"/>
            <w:hideMark/>
          </w:tcPr>
          <w:p w14:paraId="46DBEE37" w14:textId="77777777" w:rsidR="00FC7AF8" w:rsidRPr="00CF198A" w:rsidRDefault="00FC7AF8">
            <w:pPr>
              <w:spacing w:line="240" w:lineRule="auto"/>
              <w:rPr>
                <w:rFonts w:ascii="Work Sans" w:eastAsia="Times New Roman" w:hAnsi="Work Sans" w:cs="Calibri"/>
                <w:color w:val="000000"/>
                <w:sz w:val="16"/>
                <w:szCs w:val="16"/>
                <w:lang w:eastAsia="en-AU"/>
              </w:rPr>
            </w:pPr>
            <w:r w:rsidRPr="00CF198A">
              <w:rPr>
                <w:rFonts w:ascii="Work Sans" w:eastAsia="Times New Roman" w:hAnsi="Work Sans" w:cs="Calibri"/>
                <w:color w:val="000000"/>
                <w:sz w:val="16"/>
                <w:szCs w:val="16"/>
                <w:lang w:eastAsia="en-AU"/>
              </w:rPr>
              <w:t> </w:t>
            </w:r>
          </w:p>
        </w:tc>
        <w:tc>
          <w:tcPr>
            <w:tcW w:w="1795" w:type="dxa"/>
            <w:gridSpan w:val="2"/>
            <w:tcBorders>
              <w:top w:val="nil"/>
              <w:left w:val="nil"/>
              <w:bottom w:val="single" w:sz="4" w:space="0" w:color="ADD6EA"/>
              <w:right w:val="nil"/>
            </w:tcBorders>
            <w:shd w:val="clear" w:color="000000" w:fill="B6D5E4"/>
            <w:noWrap/>
            <w:vAlign w:val="bottom"/>
            <w:hideMark/>
          </w:tcPr>
          <w:p w14:paraId="7E4EA1BF" w14:textId="77777777" w:rsidR="00FC7AF8" w:rsidRPr="00CF198A" w:rsidRDefault="00FC7AF8">
            <w:pPr>
              <w:spacing w:line="240" w:lineRule="auto"/>
              <w:rPr>
                <w:rFonts w:ascii="Work Sans" w:eastAsia="Times New Roman" w:hAnsi="Work Sans" w:cs="Calibri"/>
                <w:color w:val="B6D5E4"/>
                <w:sz w:val="16"/>
                <w:szCs w:val="16"/>
                <w:lang w:eastAsia="en-AU"/>
              </w:rPr>
            </w:pPr>
            <w:r w:rsidRPr="00CF198A">
              <w:rPr>
                <w:rFonts w:ascii="Work Sans" w:eastAsia="Times New Roman" w:hAnsi="Work Sans" w:cs="Calibri"/>
                <w:color w:val="B6D5E4"/>
                <w:sz w:val="16"/>
                <w:szCs w:val="16"/>
                <w:lang w:eastAsia="en-AU"/>
              </w:rPr>
              <w:t> </w:t>
            </w:r>
          </w:p>
        </w:tc>
        <w:tc>
          <w:tcPr>
            <w:tcW w:w="1892" w:type="dxa"/>
            <w:tcBorders>
              <w:top w:val="nil"/>
              <w:left w:val="nil"/>
              <w:bottom w:val="single" w:sz="4" w:space="0" w:color="ADD6EA"/>
              <w:right w:val="nil"/>
            </w:tcBorders>
            <w:shd w:val="clear" w:color="000000" w:fill="B6D5E4"/>
            <w:noWrap/>
            <w:vAlign w:val="bottom"/>
            <w:hideMark/>
          </w:tcPr>
          <w:p w14:paraId="29A02090" w14:textId="77777777" w:rsidR="00FC7AF8" w:rsidRPr="00CF198A" w:rsidRDefault="00FC7AF8">
            <w:pPr>
              <w:spacing w:line="240" w:lineRule="auto"/>
              <w:rPr>
                <w:rFonts w:ascii="Work Sans" w:eastAsia="Times New Roman" w:hAnsi="Work Sans" w:cs="Calibri"/>
                <w:color w:val="B6D5E4"/>
                <w:sz w:val="16"/>
                <w:szCs w:val="16"/>
                <w:lang w:eastAsia="en-AU"/>
              </w:rPr>
            </w:pPr>
            <w:r w:rsidRPr="00CF198A">
              <w:rPr>
                <w:rFonts w:ascii="Work Sans" w:eastAsia="Times New Roman" w:hAnsi="Work Sans" w:cs="Calibri"/>
                <w:color w:val="B6D5E4"/>
                <w:sz w:val="16"/>
                <w:szCs w:val="16"/>
                <w:lang w:eastAsia="en-AU"/>
              </w:rPr>
              <w:t> </w:t>
            </w:r>
          </w:p>
        </w:tc>
      </w:tr>
      <w:tr w:rsidR="00FC7AF8" w:rsidRPr="00CF198A" w14:paraId="0407EBAA"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55E366A3" w14:textId="77777777" w:rsidR="00FC7AF8" w:rsidRPr="00AF68FA" w:rsidRDefault="00FC7AF8">
            <w:pPr>
              <w:spacing w:line="240" w:lineRule="auto"/>
              <w:ind w:firstLineChars="100" w:firstLine="160"/>
              <w:rPr>
                <w:rFonts w:eastAsia="Times New Roman" w:cs="Open Sans Light"/>
                <w:sz w:val="16"/>
                <w:szCs w:val="16"/>
                <w:lang w:eastAsia="en-AU"/>
              </w:rPr>
            </w:pPr>
            <w:r w:rsidRPr="00AF68FA">
              <w:rPr>
                <w:rFonts w:eastAsia="Times New Roman" w:cs="Open Sans Light"/>
                <w:sz w:val="16"/>
                <w:szCs w:val="16"/>
                <w:lang w:eastAsia="en-AU"/>
              </w:rPr>
              <w:t>Major city</w:t>
            </w:r>
          </w:p>
        </w:tc>
        <w:tc>
          <w:tcPr>
            <w:tcW w:w="1740" w:type="dxa"/>
            <w:tcBorders>
              <w:top w:val="nil"/>
              <w:left w:val="nil"/>
              <w:bottom w:val="single" w:sz="4" w:space="0" w:color="ADD6EA"/>
              <w:right w:val="nil"/>
            </w:tcBorders>
            <w:shd w:val="clear" w:color="000000" w:fill="FFFFFF"/>
            <w:noWrap/>
            <w:vAlign w:val="bottom"/>
            <w:hideMark/>
          </w:tcPr>
          <w:p w14:paraId="0FE55D73"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0.8</w:t>
            </w:r>
          </w:p>
        </w:tc>
        <w:tc>
          <w:tcPr>
            <w:tcW w:w="1795" w:type="dxa"/>
            <w:gridSpan w:val="2"/>
            <w:tcBorders>
              <w:top w:val="nil"/>
              <w:left w:val="nil"/>
              <w:bottom w:val="single" w:sz="4" w:space="0" w:color="ADD6EA"/>
              <w:right w:val="nil"/>
            </w:tcBorders>
            <w:shd w:val="clear" w:color="000000" w:fill="FFFFFF"/>
            <w:noWrap/>
            <w:vAlign w:val="bottom"/>
            <w:hideMark/>
          </w:tcPr>
          <w:p w14:paraId="6D3EBD45"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892" w:type="dxa"/>
            <w:tcBorders>
              <w:top w:val="nil"/>
              <w:left w:val="nil"/>
              <w:bottom w:val="single" w:sz="4" w:space="0" w:color="ADD6EA"/>
              <w:right w:val="nil"/>
            </w:tcBorders>
            <w:shd w:val="clear" w:color="000000" w:fill="FFFFFF"/>
            <w:noWrap/>
            <w:vAlign w:val="bottom"/>
            <w:hideMark/>
          </w:tcPr>
          <w:p w14:paraId="1AEFFE9F"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r>
      <w:tr w:rsidR="00FC7AF8" w:rsidRPr="00CF198A" w14:paraId="21F79E3C"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3EE87A53" w14:textId="77777777" w:rsidR="00FC7AF8" w:rsidRPr="00AF68FA" w:rsidRDefault="00FC7AF8">
            <w:pPr>
              <w:spacing w:line="240" w:lineRule="auto"/>
              <w:ind w:firstLineChars="100" w:firstLine="160"/>
              <w:rPr>
                <w:rFonts w:eastAsia="Times New Roman" w:cs="Open Sans Light"/>
                <w:sz w:val="16"/>
                <w:szCs w:val="16"/>
                <w:lang w:eastAsia="en-AU"/>
              </w:rPr>
            </w:pPr>
            <w:r w:rsidRPr="00AF68FA">
              <w:rPr>
                <w:rFonts w:eastAsia="Times New Roman" w:cs="Open Sans Light"/>
                <w:sz w:val="16"/>
                <w:szCs w:val="16"/>
                <w:lang w:eastAsia="en-AU"/>
              </w:rPr>
              <w:t>Inner regional</w:t>
            </w:r>
          </w:p>
        </w:tc>
        <w:tc>
          <w:tcPr>
            <w:tcW w:w="1740" w:type="dxa"/>
            <w:tcBorders>
              <w:top w:val="nil"/>
              <w:left w:val="nil"/>
              <w:bottom w:val="single" w:sz="4" w:space="0" w:color="ADD6EA"/>
              <w:right w:val="nil"/>
            </w:tcBorders>
            <w:shd w:val="clear" w:color="000000" w:fill="FFFFFF"/>
            <w:noWrap/>
            <w:vAlign w:val="bottom"/>
            <w:hideMark/>
          </w:tcPr>
          <w:p w14:paraId="77A9AA60"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c>
          <w:tcPr>
            <w:tcW w:w="1795" w:type="dxa"/>
            <w:gridSpan w:val="2"/>
            <w:tcBorders>
              <w:top w:val="nil"/>
              <w:left w:val="nil"/>
              <w:bottom w:val="single" w:sz="4" w:space="0" w:color="ADD6EA"/>
              <w:right w:val="nil"/>
            </w:tcBorders>
            <w:shd w:val="clear" w:color="000000" w:fill="FFFFFF"/>
            <w:noWrap/>
            <w:vAlign w:val="bottom"/>
            <w:hideMark/>
          </w:tcPr>
          <w:p w14:paraId="42FA181D"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1.1</w:t>
            </w:r>
          </w:p>
        </w:tc>
        <w:tc>
          <w:tcPr>
            <w:tcW w:w="1892" w:type="dxa"/>
            <w:tcBorders>
              <w:top w:val="nil"/>
              <w:left w:val="nil"/>
              <w:bottom w:val="single" w:sz="4" w:space="0" w:color="ADD6EA"/>
              <w:right w:val="nil"/>
            </w:tcBorders>
            <w:shd w:val="clear" w:color="000000" w:fill="FFFFFF"/>
            <w:noWrap/>
            <w:vAlign w:val="bottom"/>
            <w:hideMark/>
          </w:tcPr>
          <w:p w14:paraId="0F7BF877"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1.2</w:t>
            </w:r>
          </w:p>
        </w:tc>
      </w:tr>
      <w:tr w:rsidR="00FC7AF8" w:rsidRPr="00CF198A" w14:paraId="047808D0"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337E35B2" w14:textId="77777777" w:rsidR="00FC7AF8" w:rsidRPr="00AF68FA" w:rsidRDefault="00FC7AF8">
            <w:pPr>
              <w:spacing w:line="240" w:lineRule="auto"/>
              <w:ind w:firstLineChars="100" w:firstLine="160"/>
              <w:rPr>
                <w:rFonts w:eastAsia="Times New Roman" w:cs="Open Sans Light"/>
                <w:sz w:val="16"/>
                <w:szCs w:val="16"/>
                <w:lang w:eastAsia="en-AU"/>
              </w:rPr>
            </w:pPr>
            <w:r w:rsidRPr="00AF68FA">
              <w:rPr>
                <w:rFonts w:eastAsia="Times New Roman" w:cs="Open Sans Light"/>
                <w:sz w:val="16"/>
                <w:szCs w:val="16"/>
                <w:lang w:eastAsia="en-AU"/>
              </w:rPr>
              <w:t>Outer regional</w:t>
            </w:r>
          </w:p>
        </w:tc>
        <w:tc>
          <w:tcPr>
            <w:tcW w:w="1740" w:type="dxa"/>
            <w:tcBorders>
              <w:top w:val="nil"/>
              <w:left w:val="nil"/>
              <w:bottom w:val="single" w:sz="4" w:space="0" w:color="ADD6EA"/>
              <w:right w:val="nil"/>
            </w:tcBorders>
            <w:shd w:val="clear" w:color="000000" w:fill="FFFFFF"/>
            <w:noWrap/>
            <w:vAlign w:val="bottom"/>
            <w:hideMark/>
          </w:tcPr>
          <w:p w14:paraId="0BDEB599"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1.7</w:t>
            </w:r>
          </w:p>
        </w:tc>
        <w:tc>
          <w:tcPr>
            <w:tcW w:w="1795" w:type="dxa"/>
            <w:gridSpan w:val="2"/>
            <w:tcBorders>
              <w:top w:val="nil"/>
              <w:left w:val="nil"/>
              <w:bottom w:val="single" w:sz="4" w:space="0" w:color="ADD6EA"/>
              <w:right w:val="nil"/>
            </w:tcBorders>
            <w:shd w:val="clear" w:color="000000" w:fill="FFFFFF"/>
            <w:noWrap/>
            <w:vAlign w:val="bottom"/>
            <w:hideMark/>
          </w:tcPr>
          <w:p w14:paraId="79E97071"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1.1</w:t>
            </w:r>
          </w:p>
        </w:tc>
        <w:tc>
          <w:tcPr>
            <w:tcW w:w="1892" w:type="dxa"/>
            <w:tcBorders>
              <w:top w:val="nil"/>
              <w:left w:val="nil"/>
              <w:bottom w:val="single" w:sz="4" w:space="0" w:color="ADD6EA"/>
              <w:right w:val="nil"/>
            </w:tcBorders>
            <w:shd w:val="clear" w:color="000000" w:fill="FFFFFF"/>
            <w:noWrap/>
            <w:vAlign w:val="bottom"/>
            <w:hideMark/>
          </w:tcPr>
          <w:p w14:paraId="0B8B924B"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1.4</w:t>
            </w:r>
          </w:p>
        </w:tc>
      </w:tr>
      <w:tr w:rsidR="00FC7AF8" w:rsidRPr="00CF198A" w14:paraId="2A6610B0"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0BF6C492" w14:textId="77777777" w:rsidR="00FC7AF8" w:rsidRPr="00AF68FA" w:rsidRDefault="00FC7AF8">
            <w:pPr>
              <w:spacing w:line="240" w:lineRule="auto"/>
              <w:ind w:firstLineChars="100" w:firstLine="160"/>
              <w:rPr>
                <w:rFonts w:eastAsia="Times New Roman" w:cs="Open Sans Light"/>
                <w:sz w:val="16"/>
                <w:szCs w:val="16"/>
                <w:lang w:eastAsia="en-AU"/>
              </w:rPr>
            </w:pPr>
            <w:r w:rsidRPr="00AF68FA">
              <w:rPr>
                <w:rFonts w:eastAsia="Times New Roman" w:cs="Open Sans Light"/>
                <w:sz w:val="16"/>
                <w:szCs w:val="16"/>
                <w:lang w:eastAsia="en-AU"/>
              </w:rPr>
              <w:t>Remote</w:t>
            </w:r>
          </w:p>
        </w:tc>
        <w:tc>
          <w:tcPr>
            <w:tcW w:w="1740" w:type="dxa"/>
            <w:tcBorders>
              <w:top w:val="nil"/>
              <w:left w:val="nil"/>
              <w:bottom w:val="single" w:sz="4" w:space="0" w:color="ADD6EA"/>
              <w:right w:val="nil"/>
            </w:tcBorders>
            <w:shd w:val="clear" w:color="000000" w:fill="FFFFFF"/>
            <w:noWrap/>
            <w:vAlign w:val="bottom"/>
            <w:hideMark/>
          </w:tcPr>
          <w:p w14:paraId="14DFC093"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3.4</w:t>
            </w:r>
          </w:p>
        </w:tc>
        <w:tc>
          <w:tcPr>
            <w:tcW w:w="1795" w:type="dxa"/>
            <w:gridSpan w:val="2"/>
            <w:tcBorders>
              <w:top w:val="nil"/>
              <w:left w:val="nil"/>
              <w:bottom w:val="single" w:sz="4" w:space="0" w:color="ADD6EA"/>
              <w:right w:val="nil"/>
            </w:tcBorders>
            <w:shd w:val="clear" w:color="000000" w:fill="FFFFFF"/>
            <w:noWrap/>
            <w:vAlign w:val="bottom"/>
            <w:hideMark/>
          </w:tcPr>
          <w:p w14:paraId="66EB8F55"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c>
          <w:tcPr>
            <w:tcW w:w="1892" w:type="dxa"/>
            <w:tcBorders>
              <w:top w:val="nil"/>
              <w:left w:val="nil"/>
              <w:bottom w:val="single" w:sz="4" w:space="0" w:color="ADD6EA"/>
              <w:right w:val="nil"/>
            </w:tcBorders>
            <w:shd w:val="clear" w:color="000000" w:fill="FFFFFF"/>
            <w:noWrap/>
            <w:vAlign w:val="bottom"/>
            <w:hideMark/>
          </w:tcPr>
          <w:p w14:paraId="75E6981A"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1.8</w:t>
            </w:r>
          </w:p>
        </w:tc>
      </w:tr>
      <w:tr w:rsidR="00FC7AF8" w:rsidRPr="00CF198A" w14:paraId="08A5C79D"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289AF180" w14:textId="77777777" w:rsidR="00FC7AF8" w:rsidRPr="00AF68FA" w:rsidRDefault="00FC7AF8">
            <w:pPr>
              <w:spacing w:line="240" w:lineRule="auto"/>
              <w:ind w:firstLineChars="100" w:firstLine="160"/>
              <w:rPr>
                <w:rFonts w:eastAsia="Times New Roman" w:cs="Open Sans Light"/>
                <w:sz w:val="16"/>
                <w:szCs w:val="16"/>
                <w:lang w:eastAsia="en-AU"/>
              </w:rPr>
            </w:pPr>
            <w:r w:rsidRPr="00AF68FA">
              <w:rPr>
                <w:rFonts w:eastAsia="Times New Roman" w:cs="Open Sans Light"/>
                <w:sz w:val="16"/>
                <w:szCs w:val="16"/>
                <w:lang w:eastAsia="en-AU"/>
              </w:rPr>
              <w:t>Very remote</w:t>
            </w:r>
          </w:p>
        </w:tc>
        <w:tc>
          <w:tcPr>
            <w:tcW w:w="1740" w:type="dxa"/>
            <w:tcBorders>
              <w:top w:val="nil"/>
              <w:left w:val="nil"/>
              <w:bottom w:val="single" w:sz="4" w:space="0" w:color="ADD6EA"/>
              <w:right w:val="nil"/>
            </w:tcBorders>
            <w:shd w:val="clear" w:color="000000" w:fill="FFFFFF"/>
            <w:noWrap/>
            <w:vAlign w:val="bottom"/>
            <w:hideMark/>
          </w:tcPr>
          <w:p w14:paraId="5B2F92DD"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4.7</w:t>
            </w:r>
          </w:p>
        </w:tc>
        <w:tc>
          <w:tcPr>
            <w:tcW w:w="1795" w:type="dxa"/>
            <w:gridSpan w:val="2"/>
            <w:tcBorders>
              <w:top w:val="nil"/>
              <w:left w:val="nil"/>
              <w:bottom w:val="single" w:sz="4" w:space="0" w:color="ADD6EA"/>
              <w:right w:val="nil"/>
            </w:tcBorders>
            <w:shd w:val="clear" w:color="000000" w:fill="FFFFFF"/>
            <w:noWrap/>
            <w:vAlign w:val="bottom"/>
            <w:hideMark/>
          </w:tcPr>
          <w:p w14:paraId="4B22208B"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1.2</w:t>
            </w:r>
          </w:p>
        </w:tc>
        <w:tc>
          <w:tcPr>
            <w:tcW w:w="1892" w:type="dxa"/>
            <w:tcBorders>
              <w:top w:val="nil"/>
              <w:left w:val="nil"/>
              <w:bottom w:val="single" w:sz="4" w:space="0" w:color="ADD6EA"/>
              <w:right w:val="nil"/>
            </w:tcBorders>
            <w:shd w:val="clear" w:color="000000" w:fill="FFFFFF"/>
            <w:noWrap/>
            <w:vAlign w:val="bottom"/>
            <w:hideMark/>
          </w:tcPr>
          <w:p w14:paraId="774762CA"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2.1</w:t>
            </w:r>
          </w:p>
        </w:tc>
      </w:tr>
      <w:tr w:rsidR="00FC7AF8" w:rsidRPr="00CF198A" w14:paraId="43E2300D" w14:textId="77777777">
        <w:trPr>
          <w:trHeight w:val="300"/>
        </w:trPr>
        <w:tc>
          <w:tcPr>
            <w:tcW w:w="3220" w:type="dxa"/>
            <w:tcBorders>
              <w:top w:val="nil"/>
              <w:left w:val="nil"/>
              <w:bottom w:val="single" w:sz="4" w:space="0" w:color="ADD6EA"/>
              <w:right w:val="nil"/>
            </w:tcBorders>
            <w:shd w:val="clear" w:color="000000" w:fill="D6E7F0"/>
            <w:noWrap/>
            <w:vAlign w:val="bottom"/>
            <w:hideMark/>
          </w:tcPr>
          <w:p w14:paraId="5AE7789F" w14:textId="77777777" w:rsidR="00FC7AF8" w:rsidRPr="00CF198A" w:rsidRDefault="00FC7AF8">
            <w:pPr>
              <w:spacing w:line="240" w:lineRule="auto"/>
              <w:ind w:firstLineChars="100" w:firstLine="160"/>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Ratio very remote/major city</w:t>
            </w:r>
          </w:p>
        </w:tc>
        <w:tc>
          <w:tcPr>
            <w:tcW w:w="1740" w:type="dxa"/>
            <w:tcBorders>
              <w:top w:val="nil"/>
              <w:left w:val="nil"/>
              <w:bottom w:val="single" w:sz="4" w:space="0" w:color="ADD6EA"/>
              <w:right w:val="nil"/>
            </w:tcBorders>
            <w:shd w:val="clear" w:color="000000" w:fill="D6E7F0"/>
            <w:noWrap/>
            <w:vAlign w:val="bottom"/>
            <w:hideMark/>
          </w:tcPr>
          <w:p w14:paraId="7D0B5A81"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6.1</w:t>
            </w:r>
          </w:p>
        </w:tc>
        <w:tc>
          <w:tcPr>
            <w:tcW w:w="1795" w:type="dxa"/>
            <w:gridSpan w:val="2"/>
            <w:tcBorders>
              <w:top w:val="nil"/>
              <w:left w:val="nil"/>
              <w:bottom w:val="single" w:sz="4" w:space="0" w:color="ADD6EA"/>
              <w:right w:val="nil"/>
            </w:tcBorders>
            <w:shd w:val="clear" w:color="000000" w:fill="D6E7F0"/>
            <w:noWrap/>
            <w:vAlign w:val="bottom"/>
            <w:hideMark/>
          </w:tcPr>
          <w:p w14:paraId="379BF289"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1.3</w:t>
            </w:r>
          </w:p>
        </w:tc>
        <w:tc>
          <w:tcPr>
            <w:tcW w:w="1892" w:type="dxa"/>
            <w:tcBorders>
              <w:top w:val="nil"/>
              <w:left w:val="nil"/>
              <w:bottom w:val="single" w:sz="4" w:space="0" w:color="ADD6EA"/>
              <w:right w:val="nil"/>
            </w:tcBorders>
            <w:shd w:val="clear" w:color="000000" w:fill="D6E7F0"/>
            <w:noWrap/>
            <w:vAlign w:val="bottom"/>
            <w:hideMark/>
          </w:tcPr>
          <w:p w14:paraId="74B44C5B"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2.4</w:t>
            </w:r>
          </w:p>
        </w:tc>
      </w:tr>
      <w:tr w:rsidR="00FC7AF8" w:rsidRPr="00CF198A" w14:paraId="75B8AC06" w14:textId="77777777">
        <w:trPr>
          <w:trHeight w:val="300"/>
        </w:trPr>
        <w:tc>
          <w:tcPr>
            <w:tcW w:w="3220" w:type="dxa"/>
            <w:tcBorders>
              <w:top w:val="nil"/>
              <w:left w:val="nil"/>
              <w:bottom w:val="single" w:sz="4" w:space="0" w:color="ADD6EA"/>
              <w:right w:val="nil"/>
            </w:tcBorders>
            <w:shd w:val="clear" w:color="000000" w:fill="B6D5E4"/>
            <w:noWrap/>
            <w:vAlign w:val="bottom"/>
            <w:hideMark/>
          </w:tcPr>
          <w:p w14:paraId="575A3944" w14:textId="77777777" w:rsidR="00FC7AF8" w:rsidRPr="00CF198A" w:rsidRDefault="00FC7AF8">
            <w:pPr>
              <w:spacing w:line="240" w:lineRule="auto"/>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Indigen</w:t>
            </w:r>
            <w:r>
              <w:rPr>
                <w:rFonts w:ascii="Open Sans Semibold" w:eastAsia="Times New Roman" w:hAnsi="Open Sans Semibold" w:cs="Open Sans Semibold"/>
                <w:color w:val="000000"/>
                <w:sz w:val="16"/>
                <w:szCs w:val="16"/>
                <w:lang w:eastAsia="en-AU"/>
              </w:rPr>
              <w:t>ous status</w:t>
            </w:r>
          </w:p>
        </w:tc>
        <w:tc>
          <w:tcPr>
            <w:tcW w:w="1740" w:type="dxa"/>
            <w:tcBorders>
              <w:top w:val="nil"/>
              <w:left w:val="nil"/>
              <w:bottom w:val="single" w:sz="4" w:space="0" w:color="ADD6EA"/>
              <w:right w:val="nil"/>
            </w:tcBorders>
            <w:shd w:val="clear" w:color="000000" w:fill="B6D5E4"/>
            <w:noWrap/>
            <w:vAlign w:val="bottom"/>
            <w:hideMark/>
          </w:tcPr>
          <w:p w14:paraId="3B53B7AD" w14:textId="77777777" w:rsidR="00FC7AF8" w:rsidRPr="00CF198A" w:rsidRDefault="00FC7AF8">
            <w:pPr>
              <w:spacing w:line="240" w:lineRule="auto"/>
              <w:rPr>
                <w:rFonts w:ascii="Work Sans" w:eastAsia="Times New Roman" w:hAnsi="Work Sans" w:cs="Calibri"/>
                <w:color w:val="000000"/>
                <w:sz w:val="16"/>
                <w:szCs w:val="16"/>
                <w:lang w:eastAsia="en-AU"/>
              </w:rPr>
            </w:pPr>
            <w:r w:rsidRPr="00CF198A">
              <w:rPr>
                <w:rFonts w:ascii="Work Sans" w:eastAsia="Times New Roman" w:hAnsi="Work Sans" w:cs="Calibri"/>
                <w:color w:val="000000"/>
                <w:sz w:val="16"/>
                <w:szCs w:val="16"/>
                <w:lang w:eastAsia="en-AU"/>
              </w:rPr>
              <w:t> </w:t>
            </w:r>
          </w:p>
        </w:tc>
        <w:tc>
          <w:tcPr>
            <w:tcW w:w="1795" w:type="dxa"/>
            <w:gridSpan w:val="2"/>
            <w:tcBorders>
              <w:top w:val="nil"/>
              <w:left w:val="nil"/>
              <w:bottom w:val="single" w:sz="4" w:space="0" w:color="ADD6EA"/>
              <w:right w:val="nil"/>
            </w:tcBorders>
            <w:shd w:val="clear" w:color="000000" w:fill="B6D5E4"/>
            <w:noWrap/>
            <w:vAlign w:val="bottom"/>
            <w:hideMark/>
          </w:tcPr>
          <w:p w14:paraId="15BA36C0" w14:textId="77777777" w:rsidR="00FC7AF8" w:rsidRPr="00CF198A" w:rsidRDefault="00FC7AF8">
            <w:pPr>
              <w:spacing w:line="240" w:lineRule="auto"/>
              <w:rPr>
                <w:rFonts w:ascii="Work Sans" w:eastAsia="Times New Roman" w:hAnsi="Work Sans" w:cs="Calibri"/>
                <w:color w:val="B6D5E4"/>
                <w:sz w:val="16"/>
                <w:szCs w:val="16"/>
                <w:lang w:eastAsia="en-AU"/>
              </w:rPr>
            </w:pPr>
            <w:r w:rsidRPr="00CF198A">
              <w:rPr>
                <w:rFonts w:ascii="Work Sans" w:eastAsia="Times New Roman" w:hAnsi="Work Sans" w:cs="Calibri"/>
                <w:color w:val="B6D5E4"/>
                <w:sz w:val="16"/>
                <w:szCs w:val="16"/>
                <w:lang w:eastAsia="en-AU"/>
              </w:rPr>
              <w:t> </w:t>
            </w:r>
          </w:p>
        </w:tc>
        <w:tc>
          <w:tcPr>
            <w:tcW w:w="1892" w:type="dxa"/>
            <w:tcBorders>
              <w:top w:val="nil"/>
              <w:left w:val="nil"/>
              <w:bottom w:val="single" w:sz="4" w:space="0" w:color="ADD6EA"/>
              <w:right w:val="nil"/>
            </w:tcBorders>
            <w:shd w:val="clear" w:color="000000" w:fill="B6D5E4"/>
            <w:noWrap/>
            <w:vAlign w:val="bottom"/>
            <w:hideMark/>
          </w:tcPr>
          <w:p w14:paraId="23D3217E" w14:textId="77777777" w:rsidR="00FC7AF8" w:rsidRPr="00CF198A" w:rsidRDefault="00FC7AF8">
            <w:pPr>
              <w:spacing w:line="240" w:lineRule="auto"/>
              <w:rPr>
                <w:rFonts w:ascii="Work Sans" w:eastAsia="Times New Roman" w:hAnsi="Work Sans" w:cs="Calibri"/>
                <w:color w:val="B6D5E4"/>
                <w:sz w:val="16"/>
                <w:szCs w:val="16"/>
                <w:lang w:eastAsia="en-AU"/>
              </w:rPr>
            </w:pPr>
            <w:r w:rsidRPr="00CF198A">
              <w:rPr>
                <w:rFonts w:ascii="Work Sans" w:eastAsia="Times New Roman" w:hAnsi="Work Sans" w:cs="Calibri"/>
                <w:color w:val="B6D5E4"/>
                <w:sz w:val="16"/>
                <w:szCs w:val="16"/>
                <w:lang w:eastAsia="en-AU"/>
              </w:rPr>
              <w:t> </w:t>
            </w:r>
          </w:p>
        </w:tc>
      </w:tr>
      <w:tr w:rsidR="00FC7AF8" w:rsidRPr="00CF198A" w14:paraId="5C24E279"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48AC466F"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First Nations</w:t>
            </w:r>
          </w:p>
        </w:tc>
        <w:tc>
          <w:tcPr>
            <w:tcW w:w="1740" w:type="dxa"/>
            <w:tcBorders>
              <w:top w:val="nil"/>
              <w:left w:val="nil"/>
              <w:bottom w:val="single" w:sz="4" w:space="0" w:color="ADD6EA"/>
              <w:right w:val="nil"/>
            </w:tcBorders>
            <w:shd w:val="clear" w:color="000000" w:fill="FFFFFF"/>
            <w:noWrap/>
            <w:vAlign w:val="bottom"/>
            <w:hideMark/>
          </w:tcPr>
          <w:p w14:paraId="1416EBAA"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2.9</w:t>
            </w:r>
          </w:p>
        </w:tc>
        <w:tc>
          <w:tcPr>
            <w:tcW w:w="1795" w:type="dxa"/>
            <w:gridSpan w:val="2"/>
            <w:tcBorders>
              <w:top w:val="nil"/>
              <w:left w:val="nil"/>
              <w:bottom w:val="single" w:sz="4" w:space="0" w:color="ADD6EA"/>
              <w:right w:val="nil"/>
            </w:tcBorders>
            <w:shd w:val="clear" w:color="000000" w:fill="FFFFFF"/>
            <w:noWrap/>
            <w:vAlign w:val="bottom"/>
            <w:hideMark/>
          </w:tcPr>
          <w:p w14:paraId="4E5B9C58"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3.5</w:t>
            </w:r>
          </w:p>
        </w:tc>
        <w:tc>
          <w:tcPr>
            <w:tcW w:w="1892" w:type="dxa"/>
            <w:tcBorders>
              <w:top w:val="nil"/>
              <w:left w:val="nil"/>
              <w:bottom w:val="single" w:sz="4" w:space="0" w:color="ADD6EA"/>
              <w:right w:val="nil"/>
            </w:tcBorders>
            <w:shd w:val="clear" w:color="000000" w:fill="FFFFFF"/>
            <w:noWrap/>
            <w:vAlign w:val="bottom"/>
            <w:hideMark/>
          </w:tcPr>
          <w:p w14:paraId="2B89AFAA"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3.3</w:t>
            </w:r>
          </w:p>
        </w:tc>
      </w:tr>
      <w:tr w:rsidR="00FC7AF8" w:rsidRPr="00CF198A" w14:paraId="4BE36CCB"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0E11345F"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Non-Indigenous</w:t>
            </w:r>
          </w:p>
        </w:tc>
        <w:tc>
          <w:tcPr>
            <w:tcW w:w="1740" w:type="dxa"/>
            <w:tcBorders>
              <w:top w:val="nil"/>
              <w:left w:val="nil"/>
              <w:bottom w:val="single" w:sz="4" w:space="0" w:color="ADD6EA"/>
              <w:right w:val="nil"/>
            </w:tcBorders>
            <w:shd w:val="clear" w:color="000000" w:fill="FFFFFF"/>
            <w:noWrap/>
            <w:vAlign w:val="bottom"/>
            <w:hideMark/>
          </w:tcPr>
          <w:p w14:paraId="4512D004"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c>
          <w:tcPr>
            <w:tcW w:w="1795" w:type="dxa"/>
            <w:gridSpan w:val="2"/>
            <w:tcBorders>
              <w:top w:val="nil"/>
              <w:left w:val="nil"/>
              <w:bottom w:val="single" w:sz="4" w:space="0" w:color="ADD6EA"/>
              <w:right w:val="nil"/>
            </w:tcBorders>
            <w:shd w:val="clear" w:color="000000" w:fill="FFFFFF"/>
            <w:noWrap/>
            <w:vAlign w:val="bottom"/>
            <w:hideMark/>
          </w:tcPr>
          <w:p w14:paraId="7DC3096F"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c>
          <w:tcPr>
            <w:tcW w:w="1892" w:type="dxa"/>
            <w:tcBorders>
              <w:top w:val="nil"/>
              <w:left w:val="nil"/>
              <w:bottom w:val="single" w:sz="4" w:space="0" w:color="ADD6EA"/>
              <w:right w:val="nil"/>
            </w:tcBorders>
            <w:shd w:val="clear" w:color="000000" w:fill="FFFFFF"/>
            <w:noWrap/>
            <w:vAlign w:val="bottom"/>
            <w:hideMark/>
          </w:tcPr>
          <w:p w14:paraId="3E4DDB50"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r>
      <w:tr w:rsidR="00FC7AF8" w:rsidRPr="00CF198A" w14:paraId="7AC24516" w14:textId="77777777">
        <w:trPr>
          <w:trHeight w:val="300"/>
        </w:trPr>
        <w:tc>
          <w:tcPr>
            <w:tcW w:w="3220" w:type="dxa"/>
            <w:tcBorders>
              <w:top w:val="nil"/>
              <w:left w:val="nil"/>
              <w:bottom w:val="single" w:sz="4" w:space="0" w:color="ADD6EA"/>
              <w:right w:val="nil"/>
            </w:tcBorders>
            <w:shd w:val="clear" w:color="000000" w:fill="D6E7F0"/>
            <w:noWrap/>
            <w:vAlign w:val="bottom"/>
            <w:hideMark/>
          </w:tcPr>
          <w:p w14:paraId="6ED194B0" w14:textId="77777777" w:rsidR="00FC7AF8" w:rsidRPr="00CF198A" w:rsidRDefault="00FC7AF8">
            <w:pPr>
              <w:spacing w:line="240" w:lineRule="auto"/>
              <w:ind w:firstLineChars="100" w:firstLine="160"/>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 xml:space="preserve">Ratio </w:t>
            </w:r>
            <w:r>
              <w:rPr>
                <w:rFonts w:ascii="Open Sans Semibold" w:eastAsia="Times New Roman" w:hAnsi="Open Sans Semibold" w:cs="Open Sans Semibold"/>
                <w:color w:val="000000"/>
                <w:sz w:val="16"/>
                <w:szCs w:val="16"/>
                <w:lang w:eastAsia="en-AU"/>
              </w:rPr>
              <w:t>First Nations</w:t>
            </w:r>
            <w:r w:rsidRPr="00CF198A">
              <w:rPr>
                <w:rFonts w:ascii="Open Sans Semibold" w:eastAsia="Times New Roman" w:hAnsi="Open Sans Semibold" w:cs="Open Sans Semibold"/>
                <w:color w:val="000000"/>
                <w:sz w:val="16"/>
                <w:szCs w:val="16"/>
                <w:lang w:eastAsia="en-AU"/>
              </w:rPr>
              <w:t>/non-Indigenous</w:t>
            </w:r>
          </w:p>
        </w:tc>
        <w:tc>
          <w:tcPr>
            <w:tcW w:w="1740" w:type="dxa"/>
            <w:tcBorders>
              <w:top w:val="nil"/>
              <w:left w:val="nil"/>
              <w:bottom w:val="single" w:sz="4" w:space="0" w:color="ADD6EA"/>
              <w:right w:val="nil"/>
            </w:tcBorders>
            <w:shd w:val="clear" w:color="000000" w:fill="D6E7F0"/>
            <w:noWrap/>
            <w:vAlign w:val="bottom"/>
            <w:hideMark/>
          </w:tcPr>
          <w:p w14:paraId="7942282F"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3.1</w:t>
            </w:r>
          </w:p>
        </w:tc>
        <w:tc>
          <w:tcPr>
            <w:tcW w:w="1795" w:type="dxa"/>
            <w:gridSpan w:val="2"/>
            <w:tcBorders>
              <w:top w:val="nil"/>
              <w:left w:val="nil"/>
              <w:bottom w:val="single" w:sz="4" w:space="0" w:color="ADD6EA"/>
              <w:right w:val="nil"/>
            </w:tcBorders>
            <w:shd w:val="clear" w:color="000000" w:fill="D6E7F0"/>
            <w:noWrap/>
            <w:vAlign w:val="bottom"/>
            <w:hideMark/>
          </w:tcPr>
          <w:p w14:paraId="7A0C83D7"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3.8</w:t>
            </w:r>
          </w:p>
        </w:tc>
        <w:tc>
          <w:tcPr>
            <w:tcW w:w="1892" w:type="dxa"/>
            <w:tcBorders>
              <w:top w:val="nil"/>
              <w:left w:val="nil"/>
              <w:bottom w:val="single" w:sz="4" w:space="0" w:color="ADD6EA"/>
              <w:right w:val="nil"/>
            </w:tcBorders>
            <w:shd w:val="clear" w:color="000000" w:fill="D6E7F0"/>
            <w:noWrap/>
            <w:vAlign w:val="bottom"/>
            <w:hideMark/>
          </w:tcPr>
          <w:p w14:paraId="4D2AB72E"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3.6</w:t>
            </w:r>
          </w:p>
        </w:tc>
      </w:tr>
      <w:tr w:rsidR="00FC7AF8" w:rsidRPr="00CF198A" w14:paraId="1DC90823" w14:textId="77777777">
        <w:trPr>
          <w:trHeight w:val="300"/>
        </w:trPr>
        <w:tc>
          <w:tcPr>
            <w:tcW w:w="3220" w:type="dxa"/>
            <w:tcBorders>
              <w:top w:val="nil"/>
              <w:left w:val="nil"/>
              <w:bottom w:val="single" w:sz="4" w:space="0" w:color="ADD6EA"/>
              <w:right w:val="nil"/>
            </w:tcBorders>
            <w:shd w:val="clear" w:color="000000" w:fill="B6D5E4"/>
            <w:noWrap/>
            <w:vAlign w:val="bottom"/>
            <w:hideMark/>
          </w:tcPr>
          <w:p w14:paraId="09E153FB" w14:textId="77777777" w:rsidR="00FC7AF8" w:rsidRPr="00CF198A" w:rsidRDefault="00FC7AF8">
            <w:pPr>
              <w:spacing w:line="240" w:lineRule="auto"/>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Age</w:t>
            </w:r>
          </w:p>
        </w:tc>
        <w:tc>
          <w:tcPr>
            <w:tcW w:w="1740" w:type="dxa"/>
            <w:tcBorders>
              <w:top w:val="nil"/>
              <w:left w:val="nil"/>
              <w:bottom w:val="single" w:sz="4" w:space="0" w:color="ADD6EA"/>
              <w:right w:val="nil"/>
            </w:tcBorders>
            <w:shd w:val="clear" w:color="000000" w:fill="B6D5E4"/>
            <w:noWrap/>
            <w:vAlign w:val="bottom"/>
            <w:hideMark/>
          </w:tcPr>
          <w:p w14:paraId="245F88BF" w14:textId="77777777" w:rsidR="00FC7AF8" w:rsidRPr="00CF198A" w:rsidRDefault="00FC7AF8">
            <w:pPr>
              <w:spacing w:line="240" w:lineRule="auto"/>
              <w:rPr>
                <w:rFonts w:ascii="Work Sans" w:eastAsia="Times New Roman" w:hAnsi="Work Sans" w:cs="Calibri"/>
                <w:color w:val="000000"/>
                <w:lang w:eastAsia="en-AU"/>
              </w:rPr>
            </w:pPr>
            <w:r w:rsidRPr="00CF198A">
              <w:rPr>
                <w:rFonts w:ascii="Work Sans" w:eastAsia="Times New Roman" w:hAnsi="Work Sans" w:cs="Calibri"/>
                <w:color w:val="000000"/>
                <w:lang w:eastAsia="en-AU"/>
              </w:rPr>
              <w:t> </w:t>
            </w:r>
          </w:p>
        </w:tc>
        <w:tc>
          <w:tcPr>
            <w:tcW w:w="1795" w:type="dxa"/>
            <w:gridSpan w:val="2"/>
            <w:tcBorders>
              <w:top w:val="nil"/>
              <w:left w:val="nil"/>
              <w:bottom w:val="single" w:sz="4" w:space="0" w:color="ADD6EA"/>
              <w:right w:val="nil"/>
            </w:tcBorders>
            <w:shd w:val="clear" w:color="000000" w:fill="B6D5E4"/>
            <w:noWrap/>
            <w:vAlign w:val="bottom"/>
            <w:hideMark/>
          </w:tcPr>
          <w:p w14:paraId="000DC296" w14:textId="77777777" w:rsidR="00FC7AF8" w:rsidRPr="00CF198A" w:rsidRDefault="00FC7AF8">
            <w:pPr>
              <w:spacing w:line="240" w:lineRule="auto"/>
              <w:rPr>
                <w:rFonts w:ascii="Work Sans" w:eastAsia="Times New Roman" w:hAnsi="Work Sans" w:cs="Calibri"/>
                <w:color w:val="B6D5E4"/>
                <w:sz w:val="16"/>
                <w:szCs w:val="16"/>
                <w:lang w:eastAsia="en-AU"/>
              </w:rPr>
            </w:pPr>
            <w:r w:rsidRPr="00CF198A">
              <w:rPr>
                <w:rFonts w:ascii="Work Sans" w:eastAsia="Times New Roman" w:hAnsi="Work Sans" w:cs="Calibri"/>
                <w:color w:val="B6D5E4"/>
                <w:sz w:val="16"/>
                <w:szCs w:val="16"/>
                <w:lang w:eastAsia="en-AU"/>
              </w:rPr>
              <w:t> </w:t>
            </w:r>
          </w:p>
        </w:tc>
        <w:tc>
          <w:tcPr>
            <w:tcW w:w="1892" w:type="dxa"/>
            <w:tcBorders>
              <w:top w:val="nil"/>
              <w:left w:val="nil"/>
              <w:bottom w:val="single" w:sz="4" w:space="0" w:color="ADD6EA"/>
              <w:right w:val="nil"/>
            </w:tcBorders>
            <w:shd w:val="clear" w:color="000000" w:fill="B6D5E4"/>
            <w:noWrap/>
            <w:vAlign w:val="bottom"/>
            <w:hideMark/>
          </w:tcPr>
          <w:p w14:paraId="2AEE94A3" w14:textId="77777777" w:rsidR="00FC7AF8" w:rsidRPr="00CF198A" w:rsidRDefault="00FC7AF8">
            <w:pPr>
              <w:spacing w:line="240" w:lineRule="auto"/>
              <w:rPr>
                <w:rFonts w:ascii="Work Sans" w:eastAsia="Times New Roman" w:hAnsi="Work Sans" w:cs="Calibri"/>
                <w:color w:val="B6D5E4"/>
                <w:sz w:val="16"/>
                <w:szCs w:val="16"/>
                <w:lang w:eastAsia="en-AU"/>
              </w:rPr>
            </w:pPr>
            <w:r w:rsidRPr="00CF198A">
              <w:rPr>
                <w:rFonts w:ascii="Work Sans" w:eastAsia="Times New Roman" w:hAnsi="Work Sans" w:cs="Calibri"/>
                <w:color w:val="B6D5E4"/>
                <w:sz w:val="16"/>
                <w:szCs w:val="16"/>
                <w:lang w:eastAsia="en-AU"/>
              </w:rPr>
              <w:t> </w:t>
            </w:r>
          </w:p>
        </w:tc>
      </w:tr>
      <w:tr w:rsidR="00FC7AF8" w:rsidRPr="00CF198A" w14:paraId="54E264C5"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4449DC70"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0-14</w:t>
            </w:r>
          </w:p>
        </w:tc>
        <w:tc>
          <w:tcPr>
            <w:tcW w:w="1740" w:type="dxa"/>
            <w:tcBorders>
              <w:top w:val="nil"/>
              <w:left w:val="nil"/>
              <w:bottom w:val="single" w:sz="4" w:space="0" w:color="ADD6EA"/>
              <w:right w:val="nil"/>
            </w:tcBorders>
            <w:shd w:val="clear" w:color="000000" w:fill="FFFFFF"/>
            <w:noWrap/>
            <w:vAlign w:val="bottom"/>
            <w:hideMark/>
          </w:tcPr>
          <w:p w14:paraId="609A9797"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1.2</w:t>
            </w:r>
          </w:p>
        </w:tc>
        <w:tc>
          <w:tcPr>
            <w:tcW w:w="1795" w:type="dxa"/>
            <w:gridSpan w:val="2"/>
            <w:tcBorders>
              <w:top w:val="nil"/>
              <w:left w:val="nil"/>
              <w:bottom w:val="single" w:sz="4" w:space="0" w:color="ADD6EA"/>
              <w:right w:val="nil"/>
            </w:tcBorders>
            <w:shd w:val="clear" w:color="000000" w:fill="FFFFFF"/>
            <w:noWrap/>
            <w:vAlign w:val="bottom"/>
            <w:hideMark/>
          </w:tcPr>
          <w:p w14:paraId="25B67311"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0.5</w:t>
            </w:r>
          </w:p>
        </w:tc>
        <w:tc>
          <w:tcPr>
            <w:tcW w:w="1892" w:type="dxa"/>
            <w:tcBorders>
              <w:top w:val="nil"/>
              <w:left w:val="nil"/>
              <w:bottom w:val="single" w:sz="4" w:space="0" w:color="ADD6EA"/>
              <w:right w:val="nil"/>
            </w:tcBorders>
            <w:shd w:val="clear" w:color="000000" w:fill="FFFFFF"/>
            <w:noWrap/>
            <w:vAlign w:val="bottom"/>
            <w:hideMark/>
          </w:tcPr>
          <w:p w14:paraId="63692CA3"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0.7</w:t>
            </w:r>
          </w:p>
        </w:tc>
      </w:tr>
      <w:tr w:rsidR="00FC7AF8" w:rsidRPr="00CF198A" w14:paraId="0157ECF1"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0C40C791"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15-44</w:t>
            </w:r>
          </w:p>
        </w:tc>
        <w:tc>
          <w:tcPr>
            <w:tcW w:w="1740" w:type="dxa"/>
            <w:tcBorders>
              <w:top w:val="nil"/>
              <w:left w:val="nil"/>
              <w:bottom w:val="single" w:sz="4" w:space="0" w:color="ADD6EA"/>
              <w:right w:val="nil"/>
            </w:tcBorders>
            <w:shd w:val="clear" w:color="000000" w:fill="FFFFFF"/>
            <w:noWrap/>
            <w:vAlign w:val="bottom"/>
            <w:hideMark/>
          </w:tcPr>
          <w:p w14:paraId="2C34ABAA"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795" w:type="dxa"/>
            <w:gridSpan w:val="2"/>
            <w:tcBorders>
              <w:top w:val="nil"/>
              <w:left w:val="nil"/>
              <w:bottom w:val="single" w:sz="4" w:space="0" w:color="ADD6EA"/>
              <w:right w:val="nil"/>
            </w:tcBorders>
            <w:shd w:val="clear" w:color="000000" w:fill="FFFFFF"/>
            <w:noWrap/>
            <w:vAlign w:val="bottom"/>
            <w:hideMark/>
          </w:tcPr>
          <w:p w14:paraId="7BAA761D"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1.4</w:t>
            </w:r>
          </w:p>
        </w:tc>
        <w:tc>
          <w:tcPr>
            <w:tcW w:w="1892" w:type="dxa"/>
            <w:tcBorders>
              <w:top w:val="nil"/>
              <w:left w:val="nil"/>
              <w:bottom w:val="single" w:sz="4" w:space="0" w:color="ADD6EA"/>
              <w:right w:val="nil"/>
            </w:tcBorders>
            <w:shd w:val="clear" w:color="000000" w:fill="FFFFFF"/>
            <w:noWrap/>
            <w:vAlign w:val="bottom"/>
            <w:hideMark/>
          </w:tcPr>
          <w:p w14:paraId="5582432D"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1.4</w:t>
            </w:r>
          </w:p>
        </w:tc>
      </w:tr>
      <w:tr w:rsidR="00FC7AF8" w:rsidRPr="00CF198A" w14:paraId="1546DB89"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252999FE"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45-64</w:t>
            </w:r>
          </w:p>
        </w:tc>
        <w:tc>
          <w:tcPr>
            <w:tcW w:w="1740" w:type="dxa"/>
            <w:tcBorders>
              <w:top w:val="nil"/>
              <w:left w:val="nil"/>
              <w:bottom w:val="single" w:sz="4" w:space="0" w:color="ADD6EA"/>
              <w:right w:val="nil"/>
            </w:tcBorders>
            <w:shd w:val="clear" w:color="000000" w:fill="FFFFFF"/>
            <w:noWrap/>
            <w:vAlign w:val="bottom"/>
            <w:hideMark/>
          </w:tcPr>
          <w:p w14:paraId="480560D8"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0.8</w:t>
            </w:r>
          </w:p>
        </w:tc>
        <w:tc>
          <w:tcPr>
            <w:tcW w:w="1795" w:type="dxa"/>
            <w:gridSpan w:val="2"/>
            <w:tcBorders>
              <w:top w:val="nil"/>
              <w:left w:val="nil"/>
              <w:bottom w:val="single" w:sz="4" w:space="0" w:color="ADD6EA"/>
              <w:right w:val="nil"/>
            </w:tcBorders>
            <w:shd w:val="clear" w:color="000000" w:fill="FFFFFF"/>
            <w:noWrap/>
            <w:vAlign w:val="bottom"/>
            <w:hideMark/>
          </w:tcPr>
          <w:p w14:paraId="11610CF6"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892" w:type="dxa"/>
            <w:tcBorders>
              <w:top w:val="nil"/>
              <w:left w:val="nil"/>
              <w:bottom w:val="single" w:sz="4" w:space="0" w:color="ADD6EA"/>
              <w:right w:val="nil"/>
            </w:tcBorders>
            <w:shd w:val="clear" w:color="000000" w:fill="FFFFFF"/>
            <w:noWrap/>
            <w:vAlign w:val="bottom"/>
            <w:hideMark/>
          </w:tcPr>
          <w:p w14:paraId="533AE3ED"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r>
      <w:tr w:rsidR="00FC7AF8" w:rsidRPr="00CF198A" w14:paraId="22965709"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5A60C17A"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65-74</w:t>
            </w:r>
          </w:p>
        </w:tc>
        <w:tc>
          <w:tcPr>
            <w:tcW w:w="1740" w:type="dxa"/>
            <w:tcBorders>
              <w:top w:val="nil"/>
              <w:left w:val="nil"/>
              <w:bottom w:val="single" w:sz="4" w:space="0" w:color="ADD6EA"/>
              <w:right w:val="nil"/>
            </w:tcBorders>
            <w:shd w:val="clear" w:color="000000" w:fill="FFFFFF"/>
            <w:noWrap/>
            <w:vAlign w:val="bottom"/>
            <w:hideMark/>
          </w:tcPr>
          <w:p w14:paraId="4CEB53B0"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795" w:type="dxa"/>
            <w:gridSpan w:val="2"/>
            <w:tcBorders>
              <w:top w:val="nil"/>
              <w:left w:val="nil"/>
              <w:bottom w:val="single" w:sz="4" w:space="0" w:color="ADD6EA"/>
              <w:right w:val="nil"/>
            </w:tcBorders>
            <w:shd w:val="clear" w:color="000000" w:fill="FFFFFF"/>
            <w:noWrap/>
            <w:vAlign w:val="bottom"/>
            <w:hideMark/>
          </w:tcPr>
          <w:p w14:paraId="7AF67621"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0.6</w:t>
            </w:r>
          </w:p>
        </w:tc>
        <w:tc>
          <w:tcPr>
            <w:tcW w:w="1892" w:type="dxa"/>
            <w:tcBorders>
              <w:top w:val="nil"/>
              <w:left w:val="nil"/>
              <w:bottom w:val="single" w:sz="4" w:space="0" w:color="ADD6EA"/>
              <w:right w:val="nil"/>
            </w:tcBorders>
            <w:shd w:val="clear" w:color="000000" w:fill="FFFFFF"/>
            <w:noWrap/>
            <w:vAlign w:val="bottom"/>
            <w:hideMark/>
          </w:tcPr>
          <w:p w14:paraId="5C1EBF1B"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0.6</w:t>
            </w:r>
          </w:p>
        </w:tc>
      </w:tr>
      <w:tr w:rsidR="00FC7AF8" w:rsidRPr="00CF198A" w14:paraId="01A3B69E" w14:textId="77777777">
        <w:trPr>
          <w:trHeight w:val="300"/>
        </w:trPr>
        <w:tc>
          <w:tcPr>
            <w:tcW w:w="3220" w:type="dxa"/>
            <w:tcBorders>
              <w:top w:val="nil"/>
              <w:left w:val="nil"/>
              <w:bottom w:val="single" w:sz="4" w:space="0" w:color="ADD6EA"/>
              <w:right w:val="nil"/>
            </w:tcBorders>
            <w:shd w:val="clear" w:color="000000" w:fill="FFFFFF"/>
            <w:noWrap/>
            <w:vAlign w:val="bottom"/>
            <w:hideMark/>
          </w:tcPr>
          <w:p w14:paraId="7C95C125" w14:textId="77777777" w:rsidR="00FC7AF8" w:rsidRPr="00AF68FA" w:rsidRDefault="00FC7AF8">
            <w:pPr>
              <w:spacing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75+</w:t>
            </w:r>
          </w:p>
        </w:tc>
        <w:tc>
          <w:tcPr>
            <w:tcW w:w="1740" w:type="dxa"/>
            <w:tcBorders>
              <w:top w:val="nil"/>
              <w:left w:val="nil"/>
              <w:bottom w:val="single" w:sz="4" w:space="0" w:color="ADD6EA"/>
              <w:right w:val="nil"/>
            </w:tcBorders>
            <w:shd w:val="clear" w:color="000000" w:fill="FFFFFF"/>
            <w:noWrap/>
            <w:vAlign w:val="bottom"/>
            <w:hideMark/>
          </w:tcPr>
          <w:p w14:paraId="181F9038"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1.7</w:t>
            </w:r>
          </w:p>
        </w:tc>
        <w:tc>
          <w:tcPr>
            <w:tcW w:w="1795" w:type="dxa"/>
            <w:gridSpan w:val="2"/>
            <w:tcBorders>
              <w:top w:val="nil"/>
              <w:left w:val="nil"/>
              <w:bottom w:val="single" w:sz="4" w:space="0" w:color="ADD6EA"/>
              <w:right w:val="nil"/>
            </w:tcBorders>
            <w:shd w:val="clear" w:color="000000" w:fill="FFFFFF"/>
            <w:noWrap/>
            <w:vAlign w:val="bottom"/>
            <w:hideMark/>
          </w:tcPr>
          <w:p w14:paraId="0DEC7DDA"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0.5</w:t>
            </w:r>
          </w:p>
        </w:tc>
        <w:tc>
          <w:tcPr>
            <w:tcW w:w="1892" w:type="dxa"/>
            <w:tcBorders>
              <w:top w:val="nil"/>
              <w:left w:val="nil"/>
              <w:bottom w:val="single" w:sz="4" w:space="0" w:color="ADD6EA"/>
              <w:right w:val="nil"/>
            </w:tcBorders>
            <w:shd w:val="clear" w:color="000000" w:fill="FFFFFF"/>
            <w:noWrap/>
            <w:vAlign w:val="bottom"/>
            <w:hideMark/>
          </w:tcPr>
          <w:p w14:paraId="44A4CEF0" w14:textId="77777777" w:rsidR="00FC7AF8" w:rsidRPr="00AF68FA" w:rsidRDefault="00FC7AF8">
            <w:pPr>
              <w:spacing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0.7</w:t>
            </w:r>
          </w:p>
        </w:tc>
      </w:tr>
      <w:tr w:rsidR="00FC7AF8" w:rsidRPr="00CF198A" w14:paraId="4D268CE1" w14:textId="77777777">
        <w:trPr>
          <w:trHeight w:val="300"/>
        </w:trPr>
        <w:tc>
          <w:tcPr>
            <w:tcW w:w="3220" w:type="dxa"/>
            <w:tcBorders>
              <w:top w:val="nil"/>
              <w:left w:val="nil"/>
              <w:bottom w:val="single" w:sz="4" w:space="0" w:color="ADD6EA"/>
              <w:right w:val="nil"/>
            </w:tcBorders>
            <w:shd w:val="clear" w:color="000000" w:fill="D6E7F0"/>
            <w:noWrap/>
            <w:vAlign w:val="bottom"/>
            <w:hideMark/>
          </w:tcPr>
          <w:p w14:paraId="00A16E52" w14:textId="77777777" w:rsidR="00FC7AF8" w:rsidRPr="00CF198A" w:rsidRDefault="00FC7AF8">
            <w:pPr>
              <w:spacing w:line="240" w:lineRule="auto"/>
              <w:ind w:firstLineChars="100" w:firstLine="160"/>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Ratio 75+/0-14</w:t>
            </w:r>
          </w:p>
        </w:tc>
        <w:tc>
          <w:tcPr>
            <w:tcW w:w="1740" w:type="dxa"/>
            <w:tcBorders>
              <w:top w:val="nil"/>
              <w:left w:val="nil"/>
              <w:bottom w:val="single" w:sz="4" w:space="0" w:color="ADD6EA"/>
              <w:right w:val="nil"/>
            </w:tcBorders>
            <w:shd w:val="clear" w:color="000000" w:fill="D6E7F0"/>
            <w:noWrap/>
            <w:vAlign w:val="bottom"/>
            <w:hideMark/>
          </w:tcPr>
          <w:p w14:paraId="4C11E5A1"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1.4</w:t>
            </w:r>
          </w:p>
        </w:tc>
        <w:tc>
          <w:tcPr>
            <w:tcW w:w="1795" w:type="dxa"/>
            <w:gridSpan w:val="2"/>
            <w:tcBorders>
              <w:top w:val="nil"/>
              <w:left w:val="nil"/>
              <w:bottom w:val="single" w:sz="4" w:space="0" w:color="ADD6EA"/>
              <w:right w:val="nil"/>
            </w:tcBorders>
            <w:shd w:val="clear" w:color="000000" w:fill="D6E7F0"/>
            <w:noWrap/>
            <w:vAlign w:val="bottom"/>
            <w:hideMark/>
          </w:tcPr>
          <w:p w14:paraId="65A32C69"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1.0</w:t>
            </w:r>
          </w:p>
        </w:tc>
        <w:tc>
          <w:tcPr>
            <w:tcW w:w="1892" w:type="dxa"/>
            <w:tcBorders>
              <w:top w:val="nil"/>
              <w:left w:val="nil"/>
              <w:bottom w:val="single" w:sz="4" w:space="0" w:color="ADD6EA"/>
              <w:right w:val="nil"/>
            </w:tcBorders>
            <w:shd w:val="clear" w:color="000000" w:fill="D6E7F0"/>
            <w:noWrap/>
            <w:vAlign w:val="bottom"/>
            <w:hideMark/>
          </w:tcPr>
          <w:p w14:paraId="3FEB9E59" w14:textId="77777777" w:rsidR="00FC7AF8" w:rsidRPr="00CF198A" w:rsidRDefault="00FC7AF8">
            <w:pPr>
              <w:spacing w:line="240" w:lineRule="auto"/>
              <w:jc w:val="right"/>
              <w:rPr>
                <w:rFonts w:ascii="Open Sans Semibold" w:eastAsia="Times New Roman" w:hAnsi="Open Sans Semibold" w:cs="Open Sans Semibold"/>
                <w:color w:val="000000"/>
                <w:sz w:val="16"/>
                <w:szCs w:val="16"/>
                <w:lang w:eastAsia="en-AU"/>
              </w:rPr>
            </w:pPr>
            <w:r w:rsidRPr="00CF198A">
              <w:rPr>
                <w:rFonts w:ascii="Open Sans Semibold" w:eastAsia="Times New Roman" w:hAnsi="Open Sans Semibold" w:cs="Open Sans Semibold"/>
                <w:color w:val="000000"/>
                <w:sz w:val="16"/>
                <w:szCs w:val="16"/>
                <w:lang w:eastAsia="en-AU"/>
              </w:rPr>
              <w:t>1.0</w:t>
            </w:r>
          </w:p>
        </w:tc>
      </w:tr>
    </w:tbl>
    <w:p w14:paraId="53672167" w14:textId="670E3E03" w:rsidR="00420AAC" w:rsidRPr="00214433" w:rsidRDefault="00420AAC" w:rsidP="00420AAC">
      <w:pPr>
        <w:pStyle w:val="CGCTablenote"/>
        <w:ind w:left="709" w:hanging="596"/>
        <w:rPr>
          <w:rFonts w:ascii="Work Sans" w:hAnsi="Work Sans"/>
        </w:rPr>
      </w:pPr>
      <w:r w:rsidRPr="00214433">
        <w:rPr>
          <w:rFonts w:ascii="Work Sans" w:hAnsi="Work Sans"/>
        </w:rPr>
        <w:t>Note:</w:t>
      </w:r>
      <w:r w:rsidRPr="00214433">
        <w:rPr>
          <w:rFonts w:ascii="Work Sans" w:hAnsi="Work Sans"/>
        </w:rPr>
        <w:tab/>
      </w:r>
      <w:r w:rsidRPr="00214433">
        <w:rPr>
          <w:rFonts w:ascii="Work Sans" w:hAnsi="Work Sans"/>
        </w:rPr>
        <w:tab/>
        <w:t>Relative per capita activity is calculated by dividing the share of activity attributed to each group by their share of total population.</w:t>
      </w:r>
    </w:p>
    <w:p w14:paraId="008D549D" w14:textId="1C185EDB" w:rsidR="00DE2F4A" w:rsidRPr="00214433" w:rsidRDefault="00420AAC" w:rsidP="00420AAC">
      <w:pPr>
        <w:pStyle w:val="CGCTablenote"/>
        <w:ind w:left="709" w:hanging="596"/>
        <w:rPr>
          <w:rFonts w:ascii="Work Sans" w:hAnsi="Work Sans"/>
        </w:rPr>
      </w:pPr>
      <w:r w:rsidRPr="00214433">
        <w:rPr>
          <w:rFonts w:ascii="Work Sans" w:hAnsi="Work Sans"/>
        </w:rPr>
        <w:t xml:space="preserve">Source: </w:t>
      </w:r>
      <w:r w:rsidRPr="00214433">
        <w:rPr>
          <w:rFonts w:ascii="Work Sans" w:hAnsi="Work Sans"/>
        </w:rPr>
        <w:tab/>
        <w:t xml:space="preserve">Commission calculation using </w:t>
      </w:r>
      <w:r w:rsidR="008C7096" w:rsidRPr="00214433">
        <w:rPr>
          <w:rFonts w:ascii="Work Sans" w:hAnsi="Work Sans"/>
        </w:rPr>
        <w:t xml:space="preserve">unpublished </w:t>
      </w:r>
      <w:r w:rsidRPr="00214433">
        <w:rPr>
          <w:rFonts w:ascii="Work Sans" w:hAnsi="Work Sans"/>
        </w:rPr>
        <w:t>IHACPA data and AIHW Community mental health care services tables 2020</w:t>
      </w:r>
      <w:r w:rsidR="00214433">
        <w:rPr>
          <w:rFonts w:ascii="Work Sans" w:hAnsi="Work Sans"/>
        </w:rPr>
        <w:noBreakHyphen/>
      </w:r>
      <w:r w:rsidRPr="00214433">
        <w:rPr>
          <w:rFonts w:ascii="Work Sans" w:hAnsi="Work Sans"/>
        </w:rPr>
        <w:t>21.</w:t>
      </w:r>
    </w:p>
    <w:p w14:paraId="553148AC" w14:textId="77777777" w:rsidR="00DE2F4A" w:rsidRDefault="00DE2F4A">
      <w:pPr>
        <w:tabs>
          <w:tab w:val="clear" w:pos="567"/>
        </w:tabs>
        <w:spacing w:before="0" w:after="200" w:line="276" w:lineRule="auto"/>
        <w:rPr>
          <w:sz w:val="14"/>
        </w:rPr>
      </w:pPr>
      <w:r>
        <w:br w:type="page"/>
      </w:r>
    </w:p>
    <w:p w14:paraId="4DE47005" w14:textId="313130AC" w:rsidR="00CC7B51" w:rsidRDefault="00672BC1" w:rsidP="007B7F08">
      <w:pPr>
        <w:pStyle w:val="CGC2025Caption"/>
        <w:ind w:left="1134" w:hanging="1134"/>
      </w:pPr>
      <w:bookmarkStart w:id="116" w:name="_Ref138161157"/>
      <w:r w:rsidRPr="007B7F08">
        <w:rPr>
          <w:bCs/>
        </w:rPr>
        <w:lastRenderedPageBreak/>
        <w:t>Table B</w:t>
      </w:r>
      <w:r w:rsidRPr="007B7F08">
        <w:rPr>
          <w:bCs/>
        </w:rPr>
        <w:fldChar w:fldCharType="begin"/>
      </w:r>
      <w:r w:rsidRPr="007B7F08">
        <w:rPr>
          <w:bCs/>
        </w:rPr>
        <w:instrText xml:space="preserve"> SEQ Table_B \* ARABIC </w:instrText>
      </w:r>
      <w:r w:rsidRPr="007B7F08">
        <w:rPr>
          <w:bCs/>
        </w:rPr>
        <w:fldChar w:fldCharType="separate"/>
      </w:r>
      <w:r w:rsidR="00312054">
        <w:rPr>
          <w:bCs/>
          <w:noProof/>
        </w:rPr>
        <w:t>2</w:t>
      </w:r>
      <w:r w:rsidRPr="007B7F08">
        <w:rPr>
          <w:bCs/>
        </w:rPr>
        <w:fldChar w:fldCharType="end"/>
      </w:r>
      <w:bookmarkEnd w:id="116"/>
      <w:r w:rsidR="00A438EC" w:rsidRPr="007B7F08">
        <w:rPr>
          <w:bCs/>
        </w:rPr>
        <w:tab/>
        <w:t>Current proxy indicator vs AIHW community mental health indicators with remoteness adjustments, 2020</w:t>
      </w:r>
      <w:r w:rsidR="00D358E8">
        <w:rPr>
          <w:bCs/>
        </w:rPr>
        <w:t>–</w:t>
      </w:r>
      <w:r w:rsidR="00A438EC" w:rsidRPr="007B7F08">
        <w:rPr>
          <w:bCs/>
        </w:rPr>
        <w:t>21 (relative per capita activity</w:t>
      </w:r>
      <w:r w:rsidR="00A438EC" w:rsidRPr="00A438EC">
        <w:t xml:space="preserve">) </w:t>
      </w:r>
      <w:r w:rsidR="00A438EC" w:rsidRPr="00AF68FA">
        <w:rPr>
          <w:sz w:val="18"/>
          <w:szCs w:val="18"/>
          <w:vertAlign w:val="superscript"/>
        </w:rPr>
        <w:t>(a)</w:t>
      </w:r>
    </w:p>
    <w:tbl>
      <w:tblPr>
        <w:tblW w:w="8520" w:type="dxa"/>
        <w:tblLook w:val="04A0" w:firstRow="1" w:lastRow="0" w:firstColumn="1" w:lastColumn="0" w:noHBand="0" w:noVBand="1"/>
      </w:tblPr>
      <w:tblGrid>
        <w:gridCol w:w="3220"/>
        <w:gridCol w:w="1740"/>
        <w:gridCol w:w="1795"/>
        <w:gridCol w:w="1765"/>
      </w:tblGrid>
      <w:tr w:rsidR="00E64207" w:rsidRPr="00202DE6" w14:paraId="5C0417FD" w14:textId="77777777">
        <w:trPr>
          <w:trHeight w:val="345"/>
        </w:trPr>
        <w:tc>
          <w:tcPr>
            <w:tcW w:w="3220" w:type="dxa"/>
            <w:tcBorders>
              <w:top w:val="nil"/>
              <w:left w:val="nil"/>
              <w:bottom w:val="nil"/>
              <w:right w:val="nil"/>
            </w:tcBorders>
            <w:shd w:val="clear" w:color="000000" w:fill="006991"/>
            <w:noWrap/>
            <w:vAlign w:val="center"/>
            <w:hideMark/>
          </w:tcPr>
          <w:p w14:paraId="70CC833E" w14:textId="77777777" w:rsidR="00E64207" w:rsidRPr="00202DE6" w:rsidRDefault="00E64207">
            <w:pPr>
              <w:keepNext/>
              <w:keepLines/>
              <w:tabs>
                <w:tab w:val="clear" w:pos="567"/>
              </w:tabs>
              <w:spacing w:before="0" w:line="240" w:lineRule="auto"/>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 </w:t>
            </w:r>
          </w:p>
        </w:tc>
        <w:tc>
          <w:tcPr>
            <w:tcW w:w="1740" w:type="dxa"/>
            <w:vMerge w:val="restart"/>
            <w:tcBorders>
              <w:top w:val="nil"/>
              <w:left w:val="nil"/>
              <w:bottom w:val="nil"/>
              <w:right w:val="nil"/>
            </w:tcBorders>
            <w:shd w:val="clear" w:color="000000" w:fill="006991"/>
            <w:vAlign w:val="center"/>
            <w:hideMark/>
          </w:tcPr>
          <w:p w14:paraId="70D3D87F" w14:textId="77777777" w:rsidR="00E64207" w:rsidRPr="00202DE6" w:rsidRDefault="00E64207">
            <w:pPr>
              <w:keepNext/>
              <w:keepLines/>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202DE6">
              <w:rPr>
                <w:rFonts w:ascii="Open Sans Semibold" w:eastAsia="Times New Roman" w:hAnsi="Open Sans Semibold" w:cs="Open Sans Semibold"/>
                <w:color w:val="FFFFFF"/>
                <w:sz w:val="16"/>
                <w:szCs w:val="16"/>
                <w:lang w:eastAsia="en-AU"/>
              </w:rPr>
              <w:t>Current indicator</w:t>
            </w:r>
          </w:p>
        </w:tc>
        <w:tc>
          <w:tcPr>
            <w:tcW w:w="3560" w:type="dxa"/>
            <w:gridSpan w:val="2"/>
            <w:tcBorders>
              <w:top w:val="nil"/>
              <w:left w:val="nil"/>
              <w:bottom w:val="single" w:sz="4" w:space="0" w:color="ADD6EA"/>
              <w:right w:val="nil"/>
            </w:tcBorders>
            <w:shd w:val="clear" w:color="000000" w:fill="006991"/>
            <w:noWrap/>
            <w:vAlign w:val="center"/>
            <w:hideMark/>
          </w:tcPr>
          <w:p w14:paraId="0A25824A" w14:textId="77777777" w:rsidR="00E64207" w:rsidRPr="00202DE6" w:rsidRDefault="00E64207">
            <w:pPr>
              <w:keepNext/>
              <w:keepLines/>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202DE6">
              <w:rPr>
                <w:rFonts w:ascii="Open Sans Semibold" w:eastAsia="Times New Roman" w:hAnsi="Open Sans Semibold" w:cs="Open Sans Semibold"/>
                <w:color w:val="FFFFFF"/>
                <w:sz w:val="16"/>
                <w:szCs w:val="16"/>
                <w:lang w:eastAsia="en-AU"/>
              </w:rPr>
              <w:t>AIHW community mental health services</w:t>
            </w:r>
          </w:p>
        </w:tc>
      </w:tr>
      <w:tr w:rsidR="00E64207" w:rsidRPr="00202DE6" w14:paraId="6B7DC767" w14:textId="77777777">
        <w:trPr>
          <w:trHeight w:val="345"/>
        </w:trPr>
        <w:tc>
          <w:tcPr>
            <w:tcW w:w="3220" w:type="dxa"/>
            <w:tcBorders>
              <w:top w:val="nil"/>
              <w:left w:val="nil"/>
              <w:bottom w:val="nil"/>
              <w:right w:val="nil"/>
            </w:tcBorders>
            <w:shd w:val="clear" w:color="000000" w:fill="006991"/>
            <w:noWrap/>
            <w:vAlign w:val="center"/>
            <w:hideMark/>
          </w:tcPr>
          <w:p w14:paraId="24192D36" w14:textId="77777777" w:rsidR="00E64207" w:rsidRPr="00202DE6" w:rsidRDefault="00E64207">
            <w:pPr>
              <w:keepNext/>
              <w:keepLines/>
              <w:tabs>
                <w:tab w:val="clear" w:pos="567"/>
              </w:tabs>
              <w:spacing w:before="0" w:line="240" w:lineRule="auto"/>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 </w:t>
            </w:r>
          </w:p>
        </w:tc>
        <w:tc>
          <w:tcPr>
            <w:tcW w:w="1740" w:type="dxa"/>
            <w:vMerge/>
            <w:tcBorders>
              <w:top w:val="nil"/>
              <w:left w:val="nil"/>
              <w:bottom w:val="nil"/>
              <w:right w:val="nil"/>
            </w:tcBorders>
            <w:vAlign w:val="center"/>
            <w:hideMark/>
          </w:tcPr>
          <w:p w14:paraId="74E84476" w14:textId="77777777" w:rsidR="00E64207" w:rsidRPr="00202DE6" w:rsidRDefault="00E64207">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1795" w:type="dxa"/>
            <w:tcBorders>
              <w:top w:val="nil"/>
              <w:left w:val="nil"/>
              <w:bottom w:val="nil"/>
              <w:right w:val="nil"/>
            </w:tcBorders>
            <w:shd w:val="clear" w:color="000000" w:fill="006991"/>
            <w:noWrap/>
            <w:vAlign w:val="center"/>
            <w:hideMark/>
          </w:tcPr>
          <w:p w14:paraId="0D974686"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02DE6">
              <w:rPr>
                <w:rFonts w:ascii="Open Sans Semibold" w:eastAsia="Times New Roman" w:hAnsi="Open Sans Semibold" w:cs="Open Sans Semibold"/>
                <w:color w:val="FFFFFF"/>
                <w:sz w:val="16"/>
                <w:szCs w:val="16"/>
                <w:lang w:eastAsia="en-AU"/>
              </w:rPr>
              <w:t>No. of contacts</w:t>
            </w:r>
          </w:p>
        </w:tc>
        <w:tc>
          <w:tcPr>
            <w:tcW w:w="1765" w:type="dxa"/>
            <w:tcBorders>
              <w:top w:val="nil"/>
              <w:left w:val="nil"/>
              <w:bottom w:val="nil"/>
              <w:right w:val="nil"/>
            </w:tcBorders>
            <w:shd w:val="clear" w:color="000000" w:fill="006991"/>
            <w:noWrap/>
            <w:vAlign w:val="center"/>
            <w:hideMark/>
          </w:tcPr>
          <w:p w14:paraId="7F794CA1"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02DE6">
              <w:rPr>
                <w:rFonts w:ascii="Open Sans Semibold" w:eastAsia="Times New Roman" w:hAnsi="Open Sans Semibold" w:cs="Open Sans Semibold"/>
                <w:color w:val="FFFFFF"/>
                <w:sz w:val="16"/>
                <w:szCs w:val="16"/>
                <w:lang w:eastAsia="en-AU"/>
              </w:rPr>
              <w:t>No. of patients</w:t>
            </w:r>
          </w:p>
        </w:tc>
      </w:tr>
      <w:tr w:rsidR="00E64207" w:rsidRPr="00202DE6" w14:paraId="6A50FF6D" w14:textId="77777777">
        <w:trPr>
          <w:trHeight w:val="259"/>
        </w:trPr>
        <w:tc>
          <w:tcPr>
            <w:tcW w:w="3220" w:type="dxa"/>
            <w:vMerge w:val="restart"/>
            <w:tcBorders>
              <w:top w:val="nil"/>
              <w:left w:val="nil"/>
              <w:bottom w:val="single" w:sz="8" w:space="0" w:color="ADD6EA"/>
              <w:right w:val="nil"/>
            </w:tcBorders>
            <w:shd w:val="clear" w:color="000000" w:fill="D6E7F0"/>
            <w:noWrap/>
            <w:vAlign w:val="center"/>
            <w:hideMark/>
          </w:tcPr>
          <w:p w14:paraId="5357B1A1" w14:textId="77777777" w:rsidR="00E64207" w:rsidRPr="00202DE6" w:rsidRDefault="00E64207">
            <w:pPr>
              <w:keepNext/>
              <w:keepLines/>
              <w:tabs>
                <w:tab w:val="clear" w:pos="567"/>
              </w:tabs>
              <w:spacing w:before="0" w:line="240" w:lineRule="auto"/>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 </w:t>
            </w:r>
          </w:p>
        </w:tc>
        <w:tc>
          <w:tcPr>
            <w:tcW w:w="1740" w:type="dxa"/>
            <w:tcBorders>
              <w:top w:val="nil"/>
              <w:left w:val="nil"/>
              <w:bottom w:val="nil"/>
              <w:right w:val="nil"/>
            </w:tcBorders>
            <w:shd w:val="clear" w:color="000000" w:fill="D6E7F0"/>
            <w:noWrap/>
            <w:vAlign w:val="center"/>
            <w:hideMark/>
          </w:tcPr>
          <w:p w14:paraId="66464707" w14:textId="77777777" w:rsidR="00E64207" w:rsidRPr="00202DE6" w:rsidRDefault="00E64207">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%NWAU/</w:t>
            </w:r>
          </w:p>
        </w:tc>
        <w:tc>
          <w:tcPr>
            <w:tcW w:w="1795" w:type="dxa"/>
            <w:tcBorders>
              <w:top w:val="nil"/>
              <w:left w:val="nil"/>
              <w:bottom w:val="nil"/>
              <w:right w:val="nil"/>
            </w:tcBorders>
            <w:shd w:val="clear" w:color="000000" w:fill="D6E7F0"/>
            <w:noWrap/>
            <w:vAlign w:val="center"/>
            <w:hideMark/>
          </w:tcPr>
          <w:p w14:paraId="311FB3B5" w14:textId="77777777" w:rsidR="00E64207" w:rsidRPr="00202DE6" w:rsidRDefault="00E64207">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%contacts/</w:t>
            </w:r>
          </w:p>
        </w:tc>
        <w:tc>
          <w:tcPr>
            <w:tcW w:w="1765" w:type="dxa"/>
            <w:tcBorders>
              <w:top w:val="nil"/>
              <w:left w:val="nil"/>
              <w:bottom w:val="nil"/>
              <w:right w:val="nil"/>
            </w:tcBorders>
            <w:shd w:val="clear" w:color="000000" w:fill="D6E7F0"/>
            <w:noWrap/>
            <w:vAlign w:val="center"/>
            <w:hideMark/>
          </w:tcPr>
          <w:p w14:paraId="283DEA44" w14:textId="77777777" w:rsidR="00E64207" w:rsidRPr="00202DE6" w:rsidRDefault="00E64207">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%patients/</w:t>
            </w:r>
          </w:p>
        </w:tc>
      </w:tr>
      <w:tr w:rsidR="00E64207" w:rsidRPr="00202DE6" w14:paraId="232CE910" w14:textId="77777777">
        <w:trPr>
          <w:trHeight w:val="259"/>
        </w:trPr>
        <w:tc>
          <w:tcPr>
            <w:tcW w:w="3220" w:type="dxa"/>
            <w:vMerge/>
            <w:tcBorders>
              <w:top w:val="nil"/>
              <w:left w:val="nil"/>
              <w:bottom w:val="single" w:sz="8" w:space="0" w:color="ADD6EA"/>
              <w:right w:val="nil"/>
            </w:tcBorders>
            <w:vAlign w:val="center"/>
            <w:hideMark/>
          </w:tcPr>
          <w:p w14:paraId="4063F8CD" w14:textId="77777777" w:rsidR="00E64207" w:rsidRPr="00202DE6" w:rsidRDefault="00E64207">
            <w:pPr>
              <w:keepNext/>
              <w:keepLines/>
              <w:tabs>
                <w:tab w:val="clear" w:pos="567"/>
              </w:tabs>
              <w:spacing w:before="0" w:line="240" w:lineRule="auto"/>
              <w:rPr>
                <w:rFonts w:ascii="Work Sans" w:eastAsia="Times New Roman" w:hAnsi="Work Sans" w:cs="Calibri"/>
                <w:color w:val="000000"/>
                <w:sz w:val="16"/>
                <w:szCs w:val="16"/>
                <w:lang w:eastAsia="en-AU"/>
              </w:rPr>
            </w:pPr>
          </w:p>
        </w:tc>
        <w:tc>
          <w:tcPr>
            <w:tcW w:w="1740" w:type="dxa"/>
            <w:tcBorders>
              <w:top w:val="nil"/>
              <w:left w:val="nil"/>
              <w:bottom w:val="single" w:sz="8" w:space="0" w:color="ADD6EA"/>
              <w:right w:val="nil"/>
            </w:tcBorders>
            <w:shd w:val="clear" w:color="000000" w:fill="D6E7F0"/>
            <w:noWrap/>
            <w:vAlign w:val="center"/>
            <w:hideMark/>
          </w:tcPr>
          <w:p w14:paraId="564CA225" w14:textId="77777777" w:rsidR="00E64207" w:rsidRPr="00202DE6" w:rsidRDefault="00E64207">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%population</w:t>
            </w:r>
          </w:p>
        </w:tc>
        <w:tc>
          <w:tcPr>
            <w:tcW w:w="1795" w:type="dxa"/>
            <w:tcBorders>
              <w:top w:val="nil"/>
              <w:left w:val="nil"/>
              <w:bottom w:val="nil"/>
              <w:right w:val="nil"/>
            </w:tcBorders>
            <w:shd w:val="clear" w:color="000000" w:fill="D6E7F0"/>
            <w:noWrap/>
            <w:vAlign w:val="center"/>
            <w:hideMark/>
          </w:tcPr>
          <w:p w14:paraId="54F53ED4" w14:textId="77777777" w:rsidR="00E64207" w:rsidRPr="00202DE6" w:rsidRDefault="00E64207">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%population</w:t>
            </w:r>
          </w:p>
        </w:tc>
        <w:tc>
          <w:tcPr>
            <w:tcW w:w="1765" w:type="dxa"/>
            <w:tcBorders>
              <w:top w:val="nil"/>
              <w:left w:val="nil"/>
              <w:bottom w:val="nil"/>
              <w:right w:val="nil"/>
            </w:tcBorders>
            <w:shd w:val="clear" w:color="000000" w:fill="D6E7F0"/>
            <w:noWrap/>
            <w:vAlign w:val="center"/>
            <w:hideMark/>
          </w:tcPr>
          <w:p w14:paraId="5F783F9A" w14:textId="77777777" w:rsidR="00E64207" w:rsidRPr="00202DE6" w:rsidRDefault="00E64207">
            <w:pPr>
              <w:keepNext/>
              <w:keepLines/>
              <w:tabs>
                <w:tab w:val="clear" w:pos="567"/>
              </w:tabs>
              <w:spacing w:before="0" w:line="240" w:lineRule="auto"/>
              <w:jc w:val="right"/>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%population</w:t>
            </w:r>
          </w:p>
        </w:tc>
      </w:tr>
      <w:tr w:rsidR="00E64207" w:rsidRPr="00202DE6" w14:paraId="6A3788C5" w14:textId="77777777">
        <w:trPr>
          <w:trHeight w:val="315"/>
        </w:trPr>
        <w:tc>
          <w:tcPr>
            <w:tcW w:w="3220" w:type="dxa"/>
            <w:tcBorders>
              <w:top w:val="nil"/>
              <w:left w:val="nil"/>
              <w:bottom w:val="nil"/>
              <w:right w:val="nil"/>
            </w:tcBorders>
            <w:shd w:val="clear" w:color="000000" w:fill="B6D5E4"/>
            <w:noWrap/>
            <w:vAlign w:val="center"/>
            <w:hideMark/>
          </w:tcPr>
          <w:p w14:paraId="0CF5D6CB" w14:textId="77777777" w:rsidR="00E64207" w:rsidRPr="00202DE6" w:rsidRDefault="00E64207">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Socio-economic status</w:t>
            </w:r>
          </w:p>
        </w:tc>
        <w:tc>
          <w:tcPr>
            <w:tcW w:w="1740" w:type="dxa"/>
            <w:tcBorders>
              <w:top w:val="nil"/>
              <w:left w:val="nil"/>
              <w:bottom w:val="nil"/>
              <w:right w:val="nil"/>
            </w:tcBorders>
            <w:shd w:val="clear" w:color="000000" w:fill="B6D5E4"/>
            <w:noWrap/>
            <w:vAlign w:val="center"/>
            <w:hideMark/>
          </w:tcPr>
          <w:p w14:paraId="4E3DE444" w14:textId="77777777" w:rsidR="00E64207" w:rsidRPr="00202DE6" w:rsidRDefault="00E64207">
            <w:pPr>
              <w:keepNext/>
              <w:keepLines/>
              <w:tabs>
                <w:tab w:val="clear" w:pos="567"/>
              </w:tabs>
              <w:spacing w:before="0" w:line="240" w:lineRule="auto"/>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 </w:t>
            </w:r>
          </w:p>
        </w:tc>
        <w:tc>
          <w:tcPr>
            <w:tcW w:w="1795" w:type="dxa"/>
            <w:tcBorders>
              <w:top w:val="nil"/>
              <w:left w:val="nil"/>
              <w:bottom w:val="nil"/>
              <w:right w:val="nil"/>
            </w:tcBorders>
            <w:shd w:val="clear" w:color="000000" w:fill="B6D5E4"/>
            <w:noWrap/>
            <w:vAlign w:val="center"/>
            <w:hideMark/>
          </w:tcPr>
          <w:p w14:paraId="376AD939" w14:textId="77777777" w:rsidR="00E64207" w:rsidRPr="00202DE6" w:rsidRDefault="00E64207">
            <w:pPr>
              <w:keepNext/>
              <w:keepLines/>
              <w:tabs>
                <w:tab w:val="clear" w:pos="567"/>
              </w:tabs>
              <w:spacing w:before="0" w:line="240" w:lineRule="auto"/>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 </w:t>
            </w:r>
          </w:p>
        </w:tc>
        <w:tc>
          <w:tcPr>
            <w:tcW w:w="1765" w:type="dxa"/>
            <w:tcBorders>
              <w:top w:val="nil"/>
              <w:left w:val="nil"/>
              <w:bottom w:val="nil"/>
              <w:right w:val="nil"/>
            </w:tcBorders>
            <w:shd w:val="clear" w:color="000000" w:fill="B6D5E4"/>
            <w:noWrap/>
            <w:vAlign w:val="center"/>
            <w:hideMark/>
          </w:tcPr>
          <w:p w14:paraId="191C355A" w14:textId="77777777" w:rsidR="00E64207" w:rsidRPr="00202DE6" w:rsidRDefault="00E64207">
            <w:pPr>
              <w:keepNext/>
              <w:keepLines/>
              <w:tabs>
                <w:tab w:val="clear" w:pos="567"/>
              </w:tabs>
              <w:spacing w:before="0" w:line="240" w:lineRule="auto"/>
              <w:rPr>
                <w:rFonts w:ascii="Work Sans" w:eastAsia="Times New Roman" w:hAnsi="Work Sans" w:cs="Calibri"/>
                <w:color w:val="000000"/>
                <w:sz w:val="16"/>
                <w:szCs w:val="16"/>
                <w:lang w:eastAsia="en-AU"/>
              </w:rPr>
            </w:pPr>
            <w:r w:rsidRPr="00202DE6">
              <w:rPr>
                <w:rFonts w:ascii="Work Sans" w:eastAsia="Times New Roman" w:hAnsi="Work Sans" w:cs="Calibri"/>
                <w:color w:val="000000"/>
                <w:sz w:val="16"/>
                <w:szCs w:val="16"/>
                <w:lang w:eastAsia="en-AU"/>
              </w:rPr>
              <w:t> </w:t>
            </w:r>
          </w:p>
        </w:tc>
      </w:tr>
      <w:tr w:rsidR="00E64207" w:rsidRPr="00202DE6" w14:paraId="17885E45" w14:textId="77777777">
        <w:trPr>
          <w:trHeight w:val="315"/>
        </w:trPr>
        <w:tc>
          <w:tcPr>
            <w:tcW w:w="3220" w:type="dxa"/>
            <w:tcBorders>
              <w:top w:val="single" w:sz="4" w:space="0" w:color="ADD6EA"/>
              <w:left w:val="nil"/>
              <w:bottom w:val="single" w:sz="4" w:space="0" w:color="ADD6EA"/>
              <w:right w:val="nil"/>
            </w:tcBorders>
            <w:shd w:val="clear" w:color="000000" w:fill="FFFFFF"/>
            <w:noWrap/>
            <w:vAlign w:val="center"/>
            <w:hideMark/>
          </w:tcPr>
          <w:p w14:paraId="6F86EDEA"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Bottom 20%</w:t>
            </w:r>
          </w:p>
        </w:tc>
        <w:tc>
          <w:tcPr>
            <w:tcW w:w="1740" w:type="dxa"/>
            <w:tcBorders>
              <w:top w:val="single" w:sz="4" w:space="0" w:color="ADD6EA"/>
              <w:left w:val="nil"/>
              <w:bottom w:val="single" w:sz="4" w:space="0" w:color="ADD6EA"/>
              <w:right w:val="nil"/>
            </w:tcBorders>
            <w:shd w:val="clear" w:color="000000" w:fill="FFFFFF"/>
            <w:noWrap/>
            <w:vAlign w:val="center"/>
            <w:hideMark/>
          </w:tcPr>
          <w:p w14:paraId="26622FFB"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c>
          <w:tcPr>
            <w:tcW w:w="1795" w:type="dxa"/>
            <w:tcBorders>
              <w:top w:val="single" w:sz="4" w:space="0" w:color="ADD6EA"/>
              <w:left w:val="nil"/>
              <w:bottom w:val="single" w:sz="4" w:space="0" w:color="ADD6EA"/>
              <w:right w:val="nil"/>
            </w:tcBorders>
            <w:shd w:val="clear" w:color="000000" w:fill="FFFFFF"/>
            <w:noWrap/>
            <w:vAlign w:val="center"/>
            <w:hideMark/>
          </w:tcPr>
          <w:p w14:paraId="1FD78155"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c>
          <w:tcPr>
            <w:tcW w:w="1765" w:type="dxa"/>
            <w:tcBorders>
              <w:top w:val="single" w:sz="4" w:space="0" w:color="ADD6EA"/>
              <w:left w:val="nil"/>
              <w:bottom w:val="single" w:sz="4" w:space="0" w:color="ADD6EA"/>
              <w:right w:val="nil"/>
            </w:tcBorders>
            <w:shd w:val="clear" w:color="000000" w:fill="FFFFFF"/>
            <w:noWrap/>
            <w:vAlign w:val="center"/>
            <w:hideMark/>
          </w:tcPr>
          <w:p w14:paraId="298968DB"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r>
      <w:tr w:rsidR="00E64207" w:rsidRPr="00202DE6" w14:paraId="701BFED1" w14:textId="77777777">
        <w:trPr>
          <w:trHeight w:val="315"/>
        </w:trPr>
        <w:tc>
          <w:tcPr>
            <w:tcW w:w="3220" w:type="dxa"/>
            <w:tcBorders>
              <w:top w:val="nil"/>
              <w:left w:val="nil"/>
              <w:bottom w:val="single" w:sz="4" w:space="0" w:color="ADD6EA"/>
              <w:right w:val="nil"/>
            </w:tcBorders>
            <w:shd w:val="clear" w:color="000000" w:fill="FFFFFF"/>
            <w:noWrap/>
            <w:vAlign w:val="center"/>
            <w:hideMark/>
          </w:tcPr>
          <w:p w14:paraId="65954632"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Mid 60%</w:t>
            </w:r>
          </w:p>
        </w:tc>
        <w:tc>
          <w:tcPr>
            <w:tcW w:w="1740" w:type="dxa"/>
            <w:tcBorders>
              <w:top w:val="nil"/>
              <w:left w:val="nil"/>
              <w:bottom w:val="single" w:sz="4" w:space="0" w:color="ADD6EA"/>
              <w:right w:val="nil"/>
            </w:tcBorders>
            <w:shd w:val="clear" w:color="000000" w:fill="FFFFFF"/>
            <w:noWrap/>
            <w:vAlign w:val="center"/>
            <w:hideMark/>
          </w:tcPr>
          <w:p w14:paraId="2AB2D0CB"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795" w:type="dxa"/>
            <w:tcBorders>
              <w:top w:val="nil"/>
              <w:left w:val="nil"/>
              <w:bottom w:val="single" w:sz="4" w:space="0" w:color="ADD6EA"/>
              <w:right w:val="nil"/>
            </w:tcBorders>
            <w:shd w:val="clear" w:color="000000" w:fill="FFFFFF"/>
            <w:noWrap/>
            <w:vAlign w:val="center"/>
            <w:hideMark/>
          </w:tcPr>
          <w:p w14:paraId="2900D36A"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765" w:type="dxa"/>
            <w:tcBorders>
              <w:top w:val="nil"/>
              <w:left w:val="nil"/>
              <w:bottom w:val="single" w:sz="4" w:space="0" w:color="ADD6EA"/>
              <w:right w:val="nil"/>
            </w:tcBorders>
            <w:shd w:val="clear" w:color="000000" w:fill="FFFFFF"/>
            <w:noWrap/>
            <w:vAlign w:val="center"/>
            <w:hideMark/>
          </w:tcPr>
          <w:p w14:paraId="1FBB50EB"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r>
      <w:tr w:rsidR="00E64207" w:rsidRPr="00202DE6" w14:paraId="3AB7202F"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7D0B81A5"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Top 20%</w:t>
            </w:r>
          </w:p>
        </w:tc>
        <w:tc>
          <w:tcPr>
            <w:tcW w:w="1740" w:type="dxa"/>
            <w:tcBorders>
              <w:top w:val="nil"/>
              <w:left w:val="nil"/>
              <w:bottom w:val="single" w:sz="4" w:space="0" w:color="ADD6EA"/>
              <w:right w:val="nil"/>
            </w:tcBorders>
            <w:shd w:val="clear" w:color="000000" w:fill="FFFFFF"/>
            <w:noWrap/>
            <w:vAlign w:val="center"/>
            <w:hideMark/>
          </w:tcPr>
          <w:p w14:paraId="3D79A289"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0.7</w:t>
            </w:r>
          </w:p>
        </w:tc>
        <w:tc>
          <w:tcPr>
            <w:tcW w:w="1795" w:type="dxa"/>
            <w:tcBorders>
              <w:top w:val="nil"/>
              <w:left w:val="nil"/>
              <w:bottom w:val="single" w:sz="4" w:space="0" w:color="ADD6EA"/>
              <w:right w:val="nil"/>
            </w:tcBorders>
            <w:shd w:val="clear" w:color="000000" w:fill="FFFFFF"/>
            <w:noWrap/>
            <w:vAlign w:val="center"/>
            <w:hideMark/>
          </w:tcPr>
          <w:p w14:paraId="7E5D2487"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0.8</w:t>
            </w:r>
          </w:p>
        </w:tc>
        <w:tc>
          <w:tcPr>
            <w:tcW w:w="1765" w:type="dxa"/>
            <w:tcBorders>
              <w:top w:val="nil"/>
              <w:left w:val="nil"/>
              <w:bottom w:val="single" w:sz="4" w:space="0" w:color="ADD6EA"/>
              <w:right w:val="nil"/>
            </w:tcBorders>
            <w:shd w:val="clear" w:color="000000" w:fill="FFFFFF"/>
            <w:noWrap/>
            <w:vAlign w:val="center"/>
            <w:hideMark/>
          </w:tcPr>
          <w:p w14:paraId="564F492D"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0.7</w:t>
            </w:r>
          </w:p>
        </w:tc>
      </w:tr>
      <w:tr w:rsidR="00E64207" w:rsidRPr="00202DE6" w14:paraId="08EBAEB4" w14:textId="77777777">
        <w:trPr>
          <w:trHeight w:val="300"/>
        </w:trPr>
        <w:tc>
          <w:tcPr>
            <w:tcW w:w="3220" w:type="dxa"/>
            <w:tcBorders>
              <w:top w:val="nil"/>
              <w:left w:val="nil"/>
              <w:bottom w:val="single" w:sz="4" w:space="0" w:color="ADD6EA"/>
              <w:right w:val="nil"/>
            </w:tcBorders>
            <w:shd w:val="clear" w:color="000000" w:fill="D6E7F0"/>
            <w:noWrap/>
            <w:vAlign w:val="center"/>
            <w:hideMark/>
          </w:tcPr>
          <w:p w14:paraId="1E5A86F0" w14:textId="77777777" w:rsidR="00E64207" w:rsidRPr="00202DE6" w:rsidRDefault="00E6420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Ratio bottom/top</w:t>
            </w:r>
          </w:p>
        </w:tc>
        <w:tc>
          <w:tcPr>
            <w:tcW w:w="1740" w:type="dxa"/>
            <w:tcBorders>
              <w:top w:val="nil"/>
              <w:left w:val="nil"/>
              <w:bottom w:val="single" w:sz="4" w:space="0" w:color="ADD6EA"/>
              <w:right w:val="nil"/>
            </w:tcBorders>
            <w:shd w:val="clear" w:color="000000" w:fill="D6E7F0"/>
            <w:noWrap/>
            <w:vAlign w:val="center"/>
            <w:hideMark/>
          </w:tcPr>
          <w:p w14:paraId="11F77331"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1.7</w:t>
            </w:r>
          </w:p>
        </w:tc>
        <w:tc>
          <w:tcPr>
            <w:tcW w:w="1795" w:type="dxa"/>
            <w:tcBorders>
              <w:top w:val="nil"/>
              <w:left w:val="nil"/>
              <w:bottom w:val="single" w:sz="4" w:space="0" w:color="ADD6EA"/>
              <w:right w:val="nil"/>
            </w:tcBorders>
            <w:shd w:val="clear" w:color="000000" w:fill="D6E7F0"/>
            <w:noWrap/>
            <w:vAlign w:val="center"/>
            <w:hideMark/>
          </w:tcPr>
          <w:p w14:paraId="5D0AD5A6"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1.7</w:t>
            </w:r>
          </w:p>
        </w:tc>
        <w:tc>
          <w:tcPr>
            <w:tcW w:w="1765" w:type="dxa"/>
            <w:tcBorders>
              <w:top w:val="nil"/>
              <w:left w:val="nil"/>
              <w:bottom w:val="single" w:sz="4" w:space="0" w:color="ADD6EA"/>
              <w:right w:val="nil"/>
            </w:tcBorders>
            <w:shd w:val="clear" w:color="000000" w:fill="D6E7F0"/>
            <w:noWrap/>
            <w:vAlign w:val="center"/>
            <w:hideMark/>
          </w:tcPr>
          <w:p w14:paraId="03B319A6"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1.9</w:t>
            </w:r>
          </w:p>
        </w:tc>
      </w:tr>
      <w:tr w:rsidR="00E64207" w:rsidRPr="00202DE6" w14:paraId="06F8BBC6" w14:textId="77777777">
        <w:trPr>
          <w:trHeight w:val="300"/>
        </w:trPr>
        <w:tc>
          <w:tcPr>
            <w:tcW w:w="3220" w:type="dxa"/>
            <w:tcBorders>
              <w:top w:val="nil"/>
              <w:left w:val="nil"/>
              <w:bottom w:val="single" w:sz="4" w:space="0" w:color="ADD6EA"/>
              <w:right w:val="nil"/>
            </w:tcBorders>
            <w:shd w:val="clear" w:color="000000" w:fill="B6D5E4"/>
            <w:noWrap/>
            <w:vAlign w:val="center"/>
            <w:hideMark/>
          </w:tcPr>
          <w:p w14:paraId="5499E81C" w14:textId="77777777" w:rsidR="00E64207" w:rsidRPr="00202DE6" w:rsidRDefault="00E64207">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Remoteness</w:t>
            </w:r>
            <w:r>
              <w:rPr>
                <w:rFonts w:ascii="Open Sans Semibold" w:eastAsia="Times New Roman" w:hAnsi="Open Sans Semibold" w:cs="Open Sans Semibold"/>
                <w:color w:val="000000"/>
                <w:sz w:val="16"/>
                <w:szCs w:val="16"/>
                <w:lang w:eastAsia="en-AU"/>
              </w:rPr>
              <w:t xml:space="preserve"> </w:t>
            </w:r>
            <w:r w:rsidRPr="00AF68FA">
              <w:rPr>
                <w:rFonts w:ascii="Open Sans Semibold" w:eastAsia="Times New Roman" w:hAnsi="Open Sans Semibold" w:cs="Open Sans Semibold"/>
                <w:color w:val="000000"/>
                <w:sz w:val="16"/>
                <w:szCs w:val="16"/>
                <w:vertAlign w:val="superscript"/>
                <w:lang w:eastAsia="en-AU"/>
              </w:rPr>
              <w:t>(b)</w:t>
            </w:r>
          </w:p>
        </w:tc>
        <w:tc>
          <w:tcPr>
            <w:tcW w:w="1740" w:type="dxa"/>
            <w:tcBorders>
              <w:top w:val="nil"/>
              <w:left w:val="nil"/>
              <w:bottom w:val="single" w:sz="4" w:space="0" w:color="ADD6EA"/>
              <w:right w:val="nil"/>
            </w:tcBorders>
            <w:shd w:val="clear" w:color="000000" w:fill="B6D5E4"/>
            <w:noWrap/>
            <w:vAlign w:val="center"/>
            <w:hideMark/>
          </w:tcPr>
          <w:p w14:paraId="2F6A6745" w14:textId="77777777" w:rsidR="00E64207" w:rsidRPr="00202DE6" w:rsidRDefault="00E64207">
            <w:pPr>
              <w:keepNext/>
              <w:keepLines/>
              <w:tabs>
                <w:tab w:val="clear" w:pos="567"/>
              </w:tabs>
              <w:spacing w:before="0" w:line="240" w:lineRule="auto"/>
              <w:jc w:val="right"/>
              <w:rPr>
                <w:rFonts w:ascii="Work Sans" w:eastAsia="Times New Roman" w:hAnsi="Work Sans" w:cs="Calibri"/>
                <w:color w:val="BDD7EE"/>
                <w:sz w:val="16"/>
                <w:szCs w:val="16"/>
                <w:lang w:eastAsia="en-AU"/>
              </w:rPr>
            </w:pPr>
            <w:r w:rsidRPr="00202DE6">
              <w:rPr>
                <w:rFonts w:ascii="Work Sans" w:eastAsia="Times New Roman" w:hAnsi="Work Sans" w:cs="Calibri"/>
                <w:color w:val="BDD7EE"/>
                <w:sz w:val="16"/>
                <w:szCs w:val="16"/>
                <w:lang w:eastAsia="en-AU"/>
              </w:rPr>
              <w:t>0.0</w:t>
            </w:r>
          </w:p>
        </w:tc>
        <w:tc>
          <w:tcPr>
            <w:tcW w:w="1795" w:type="dxa"/>
            <w:tcBorders>
              <w:top w:val="nil"/>
              <w:left w:val="nil"/>
              <w:bottom w:val="single" w:sz="4" w:space="0" w:color="ADD6EA"/>
              <w:right w:val="nil"/>
            </w:tcBorders>
            <w:shd w:val="clear" w:color="000000" w:fill="B6D5E4"/>
            <w:noWrap/>
            <w:vAlign w:val="center"/>
            <w:hideMark/>
          </w:tcPr>
          <w:p w14:paraId="20088787" w14:textId="77777777" w:rsidR="00E64207" w:rsidRPr="00202DE6" w:rsidRDefault="00E64207">
            <w:pPr>
              <w:keepNext/>
              <w:keepLines/>
              <w:tabs>
                <w:tab w:val="clear" w:pos="567"/>
              </w:tabs>
              <w:spacing w:before="0" w:line="240" w:lineRule="auto"/>
              <w:rPr>
                <w:rFonts w:ascii="Work Sans" w:eastAsia="Times New Roman" w:hAnsi="Work Sans" w:cs="Calibri"/>
                <w:color w:val="B6D5E4"/>
                <w:sz w:val="16"/>
                <w:szCs w:val="16"/>
                <w:lang w:eastAsia="en-AU"/>
              </w:rPr>
            </w:pPr>
            <w:r w:rsidRPr="00202DE6">
              <w:rPr>
                <w:rFonts w:ascii="Work Sans" w:eastAsia="Times New Roman" w:hAnsi="Work Sans" w:cs="Calibri"/>
                <w:color w:val="B6D5E4"/>
                <w:sz w:val="16"/>
                <w:szCs w:val="16"/>
                <w:lang w:eastAsia="en-AU"/>
              </w:rPr>
              <w:t> </w:t>
            </w:r>
          </w:p>
        </w:tc>
        <w:tc>
          <w:tcPr>
            <w:tcW w:w="1765" w:type="dxa"/>
            <w:tcBorders>
              <w:top w:val="nil"/>
              <w:left w:val="nil"/>
              <w:bottom w:val="single" w:sz="4" w:space="0" w:color="ADD6EA"/>
              <w:right w:val="nil"/>
            </w:tcBorders>
            <w:shd w:val="clear" w:color="000000" w:fill="B6D5E4"/>
            <w:noWrap/>
            <w:vAlign w:val="center"/>
            <w:hideMark/>
          </w:tcPr>
          <w:p w14:paraId="02440822" w14:textId="77777777" w:rsidR="00E64207" w:rsidRPr="00202DE6" w:rsidRDefault="00E64207">
            <w:pPr>
              <w:keepNext/>
              <w:keepLines/>
              <w:tabs>
                <w:tab w:val="clear" w:pos="567"/>
              </w:tabs>
              <w:spacing w:before="0" w:line="240" w:lineRule="auto"/>
              <w:rPr>
                <w:rFonts w:ascii="Work Sans" w:eastAsia="Times New Roman" w:hAnsi="Work Sans" w:cs="Calibri"/>
                <w:color w:val="B6D5E4"/>
                <w:sz w:val="16"/>
                <w:szCs w:val="16"/>
                <w:lang w:eastAsia="en-AU"/>
              </w:rPr>
            </w:pPr>
            <w:r w:rsidRPr="00202DE6">
              <w:rPr>
                <w:rFonts w:ascii="Work Sans" w:eastAsia="Times New Roman" w:hAnsi="Work Sans" w:cs="Calibri"/>
                <w:color w:val="B6D5E4"/>
                <w:sz w:val="16"/>
                <w:szCs w:val="16"/>
                <w:lang w:eastAsia="en-AU"/>
              </w:rPr>
              <w:t> </w:t>
            </w:r>
          </w:p>
        </w:tc>
      </w:tr>
      <w:tr w:rsidR="00E64207" w:rsidRPr="00202DE6" w14:paraId="2FFBD5E1"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0F484FFC"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Major city</w:t>
            </w:r>
          </w:p>
        </w:tc>
        <w:tc>
          <w:tcPr>
            <w:tcW w:w="1740" w:type="dxa"/>
            <w:tcBorders>
              <w:top w:val="nil"/>
              <w:left w:val="nil"/>
              <w:bottom w:val="single" w:sz="4" w:space="0" w:color="ADD6EA"/>
              <w:right w:val="nil"/>
            </w:tcBorders>
            <w:shd w:val="clear" w:color="000000" w:fill="FFFFFF"/>
            <w:noWrap/>
            <w:vAlign w:val="center"/>
            <w:hideMark/>
          </w:tcPr>
          <w:p w14:paraId="643131BB"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0.8</w:t>
            </w:r>
          </w:p>
        </w:tc>
        <w:tc>
          <w:tcPr>
            <w:tcW w:w="1795" w:type="dxa"/>
            <w:tcBorders>
              <w:top w:val="nil"/>
              <w:left w:val="nil"/>
              <w:bottom w:val="single" w:sz="4" w:space="0" w:color="ADD6EA"/>
              <w:right w:val="nil"/>
            </w:tcBorders>
            <w:shd w:val="clear" w:color="000000" w:fill="FFFFFF"/>
            <w:noWrap/>
            <w:vAlign w:val="center"/>
            <w:hideMark/>
          </w:tcPr>
          <w:p w14:paraId="4E4DB08E"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c>
          <w:tcPr>
            <w:tcW w:w="1765" w:type="dxa"/>
            <w:tcBorders>
              <w:top w:val="nil"/>
              <w:left w:val="nil"/>
              <w:bottom w:val="single" w:sz="4" w:space="0" w:color="ADD6EA"/>
              <w:right w:val="nil"/>
            </w:tcBorders>
            <w:shd w:val="clear" w:color="000000" w:fill="FFFFFF"/>
            <w:noWrap/>
            <w:vAlign w:val="center"/>
            <w:hideMark/>
          </w:tcPr>
          <w:p w14:paraId="157B2309"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0.8</w:t>
            </w:r>
          </w:p>
        </w:tc>
      </w:tr>
      <w:tr w:rsidR="00E64207" w:rsidRPr="00202DE6" w14:paraId="16F41A15"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6B48E8C2"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Inner regional</w:t>
            </w:r>
          </w:p>
        </w:tc>
        <w:tc>
          <w:tcPr>
            <w:tcW w:w="1740" w:type="dxa"/>
            <w:tcBorders>
              <w:top w:val="nil"/>
              <w:left w:val="nil"/>
              <w:bottom w:val="single" w:sz="4" w:space="0" w:color="ADD6EA"/>
              <w:right w:val="nil"/>
            </w:tcBorders>
            <w:shd w:val="clear" w:color="000000" w:fill="FFFFFF"/>
            <w:noWrap/>
            <w:vAlign w:val="center"/>
            <w:hideMark/>
          </w:tcPr>
          <w:p w14:paraId="67165A61"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c>
          <w:tcPr>
            <w:tcW w:w="1795" w:type="dxa"/>
            <w:tcBorders>
              <w:top w:val="nil"/>
              <w:left w:val="nil"/>
              <w:bottom w:val="single" w:sz="4" w:space="0" w:color="ADD6EA"/>
              <w:right w:val="nil"/>
            </w:tcBorders>
            <w:shd w:val="clear" w:color="000000" w:fill="FFFFFF"/>
            <w:noWrap/>
            <w:vAlign w:val="center"/>
            <w:hideMark/>
          </w:tcPr>
          <w:p w14:paraId="5F961779"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1.1</w:t>
            </w:r>
          </w:p>
        </w:tc>
        <w:tc>
          <w:tcPr>
            <w:tcW w:w="1765" w:type="dxa"/>
            <w:tcBorders>
              <w:top w:val="nil"/>
              <w:left w:val="nil"/>
              <w:bottom w:val="single" w:sz="4" w:space="0" w:color="ADD6EA"/>
              <w:right w:val="nil"/>
            </w:tcBorders>
            <w:shd w:val="clear" w:color="000000" w:fill="FFFFFF"/>
            <w:noWrap/>
            <w:vAlign w:val="center"/>
            <w:hideMark/>
          </w:tcPr>
          <w:p w14:paraId="1C0F6DCD"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1.2</w:t>
            </w:r>
          </w:p>
        </w:tc>
      </w:tr>
      <w:tr w:rsidR="00E64207" w:rsidRPr="00202DE6" w14:paraId="21BC7154"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2D994B7B"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Outer regional</w:t>
            </w:r>
          </w:p>
        </w:tc>
        <w:tc>
          <w:tcPr>
            <w:tcW w:w="1740" w:type="dxa"/>
            <w:tcBorders>
              <w:top w:val="nil"/>
              <w:left w:val="nil"/>
              <w:bottom w:val="single" w:sz="4" w:space="0" w:color="ADD6EA"/>
              <w:right w:val="nil"/>
            </w:tcBorders>
            <w:shd w:val="clear" w:color="000000" w:fill="FFFFFF"/>
            <w:noWrap/>
            <w:vAlign w:val="center"/>
            <w:hideMark/>
          </w:tcPr>
          <w:p w14:paraId="6CF17BD5"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1.7</w:t>
            </w:r>
          </w:p>
        </w:tc>
        <w:tc>
          <w:tcPr>
            <w:tcW w:w="1795" w:type="dxa"/>
            <w:tcBorders>
              <w:top w:val="nil"/>
              <w:left w:val="nil"/>
              <w:bottom w:val="single" w:sz="4" w:space="0" w:color="ADD6EA"/>
              <w:right w:val="nil"/>
            </w:tcBorders>
            <w:shd w:val="clear" w:color="000000" w:fill="FFFFFF"/>
            <w:noWrap/>
            <w:vAlign w:val="center"/>
            <w:hideMark/>
          </w:tcPr>
          <w:p w14:paraId="07288588"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1.3</w:t>
            </w:r>
          </w:p>
        </w:tc>
        <w:tc>
          <w:tcPr>
            <w:tcW w:w="1765" w:type="dxa"/>
            <w:tcBorders>
              <w:top w:val="nil"/>
              <w:left w:val="nil"/>
              <w:bottom w:val="single" w:sz="4" w:space="0" w:color="ADD6EA"/>
              <w:right w:val="nil"/>
            </w:tcBorders>
            <w:shd w:val="clear" w:color="000000" w:fill="FFFFFF"/>
            <w:noWrap/>
            <w:vAlign w:val="center"/>
            <w:hideMark/>
          </w:tcPr>
          <w:p w14:paraId="38975C4B"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1.5</w:t>
            </w:r>
          </w:p>
        </w:tc>
      </w:tr>
      <w:tr w:rsidR="00E64207" w:rsidRPr="00202DE6" w14:paraId="316D878C"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55547350"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Remote</w:t>
            </w:r>
          </w:p>
        </w:tc>
        <w:tc>
          <w:tcPr>
            <w:tcW w:w="1740" w:type="dxa"/>
            <w:tcBorders>
              <w:top w:val="nil"/>
              <w:left w:val="nil"/>
              <w:bottom w:val="single" w:sz="4" w:space="0" w:color="ADD6EA"/>
              <w:right w:val="nil"/>
            </w:tcBorders>
            <w:shd w:val="clear" w:color="000000" w:fill="FFFFFF"/>
            <w:noWrap/>
            <w:vAlign w:val="center"/>
            <w:hideMark/>
          </w:tcPr>
          <w:p w14:paraId="23D8AF10"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3.4</w:t>
            </w:r>
          </w:p>
        </w:tc>
        <w:tc>
          <w:tcPr>
            <w:tcW w:w="1795" w:type="dxa"/>
            <w:tcBorders>
              <w:top w:val="nil"/>
              <w:left w:val="nil"/>
              <w:bottom w:val="single" w:sz="4" w:space="0" w:color="ADD6EA"/>
              <w:right w:val="nil"/>
            </w:tcBorders>
            <w:shd w:val="clear" w:color="000000" w:fill="FFFFFF"/>
            <w:noWrap/>
            <w:vAlign w:val="center"/>
            <w:hideMark/>
          </w:tcPr>
          <w:p w14:paraId="4AC0BAF9"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2.0</w:t>
            </w:r>
          </w:p>
        </w:tc>
        <w:tc>
          <w:tcPr>
            <w:tcW w:w="1765" w:type="dxa"/>
            <w:tcBorders>
              <w:top w:val="nil"/>
              <w:left w:val="nil"/>
              <w:bottom w:val="single" w:sz="4" w:space="0" w:color="ADD6EA"/>
              <w:right w:val="nil"/>
            </w:tcBorders>
            <w:shd w:val="clear" w:color="000000" w:fill="FFFFFF"/>
            <w:noWrap/>
            <w:vAlign w:val="center"/>
            <w:hideMark/>
          </w:tcPr>
          <w:p w14:paraId="5ED1CB35"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2.6</w:t>
            </w:r>
          </w:p>
        </w:tc>
      </w:tr>
      <w:tr w:rsidR="00E64207" w:rsidRPr="00202DE6" w14:paraId="67E98A67"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51F5D0C9"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Very remote</w:t>
            </w:r>
          </w:p>
        </w:tc>
        <w:tc>
          <w:tcPr>
            <w:tcW w:w="1740" w:type="dxa"/>
            <w:tcBorders>
              <w:top w:val="nil"/>
              <w:left w:val="nil"/>
              <w:bottom w:val="single" w:sz="4" w:space="0" w:color="ADD6EA"/>
              <w:right w:val="nil"/>
            </w:tcBorders>
            <w:shd w:val="clear" w:color="000000" w:fill="FFFFFF"/>
            <w:noWrap/>
            <w:vAlign w:val="center"/>
            <w:hideMark/>
          </w:tcPr>
          <w:p w14:paraId="5E57A16F"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4.7</w:t>
            </w:r>
          </w:p>
        </w:tc>
        <w:tc>
          <w:tcPr>
            <w:tcW w:w="1795" w:type="dxa"/>
            <w:tcBorders>
              <w:top w:val="nil"/>
              <w:left w:val="nil"/>
              <w:bottom w:val="single" w:sz="4" w:space="0" w:color="ADD6EA"/>
              <w:right w:val="nil"/>
            </w:tcBorders>
            <w:shd w:val="clear" w:color="000000" w:fill="FFFFFF"/>
            <w:noWrap/>
            <w:vAlign w:val="center"/>
            <w:hideMark/>
          </w:tcPr>
          <w:p w14:paraId="62D9072C"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2.1</w:t>
            </w:r>
          </w:p>
        </w:tc>
        <w:tc>
          <w:tcPr>
            <w:tcW w:w="1765" w:type="dxa"/>
            <w:tcBorders>
              <w:top w:val="nil"/>
              <w:left w:val="nil"/>
              <w:bottom w:val="single" w:sz="4" w:space="0" w:color="ADD6EA"/>
              <w:right w:val="nil"/>
            </w:tcBorders>
            <w:shd w:val="clear" w:color="000000" w:fill="FFFFFF"/>
            <w:noWrap/>
            <w:vAlign w:val="center"/>
            <w:hideMark/>
          </w:tcPr>
          <w:p w14:paraId="3AF519BF"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3.6</w:t>
            </w:r>
          </w:p>
        </w:tc>
      </w:tr>
      <w:tr w:rsidR="00E64207" w:rsidRPr="00202DE6" w14:paraId="0E13E47A" w14:textId="77777777">
        <w:trPr>
          <w:trHeight w:val="300"/>
        </w:trPr>
        <w:tc>
          <w:tcPr>
            <w:tcW w:w="3220" w:type="dxa"/>
            <w:tcBorders>
              <w:top w:val="nil"/>
              <w:left w:val="nil"/>
              <w:bottom w:val="single" w:sz="4" w:space="0" w:color="ADD6EA"/>
              <w:right w:val="nil"/>
            </w:tcBorders>
            <w:shd w:val="clear" w:color="000000" w:fill="D6E7F0"/>
            <w:noWrap/>
            <w:vAlign w:val="center"/>
            <w:hideMark/>
          </w:tcPr>
          <w:p w14:paraId="056F7F57" w14:textId="77777777" w:rsidR="00E64207" w:rsidRPr="00202DE6" w:rsidRDefault="00E6420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Ratio very remote/major city</w:t>
            </w:r>
          </w:p>
        </w:tc>
        <w:tc>
          <w:tcPr>
            <w:tcW w:w="1740" w:type="dxa"/>
            <w:tcBorders>
              <w:top w:val="nil"/>
              <w:left w:val="nil"/>
              <w:bottom w:val="single" w:sz="4" w:space="0" w:color="ADD6EA"/>
              <w:right w:val="nil"/>
            </w:tcBorders>
            <w:shd w:val="clear" w:color="000000" w:fill="D6E7F0"/>
            <w:noWrap/>
            <w:vAlign w:val="center"/>
            <w:hideMark/>
          </w:tcPr>
          <w:p w14:paraId="2174F1FE"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6.1</w:t>
            </w:r>
          </w:p>
        </w:tc>
        <w:tc>
          <w:tcPr>
            <w:tcW w:w="1795" w:type="dxa"/>
            <w:tcBorders>
              <w:top w:val="nil"/>
              <w:left w:val="nil"/>
              <w:bottom w:val="single" w:sz="4" w:space="0" w:color="ADD6EA"/>
              <w:right w:val="nil"/>
            </w:tcBorders>
            <w:shd w:val="clear" w:color="000000" w:fill="D6E7F0"/>
            <w:noWrap/>
            <w:vAlign w:val="center"/>
            <w:hideMark/>
          </w:tcPr>
          <w:p w14:paraId="1E745865"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2.3</w:t>
            </w:r>
          </w:p>
        </w:tc>
        <w:tc>
          <w:tcPr>
            <w:tcW w:w="1765" w:type="dxa"/>
            <w:tcBorders>
              <w:top w:val="nil"/>
              <w:left w:val="nil"/>
              <w:bottom w:val="single" w:sz="4" w:space="0" w:color="ADD6EA"/>
              <w:right w:val="nil"/>
            </w:tcBorders>
            <w:shd w:val="clear" w:color="000000" w:fill="D6E7F0"/>
            <w:noWrap/>
            <w:vAlign w:val="center"/>
            <w:hideMark/>
          </w:tcPr>
          <w:p w14:paraId="706FDA3A"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4.3</w:t>
            </w:r>
          </w:p>
        </w:tc>
      </w:tr>
      <w:tr w:rsidR="00E64207" w:rsidRPr="00202DE6" w14:paraId="4D45CAAE" w14:textId="77777777">
        <w:trPr>
          <w:trHeight w:val="300"/>
        </w:trPr>
        <w:tc>
          <w:tcPr>
            <w:tcW w:w="3220" w:type="dxa"/>
            <w:tcBorders>
              <w:top w:val="nil"/>
              <w:left w:val="nil"/>
              <w:bottom w:val="single" w:sz="4" w:space="0" w:color="ADD6EA"/>
              <w:right w:val="nil"/>
            </w:tcBorders>
            <w:shd w:val="clear" w:color="000000" w:fill="B6D5E4"/>
            <w:noWrap/>
            <w:vAlign w:val="center"/>
            <w:hideMark/>
          </w:tcPr>
          <w:p w14:paraId="2C30C41C" w14:textId="77777777" w:rsidR="00E64207" w:rsidRPr="00202DE6" w:rsidRDefault="00E64207">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Indigeneity</w:t>
            </w:r>
          </w:p>
        </w:tc>
        <w:tc>
          <w:tcPr>
            <w:tcW w:w="1740" w:type="dxa"/>
            <w:tcBorders>
              <w:top w:val="nil"/>
              <w:left w:val="nil"/>
              <w:bottom w:val="single" w:sz="4" w:space="0" w:color="ADD6EA"/>
              <w:right w:val="nil"/>
            </w:tcBorders>
            <w:shd w:val="clear" w:color="000000" w:fill="B6D5E4"/>
            <w:noWrap/>
            <w:vAlign w:val="center"/>
            <w:hideMark/>
          </w:tcPr>
          <w:p w14:paraId="65E02AF4" w14:textId="77777777" w:rsidR="00E64207" w:rsidRPr="00202DE6" w:rsidRDefault="00E64207">
            <w:pPr>
              <w:keepNext/>
              <w:keepLines/>
              <w:tabs>
                <w:tab w:val="clear" w:pos="567"/>
              </w:tabs>
              <w:spacing w:before="0" w:line="240" w:lineRule="auto"/>
              <w:jc w:val="right"/>
              <w:rPr>
                <w:rFonts w:ascii="Work Sans" w:eastAsia="Times New Roman" w:hAnsi="Work Sans" w:cs="Calibri"/>
                <w:color w:val="BDD7EE"/>
                <w:sz w:val="16"/>
                <w:szCs w:val="16"/>
                <w:lang w:eastAsia="en-AU"/>
              </w:rPr>
            </w:pPr>
            <w:r w:rsidRPr="00202DE6">
              <w:rPr>
                <w:rFonts w:ascii="Work Sans" w:eastAsia="Times New Roman" w:hAnsi="Work Sans" w:cs="Calibri"/>
                <w:color w:val="BDD7EE"/>
                <w:sz w:val="16"/>
                <w:szCs w:val="16"/>
                <w:lang w:eastAsia="en-AU"/>
              </w:rPr>
              <w:t>0.0</w:t>
            </w:r>
          </w:p>
        </w:tc>
        <w:tc>
          <w:tcPr>
            <w:tcW w:w="1795" w:type="dxa"/>
            <w:tcBorders>
              <w:top w:val="nil"/>
              <w:left w:val="nil"/>
              <w:bottom w:val="single" w:sz="4" w:space="0" w:color="ADD6EA"/>
              <w:right w:val="nil"/>
            </w:tcBorders>
            <w:shd w:val="clear" w:color="000000" w:fill="B6D5E4"/>
            <w:noWrap/>
            <w:vAlign w:val="center"/>
            <w:hideMark/>
          </w:tcPr>
          <w:p w14:paraId="63DCC91A" w14:textId="77777777" w:rsidR="00E64207" w:rsidRPr="00202DE6" w:rsidRDefault="00E64207">
            <w:pPr>
              <w:keepNext/>
              <w:keepLines/>
              <w:tabs>
                <w:tab w:val="clear" w:pos="567"/>
              </w:tabs>
              <w:spacing w:before="0" w:line="240" w:lineRule="auto"/>
              <w:rPr>
                <w:rFonts w:ascii="Work Sans" w:eastAsia="Times New Roman" w:hAnsi="Work Sans" w:cs="Calibri"/>
                <w:color w:val="B6D5E4"/>
                <w:sz w:val="16"/>
                <w:szCs w:val="16"/>
                <w:lang w:eastAsia="en-AU"/>
              </w:rPr>
            </w:pPr>
            <w:r w:rsidRPr="00202DE6">
              <w:rPr>
                <w:rFonts w:ascii="Work Sans" w:eastAsia="Times New Roman" w:hAnsi="Work Sans" w:cs="Calibri"/>
                <w:color w:val="B6D5E4"/>
                <w:sz w:val="16"/>
                <w:szCs w:val="16"/>
                <w:lang w:eastAsia="en-AU"/>
              </w:rPr>
              <w:t> </w:t>
            </w:r>
          </w:p>
        </w:tc>
        <w:tc>
          <w:tcPr>
            <w:tcW w:w="1765" w:type="dxa"/>
            <w:tcBorders>
              <w:top w:val="nil"/>
              <w:left w:val="nil"/>
              <w:bottom w:val="single" w:sz="4" w:space="0" w:color="ADD6EA"/>
              <w:right w:val="nil"/>
            </w:tcBorders>
            <w:shd w:val="clear" w:color="000000" w:fill="B6D5E4"/>
            <w:noWrap/>
            <w:vAlign w:val="center"/>
            <w:hideMark/>
          </w:tcPr>
          <w:p w14:paraId="281BCAF4" w14:textId="77777777" w:rsidR="00E64207" w:rsidRPr="00202DE6" w:rsidRDefault="00E64207">
            <w:pPr>
              <w:keepNext/>
              <w:keepLines/>
              <w:tabs>
                <w:tab w:val="clear" w:pos="567"/>
              </w:tabs>
              <w:spacing w:before="0" w:line="240" w:lineRule="auto"/>
              <w:rPr>
                <w:rFonts w:ascii="Work Sans" w:eastAsia="Times New Roman" w:hAnsi="Work Sans" w:cs="Calibri"/>
                <w:color w:val="B6D5E4"/>
                <w:sz w:val="16"/>
                <w:szCs w:val="16"/>
                <w:lang w:eastAsia="en-AU"/>
              </w:rPr>
            </w:pPr>
            <w:r w:rsidRPr="00202DE6">
              <w:rPr>
                <w:rFonts w:ascii="Work Sans" w:eastAsia="Times New Roman" w:hAnsi="Work Sans" w:cs="Calibri"/>
                <w:color w:val="B6D5E4"/>
                <w:sz w:val="16"/>
                <w:szCs w:val="16"/>
                <w:lang w:eastAsia="en-AU"/>
              </w:rPr>
              <w:t> </w:t>
            </w:r>
          </w:p>
        </w:tc>
      </w:tr>
      <w:tr w:rsidR="00E64207" w:rsidRPr="00202DE6" w14:paraId="16285120"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097D5F77" w14:textId="18251BD0" w:rsidR="00E64207" w:rsidRPr="00AF68FA" w:rsidRDefault="00967F13">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First Nations</w:t>
            </w:r>
          </w:p>
        </w:tc>
        <w:tc>
          <w:tcPr>
            <w:tcW w:w="1740" w:type="dxa"/>
            <w:tcBorders>
              <w:top w:val="nil"/>
              <w:left w:val="nil"/>
              <w:bottom w:val="single" w:sz="4" w:space="0" w:color="ADD6EA"/>
              <w:right w:val="nil"/>
            </w:tcBorders>
            <w:shd w:val="clear" w:color="000000" w:fill="FFFFFF"/>
            <w:noWrap/>
            <w:vAlign w:val="center"/>
            <w:hideMark/>
          </w:tcPr>
          <w:p w14:paraId="29C3FB13"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2.9</w:t>
            </w:r>
          </w:p>
        </w:tc>
        <w:tc>
          <w:tcPr>
            <w:tcW w:w="1795" w:type="dxa"/>
            <w:tcBorders>
              <w:top w:val="nil"/>
              <w:left w:val="nil"/>
              <w:bottom w:val="single" w:sz="4" w:space="0" w:color="ADD6EA"/>
              <w:right w:val="nil"/>
            </w:tcBorders>
            <w:shd w:val="clear" w:color="000000" w:fill="FFFFFF"/>
            <w:noWrap/>
            <w:vAlign w:val="center"/>
            <w:hideMark/>
          </w:tcPr>
          <w:p w14:paraId="5E83CD22"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3.5</w:t>
            </w:r>
          </w:p>
        </w:tc>
        <w:tc>
          <w:tcPr>
            <w:tcW w:w="1765" w:type="dxa"/>
            <w:tcBorders>
              <w:top w:val="nil"/>
              <w:left w:val="nil"/>
              <w:bottom w:val="single" w:sz="4" w:space="0" w:color="ADD6EA"/>
              <w:right w:val="nil"/>
            </w:tcBorders>
            <w:shd w:val="clear" w:color="000000" w:fill="FFFFFF"/>
            <w:noWrap/>
            <w:vAlign w:val="center"/>
            <w:hideMark/>
          </w:tcPr>
          <w:p w14:paraId="01618B44"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3.3</w:t>
            </w:r>
          </w:p>
        </w:tc>
      </w:tr>
      <w:tr w:rsidR="00E64207" w:rsidRPr="00202DE6" w14:paraId="32D6A944"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23BCEC8E"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Non-Indigenous</w:t>
            </w:r>
          </w:p>
        </w:tc>
        <w:tc>
          <w:tcPr>
            <w:tcW w:w="1740" w:type="dxa"/>
            <w:tcBorders>
              <w:top w:val="nil"/>
              <w:left w:val="nil"/>
              <w:bottom w:val="single" w:sz="4" w:space="0" w:color="ADD6EA"/>
              <w:right w:val="nil"/>
            </w:tcBorders>
            <w:shd w:val="clear" w:color="000000" w:fill="FFFFFF"/>
            <w:noWrap/>
            <w:vAlign w:val="center"/>
            <w:hideMark/>
          </w:tcPr>
          <w:p w14:paraId="21CBBDD8"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c>
          <w:tcPr>
            <w:tcW w:w="1795" w:type="dxa"/>
            <w:tcBorders>
              <w:top w:val="nil"/>
              <w:left w:val="nil"/>
              <w:bottom w:val="single" w:sz="4" w:space="0" w:color="ADD6EA"/>
              <w:right w:val="nil"/>
            </w:tcBorders>
            <w:shd w:val="clear" w:color="000000" w:fill="FFFFFF"/>
            <w:noWrap/>
            <w:vAlign w:val="center"/>
            <w:hideMark/>
          </w:tcPr>
          <w:p w14:paraId="203ED6C8"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c>
          <w:tcPr>
            <w:tcW w:w="1765" w:type="dxa"/>
            <w:tcBorders>
              <w:top w:val="nil"/>
              <w:left w:val="nil"/>
              <w:bottom w:val="single" w:sz="4" w:space="0" w:color="ADD6EA"/>
              <w:right w:val="nil"/>
            </w:tcBorders>
            <w:shd w:val="clear" w:color="000000" w:fill="FFFFFF"/>
            <w:noWrap/>
            <w:vAlign w:val="center"/>
            <w:hideMark/>
          </w:tcPr>
          <w:p w14:paraId="25C2878B"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r>
      <w:tr w:rsidR="00E64207" w:rsidRPr="00202DE6" w14:paraId="686F4106" w14:textId="77777777">
        <w:trPr>
          <w:trHeight w:val="300"/>
        </w:trPr>
        <w:tc>
          <w:tcPr>
            <w:tcW w:w="3220" w:type="dxa"/>
            <w:tcBorders>
              <w:top w:val="nil"/>
              <w:left w:val="nil"/>
              <w:bottom w:val="single" w:sz="4" w:space="0" w:color="ADD6EA"/>
              <w:right w:val="nil"/>
            </w:tcBorders>
            <w:shd w:val="clear" w:color="000000" w:fill="D6E7F0"/>
            <w:noWrap/>
            <w:vAlign w:val="center"/>
            <w:hideMark/>
          </w:tcPr>
          <w:p w14:paraId="702855A7" w14:textId="77777777" w:rsidR="00E64207" w:rsidRPr="00202DE6" w:rsidRDefault="00E6420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 xml:space="preserve">Ratio </w:t>
            </w:r>
            <w:r>
              <w:rPr>
                <w:rFonts w:ascii="Open Sans Semibold" w:eastAsia="Times New Roman" w:hAnsi="Open Sans Semibold" w:cs="Open Sans Semibold"/>
                <w:color w:val="000000"/>
                <w:sz w:val="16"/>
                <w:szCs w:val="16"/>
                <w:lang w:eastAsia="en-AU"/>
              </w:rPr>
              <w:t>First Nations</w:t>
            </w:r>
            <w:r w:rsidRPr="00202DE6">
              <w:rPr>
                <w:rFonts w:ascii="Open Sans Semibold" w:eastAsia="Times New Roman" w:hAnsi="Open Sans Semibold" w:cs="Open Sans Semibold"/>
                <w:color w:val="000000"/>
                <w:sz w:val="16"/>
                <w:szCs w:val="16"/>
                <w:lang w:eastAsia="en-AU"/>
              </w:rPr>
              <w:t>/non-Indigenous</w:t>
            </w:r>
          </w:p>
        </w:tc>
        <w:tc>
          <w:tcPr>
            <w:tcW w:w="1740" w:type="dxa"/>
            <w:tcBorders>
              <w:top w:val="nil"/>
              <w:left w:val="nil"/>
              <w:bottom w:val="single" w:sz="4" w:space="0" w:color="ADD6EA"/>
              <w:right w:val="nil"/>
            </w:tcBorders>
            <w:shd w:val="clear" w:color="000000" w:fill="D6E7F0"/>
            <w:noWrap/>
            <w:vAlign w:val="center"/>
            <w:hideMark/>
          </w:tcPr>
          <w:p w14:paraId="566AD5D9"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3.1</w:t>
            </w:r>
          </w:p>
        </w:tc>
        <w:tc>
          <w:tcPr>
            <w:tcW w:w="1795" w:type="dxa"/>
            <w:tcBorders>
              <w:top w:val="nil"/>
              <w:left w:val="nil"/>
              <w:bottom w:val="single" w:sz="4" w:space="0" w:color="ADD6EA"/>
              <w:right w:val="nil"/>
            </w:tcBorders>
            <w:shd w:val="clear" w:color="000000" w:fill="D6E7F0"/>
            <w:noWrap/>
            <w:vAlign w:val="center"/>
            <w:hideMark/>
          </w:tcPr>
          <w:p w14:paraId="5B9AD6E6"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3.8</w:t>
            </w:r>
          </w:p>
        </w:tc>
        <w:tc>
          <w:tcPr>
            <w:tcW w:w="1765" w:type="dxa"/>
            <w:tcBorders>
              <w:top w:val="nil"/>
              <w:left w:val="nil"/>
              <w:bottom w:val="single" w:sz="4" w:space="0" w:color="ADD6EA"/>
              <w:right w:val="nil"/>
            </w:tcBorders>
            <w:shd w:val="clear" w:color="000000" w:fill="D6E7F0"/>
            <w:noWrap/>
            <w:vAlign w:val="center"/>
            <w:hideMark/>
          </w:tcPr>
          <w:p w14:paraId="5E331310"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3.6</w:t>
            </w:r>
          </w:p>
        </w:tc>
      </w:tr>
      <w:tr w:rsidR="00E64207" w:rsidRPr="00202DE6" w14:paraId="65C360C0" w14:textId="77777777">
        <w:trPr>
          <w:trHeight w:val="315"/>
        </w:trPr>
        <w:tc>
          <w:tcPr>
            <w:tcW w:w="3220" w:type="dxa"/>
            <w:tcBorders>
              <w:top w:val="nil"/>
              <w:left w:val="nil"/>
              <w:bottom w:val="single" w:sz="4" w:space="0" w:color="ADD6EA"/>
              <w:right w:val="nil"/>
            </w:tcBorders>
            <w:shd w:val="clear" w:color="000000" w:fill="B6D5E4"/>
            <w:noWrap/>
            <w:vAlign w:val="center"/>
            <w:hideMark/>
          </w:tcPr>
          <w:p w14:paraId="0F1E78D2" w14:textId="77777777" w:rsidR="00E64207" w:rsidRPr="00202DE6" w:rsidRDefault="00E64207">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Age</w:t>
            </w:r>
          </w:p>
        </w:tc>
        <w:tc>
          <w:tcPr>
            <w:tcW w:w="1740" w:type="dxa"/>
            <w:tcBorders>
              <w:top w:val="nil"/>
              <w:left w:val="nil"/>
              <w:bottom w:val="single" w:sz="4" w:space="0" w:color="ADD6EA"/>
              <w:right w:val="nil"/>
            </w:tcBorders>
            <w:shd w:val="clear" w:color="000000" w:fill="B6D5E4"/>
            <w:noWrap/>
            <w:vAlign w:val="center"/>
            <w:hideMark/>
          </w:tcPr>
          <w:p w14:paraId="1F0DCA83" w14:textId="77777777" w:rsidR="00E64207" w:rsidRPr="00202DE6" w:rsidRDefault="00E64207">
            <w:pPr>
              <w:keepNext/>
              <w:keepLines/>
              <w:tabs>
                <w:tab w:val="clear" w:pos="567"/>
              </w:tabs>
              <w:spacing w:before="0" w:line="240" w:lineRule="auto"/>
              <w:jc w:val="right"/>
              <w:rPr>
                <w:rFonts w:ascii="Work Sans" w:eastAsia="Times New Roman" w:hAnsi="Work Sans" w:cs="Calibri"/>
                <w:color w:val="BDD7EE"/>
                <w:sz w:val="16"/>
                <w:szCs w:val="16"/>
                <w:lang w:eastAsia="en-AU"/>
              </w:rPr>
            </w:pPr>
            <w:r w:rsidRPr="00202DE6">
              <w:rPr>
                <w:rFonts w:ascii="Work Sans" w:eastAsia="Times New Roman" w:hAnsi="Work Sans" w:cs="Calibri"/>
                <w:color w:val="BDD7EE"/>
                <w:sz w:val="16"/>
                <w:szCs w:val="16"/>
                <w:lang w:eastAsia="en-AU"/>
              </w:rPr>
              <w:t>0.0</w:t>
            </w:r>
          </w:p>
        </w:tc>
        <w:tc>
          <w:tcPr>
            <w:tcW w:w="1795" w:type="dxa"/>
            <w:tcBorders>
              <w:top w:val="nil"/>
              <w:left w:val="nil"/>
              <w:bottom w:val="single" w:sz="4" w:space="0" w:color="ADD6EA"/>
              <w:right w:val="nil"/>
            </w:tcBorders>
            <w:shd w:val="clear" w:color="000000" w:fill="B6D5E4"/>
            <w:noWrap/>
            <w:vAlign w:val="center"/>
            <w:hideMark/>
          </w:tcPr>
          <w:p w14:paraId="6F1EBC3C" w14:textId="77777777" w:rsidR="00E64207" w:rsidRPr="00202DE6" w:rsidRDefault="00E64207">
            <w:pPr>
              <w:keepNext/>
              <w:keepLines/>
              <w:tabs>
                <w:tab w:val="clear" w:pos="567"/>
              </w:tabs>
              <w:spacing w:before="0" w:line="240" w:lineRule="auto"/>
              <w:rPr>
                <w:rFonts w:ascii="Work Sans" w:eastAsia="Times New Roman" w:hAnsi="Work Sans" w:cs="Calibri"/>
                <w:color w:val="B6D5E4"/>
                <w:sz w:val="16"/>
                <w:szCs w:val="16"/>
                <w:lang w:eastAsia="en-AU"/>
              </w:rPr>
            </w:pPr>
            <w:r w:rsidRPr="00202DE6">
              <w:rPr>
                <w:rFonts w:ascii="Work Sans" w:eastAsia="Times New Roman" w:hAnsi="Work Sans" w:cs="Calibri"/>
                <w:color w:val="B6D5E4"/>
                <w:sz w:val="16"/>
                <w:szCs w:val="16"/>
                <w:lang w:eastAsia="en-AU"/>
              </w:rPr>
              <w:t> </w:t>
            </w:r>
          </w:p>
        </w:tc>
        <w:tc>
          <w:tcPr>
            <w:tcW w:w="1765" w:type="dxa"/>
            <w:tcBorders>
              <w:top w:val="nil"/>
              <w:left w:val="nil"/>
              <w:bottom w:val="single" w:sz="4" w:space="0" w:color="ADD6EA"/>
              <w:right w:val="nil"/>
            </w:tcBorders>
            <w:shd w:val="clear" w:color="000000" w:fill="B6D5E4"/>
            <w:noWrap/>
            <w:vAlign w:val="center"/>
            <w:hideMark/>
          </w:tcPr>
          <w:p w14:paraId="09282FEE" w14:textId="77777777" w:rsidR="00E64207" w:rsidRPr="00202DE6" w:rsidRDefault="00E64207">
            <w:pPr>
              <w:keepNext/>
              <w:keepLines/>
              <w:tabs>
                <w:tab w:val="clear" w:pos="567"/>
              </w:tabs>
              <w:spacing w:before="0" w:line="240" w:lineRule="auto"/>
              <w:rPr>
                <w:rFonts w:ascii="Work Sans" w:eastAsia="Times New Roman" w:hAnsi="Work Sans" w:cs="Calibri"/>
                <w:color w:val="B6D5E4"/>
                <w:sz w:val="16"/>
                <w:szCs w:val="16"/>
                <w:lang w:eastAsia="en-AU"/>
              </w:rPr>
            </w:pPr>
            <w:r w:rsidRPr="00202DE6">
              <w:rPr>
                <w:rFonts w:ascii="Work Sans" w:eastAsia="Times New Roman" w:hAnsi="Work Sans" w:cs="Calibri"/>
                <w:color w:val="B6D5E4"/>
                <w:sz w:val="16"/>
                <w:szCs w:val="16"/>
                <w:lang w:eastAsia="en-AU"/>
              </w:rPr>
              <w:t> </w:t>
            </w:r>
          </w:p>
        </w:tc>
      </w:tr>
      <w:tr w:rsidR="00E64207" w:rsidRPr="00202DE6" w14:paraId="37134F67"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136394CC"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0-14</w:t>
            </w:r>
          </w:p>
        </w:tc>
        <w:tc>
          <w:tcPr>
            <w:tcW w:w="1740" w:type="dxa"/>
            <w:tcBorders>
              <w:top w:val="nil"/>
              <w:left w:val="nil"/>
              <w:bottom w:val="single" w:sz="4" w:space="0" w:color="ADD6EA"/>
              <w:right w:val="nil"/>
            </w:tcBorders>
            <w:shd w:val="clear" w:color="000000" w:fill="FFFFFF"/>
            <w:noWrap/>
            <w:vAlign w:val="center"/>
            <w:hideMark/>
          </w:tcPr>
          <w:p w14:paraId="6E5010ED"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1.2</w:t>
            </w:r>
          </w:p>
        </w:tc>
        <w:tc>
          <w:tcPr>
            <w:tcW w:w="1795" w:type="dxa"/>
            <w:tcBorders>
              <w:top w:val="nil"/>
              <w:left w:val="nil"/>
              <w:bottom w:val="single" w:sz="4" w:space="0" w:color="ADD6EA"/>
              <w:right w:val="nil"/>
            </w:tcBorders>
            <w:shd w:val="clear" w:color="000000" w:fill="FFFFFF"/>
            <w:noWrap/>
            <w:vAlign w:val="center"/>
            <w:hideMark/>
          </w:tcPr>
          <w:p w14:paraId="10A6447E"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0.5</w:t>
            </w:r>
          </w:p>
        </w:tc>
        <w:tc>
          <w:tcPr>
            <w:tcW w:w="1765" w:type="dxa"/>
            <w:tcBorders>
              <w:top w:val="nil"/>
              <w:left w:val="nil"/>
              <w:bottom w:val="single" w:sz="4" w:space="0" w:color="ADD6EA"/>
              <w:right w:val="nil"/>
            </w:tcBorders>
            <w:shd w:val="clear" w:color="000000" w:fill="FFFFFF"/>
            <w:noWrap/>
            <w:vAlign w:val="center"/>
            <w:hideMark/>
          </w:tcPr>
          <w:p w14:paraId="559E5AEE"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0.7</w:t>
            </w:r>
          </w:p>
        </w:tc>
      </w:tr>
      <w:tr w:rsidR="00E64207" w:rsidRPr="00202DE6" w14:paraId="292D53F3"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7AD9EE51"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15-44</w:t>
            </w:r>
          </w:p>
        </w:tc>
        <w:tc>
          <w:tcPr>
            <w:tcW w:w="1740" w:type="dxa"/>
            <w:tcBorders>
              <w:top w:val="nil"/>
              <w:left w:val="nil"/>
              <w:bottom w:val="single" w:sz="4" w:space="0" w:color="ADD6EA"/>
              <w:right w:val="nil"/>
            </w:tcBorders>
            <w:shd w:val="clear" w:color="000000" w:fill="FFFFFF"/>
            <w:noWrap/>
            <w:vAlign w:val="center"/>
            <w:hideMark/>
          </w:tcPr>
          <w:p w14:paraId="159899B5"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795" w:type="dxa"/>
            <w:tcBorders>
              <w:top w:val="nil"/>
              <w:left w:val="nil"/>
              <w:bottom w:val="single" w:sz="4" w:space="0" w:color="ADD6EA"/>
              <w:right w:val="nil"/>
            </w:tcBorders>
            <w:shd w:val="clear" w:color="000000" w:fill="FFFFFF"/>
            <w:noWrap/>
            <w:vAlign w:val="center"/>
            <w:hideMark/>
          </w:tcPr>
          <w:p w14:paraId="1A4D6709"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1.4</w:t>
            </w:r>
          </w:p>
        </w:tc>
        <w:tc>
          <w:tcPr>
            <w:tcW w:w="1765" w:type="dxa"/>
            <w:tcBorders>
              <w:top w:val="nil"/>
              <w:left w:val="nil"/>
              <w:bottom w:val="single" w:sz="4" w:space="0" w:color="ADD6EA"/>
              <w:right w:val="nil"/>
            </w:tcBorders>
            <w:shd w:val="clear" w:color="000000" w:fill="FFFFFF"/>
            <w:noWrap/>
            <w:vAlign w:val="center"/>
            <w:hideMark/>
          </w:tcPr>
          <w:p w14:paraId="2676732D"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1.4</w:t>
            </w:r>
          </w:p>
        </w:tc>
      </w:tr>
      <w:tr w:rsidR="00E64207" w:rsidRPr="00202DE6" w14:paraId="44F92BF1"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4AFA5982"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45-64</w:t>
            </w:r>
          </w:p>
        </w:tc>
        <w:tc>
          <w:tcPr>
            <w:tcW w:w="1740" w:type="dxa"/>
            <w:tcBorders>
              <w:top w:val="nil"/>
              <w:left w:val="nil"/>
              <w:bottom w:val="single" w:sz="4" w:space="0" w:color="ADD6EA"/>
              <w:right w:val="nil"/>
            </w:tcBorders>
            <w:shd w:val="clear" w:color="000000" w:fill="FFFFFF"/>
            <w:noWrap/>
            <w:vAlign w:val="center"/>
            <w:hideMark/>
          </w:tcPr>
          <w:p w14:paraId="0148ADF7"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0.8</w:t>
            </w:r>
          </w:p>
        </w:tc>
        <w:tc>
          <w:tcPr>
            <w:tcW w:w="1795" w:type="dxa"/>
            <w:tcBorders>
              <w:top w:val="nil"/>
              <w:left w:val="nil"/>
              <w:bottom w:val="single" w:sz="4" w:space="0" w:color="ADD6EA"/>
              <w:right w:val="nil"/>
            </w:tcBorders>
            <w:shd w:val="clear" w:color="000000" w:fill="FFFFFF"/>
            <w:noWrap/>
            <w:vAlign w:val="center"/>
            <w:hideMark/>
          </w:tcPr>
          <w:p w14:paraId="5C46991F"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765" w:type="dxa"/>
            <w:tcBorders>
              <w:top w:val="nil"/>
              <w:left w:val="nil"/>
              <w:bottom w:val="single" w:sz="4" w:space="0" w:color="ADD6EA"/>
              <w:right w:val="nil"/>
            </w:tcBorders>
            <w:shd w:val="clear" w:color="000000" w:fill="FFFFFF"/>
            <w:noWrap/>
            <w:vAlign w:val="center"/>
            <w:hideMark/>
          </w:tcPr>
          <w:p w14:paraId="1B6D238A"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0.9</w:t>
            </w:r>
          </w:p>
        </w:tc>
      </w:tr>
      <w:tr w:rsidR="00E64207" w:rsidRPr="00202DE6" w14:paraId="73277B07"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261788FB"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65-74</w:t>
            </w:r>
          </w:p>
        </w:tc>
        <w:tc>
          <w:tcPr>
            <w:tcW w:w="1740" w:type="dxa"/>
            <w:tcBorders>
              <w:top w:val="nil"/>
              <w:left w:val="nil"/>
              <w:bottom w:val="single" w:sz="4" w:space="0" w:color="ADD6EA"/>
              <w:right w:val="nil"/>
            </w:tcBorders>
            <w:shd w:val="clear" w:color="000000" w:fill="FFFFFF"/>
            <w:noWrap/>
            <w:vAlign w:val="center"/>
            <w:hideMark/>
          </w:tcPr>
          <w:p w14:paraId="6FEEC326"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1.0</w:t>
            </w:r>
          </w:p>
        </w:tc>
        <w:tc>
          <w:tcPr>
            <w:tcW w:w="1795" w:type="dxa"/>
            <w:tcBorders>
              <w:top w:val="nil"/>
              <w:left w:val="nil"/>
              <w:bottom w:val="single" w:sz="4" w:space="0" w:color="ADD6EA"/>
              <w:right w:val="nil"/>
            </w:tcBorders>
            <w:shd w:val="clear" w:color="000000" w:fill="FFFFFF"/>
            <w:noWrap/>
            <w:vAlign w:val="center"/>
            <w:hideMark/>
          </w:tcPr>
          <w:p w14:paraId="35C16AF6"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0.6</w:t>
            </w:r>
          </w:p>
        </w:tc>
        <w:tc>
          <w:tcPr>
            <w:tcW w:w="1765" w:type="dxa"/>
            <w:tcBorders>
              <w:top w:val="nil"/>
              <w:left w:val="nil"/>
              <w:bottom w:val="single" w:sz="4" w:space="0" w:color="ADD6EA"/>
              <w:right w:val="nil"/>
            </w:tcBorders>
            <w:shd w:val="clear" w:color="000000" w:fill="FFFFFF"/>
            <w:noWrap/>
            <w:vAlign w:val="center"/>
            <w:hideMark/>
          </w:tcPr>
          <w:p w14:paraId="58313768"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0.6</w:t>
            </w:r>
          </w:p>
        </w:tc>
      </w:tr>
      <w:tr w:rsidR="00E64207" w:rsidRPr="00202DE6" w14:paraId="34FFFAEB" w14:textId="77777777">
        <w:trPr>
          <w:trHeight w:val="300"/>
        </w:trPr>
        <w:tc>
          <w:tcPr>
            <w:tcW w:w="3220" w:type="dxa"/>
            <w:tcBorders>
              <w:top w:val="nil"/>
              <w:left w:val="nil"/>
              <w:bottom w:val="single" w:sz="4" w:space="0" w:color="ADD6EA"/>
              <w:right w:val="nil"/>
            </w:tcBorders>
            <w:shd w:val="clear" w:color="000000" w:fill="FFFFFF"/>
            <w:noWrap/>
            <w:vAlign w:val="center"/>
            <w:hideMark/>
          </w:tcPr>
          <w:p w14:paraId="4CA7AB1C" w14:textId="77777777" w:rsidR="00E64207" w:rsidRPr="00AF68FA" w:rsidRDefault="00E64207">
            <w:pPr>
              <w:keepNext/>
              <w:keepLines/>
              <w:tabs>
                <w:tab w:val="clear" w:pos="567"/>
              </w:tabs>
              <w:spacing w:before="0" w:line="240" w:lineRule="auto"/>
              <w:ind w:firstLineChars="100" w:firstLine="160"/>
              <w:rPr>
                <w:rFonts w:eastAsia="Times New Roman" w:cs="Open Sans Light"/>
                <w:color w:val="000000"/>
                <w:sz w:val="16"/>
                <w:szCs w:val="16"/>
                <w:lang w:eastAsia="en-AU"/>
              </w:rPr>
            </w:pPr>
            <w:r w:rsidRPr="00AF68FA">
              <w:rPr>
                <w:rFonts w:eastAsia="Times New Roman" w:cs="Open Sans Light"/>
                <w:color w:val="000000"/>
                <w:sz w:val="16"/>
                <w:szCs w:val="16"/>
                <w:lang w:eastAsia="en-AU"/>
              </w:rPr>
              <w:t>75+</w:t>
            </w:r>
          </w:p>
        </w:tc>
        <w:tc>
          <w:tcPr>
            <w:tcW w:w="1740" w:type="dxa"/>
            <w:tcBorders>
              <w:top w:val="nil"/>
              <w:left w:val="nil"/>
              <w:bottom w:val="single" w:sz="4" w:space="0" w:color="ADD6EA"/>
              <w:right w:val="nil"/>
            </w:tcBorders>
            <w:shd w:val="clear" w:color="000000" w:fill="FFFFFF"/>
            <w:noWrap/>
            <w:vAlign w:val="center"/>
            <w:hideMark/>
          </w:tcPr>
          <w:p w14:paraId="575C3CD8"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1.7</w:t>
            </w:r>
          </w:p>
        </w:tc>
        <w:tc>
          <w:tcPr>
            <w:tcW w:w="1795" w:type="dxa"/>
            <w:tcBorders>
              <w:top w:val="nil"/>
              <w:left w:val="nil"/>
              <w:bottom w:val="single" w:sz="4" w:space="0" w:color="ADD6EA"/>
              <w:right w:val="nil"/>
            </w:tcBorders>
            <w:shd w:val="clear" w:color="000000" w:fill="FFFFFF"/>
            <w:noWrap/>
            <w:vAlign w:val="center"/>
            <w:hideMark/>
          </w:tcPr>
          <w:p w14:paraId="089704FC"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0.5</w:t>
            </w:r>
          </w:p>
        </w:tc>
        <w:tc>
          <w:tcPr>
            <w:tcW w:w="1765" w:type="dxa"/>
            <w:tcBorders>
              <w:top w:val="nil"/>
              <w:left w:val="nil"/>
              <w:bottom w:val="single" w:sz="4" w:space="0" w:color="ADD6EA"/>
              <w:right w:val="nil"/>
            </w:tcBorders>
            <w:shd w:val="clear" w:color="000000" w:fill="FFFFFF"/>
            <w:noWrap/>
            <w:vAlign w:val="center"/>
            <w:hideMark/>
          </w:tcPr>
          <w:p w14:paraId="24A6FB36" w14:textId="77777777" w:rsidR="00E64207" w:rsidRPr="00AF68FA" w:rsidRDefault="00E64207">
            <w:pPr>
              <w:keepNext/>
              <w:keepLines/>
              <w:tabs>
                <w:tab w:val="clear" w:pos="567"/>
              </w:tabs>
              <w:spacing w:before="0" w:line="240" w:lineRule="auto"/>
              <w:jc w:val="right"/>
              <w:rPr>
                <w:rFonts w:eastAsia="Times New Roman" w:cs="Open Sans Light"/>
                <w:color w:val="000000"/>
                <w:sz w:val="16"/>
                <w:szCs w:val="16"/>
                <w:lang w:eastAsia="en-AU"/>
              </w:rPr>
            </w:pPr>
            <w:r w:rsidRPr="00AF68FA">
              <w:rPr>
                <w:rFonts w:eastAsia="Times New Roman" w:cs="Open Sans Light"/>
                <w:color w:val="000000"/>
                <w:sz w:val="16"/>
                <w:szCs w:val="16"/>
                <w:lang w:eastAsia="en-AU"/>
              </w:rPr>
              <w:t>0.7</w:t>
            </w:r>
          </w:p>
        </w:tc>
      </w:tr>
      <w:tr w:rsidR="00E64207" w:rsidRPr="00202DE6" w14:paraId="1AB4FD32" w14:textId="77777777">
        <w:trPr>
          <w:trHeight w:val="300"/>
        </w:trPr>
        <w:tc>
          <w:tcPr>
            <w:tcW w:w="3220" w:type="dxa"/>
            <w:tcBorders>
              <w:top w:val="nil"/>
              <w:left w:val="nil"/>
              <w:bottom w:val="single" w:sz="4" w:space="0" w:color="ADD6EA"/>
              <w:right w:val="nil"/>
            </w:tcBorders>
            <w:shd w:val="clear" w:color="000000" w:fill="D6E7F0"/>
            <w:noWrap/>
            <w:vAlign w:val="center"/>
            <w:hideMark/>
          </w:tcPr>
          <w:p w14:paraId="5B49DAF7" w14:textId="77777777" w:rsidR="00E64207" w:rsidRPr="00202DE6" w:rsidRDefault="00E6420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Ratio 75+/0-14</w:t>
            </w:r>
          </w:p>
        </w:tc>
        <w:tc>
          <w:tcPr>
            <w:tcW w:w="1740" w:type="dxa"/>
            <w:tcBorders>
              <w:top w:val="nil"/>
              <w:left w:val="nil"/>
              <w:bottom w:val="single" w:sz="4" w:space="0" w:color="ADD6EA"/>
              <w:right w:val="nil"/>
            </w:tcBorders>
            <w:shd w:val="clear" w:color="000000" w:fill="D6E7F0"/>
            <w:noWrap/>
            <w:vAlign w:val="center"/>
            <w:hideMark/>
          </w:tcPr>
          <w:p w14:paraId="3B622E84"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1.4</w:t>
            </w:r>
          </w:p>
        </w:tc>
        <w:tc>
          <w:tcPr>
            <w:tcW w:w="1795" w:type="dxa"/>
            <w:tcBorders>
              <w:top w:val="nil"/>
              <w:left w:val="nil"/>
              <w:bottom w:val="single" w:sz="4" w:space="0" w:color="ADD6EA"/>
              <w:right w:val="nil"/>
            </w:tcBorders>
            <w:shd w:val="clear" w:color="000000" w:fill="D6E7F0"/>
            <w:noWrap/>
            <w:vAlign w:val="center"/>
            <w:hideMark/>
          </w:tcPr>
          <w:p w14:paraId="409F504D"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1.0</w:t>
            </w:r>
          </w:p>
        </w:tc>
        <w:tc>
          <w:tcPr>
            <w:tcW w:w="1765" w:type="dxa"/>
            <w:tcBorders>
              <w:top w:val="nil"/>
              <w:left w:val="nil"/>
              <w:bottom w:val="single" w:sz="4" w:space="0" w:color="ADD6EA"/>
              <w:right w:val="nil"/>
            </w:tcBorders>
            <w:shd w:val="clear" w:color="000000" w:fill="D6E7F0"/>
            <w:noWrap/>
            <w:vAlign w:val="center"/>
            <w:hideMark/>
          </w:tcPr>
          <w:p w14:paraId="3AD8655A" w14:textId="77777777" w:rsidR="00E64207" w:rsidRPr="00202DE6" w:rsidRDefault="00E6420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2DE6">
              <w:rPr>
                <w:rFonts w:ascii="Open Sans Semibold" w:eastAsia="Times New Roman" w:hAnsi="Open Sans Semibold" w:cs="Open Sans Semibold"/>
                <w:color w:val="000000"/>
                <w:sz w:val="16"/>
                <w:szCs w:val="16"/>
                <w:lang w:eastAsia="en-AU"/>
              </w:rPr>
              <w:t>1.0</w:t>
            </w:r>
          </w:p>
        </w:tc>
      </w:tr>
    </w:tbl>
    <w:p w14:paraId="7D42BC27" w14:textId="77777777" w:rsidR="0027590D" w:rsidRPr="00214433" w:rsidRDefault="0027590D" w:rsidP="0027590D">
      <w:pPr>
        <w:pStyle w:val="CGCTablenote"/>
        <w:ind w:left="709" w:hanging="596"/>
        <w:rPr>
          <w:rFonts w:ascii="Work Sans" w:hAnsi="Work Sans"/>
        </w:rPr>
      </w:pPr>
      <w:r w:rsidRPr="00214433">
        <w:rPr>
          <w:rFonts w:ascii="Work Sans" w:hAnsi="Work Sans"/>
        </w:rPr>
        <w:t>(a)</w:t>
      </w:r>
      <w:r w:rsidRPr="00214433">
        <w:rPr>
          <w:rFonts w:ascii="Work Sans" w:hAnsi="Work Sans"/>
        </w:rPr>
        <w:tab/>
      </w:r>
      <w:r w:rsidRPr="00214433">
        <w:rPr>
          <w:rFonts w:ascii="Work Sans" w:hAnsi="Work Sans"/>
        </w:rPr>
        <w:tab/>
      </w:r>
      <w:r w:rsidRPr="00214433">
        <w:rPr>
          <w:rFonts w:ascii="Work Sans" w:hAnsi="Work Sans"/>
        </w:rPr>
        <w:tab/>
        <w:t>Relative per capita activity is calculated by dividing the share of activity attributed to each group by their share of total population.</w:t>
      </w:r>
    </w:p>
    <w:p w14:paraId="04392EDD" w14:textId="77777777" w:rsidR="0027590D" w:rsidRPr="00214433" w:rsidRDefault="0027590D" w:rsidP="0027590D">
      <w:pPr>
        <w:pStyle w:val="CGCTablenote"/>
        <w:ind w:left="709" w:hanging="596"/>
        <w:rPr>
          <w:rFonts w:ascii="Work Sans" w:hAnsi="Work Sans"/>
        </w:rPr>
      </w:pPr>
      <w:r w:rsidRPr="00214433">
        <w:rPr>
          <w:rFonts w:ascii="Work Sans" w:hAnsi="Work Sans"/>
        </w:rPr>
        <w:t>(b)</w:t>
      </w:r>
      <w:r w:rsidRPr="00214433">
        <w:rPr>
          <w:rFonts w:ascii="Work Sans" w:hAnsi="Work Sans"/>
        </w:rPr>
        <w:tab/>
      </w:r>
      <w:r w:rsidRPr="00214433">
        <w:rPr>
          <w:rFonts w:ascii="Work Sans" w:hAnsi="Work Sans"/>
        </w:rPr>
        <w:tab/>
      </w:r>
      <w:r w:rsidRPr="00214433">
        <w:rPr>
          <w:rFonts w:ascii="Work Sans" w:hAnsi="Work Sans"/>
        </w:rPr>
        <w:tab/>
        <w:t>The AIHW indicators include Commission adjustments for regional costs and service delivery scale based on IHACPA data on remoteness adjustments, and relative expenditure on small rural and remote hospitals.</w:t>
      </w:r>
    </w:p>
    <w:p w14:paraId="30DFD90A" w14:textId="199F135F" w:rsidR="00A438EC" w:rsidRPr="00214433" w:rsidRDefault="0027590D" w:rsidP="0027590D">
      <w:pPr>
        <w:pStyle w:val="CGCTablenote"/>
        <w:ind w:left="709" w:hanging="596"/>
        <w:rPr>
          <w:rFonts w:ascii="Work Sans" w:hAnsi="Work Sans"/>
        </w:rPr>
      </w:pPr>
      <w:r w:rsidRPr="00214433">
        <w:rPr>
          <w:rFonts w:ascii="Work Sans" w:hAnsi="Work Sans"/>
        </w:rPr>
        <w:t xml:space="preserve">Source: </w:t>
      </w:r>
      <w:r w:rsidRPr="00214433">
        <w:rPr>
          <w:rFonts w:ascii="Work Sans" w:hAnsi="Work Sans"/>
        </w:rPr>
        <w:tab/>
        <w:t xml:space="preserve"> Commission calculation using </w:t>
      </w:r>
      <w:r w:rsidR="008C7096" w:rsidRPr="00214433">
        <w:rPr>
          <w:rFonts w:ascii="Work Sans" w:hAnsi="Work Sans"/>
        </w:rPr>
        <w:t xml:space="preserve">unpublished </w:t>
      </w:r>
      <w:r w:rsidRPr="00214433">
        <w:rPr>
          <w:rFonts w:ascii="Work Sans" w:hAnsi="Work Sans"/>
        </w:rPr>
        <w:t>IHACPA data and AIHW Community mental health care services tables 2020</w:t>
      </w:r>
      <w:r w:rsidR="00214433">
        <w:rPr>
          <w:rFonts w:ascii="Work Sans" w:hAnsi="Work Sans"/>
        </w:rPr>
        <w:noBreakHyphen/>
      </w:r>
      <w:r w:rsidRPr="00214433">
        <w:rPr>
          <w:rFonts w:ascii="Work Sans" w:hAnsi="Work Sans"/>
        </w:rPr>
        <w:t>21.</w:t>
      </w:r>
    </w:p>
    <w:p w14:paraId="12C0B1CB" w14:textId="0B0CAE74" w:rsidR="005E42F5" w:rsidRPr="00214433" w:rsidRDefault="005E42F5" w:rsidP="007B7F08">
      <w:pPr>
        <w:pStyle w:val="CGCTablenote"/>
        <w:ind w:left="709" w:hanging="596"/>
        <w:rPr>
          <w:rStyle w:val="Heading2Char"/>
          <w:rFonts w:eastAsiaTheme="minorHAnsi"/>
          <w:bCs w:val="0"/>
        </w:rPr>
      </w:pPr>
      <w:r w:rsidRPr="00214433">
        <w:rPr>
          <w:rStyle w:val="Heading2Char"/>
          <w:rFonts w:eastAsiaTheme="minorHAnsi"/>
          <w:bCs w:val="0"/>
        </w:rPr>
        <w:br w:type="page"/>
      </w:r>
    </w:p>
    <w:p w14:paraId="0B6099C5" w14:textId="78488FC7" w:rsidR="00D24BB6" w:rsidRDefault="00D24BB6" w:rsidP="00D24BB6">
      <w:pPr>
        <w:pStyle w:val="CGC2025Heading2AttachmentFollower"/>
      </w:pPr>
      <w:bookmarkStart w:id="117" w:name="_Toc138753195"/>
      <w:r w:rsidRPr="12B6223B">
        <w:rPr>
          <w:rStyle w:val="Heading2Char"/>
        </w:rPr>
        <w:lastRenderedPageBreak/>
        <w:t>Attachment C:</w:t>
      </w:r>
      <w:r>
        <w:t xml:space="preserve"> </w:t>
      </w:r>
      <w:r w:rsidR="00ED5FE3">
        <w:t>Alternative proxy indicator of community health activity based on a broader measure of hospital services</w:t>
      </w:r>
      <w:bookmarkEnd w:id="117"/>
    </w:p>
    <w:p w14:paraId="13F7CDE5" w14:textId="497A572C" w:rsidR="00D24BB6" w:rsidRPr="00BB467D" w:rsidRDefault="009B2AE5" w:rsidP="00BB467D">
      <w:pPr>
        <w:pStyle w:val="CGC2025Caption"/>
        <w:ind w:left="1134" w:hanging="1134"/>
        <w:rPr>
          <w:bCs/>
        </w:rPr>
      </w:pPr>
      <w:r>
        <w:t>Figure C</w:t>
      </w:r>
      <w:fldSimple w:instr=" SEQ Figure_C \* ARABIC ">
        <w:r w:rsidR="00312054">
          <w:rPr>
            <w:noProof/>
          </w:rPr>
          <w:t>1</w:t>
        </w:r>
      </w:fldSimple>
      <w:r>
        <w:tab/>
      </w:r>
      <w:r w:rsidR="00907163">
        <w:t xml:space="preserve">Current community health proxy vs ED and </w:t>
      </w:r>
      <w:r w:rsidR="00BB467D">
        <w:t xml:space="preserve">ED+NAP </w:t>
      </w:r>
      <w:r w:rsidR="00907163">
        <w:t>by Indigenous status and socio</w:t>
      </w:r>
      <w:r w:rsidR="00BB467D">
        <w:t>-</w:t>
      </w:r>
      <w:r w:rsidR="00907163">
        <w:t>economic status, 2020</w:t>
      </w:r>
      <w:r w:rsidR="00157450">
        <w:t>–</w:t>
      </w:r>
      <w:r w:rsidR="00907163">
        <w:t>21</w:t>
      </w:r>
    </w:p>
    <w:p w14:paraId="1AC34361" w14:textId="4A85D178" w:rsidR="00D24BB6" w:rsidRDefault="32768711" w:rsidP="12B6223B">
      <w:pPr>
        <w:rPr>
          <w:rFonts w:eastAsia="Calibri" w:cs="Arial"/>
          <w:szCs w:val="20"/>
        </w:rPr>
      </w:pPr>
      <w:r>
        <w:rPr>
          <w:noProof/>
        </w:rPr>
        <w:drawing>
          <wp:inline distT="0" distB="0" distL="0" distR="0" wp14:anchorId="14231238" wp14:editId="2B30A783">
            <wp:extent cx="5299724" cy="3190875"/>
            <wp:effectExtent l="0" t="0" r="0" b="0"/>
            <wp:docPr id="116730219" name="Picture 11673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299724" cy="3190875"/>
                    </a:xfrm>
                    <a:prstGeom prst="rect">
                      <a:avLst/>
                    </a:prstGeom>
                  </pic:spPr>
                </pic:pic>
              </a:graphicData>
            </a:graphic>
          </wp:inline>
        </w:drawing>
      </w:r>
    </w:p>
    <w:p w14:paraId="5EBBE985" w14:textId="30722E70" w:rsidR="00496A3B" w:rsidRDefault="32768711" w:rsidP="12B6223B">
      <w:pPr>
        <w:rPr>
          <w:rFonts w:eastAsia="Calibri" w:cs="Arial"/>
          <w:szCs w:val="20"/>
        </w:rPr>
      </w:pPr>
      <w:r>
        <w:rPr>
          <w:noProof/>
        </w:rPr>
        <w:drawing>
          <wp:inline distT="0" distB="0" distL="0" distR="0" wp14:anchorId="092908C5" wp14:editId="4559ADFC">
            <wp:extent cx="5276850" cy="3177103"/>
            <wp:effectExtent l="0" t="0" r="0" b="0"/>
            <wp:docPr id="1404746474" name="Picture 140474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76850" cy="3177103"/>
                    </a:xfrm>
                    <a:prstGeom prst="rect">
                      <a:avLst/>
                    </a:prstGeom>
                  </pic:spPr>
                </pic:pic>
              </a:graphicData>
            </a:graphic>
          </wp:inline>
        </w:drawing>
      </w:r>
    </w:p>
    <w:p w14:paraId="159DC0A6" w14:textId="35CE34DE" w:rsidR="00B40526" w:rsidRPr="00214433" w:rsidRDefault="00B40526" w:rsidP="00B40526">
      <w:pPr>
        <w:pStyle w:val="CGCTablenote"/>
        <w:tabs>
          <w:tab w:val="clear" w:pos="680"/>
        </w:tabs>
        <w:ind w:left="709" w:hanging="596"/>
        <w:rPr>
          <w:rFonts w:ascii="Work Sans" w:hAnsi="Work Sans"/>
        </w:rPr>
      </w:pPr>
      <w:r w:rsidRPr="00214433">
        <w:rPr>
          <w:rFonts w:ascii="Work Sans" w:hAnsi="Work Sans"/>
        </w:rPr>
        <w:t xml:space="preserve">Source: </w:t>
      </w:r>
      <w:r w:rsidRPr="00214433">
        <w:rPr>
          <w:rFonts w:ascii="Work Sans" w:hAnsi="Work Sans"/>
        </w:rPr>
        <w:tab/>
        <w:t>Commission calculation using</w:t>
      </w:r>
      <w:r w:rsidR="00E32BBD" w:rsidRPr="00214433">
        <w:rPr>
          <w:rFonts w:ascii="Work Sans" w:hAnsi="Work Sans"/>
        </w:rPr>
        <w:t xml:space="preserve"> unpublished IHACPA</w:t>
      </w:r>
      <w:r w:rsidRPr="00214433">
        <w:rPr>
          <w:rFonts w:ascii="Work Sans" w:hAnsi="Work Sans"/>
        </w:rPr>
        <w:t xml:space="preserve"> data, ABS GFS expenses and ABS disaggregated population. </w:t>
      </w:r>
    </w:p>
    <w:p w14:paraId="32622B1D" w14:textId="2E1D106D" w:rsidR="00AC5A33" w:rsidRDefault="00AC5A33">
      <w:pPr>
        <w:tabs>
          <w:tab w:val="clear" w:pos="567"/>
        </w:tabs>
        <w:spacing w:before="0" w:after="200" w:line="276" w:lineRule="auto"/>
        <w:rPr>
          <w:sz w:val="14"/>
        </w:rPr>
      </w:pPr>
      <w:r>
        <w:br w:type="page"/>
      </w:r>
    </w:p>
    <w:p w14:paraId="2C0BE450" w14:textId="57121A8A" w:rsidR="00BB467D" w:rsidRPr="0029134D" w:rsidRDefault="00E80FE6" w:rsidP="0029134D">
      <w:pPr>
        <w:pStyle w:val="CGC2025Caption"/>
        <w:ind w:left="1134" w:hanging="1134"/>
        <w:rPr>
          <w:bCs/>
        </w:rPr>
      </w:pPr>
      <w:r>
        <w:lastRenderedPageBreak/>
        <w:t>Figure C</w:t>
      </w:r>
      <w:fldSimple w:instr=" SEQ Figure_C \* ARABIC ">
        <w:r w:rsidR="00312054">
          <w:rPr>
            <w:noProof/>
          </w:rPr>
          <w:t>2</w:t>
        </w:r>
      </w:fldSimple>
      <w:r>
        <w:tab/>
      </w:r>
      <w:r w:rsidR="0029134D">
        <w:t>Current community health proxy vs ED and ED+NAP by age group, 2020</w:t>
      </w:r>
      <w:r w:rsidR="006837AA">
        <w:t>–</w:t>
      </w:r>
      <w:r w:rsidR="0029134D">
        <w:t>21</w:t>
      </w:r>
    </w:p>
    <w:p w14:paraId="434F4E84" w14:textId="29F58473" w:rsidR="0029134D" w:rsidRDefault="62993DC3" w:rsidP="12B6223B">
      <w:pPr>
        <w:rPr>
          <w:rFonts w:eastAsia="Calibri" w:cs="Arial"/>
          <w:szCs w:val="20"/>
        </w:rPr>
      </w:pPr>
      <w:r>
        <w:rPr>
          <w:noProof/>
        </w:rPr>
        <w:drawing>
          <wp:inline distT="0" distB="0" distL="0" distR="0" wp14:anchorId="6FCA18ED" wp14:editId="373810F1">
            <wp:extent cx="5362575" cy="3217545"/>
            <wp:effectExtent l="0" t="0" r="0" b="0"/>
            <wp:docPr id="752722048" name="Picture 75272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62575" cy="3217545"/>
                    </a:xfrm>
                    <a:prstGeom prst="rect">
                      <a:avLst/>
                    </a:prstGeom>
                  </pic:spPr>
                </pic:pic>
              </a:graphicData>
            </a:graphic>
          </wp:inline>
        </w:drawing>
      </w:r>
    </w:p>
    <w:p w14:paraId="5194568B" w14:textId="545CB67D" w:rsidR="005C2269" w:rsidRPr="00214433" w:rsidRDefault="00E32BBD" w:rsidP="00E32BBD">
      <w:pPr>
        <w:pStyle w:val="CGCTablenote"/>
        <w:ind w:left="709" w:hanging="596"/>
        <w:rPr>
          <w:rStyle w:val="Heading2Char"/>
          <w:rFonts w:eastAsiaTheme="minorHAnsi"/>
        </w:rPr>
      </w:pPr>
      <w:r w:rsidRPr="00214433">
        <w:rPr>
          <w:rFonts w:ascii="Work Sans" w:hAnsi="Work Sans"/>
        </w:rPr>
        <w:t xml:space="preserve">Source: </w:t>
      </w:r>
      <w:r w:rsidRPr="00214433">
        <w:rPr>
          <w:rFonts w:ascii="Work Sans" w:hAnsi="Work Sans"/>
        </w:rPr>
        <w:tab/>
        <w:t>Commission calculation using unpublished IHACPA data, ABS GFS expenses and ABS disaggregated population.</w:t>
      </w:r>
    </w:p>
    <w:p w14:paraId="42C23EB7" w14:textId="072FD894" w:rsidR="005E42F5" w:rsidRDefault="005E42F5" w:rsidP="0029134D">
      <w:pPr>
        <w:pStyle w:val="CGCTablenote"/>
        <w:ind w:left="709" w:hanging="596"/>
        <w:rPr>
          <w:rStyle w:val="Heading2Char"/>
          <w:rFonts w:eastAsiaTheme="minorHAnsi"/>
        </w:rPr>
      </w:pPr>
      <w:r>
        <w:rPr>
          <w:rStyle w:val="Heading2Char"/>
          <w:rFonts w:eastAsiaTheme="minorHAnsi"/>
        </w:rPr>
        <w:br w:type="page"/>
      </w:r>
    </w:p>
    <w:p w14:paraId="283A1F77" w14:textId="2818659E" w:rsidR="00D24BB6" w:rsidRDefault="00D24BB6" w:rsidP="00D24BB6">
      <w:pPr>
        <w:pStyle w:val="CGC2025Heading2AttachmentFollower"/>
      </w:pPr>
      <w:bookmarkStart w:id="118" w:name="_Toc138753196"/>
      <w:r w:rsidRPr="00294D2F">
        <w:rPr>
          <w:rStyle w:val="Heading2Char"/>
        </w:rPr>
        <w:lastRenderedPageBreak/>
        <w:t xml:space="preserve">Attachment </w:t>
      </w:r>
      <w:r>
        <w:rPr>
          <w:rStyle w:val="Heading2Char"/>
        </w:rPr>
        <w:t>D</w:t>
      </w:r>
      <w:r w:rsidRPr="00294D2F">
        <w:rPr>
          <w:rStyle w:val="Heading2Char"/>
        </w:rPr>
        <w:t>:</w:t>
      </w:r>
      <w:r w:rsidRPr="00DB7A2E">
        <w:t xml:space="preserve"> </w:t>
      </w:r>
      <w:r w:rsidR="00374624" w:rsidRPr="00374624">
        <w:t>Draft data request</w:t>
      </w:r>
      <w:r w:rsidR="009D1C02">
        <w:t xml:space="preserve">: </w:t>
      </w:r>
      <w:r w:rsidR="009D1C02" w:rsidRPr="009D1C02">
        <w:t>State data on non-hospital patient transport expenses</w:t>
      </w:r>
      <w:bookmarkEnd w:id="118"/>
    </w:p>
    <w:p w14:paraId="298F1BA3" w14:textId="1AACF944" w:rsidR="00F92E0A" w:rsidRDefault="005817DB" w:rsidP="00C10D5C">
      <w:pPr>
        <w:pStyle w:val="Heading4"/>
      </w:pPr>
      <w:r>
        <w:t>Background</w:t>
      </w:r>
    </w:p>
    <w:p w14:paraId="04EB39D9" w14:textId="77777777" w:rsidR="006B3F76" w:rsidRPr="002938EF" w:rsidRDefault="006B3F76" w:rsidP="006B3F76">
      <w:pPr>
        <w:rPr>
          <w:rFonts w:ascii="Work Sans" w:hAnsi="Work Sans" w:cs="Calibri"/>
          <w:szCs w:val="20"/>
          <w:shd w:val="clear" w:color="auto" w:fill="FFFFFF"/>
        </w:rPr>
      </w:pPr>
      <w:r w:rsidRPr="002938EF">
        <w:rPr>
          <w:rFonts w:ascii="Work Sans" w:hAnsi="Work Sans" w:cs="Calibri"/>
          <w:szCs w:val="20"/>
          <w:shd w:val="clear" w:color="auto" w:fill="FFFFFF"/>
        </w:rPr>
        <w:t>Hospital and non</w:t>
      </w:r>
      <w:r w:rsidRPr="002938EF">
        <w:rPr>
          <w:rFonts w:ascii="Work Sans" w:hAnsi="Work Sans" w:cs="Calibri"/>
          <w:szCs w:val="20"/>
          <w:shd w:val="clear" w:color="auto" w:fill="FFFFFF"/>
        </w:rPr>
        <w:noBreakHyphen/>
        <w:t>hospital patient transport are assessed separately. Hospital transport (land ambulances) are included in the admitted patient component because the drivers of need are similar to hospital</w:t>
      </w:r>
      <w:r w:rsidRPr="002938EF">
        <w:rPr>
          <w:rFonts w:ascii="Work Sans" w:hAnsi="Work Sans" w:cs="Calibri"/>
          <w:szCs w:val="20"/>
          <w:shd w:val="clear" w:color="auto" w:fill="FFFFFF"/>
        </w:rPr>
        <w:noBreakHyphen/>
        <w:t>based services.</w:t>
      </w:r>
    </w:p>
    <w:p w14:paraId="4F16EC1C" w14:textId="77777777" w:rsidR="006B3F76" w:rsidRPr="002938EF" w:rsidRDefault="006B3F76" w:rsidP="006B3F76">
      <w:pPr>
        <w:rPr>
          <w:rFonts w:ascii="Work Sans" w:hAnsi="Work Sans" w:cs="Calibri"/>
          <w:szCs w:val="20"/>
          <w:shd w:val="clear" w:color="auto" w:fill="FFFFFF"/>
        </w:rPr>
      </w:pPr>
      <w:r w:rsidRPr="002938EF">
        <w:rPr>
          <w:rFonts w:ascii="Work Sans" w:hAnsi="Work Sans" w:cs="Calibri"/>
          <w:szCs w:val="20"/>
          <w:shd w:val="clear" w:color="auto" w:fill="FFFFFF"/>
        </w:rPr>
        <w:t xml:space="preserve">The non-hospital patient transport assessment is based on aero-medical and </w:t>
      </w:r>
      <w:bookmarkStart w:id="119" w:name="_Hlk135735082"/>
      <w:r w:rsidRPr="002938EF">
        <w:rPr>
          <w:rFonts w:ascii="Work Sans" w:hAnsi="Work Sans" w:cs="Calibri"/>
          <w:szCs w:val="20"/>
          <w:shd w:val="clear" w:color="auto" w:fill="FFFFFF"/>
        </w:rPr>
        <w:t xml:space="preserve">Patient Assisted Travel/Transport Scheme </w:t>
      </w:r>
      <w:bookmarkEnd w:id="119"/>
      <w:r w:rsidRPr="002938EF">
        <w:rPr>
          <w:rFonts w:ascii="Work Sans" w:hAnsi="Work Sans" w:cs="Calibri"/>
          <w:szCs w:val="20"/>
          <w:shd w:val="clear" w:color="auto" w:fill="FFFFFF"/>
        </w:rPr>
        <w:t>costs, as these costs are disproportionately attributable to people in remote and very remote regions.</w:t>
      </w:r>
    </w:p>
    <w:p w14:paraId="3D6CC371" w14:textId="77777777" w:rsidR="006B3F76" w:rsidRPr="002938EF" w:rsidRDefault="006B3F76" w:rsidP="006B3F76">
      <w:pPr>
        <w:rPr>
          <w:rFonts w:ascii="Work Sans" w:hAnsi="Work Sans" w:cs="Calibri"/>
          <w:szCs w:val="20"/>
          <w:shd w:val="clear" w:color="auto" w:fill="FFFFFF"/>
        </w:rPr>
      </w:pPr>
      <w:r w:rsidRPr="002938EF">
        <w:rPr>
          <w:rFonts w:ascii="Work Sans" w:hAnsi="Work Sans" w:cs="Calibri"/>
          <w:szCs w:val="20"/>
          <w:shd w:val="clear" w:color="auto" w:fill="FFFFFF"/>
        </w:rPr>
        <w:t>Government Finance Statistics data cannot disaggregate patient transport expenses into land ambulance, Patient Assisted Travel/Transport Scheme and aero-medical expenses. Hence, state data are used to identify aero-medical and Patient Assisted Travel/Transport Scheme expenses. The data are also used to calculate a remoteness cost weight.</w:t>
      </w:r>
    </w:p>
    <w:p w14:paraId="109294A7" w14:textId="77777777" w:rsidR="006B3F76" w:rsidRPr="002938EF" w:rsidRDefault="006B3F76" w:rsidP="006B3F76">
      <w:pPr>
        <w:rPr>
          <w:rFonts w:ascii="Work Sans" w:hAnsi="Work Sans" w:cs="Calibri"/>
          <w:szCs w:val="20"/>
          <w:shd w:val="clear" w:color="auto" w:fill="FFFFFF"/>
        </w:rPr>
      </w:pPr>
      <w:r w:rsidRPr="002938EF">
        <w:rPr>
          <w:rFonts w:ascii="Work Sans" w:hAnsi="Work Sans" w:cs="Calibri"/>
          <w:szCs w:val="20"/>
          <w:shd w:val="clear" w:color="auto" w:fill="FFFFFF"/>
        </w:rPr>
        <w:t>For the 2025 Review, the Commission is not proposing to change the assessment method for non</w:t>
      </w:r>
      <w:r w:rsidRPr="002938EF">
        <w:rPr>
          <w:rFonts w:ascii="Work Sans" w:hAnsi="Work Sans" w:cs="Calibri"/>
          <w:szCs w:val="20"/>
          <w:shd w:val="clear" w:color="auto" w:fill="FFFFFF"/>
        </w:rPr>
        <w:noBreakHyphen/>
        <w:t>hospital patient transport expenses. This data request seeks data from each state to update the assessment. The ratio of hospital to non</w:t>
      </w:r>
      <w:r w:rsidRPr="002938EF">
        <w:rPr>
          <w:rFonts w:ascii="Work Sans" w:hAnsi="Work Sans" w:cs="Calibri"/>
          <w:szCs w:val="20"/>
          <w:shd w:val="clear" w:color="auto" w:fill="FFFFFF"/>
        </w:rPr>
        <w:noBreakHyphen/>
        <w:t>hospital patient transport expense will be maintained for the period of the 2025 Review.</w:t>
      </w:r>
    </w:p>
    <w:p w14:paraId="625D92E6" w14:textId="77777777" w:rsidR="006B3F76" w:rsidRPr="004A0AF5" w:rsidRDefault="006B3F76" w:rsidP="006B3F76">
      <w:pPr>
        <w:pStyle w:val="Heading4"/>
        <w:rPr>
          <w:shd w:val="clear" w:color="auto" w:fill="FFFFFF"/>
        </w:rPr>
      </w:pPr>
      <w:r w:rsidRPr="004A0AF5">
        <w:rPr>
          <w:shd w:val="clear" w:color="auto" w:fill="FFFFFF"/>
        </w:rPr>
        <w:t>Scope</w:t>
      </w:r>
    </w:p>
    <w:p w14:paraId="3AD95F4A" w14:textId="0ECA8410" w:rsidR="006B3F76" w:rsidRPr="00FE0020" w:rsidRDefault="00FE0020" w:rsidP="00FE0020">
      <w:pPr>
        <w:rPr>
          <w:rFonts w:ascii="Work Sans" w:hAnsi="Work Sans" w:cs="Calibri"/>
          <w:szCs w:val="20"/>
          <w:shd w:val="clear" w:color="auto" w:fill="FFFFFF"/>
        </w:rPr>
      </w:pPr>
      <w:r>
        <w:rPr>
          <w:rFonts w:ascii="Work Sans" w:hAnsi="Work Sans" w:cs="Calibri"/>
          <w:szCs w:val="20"/>
          <w:shd w:val="clear" w:color="auto" w:fill="FFFFFF"/>
        </w:rPr>
        <w:t>N</w:t>
      </w:r>
      <w:r w:rsidR="006B3F76" w:rsidRPr="00FE0020">
        <w:rPr>
          <w:rFonts w:ascii="Work Sans" w:hAnsi="Work Sans" w:cs="Calibri"/>
          <w:szCs w:val="20"/>
          <w:shd w:val="clear" w:color="auto" w:fill="FFFFFF"/>
        </w:rPr>
        <w:t>on-hospital patient transport services other than land ambulance, largely aero-medical services</w:t>
      </w:r>
      <w:r w:rsidR="0095696B" w:rsidRPr="00FE0020">
        <w:rPr>
          <w:rFonts w:ascii="Work Sans" w:hAnsi="Work Sans" w:cs="Calibri"/>
          <w:szCs w:val="20"/>
          <w:shd w:val="clear" w:color="auto" w:fill="FFFFFF"/>
        </w:rPr>
        <w:t>.</w:t>
      </w:r>
    </w:p>
    <w:p w14:paraId="40297CA3" w14:textId="0A390A4B" w:rsidR="006B3F76" w:rsidRPr="00FE0020" w:rsidRDefault="00316DEC" w:rsidP="00FE0020">
      <w:pPr>
        <w:rPr>
          <w:rFonts w:ascii="Work Sans" w:hAnsi="Work Sans" w:cs="Calibri"/>
          <w:szCs w:val="20"/>
          <w:shd w:val="clear" w:color="auto" w:fill="FFFFFF"/>
        </w:rPr>
      </w:pPr>
      <w:r w:rsidRPr="00FE0020">
        <w:rPr>
          <w:rFonts w:ascii="Work Sans" w:hAnsi="Work Sans" w:cs="Calibri"/>
          <w:szCs w:val="20"/>
          <w:shd w:val="clear" w:color="auto" w:fill="FFFFFF"/>
        </w:rPr>
        <w:t>E</w:t>
      </w:r>
      <w:r w:rsidR="006B3F76" w:rsidRPr="00FE0020">
        <w:rPr>
          <w:rFonts w:ascii="Work Sans" w:hAnsi="Work Sans" w:cs="Calibri"/>
          <w:szCs w:val="20"/>
          <w:shd w:val="clear" w:color="auto" w:fill="FFFFFF"/>
        </w:rPr>
        <w:t>xpenses related to the Patient Assistance Travel/Transport Scheme</w:t>
      </w:r>
      <w:r w:rsidR="00E22F85" w:rsidRPr="00FE0020">
        <w:rPr>
          <w:rFonts w:ascii="Work Sans" w:hAnsi="Work Sans" w:cs="Calibri"/>
          <w:szCs w:val="20"/>
          <w:shd w:val="clear" w:color="auto" w:fill="FFFFFF"/>
        </w:rPr>
        <w:t xml:space="preserve"> (PATS)</w:t>
      </w:r>
      <w:r w:rsidR="006B3F76" w:rsidRPr="00FE0020">
        <w:rPr>
          <w:rFonts w:ascii="Work Sans" w:hAnsi="Work Sans" w:cs="Calibri"/>
          <w:szCs w:val="20"/>
          <w:shd w:val="clear" w:color="auto" w:fill="FFFFFF"/>
        </w:rPr>
        <w:t xml:space="preserve">, a subsidy program by state governments that provides financial help for travel and accommodation expenses for patients who need to travel a long distance to access approved medical specialist services that are not available locally. The actual name of the scheme varies in each state. </w:t>
      </w:r>
    </w:p>
    <w:p w14:paraId="129F627E" w14:textId="77777777" w:rsidR="006B3F76" w:rsidRPr="004A0AF5" w:rsidRDefault="006B3F76" w:rsidP="006B3F76">
      <w:pPr>
        <w:pStyle w:val="Heading4"/>
        <w:rPr>
          <w:shd w:val="clear" w:color="auto" w:fill="FFFFFF"/>
        </w:rPr>
      </w:pPr>
      <w:r w:rsidRPr="004A0AF5">
        <w:rPr>
          <w:shd w:val="clear" w:color="auto" w:fill="FFFFFF"/>
        </w:rPr>
        <w:t>Details of information required</w:t>
      </w:r>
    </w:p>
    <w:p w14:paraId="0792371F" w14:textId="2DA73CEB" w:rsidR="006B3F76" w:rsidRPr="0081154C" w:rsidRDefault="006B3F76" w:rsidP="006B3F76">
      <w:pPr>
        <w:rPr>
          <w:rFonts w:ascii="Work Sans" w:hAnsi="Work Sans" w:cs="Calibri"/>
          <w:szCs w:val="20"/>
          <w:shd w:val="clear" w:color="auto" w:fill="FFFFFF"/>
        </w:rPr>
      </w:pPr>
      <w:r w:rsidRPr="0081154C">
        <w:rPr>
          <w:rFonts w:ascii="Work Sans" w:hAnsi="Work Sans" w:cs="Calibri"/>
          <w:szCs w:val="20"/>
          <w:shd w:val="clear" w:color="auto" w:fill="FFFFFF"/>
        </w:rPr>
        <w:t>The Commission is seeking patient transport expenses data for aero</w:t>
      </w:r>
      <w:r w:rsidRPr="0081154C">
        <w:rPr>
          <w:rFonts w:ascii="Work Sans" w:hAnsi="Work Sans" w:cs="Calibri"/>
          <w:szCs w:val="20"/>
          <w:shd w:val="clear" w:color="auto" w:fill="FFFFFF"/>
        </w:rPr>
        <w:noBreakHyphen/>
        <w:t>medical services and PATS for each year by remoteness region from 2022</w:t>
      </w:r>
      <w:r w:rsidR="00E21F91">
        <w:rPr>
          <w:rFonts w:ascii="Work Sans" w:hAnsi="Work Sans" w:cs="Calibri"/>
          <w:szCs w:val="20"/>
          <w:shd w:val="clear" w:color="auto" w:fill="FFFFFF"/>
        </w:rPr>
        <w:t>–</w:t>
      </w:r>
      <w:r w:rsidRPr="0081154C">
        <w:rPr>
          <w:rFonts w:ascii="Work Sans" w:hAnsi="Work Sans" w:cs="Calibri"/>
          <w:szCs w:val="20"/>
          <w:shd w:val="clear" w:color="auto" w:fill="FFFFFF"/>
        </w:rPr>
        <w:t>23 to 2023</w:t>
      </w:r>
      <w:r w:rsidR="00E21F91">
        <w:rPr>
          <w:rFonts w:ascii="Work Sans" w:hAnsi="Work Sans" w:cs="Calibri"/>
          <w:szCs w:val="20"/>
          <w:shd w:val="clear" w:color="auto" w:fill="FFFFFF"/>
        </w:rPr>
        <w:t>–</w:t>
      </w:r>
      <w:r w:rsidRPr="0081154C">
        <w:rPr>
          <w:rFonts w:ascii="Work Sans" w:hAnsi="Work Sans" w:cs="Calibri"/>
          <w:szCs w:val="20"/>
          <w:shd w:val="clear" w:color="auto" w:fill="FFFFFF"/>
        </w:rPr>
        <w:t>24. Expenses should be allocated to regions based upon the usual residence of the patient receiving the services. However, if you are unable to allocate expenses to different regions, please provide totals on the regions you can, such as individual health districts or country regions. Also, include services that are provided to interstate residents, in particular, services provided by the ACT to New South Wales residents (if possible, net of any revenue raised).</w:t>
      </w:r>
    </w:p>
    <w:p w14:paraId="0F594E59" w14:textId="108EF184" w:rsidR="006B3F76" w:rsidRPr="0081154C" w:rsidRDefault="006B3F76" w:rsidP="006B3F76">
      <w:pPr>
        <w:rPr>
          <w:rFonts w:ascii="Work Sans" w:hAnsi="Work Sans" w:cs="Calibri"/>
          <w:szCs w:val="20"/>
          <w:shd w:val="clear" w:color="auto" w:fill="FFFFFF"/>
        </w:rPr>
      </w:pPr>
      <w:r w:rsidRPr="0081154C">
        <w:rPr>
          <w:rFonts w:ascii="Work Sans" w:hAnsi="Work Sans" w:cs="Calibri"/>
          <w:szCs w:val="20"/>
          <w:shd w:val="clear" w:color="auto" w:fill="FFFFFF"/>
        </w:rPr>
        <w:t xml:space="preserve">In regard to aero-medical expenses, </w:t>
      </w:r>
      <w:r w:rsidR="000826D0" w:rsidRPr="0081154C">
        <w:rPr>
          <w:rFonts w:ascii="Work Sans" w:hAnsi="Work Sans" w:cs="Calibri"/>
          <w:szCs w:val="20"/>
          <w:shd w:val="clear" w:color="auto" w:fill="FFFFFF"/>
        </w:rPr>
        <w:t xml:space="preserve">these </w:t>
      </w:r>
      <w:r w:rsidRPr="0081154C">
        <w:rPr>
          <w:rFonts w:ascii="Work Sans" w:hAnsi="Work Sans" w:cs="Calibri"/>
          <w:szCs w:val="20"/>
          <w:shd w:val="clear" w:color="auto" w:fill="FFFFFF"/>
        </w:rPr>
        <w:t>only include State expenses (not the total operating budget of service providers like the Royal Flying Doctor Service).</w:t>
      </w:r>
    </w:p>
    <w:p w14:paraId="701F54A4" w14:textId="77777777" w:rsidR="006B3F76" w:rsidRPr="0081154C" w:rsidRDefault="006B3F76" w:rsidP="006B3F76">
      <w:pPr>
        <w:rPr>
          <w:rFonts w:ascii="Work Sans" w:hAnsi="Work Sans" w:cs="Calibri"/>
          <w:szCs w:val="20"/>
          <w:shd w:val="clear" w:color="auto" w:fill="FFFFFF"/>
        </w:rPr>
      </w:pPr>
      <w:r w:rsidRPr="0081154C">
        <w:rPr>
          <w:rFonts w:ascii="Work Sans" w:hAnsi="Work Sans" w:cs="Calibri"/>
          <w:szCs w:val="20"/>
          <w:shd w:val="clear" w:color="auto" w:fill="FFFFFF"/>
        </w:rPr>
        <w:t>Please note that costs associated with land ambulance services will not be required as part of this data request.</w:t>
      </w:r>
    </w:p>
    <w:p w14:paraId="46035E52" w14:textId="22966168" w:rsidR="00F12C14" w:rsidRDefault="00F12C14">
      <w:pPr>
        <w:tabs>
          <w:tab w:val="clear" w:pos="567"/>
        </w:tabs>
        <w:spacing w:before="0" w:after="200" w:line="276" w:lineRule="auto"/>
        <w:rPr>
          <w:rFonts w:ascii="Montserrat Semi Bold" w:eastAsiaTheme="majorEastAsia" w:hAnsi="Montserrat Semi Bold" w:cstheme="majorBidi"/>
          <w:color w:val="636466"/>
        </w:rPr>
      </w:pPr>
      <w:r>
        <w:br w:type="page"/>
      </w:r>
    </w:p>
    <w:p w14:paraId="5577E5B5" w14:textId="77777777" w:rsidR="00F968AE" w:rsidRPr="004A0AF5" w:rsidRDefault="00F968AE" w:rsidP="00F968AE">
      <w:pPr>
        <w:pStyle w:val="Heading4"/>
      </w:pPr>
      <w:r>
        <w:lastRenderedPageBreak/>
        <w:t>Data request table</w:t>
      </w:r>
    </w:p>
    <w:p w14:paraId="7E23A26D" w14:textId="42E3ED1C" w:rsidR="005817DB" w:rsidRPr="005817DB" w:rsidRDefault="35A2B5B6" w:rsidP="12B6223B">
      <w:r>
        <w:rPr>
          <w:noProof/>
        </w:rPr>
        <w:drawing>
          <wp:inline distT="0" distB="0" distL="0" distR="0" wp14:anchorId="5752EE26" wp14:editId="7280AB81">
            <wp:extent cx="5391150" cy="4784646"/>
            <wp:effectExtent l="0" t="0" r="0" b="0"/>
            <wp:docPr id="2095623055" name="Picture 209562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391150" cy="4784646"/>
                    </a:xfrm>
                    <a:prstGeom prst="rect">
                      <a:avLst/>
                    </a:prstGeom>
                  </pic:spPr>
                </pic:pic>
              </a:graphicData>
            </a:graphic>
          </wp:inline>
        </w:drawing>
      </w:r>
    </w:p>
    <w:sectPr w:rsidR="005817DB" w:rsidRPr="005817DB" w:rsidSect="004F0684">
      <w:footerReference w:type="default" r:id="rId26"/>
      <w:pgSz w:w="11906" w:h="16838"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653D1" w14:textId="77777777" w:rsidR="00B6152F" w:rsidRDefault="00B6152F">
      <w:r>
        <w:separator/>
      </w:r>
    </w:p>
    <w:p w14:paraId="35AA2C54" w14:textId="77777777" w:rsidR="00B6152F" w:rsidRDefault="00B6152F"/>
  </w:endnote>
  <w:endnote w:type="continuationSeparator" w:id="0">
    <w:p w14:paraId="50CC0ADB" w14:textId="77777777" w:rsidR="00B6152F" w:rsidRDefault="00B6152F">
      <w:r>
        <w:continuationSeparator/>
      </w:r>
    </w:p>
    <w:p w14:paraId="3EC94169" w14:textId="77777777" w:rsidR="00B6152F" w:rsidRDefault="00B6152F"/>
  </w:endnote>
  <w:endnote w:type="continuationNotice" w:id="1">
    <w:p w14:paraId="111E7175" w14:textId="77777777" w:rsidR="00B6152F" w:rsidRDefault="00B6152F">
      <w:pPr>
        <w:spacing w:before="0" w:line="240" w:lineRule="auto"/>
      </w:pPr>
    </w:p>
    <w:p w14:paraId="57F34E26" w14:textId="77777777" w:rsidR="00B6152F" w:rsidRDefault="00B615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2305" w14:textId="7666131D" w:rsidR="00E4564D" w:rsidRDefault="00E4564D" w:rsidP="00D22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96B4" w14:textId="31EBF2D8" w:rsidR="00B80B50" w:rsidRDefault="008E230B" w:rsidP="008E230B">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684187"/>
      <w:docPartObj>
        <w:docPartGallery w:val="Page Numbers (Bottom of Page)"/>
        <w:docPartUnique/>
      </w:docPartObj>
    </w:sdtPr>
    <w:sdtEndPr>
      <w:rPr>
        <w:noProof/>
      </w:rPr>
    </w:sdtEndPr>
    <w:sdtContent>
      <w:p w14:paraId="63EB4974" w14:textId="77777777" w:rsidR="005B6B61" w:rsidRDefault="005B6B61" w:rsidP="00D22166">
        <w:pPr>
          <w:pStyle w:val="Footer"/>
        </w:pPr>
        <w:r>
          <w:fldChar w:fldCharType="begin"/>
        </w:r>
        <w:r>
          <w:instrText xml:space="preserve"> PAGE   \* MERGEFORMAT </w:instrText>
        </w:r>
        <w:r>
          <w:fldChar w:fldCharType="separate"/>
        </w:r>
        <w:r>
          <w:rPr>
            <w:noProof/>
          </w:rPr>
          <w:t>2</w:t>
        </w:r>
        <w:r>
          <w:rPr>
            <w:noProof/>
          </w:rPr>
          <w:fldChar w:fldCharType="end"/>
        </w:r>
      </w:p>
    </w:sdtContent>
  </w:sdt>
  <w:p w14:paraId="39C6AF0D" w14:textId="77777777" w:rsidR="00C66676" w:rsidRDefault="00C666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3E579" w14:textId="77777777" w:rsidR="00B6152F" w:rsidRPr="001C1AC5" w:rsidRDefault="00B6152F">
      <w:pPr>
        <w:rPr>
          <w:color w:val="ADD6EA"/>
        </w:rPr>
      </w:pPr>
      <w:r w:rsidRPr="001C1AC5">
        <w:rPr>
          <w:color w:val="ADD6EA"/>
        </w:rPr>
        <w:separator/>
      </w:r>
    </w:p>
    <w:p w14:paraId="16A74274" w14:textId="77777777" w:rsidR="00B6152F" w:rsidRDefault="00B6152F"/>
  </w:footnote>
  <w:footnote w:type="continuationSeparator" w:id="0">
    <w:p w14:paraId="70DADF72" w14:textId="77777777" w:rsidR="00B6152F" w:rsidRDefault="00B6152F">
      <w:r>
        <w:continuationSeparator/>
      </w:r>
    </w:p>
    <w:p w14:paraId="17BB0630" w14:textId="77777777" w:rsidR="00B6152F" w:rsidRDefault="00B6152F"/>
  </w:footnote>
  <w:footnote w:type="continuationNotice" w:id="1">
    <w:p w14:paraId="1522A5B3" w14:textId="77777777" w:rsidR="00B6152F" w:rsidRDefault="00B6152F">
      <w:pPr>
        <w:spacing w:before="0" w:line="240" w:lineRule="auto"/>
      </w:pPr>
    </w:p>
    <w:p w14:paraId="6D3B7EB2" w14:textId="77777777" w:rsidR="00B6152F" w:rsidRDefault="00B6152F"/>
  </w:footnote>
  <w:footnote w:id="2">
    <w:p w14:paraId="5354CDEF" w14:textId="77777777" w:rsidR="00134344" w:rsidRDefault="00134344" w:rsidP="00134344">
      <w:pPr>
        <w:pStyle w:val="FootnoteText"/>
      </w:pPr>
      <w:r>
        <w:rPr>
          <w:rStyle w:val="FootnoteReference"/>
        </w:rPr>
        <w:footnoteRef/>
      </w:r>
      <w:r>
        <w:t xml:space="preserve"> </w:t>
      </w:r>
      <w:r>
        <w:tab/>
      </w:r>
      <w:r w:rsidRPr="00001BC1">
        <w:t xml:space="preserve">The regional cost adjustments </w:t>
      </w:r>
      <w:r>
        <w:t>c</w:t>
      </w:r>
      <w:r w:rsidRPr="00001BC1">
        <w:t xml:space="preserve">ould be based on remoteness adjustments </w:t>
      </w:r>
      <w:r>
        <w:t xml:space="preserve">applied by the </w:t>
      </w:r>
      <w:r w:rsidRPr="00C26C2D">
        <w:t>I</w:t>
      </w:r>
      <w:r>
        <w:t xml:space="preserve">ndependent </w:t>
      </w:r>
      <w:r w:rsidRPr="00C26C2D">
        <w:t>H</w:t>
      </w:r>
      <w:r>
        <w:t xml:space="preserve">ealth and Aged Care </w:t>
      </w:r>
      <w:r w:rsidRPr="00C26C2D">
        <w:t>P</w:t>
      </w:r>
      <w:r>
        <w:t xml:space="preserve">ricing </w:t>
      </w:r>
      <w:r w:rsidRPr="00C26C2D">
        <w:t>A</w:t>
      </w:r>
      <w:r>
        <w:t xml:space="preserve">uthority to </w:t>
      </w:r>
      <w:r w:rsidRPr="00001BC1">
        <w:t>emergency department</w:t>
      </w:r>
      <w:r>
        <w:t xml:space="preserve">s activity data. The </w:t>
      </w:r>
      <w:r w:rsidRPr="00001BC1">
        <w:t>service delivery scale adjustments</w:t>
      </w:r>
      <w:r>
        <w:t xml:space="preserve"> would be the same adjustments applied by the Commission to the current emergency department proxy. </w:t>
      </w:r>
    </w:p>
  </w:footnote>
  <w:footnote w:id="3">
    <w:p w14:paraId="1D93FC39" w14:textId="77777777" w:rsidR="00A60D2F" w:rsidRDefault="00A60D2F" w:rsidP="00A60D2F">
      <w:pPr>
        <w:pStyle w:val="FootnoteText"/>
      </w:pPr>
      <w:r>
        <w:rPr>
          <w:rStyle w:val="FootnoteReference"/>
        </w:rPr>
        <w:footnoteRef/>
      </w:r>
      <w:r>
        <w:t xml:space="preserve"> </w:t>
      </w:r>
      <w:r>
        <w:tab/>
        <w:t xml:space="preserve">See </w:t>
      </w:r>
      <w:hyperlink r:id="rId1" w:history="1">
        <w:r w:rsidRPr="009E56BF">
          <w:rPr>
            <w:rStyle w:val="Hyperlink"/>
          </w:rPr>
          <w:t xml:space="preserve">Data tables: </w:t>
        </w:r>
        <w:r w:rsidRPr="00D81C46">
          <w:rPr>
            <w:rStyle w:val="Hyperlink"/>
          </w:rPr>
          <w:t>Expenditure on mental health-related services 2019-20</w:t>
        </w:r>
        <w:r w:rsidRPr="00A81F9A">
          <w:rPr>
            <w:rStyle w:val="Hyperlink"/>
            <w:color w:val="auto"/>
            <w:u w:val="none"/>
          </w:rPr>
          <w:t>.</w:t>
        </w:r>
      </w:hyperlink>
    </w:p>
  </w:footnote>
  <w:footnote w:id="4">
    <w:p w14:paraId="0A76CCD3" w14:textId="77777777" w:rsidR="00BA704F" w:rsidRDefault="00BA704F" w:rsidP="00BA704F">
      <w:pPr>
        <w:pStyle w:val="FootnoteText"/>
      </w:pPr>
      <w:r>
        <w:rPr>
          <w:rStyle w:val="FootnoteReference"/>
        </w:rPr>
        <w:footnoteRef/>
      </w:r>
      <w:r>
        <w:t xml:space="preserve"> At the time of the 2020 Review, the national weighted activity unit data on non</w:t>
      </w:r>
      <w:r>
        <w:noBreakHyphen/>
        <w:t>admitted patient services were not considered sufficiently reliable. Admitted patient separations data were used as a proxy for activity on non</w:t>
      </w:r>
      <w:r>
        <w:noBreakHyphen/>
        <w:t>admitted patient services. The lack of a direct measure of activity for non</w:t>
      </w:r>
      <w:r>
        <w:noBreakHyphen/>
        <w:t>admitted patient services meant it could not be used as a proxy for community and public health services.</w:t>
      </w:r>
    </w:p>
    <w:p w14:paraId="0A9C67C3" w14:textId="29317F78" w:rsidR="00BA704F" w:rsidRDefault="00BA704F" w:rsidP="00BA704F">
      <w:pPr>
        <w:pStyle w:val="FootnoteText"/>
      </w:pPr>
      <w:r>
        <w:tab/>
        <w:t>Based on advice from the then Independent Hospital Pricing Authority, at the time of the 2020 Review the Commission anticipated that non-admitted patient activity data for the next year (2018</w:t>
      </w:r>
      <w:r w:rsidR="00C97E1A">
        <w:t>–</w:t>
      </w:r>
      <w:r>
        <w:t xml:space="preserve">19) would be sufficiently reliable. However, that data would only be available in January 2020, which did not give sufficient time to assess the quality of the data and to consult with </w:t>
      </w:r>
      <w:r w:rsidR="00D758C7">
        <w:t>s</w:t>
      </w:r>
      <w:r>
        <w:t>tates.</w:t>
      </w:r>
    </w:p>
    <w:p w14:paraId="2D4564A7" w14:textId="3E8F2AC8" w:rsidR="00BA704F" w:rsidRDefault="00BA704F" w:rsidP="00BA704F">
      <w:pPr>
        <w:pStyle w:val="FootnoteText"/>
      </w:pPr>
      <w:r>
        <w:tab/>
        <w:t>In the 2021 Update the Commission consulted with states and decided to move to a direct measure of activity for non</w:t>
      </w:r>
      <w:r>
        <w:noBreakHyphen/>
        <w:t xml:space="preserve">admitted patients, as the data were reasonably comprehensive and robust. </w:t>
      </w:r>
    </w:p>
  </w:footnote>
  <w:footnote w:id="5">
    <w:p w14:paraId="71C79DBE" w14:textId="0372AA53" w:rsidR="00EF625D" w:rsidRDefault="00EF625D" w:rsidP="00EF625D">
      <w:pPr>
        <w:pStyle w:val="FootnoteText"/>
      </w:pPr>
      <w:r>
        <w:rPr>
          <w:rStyle w:val="FootnoteReference"/>
        </w:rPr>
        <w:footnoteRef/>
      </w:r>
      <w:r>
        <w:t xml:space="preserve"> See 2020 Review Report, Volume 2, Part B, p172 </w:t>
      </w:r>
      <w:hyperlink r:id="rId2" w:history="1">
        <w:r>
          <w:rPr>
            <w:rStyle w:val="Hyperlink"/>
          </w:rPr>
          <w:t>(cgc.gov.au)</w:t>
        </w:r>
      </w:hyperlink>
      <w:r w:rsidR="00A35E89" w:rsidRPr="00516C1C">
        <w:t>.</w:t>
      </w:r>
    </w:p>
  </w:footnote>
  <w:footnote w:id="6">
    <w:p w14:paraId="6C373A55" w14:textId="25C3DFE7" w:rsidR="008C1F5E" w:rsidRDefault="008C1F5E" w:rsidP="008C1F5E">
      <w:pPr>
        <w:pStyle w:val="FootnoteText"/>
      </w:pPr>
      <w:r>
        <w:rPr>
          <w:rStyle w:val="FootnoteReference"/>
        </w:rPr>
        <w:footnoteRef/>
      </w:r>
      <w:r>
        <w:t xml:space="preserve"> </w:t>
      </w:r>
      <w:r w:rsidRPr="005109B7">
        <w:t>The updated proportions of bulk billed benefits would be 35% for procedure clinics and 24% for medical consultation clinics, based on data on the proportion of bulk billed benefits, for 2018</w:t>
      </w:r>
      <w:r w:rsidR="00DC2724">
        <w:t>–</w:t>
      </w:r>
      <w:r w:rsidRPr="005109B7">
        <w:t>19 and 2019</w:t>
      </w:r>
      <w:r w:rsidR="00DC2724">
        <w:t>–</w:t>
      </w:r>
      <w:r w:rsidRPr="005109B7">
        <w:t>20 by broad type of service, for specialists and operations.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A93D5" w14:textId="159BBE07" w:rsidR="00A5102B" w:rsidRDefault="00A5102B" w:rsidP="003A0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C03A3A"/>
    <w:multiLevelType w:val="multilevel"/>
    <w:tmpl w:val="A310237C"/>
    <w:numStyleLink w:val="CGCConsultQuestion"/>
  </w:abstractNum>
  <w:abstractNum w:abstractNumId="2" w15:restartNumberingAfterBreak="0">
    <w:nsid w:val="0F2D71BA"/>
    <w:multiLevelType w:val="hybridMultilevel"/>
    <w:tmpl w:val="5D88B44C"/>
    <w:lvl w:ilvl="0" w:tplc="389064B4">
      <w:start w:val="1"/>
      <w:numFmt w:val="decimal"/>
      <w:lvlText w:val="%1"/>
      <w:lvlJc w:val="left"/>
      <w:pPr>
        <w:ind w:left="360" w:hanging="360"/>
      </w:pPr>
      <w:rPr>
        <w:rFonts w:ascii="Open Sans Light" w:hAnsi="Open Sans Light" w:hint="default"/>
        <w:b w:val="0"/>
        <w:i w:val="0"/>
        <w:caps w:val="0"/>
        <w:strike w:val="0"/>
        <w:dstrike w:val="0"/>
        <w:vanish w:val="0"/>
        <w:color w:val="000000" w:themeColor="text1"/>
        <w:sz w:val="20"/>
        <w:vertAlign w:val="baseli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46A6B58"/>
    <w:multiLevelType w:val="hybridMultilevel"/>
    <w:tmpl w:val="BCB29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3D7BB4"/>
    <w:multiLevelType w:val="multilevel"/>
    <w:tmpl w:val="254084B6"/>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E71B9C"/>
    <w:multiLevelType w:val="hybridMultilevel"/>
    <w:tmpl w:val="7110E312"/>
    <w:lvl w:ilvl="0" w:tplc="DB96A0AC">
      <w:start w:val="1"/>
      <w:numFmt w:val="bullet"/>
      <w:pStyle w:val="CGC2025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8" w15:restartNumberingAfterBreak="0">
    <w:nsid w:val="2C8A637F"/>
    <w:multiLevelType w:val="hybridMultilevel"/>
    <w:tmpl w:val="E2F6ADC4"/>
    <w:lvl w:ilvl="0" w:tplc="BF2462A0">
      <w:start w:val="1"/>
      <w:numFmt w:val="decimal"/>
      <w:pStyle w:val="CGC2025Questionsnumbers2"/>
      <w:lvlText w:val="Q%1."/>
      <w:lvlJc w:val="left"/>
      <w:pPr>
        <w:ind w:left="720" w:hanging="360"/>
      </w:pPr>
      <w:rPr>
        <w:rFont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5A2F29"/>
    <w:multiLevelType w:val="hybridMultilevel"/>
    <w:tmpl w:val="AF086F92"/>
    <w:lvl w:ilvl="0" w:tplc="FFFFFFFF">
      <w:start w:val="1"/>
      <w:numFmt w:val="decimal"/>
      <w:pStyle w:val="CGCParaNumber"/>
      <w:lvlText w:val="%1"/>
      <w:lvlJc w:val="left"/>
      <w:pPr>
        <w:ind w:left="720" w:hanging="360"/>
      </w:pPr>
      <w:rPr>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009EC9"/>
    <w:multiLevelType w:val="multilevel"/>
    <w:tmpl w:val="A7202AC4"/>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AA80C0"/>
    <w:multiLevelType w:val="multilevel"/>
    <w:tmpl w:val="D17AE3E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511CFA"/>
    <w:multiLevelType w:val="hybridMultilevel"/>
    <w:tmpl w:val="68BC51BA"/>
    <w:lvl w:ilvl="0" w:tplc="A4FE0E9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1E2A55"/>
    <w:multiLevelType w:val="multilevel"/>
    <w:tmpl w:val="8C78535C"/>
    <w:lvl w:ilvl="0">
      <w:start w:val="1"/>
      <w:numFmt w:val="decimal"/>
      <w:pStyle w:val="CGC2025QuestionNumbers"/>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E974B00"/>
    <w:multiLevelType w:val="multilevel"/>
    <w:tmpl w:val="A310237C"/>
    <w:numStyleLink w:val="CGCConsultQuestion"/>
  </w:abstractNum>
  <w:abstractNum w:abstractNumId="16" w15:restartNumberingAfterBreak="0">
    <w:nsid w:val="500F1895"/>
    <w:multiLevelType w:val="multilevel"/>
    <w:tmpl w:val="A310237C"/>
    <w:numStyleLink w:val="CGCConsultQuestion"/>
  </w:abstractNum>
  <w:abstractNum w:abstractNumId="17" w15:restartNumberingAfterBreak="0">
    <w:nsid w:val="5C8E428E"/>
    <w:multiLevelType w:val="multilevel"/>
    <w:tmpl w:val="618A77C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C6A46"/>
    <w:multiLevelType w:val="multilevel"/>
    <w:tmpl w:val="27206854"/>
    <w:lvl w:ilvl="0">
      <w:start w:val="1"/>
      <w:numFmt w:val="decimal"/>
      <w:pStyle w:val="BodyCopyWorkSans10"/>
      <w:lvlText w:val="Q%1."/>
      <w:lvlJc w:val="left"/>
      <w:pPr>
        <w:ind w:left="5841" w:hanging="454"/>
      </w:pPr>
      <w:rPr>
        <w:rFonts w:ascii="Work Sans" w:hAnsi="Work Sans" w:hint="default"/>
        <w:sz w:val="20"/>
      </w:rPr>
    </w:lvl>
    <w:lvl w:ilvl="1">
      <w:start w:val="1"/>
      <w:numFmt w:val="lowerLetter"/>
      <w:lvlText w:val="%2)"/>
      <w:lvlJc w:val="left"/>
      <w:pPr>
        <w:ind w:left="6107" w:hanging="360"/>
      </w:pPr>
      <w:rPr>
        <w:rFonts w:hint="default"/>
      </w:rPr>
    </w:lvl>
    <w:lvl w:ilvl="2">
      <w:start w:val="1"/>
      <w:numFmt w:val="lowerRoman"/>
      <w:lvlText w:val="%3)"/>
      <w:lvlJc w:val="left"/>
      <w:pPr>
        <w:ind w:left="6467" w:hanging="360"/>
      </w:pPr>
      <w:rPr>
        <w:rFonts w:hint="default"/>
      </w:rPr>
    </w:lvl>
    <w:lvl w:ilvl="3">
      <w:start w:val="1"/>
      <w:numFmt w:val="decimal"/>
      <w:lvlText w:val="(%4)"/>
      <w:lvlJc w:val="left"/>
      <w:pPr>
        <w:ind w:left="6827" w:hanging="360"/>
      </w:pPr>
      <w:rPr>
        <w:rFonts w:hint="default"/>
      </w:rPr>
    </w:lvl>
    <w:lvl w:ilvl="4">
      <w:start w:val="1"/>
      <w:numFmt w:val="lowerLetter"/>
      <w:lvlText w:val="(%5)"/>
      <w:lvlJc w:val="left"/>
      <w:pPr>
        <w:ind w:left="7187" w:hanging="360"/>
      </w:pPr>
      <w:rPr>
        <w:rFonts w:hint="default"/>
      </w:rPr>
    </w:lvl>
    <w:lvl w:ilvl="5">
      <w:start w:val="1"/>
      <w:numFmt w:val="lowerRoman"/>
      <w:lvlText w:val="(%6)"/>
      <w:lvlJc w:val="left"/>
      <w:pPr>
        <w:ind w:left="7547" w:hanging="360"/>
      </w:pPr>
      <w:rPr>
        <w:rFonts w:hint="default"/>
      </w:rPr>
    </w:lvl>
    <w:lvl w:ilvl="6">
      <w:start w:val="1"/>
      <w:numFmt w:val="decimal"/>
      <w:lvlText w:val="%7."/>
      <w:lvlJc w:val="left"/>
      <w:pPr>
        <w:ind w:left="7907" w:hanging="360"/>
      </w:pPr>
      <w:rPr>
        <w:rFonts w:hint="default"/>
      </w:rPr>
    </w:lvl>
    <w:lvl w:ilvl="7">
      <w:start w:val="1"/>
      <w:numFmt w:val="lowerLetter"/>
      <w:lvlText w:val="%8."/>
      <w:lvlJc w:val="left"/>
      <w:pPr>
        <w:ind w:left="8267" w:hanging="360"/>
      </w:pPr>
      <w:rPr>
        <w:rFonts w:hint="default"/>
      </w:rPr>
    </w:lvl>
    <w:lvl w:ilvl="8">
      <w:start w:val="1"/>
      <w:numFmt w:val="lowerRoman"/>
      <w:lvlText w:val="%9."/>
      <w:lvlJc w:val="left"/>
      <w:pPr>
        <w:ind w:left="8627" w:hanging="360"/>
      </w:pPr>
      <w:rPr>
        <w:rFonts w:hint="default"/>
      </w:rPr>
    </w:lvl>
  </w:abstractNum>
  <w:abstractNum w:abstractNumId="19"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20"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21"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E67AC0"/>
    <w:multiLevelType w:val="multilevel"/>
    <w:tmpl w:val="6232708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F02DD68"/>
    <w:multiLevelType w:val="multilevel"/>
    <w:tmpl w:val="C96484D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1842337">
    <w:abstractNumId w:val="17"/>
  </w:num>
  <w:num w:numId="2" w16cid:durableId="282923075">
    <w:abstractNumId w:val="10"/>
  </w:num>
  <w:num w:numId="3" w16cid:durableId="1907180718">
    <w:abstractNumId w:val="23"/>
  </w:num>
  <w:num w:numId="4" w16cid:durableId="361175290">
    <w:abstractNumId w:val="22"/>
  </w:num>
  <w:num w:numId="5" w16cid:durableId="418521640">
    <w:abstractNumId w:val="11"/>
  </w:num>
  <w:num w:numId="6" w16cid:durableId="1649357354">
    <w:abstractNumId w:val="7"/>
  </w:num>
  <w:num w:numId="7" w16cid:durableId="1003897054">
    <w:abstractNumId w:val="21"/>
  </w:num>
  <w:num w:numId="8" w16cid:durableId="1334529044">
    <w:abstractNumId w:val="6"/>
  </w:num>
  <w:num w:numId="9" w16cid:durableId="1514761234">
    <w:abstractNumId w:val="5"/>
  </w:num>
  <w:num w:numId="10" w16cid:durableId="920797300">
    <w:abstractNumId w:val="0"/>
  </w:num>
  <w:num w:numId="11" w16cid:durableId="1807814447">
    <w:abstractNumId w:val="19"/>
  </w:num>
  <w:num w:numId="12" w16cid:durableId="801770153">
    <w:abstractNumId w:val="9"/>
  </w:num>
  <w:num w:numId="13" w16cid:durableId="1737627722">
    <w:abstractNumId w:val="20"/>
  </w:num>
  <w:num w:numId="14" w16cid:durableId="176697617">
    <w:abstractNumId w:val="4"/>
  </w:num>
  <w:num w:numId="15" w16cid:durableId="14589770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9625981">
    <w:abstractNumId w:val="12"/>
  </w:num>
  <w:num w:numId="17" w16cid:durableId="1771046321">
    <w:abstractNumId w:val="0"/>
    <w:lvlOverride w:ilvl="0">
      <w:startOverride w:val="1"/>
    </w:lvlOverride>
  </w:num>
  <w:num w:numId="18" w16cid:durableId="2076128190">
    <w:abstractNumId w:val="2"/>
  </w:num>
  <w:num w:numId="19" w16cid:durableId="146821968">
    <w:abstractNumId w:val="2"/>
    <w:lvlOverride w:ilvl="0">
      <w:startOverride w:val="1"/>
    </w:lvlOverride>
  </w:num>
  <w:num w:numId="20" w16cid:durableId="750010158">
    <w:abstractNumId w:val="4"/>
  </w:num>
  <w:num w:numId="21" w16cid:durableId="1765958258">
    <w:abstractNumId w:val="4"/>
  </w:num>
  <w:num w:numId="22" w16cid:durableId="86155398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8870352">
    <w:abstractNumId w:val="4"/>
  </w:num>
  <w:num w:numId="24" w16cid:durableId="1018392761">
    <w:abstractNumId w:val="4"/>
  </w:num>
  <w:num w:numId="25" w16cid:durableId="1456800917">
    <w:abstractNumId w:val="4"/>
  </w:num>
  <w:num w:numId="26" w16cid:durableId="1829638297">
    <w:abstractNumId w:val="4"/>
  </w:num>
  <w:num w:numId="27" w16cid:durableId="13718646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8457137">
    <w:abstractNumId w:val="4"/>
  </w:num>
  <w:num w:numId="29" w16cid:durableId="401173516">
    <w:abstractNumId w:val="4"/>
  </w:num>
  <w:num w:numId="30" w16cid:durableId="1260065371">
    <w:abstractNumId w:val="4"/>
  </w:num>
  <w:num w:numId="31" w16cid:durableId="2126151283">
    <w:abstractNumId w:val="4"/>
  </w:num>
  <w:num w:numId="32" w16cid:durableId="754130895">
    <w:abstractNumId w:val="4"/>
  </w:num>
  <w:num w:numId="33" w16cid:durableId="181431780">
    <w:abstractNumId w:val="4"/>
  </w:num>
  <w:num w:numId="34" w16cid:durableId="1613199100">
    <w:abstractNumId w:val="4"/>
  </w:num>
  <w:num w:numId="35" w16cid:durableId="222909449">
    <w:abstractNumId w:val="20"/>
  </w:num>
  <w:num w:numId="36" w16cid:durableId="893783368">
    <w:abstractNumId w:val="20"/>
  </w:num>
  <w:num w:numId="37" w16cid:durableId="317272699">
    <w:abstractNumId w:val="4"/>
  </w:num>
  <w:num w:numId="38" w16cid:durableId="1927374591">
    <w:abstractNumId w:val="9"/>
  </w:num>
  <w:num w:numId="39" w16cid:durableId="62026035">
    <w:abstractNumId w:val="4"/>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07537804">
    <w:abstractNumId w:val="4"/>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01261251">
    <w:abstractNumId w:val="4"/>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08111535">
    <w:abstractNumId w:val="13"/>
  </w:num>
  <w:num w:numId="43" w16cid:durableId="2111199834">
    <w:abstractNumId w:val="1"/>
  </w:num>
  <w:num w:numId="44" w16cid:durableId="2056999759">
    <w:abstractNumId w:val="16"/>
  </w:num>
  <w:num w:numId="45" w16cid:durableId="2080126907">
    <w:abstractNumId w:val="14"/>
  </w:num>
  <w:num w:numId="46" w16cid:durableId="820391670">
    <w:abstractNumId w:val="15"/>
  </w:num>
  <w:num w:numId="47" w16cid:durableId="58332428">
    <w:abstractNumId w:val="8"/>
  </w:num>
  <w:num w:numId="48" w16cid:durableId="548763162">
    <w:abstractNumId w:val="18"/>
  </w:num>
  <w:num w:numId="49" w16cid:durableId="44068443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02B"/>
    <w:rsid w:val="00000AB2"/>
    <w:rsid w:val="00000C9F"/>
    <w:rsid w:val="00001078"/>
    <w:rsid w:val="000014F2"/>
    <w:rsid w:val="00001882"/>
    <w:rsid w:val="000019C0"/>
    <w:rsid w:val="00001D6F"/>
    <w:rsid w:val="00001DA2"/>
    <w:rsid w:val="00001E8B"/>
    <w:rsid w:val="00002144"/>
    <w:rsid w:val="00002356"/>
    <w:rsid w:val="000025E6"/>
    <w:rsid w:val="00002626"/>
    <w:rsid w:val="00002923"/>
    <w:rsid w:val="00002ECC"/>
    <w:rsid w:val="00002F86"/>
    <w:rsid w:val="000032B9"/>
    <w:rsid w:val="000036D8"/>
    <w:rsid w:val="000042F1"/>
    <w:rsid w:val="000043F9"/>
    <w:rsid w:val="00004719"/>
    <w:rsid w:val="0000485A"/>
    <w:rsid w:val="00004C67"/>
    <w:rsid w:val="000053F8"/>
    <w:rsid w:val="00005EEE"/>
    <w:rsid w:val="0000618C"/>
    <w:rsid w:val="0000648D"/>
    <w:rsid w:val="00006C9A"/>
    <w:rsid w:val="00006E30"/>
    <w:rsid w:val="00006F3D"/>
    <w:rsid w:val="00007899"/>
    <w:rsid w:val="00007AB8"/>
    <w:rsid w:val="00007FD5"/>
    <w:rsid w:val="000105A1"/>
    <w:rsid w:val="00010711"/>
    <w:rsid w:val="00010B75"/>
    <w:rsid w:val="00010CEC"/>
    <w:rsid w:val="00010F5B"/>
    <w:rsid w:val="00011BB3"/>
    <w:rsid w:val="00011C73"/>
    <w:rsid w:val="00011D1A"/>
    <w:rsid w:val="00011DA8"/>
    <w:rsid w:val="00011F7D"/>
    <w:rsid w:val="000120A6"/>
    <w:rsid w:val="0001218F"/>
    <w:rsid w:val="00012967"/>
    <w:rsid w:val="00012AC0"/>
    <w:rsid w:val="00012B67"/>
    <w:rsid w:val="00012C74"/>
    <w:rsid w:val="00013B63"/>
    <w:rsid w:val="000141E3"/>
    <w:rsid w:val="00014225"/>
    <w:rsid w:val="00014864"/>
    <w:rsid w:val="000148C5"/>
    <w:rsid w:val="0001491F"/>
    <w:rsid w:val="00014CB0"/>
    <w:rsid w:val="000150BF"/>
    <w:rsid w:val="00015283"/>
    <w:rsid w:val="000154B6"/>
    <w:rsid w:val="00015500"/>
    <w:rsid w:val="000156B2"/>
    <w:rsid w:val="00015818"/>
    <w:rsid w:val="00015A97"/>
    <w:rsid w:val="00015C57"/>
    <w:rsid w:val="00015D0B"/>
    <w:rsid w:val="000162E7"/>
    <w:rsid w:val="0001698B"/>
    <w:rsid w:val="00016C62"/>
    <w:rsid w:val="00016FE0"/>
    <w:rsid w:val="00016FE9"/>
    <w:rsid w:val="00017640"/>
    <w:rsid w:val="000176D7"/>
    <w:rsid w:val="0001770B"/>
    <w:rsid w:val="000178EF"/>
    <w:rsid w:val="00017E5B"/>
    <w:rsid w:val="00017EB6"/>
    <w:rsid w:val="0002041C"/>
    <w:rsid w:val="000204C9"/>
    <w:rsid w:val="00020799"/>
    <w:rsid w:val="00020D21"/>
    <w:rsid w:val="00020EA3"/>
    <w:rsid w:val="00021727"/>
    <w:rsid w:val="00021827"/>
    <w:rsid w:val="00021C7A"/>
    <w:rsid w:val="00021E88"/>
    <w:rsid w:val="00022C1B"/>
    <w:rsid w:val="00022CE0"/>
    <w:rsid w:val="00022EA9"/>
    <w:rsid w:val="00023068"/>
    <w:rsid w:val="00023137"/>
    <w:rsid w:val="00023634"/>
    <w:rsid w:val="00023B03"/>
    <w:rsid w:val="00023BDB"/>
    <w:rsid w:val="00024069"/>
    <w:rsid w:val="000246BA"/>
    <w:rsid w:val="000246EB"/>
    <w:rsid w:val="00024745"/>
    <w:rsid w:val="00024A4B"/>
    <w:rsid w:val="00024CD0"/>
    <w:rsid w:val="00024D5F"/>
    <w:rsid w:val="000251CC"/>
    <w:rsid w:val="00025242"/>
    <w:rsid w:val="00025B1F"/>
    <w:rsid w:val="00025CB3"/>
    <w:rsid w:val="00025E94"/>
    <w:rsid w:val="000265A4"/>
    <w:rsid w:val="00026896"/>
    <w:rsid w:val="000268E0"/>
    <w:rsid w:val="00026A1A"/>
    <w:rsid w:val="00026AD6"/>
    <w:rsid w:val="00026E43"/>
    <w:rsid w:val="00026E62"/>
    <w:rsid w:val="00026E7B"/>
    <w:rsid w:val="000273C6"/>
    <w:rsid w:val="000274F7"/>
    <w:rsid w:val="00027557"/>
    <w:rsid w:val="00027ABE"/>
    <w:rsid w:val="00030205"/>
    <w:rsid w:val="00030516"/>
    <w:rsid w:val="00030595"/>
    <w:rsid w:val="00030629"/>
    <w:rsid w:val="00030E66"/>
    <w:rsid w:val="00031648"/>
    <w:rsid w:val="00031AFE"/>
    <w:rsid w:val="00031B76"/>
    <w:rsid w:val="00031CF4"/>
    <w:rsid w:val="00032318"/>
    <w:rsid w:val="00032544"/>
    <w:rsid w:val="000326F5"/>
    <w:rsid w:val="000327F7"/>
    <w:rsid w:val="00032856"/>
    <w:rsid w:val="000328A8"/>
    <w:rsid w:val="00032F41"/>
    <w:rsid w:val="00033347"/>
    <w:rsid w:val="000335BE"/>
    <w:rsid w:val="000338C9"/>
    <w:rsid w:val="00033A71"/>
    <w:rsid w:val="00033C0D"/>
    <w:rsid w:val="0003409C"/>
    <w:rsid w:val="00034622"/>
    <w:rsid w:val="00034916"/>
    <w:rsid w:val="00034DBB"/>
    <w:rsid w:val="00034F08"/>
    <w:rsid w:val="000355D9"/>
    <w:rsid w:val="000363C5"/>
    <w:rsid w:val="000364E9"/>
    <w:rsid w:val="00036C51"/>
    <w:rsid w:val="00036F1C"/>
    <w:rsid w:val="000370C8"/>
    <w:rsid w:val="000372BA"/>
    <w:rsid w:val="00040135"/>
    <w:rsid w:val="00040571"/>
    <w:rsid w:val="00040601"/>
    <w:rsid w:val="00040CCA"/>
    <w:rsid w:val="00040D48"/>
    <w:rsid w:val="000410C8"/>
    <w:rsid w:val="0004123E"/>
    <w:rsid w:val="00041299"/>
    <w:rsid w:val="00041748"/>
    <w:rsid w:val="00041E1B"/>
    <w:rsid w:val="00041E84"/>
    <w:rsid w:val="00042271"/>
    <w:rsid w:val="000424EA"/>
    <w:rsid w:val="0004258C"/>
    <w:rsid w:val="00043B5D"/>
    <w:rsid w:val="00043CFE"/>
    <w:rsid w:val="000442AA"/>
    <w:rsid w:val="00044479"/>
    <w:rsid w:val="0004456B"/>
    <w:rsid w:val="000451DA"/>
    <w:rsid w:val="0004569D"/>
    <w:rsid w:val="00045C11"/>
    <w:rsid w:val="00045F82"/>
    <w:rsid w:val="00046397"/>
    <w:rsid w:val="000465BD"/>
    <w:rsid w:val="00046859"/>
    <w:rsid w:val="00046B06"/>
    <w:rsid w:val="000470A2"/>
    <w:rsid w:val="00047216"/>
    <w:rsid w:val="00047690"/>
    <w:rsid w:val="00047856"/>
    <w:rsid w:val="00047951"/>
    <w:rsid w:val="00047AB0"/>
    <w:rsid w:val="00047DF1"/>
    <w:rsid w:val="00047E5A"/>
    <w:rsid w:val="0005017B"/>
    <w:rsid w:val="000508D3"/>
    <w:rsid w:val="00051114"/>
    <w:rsid w:val="00051B92"/>
    <w:rsid w:val="00051F3C"/>
    <w:rsid w:val="0005213A"/>
    <w:rsid w:val="000525F5"/>
    <w:rsid w:val="00052DA0"/>
    <w:rsid w:val="00052EF2"/>
    <w:rsid w:val="00053480"/>
    <w:rsid w:val="00053512"/>
    <w:rsid w:val="00053581"/>
    <w:rsid w:val="0005377C"/>
    <w:rsid w:val="0005381C"/>
    <w:rsid w:val="00053C36"/>
    <w:rsid w:val="00053F80"/>
    <w:rsid w:val="000540CC"/>
    <w:rsid w:val="0005410D"/>
    <w:rsid w:val="000541B6"/>
    <w:rsid w:val="00054309"/>
    <w:rsid w:val="00054311"/>
    <w:rsid w:val="0005450F"/>
    <w:rsid w:val="0005451C"/>
    <w:rsid w:val="000554BF"/>
    <w:rsid w:val="000555DB"/>
    <w:rsid w:val="00055A2D"/>
    <w:rsid w:val="00056371"/>
    <w:rsid w:val="00056373"/>
    <w:rsid w:val="000569CD"/>
    <w:rsid w:val="00056E89"/>
    <w:rsid w:val="00057762"/>
    <w:rsid w:val="00057AED"/>
    <w:rsid w:val="00057D13"/>
    <w:rsid w:val="000604C7"/>
    <w:rsid w:val="0006050F"/>
    <w:rsid w:val="000607C2"/>
    <w:rsid w:val="00060A59"/>
    <w:rsid w:val="00060CA5"/>
    <w:rsid w:val="0006104A"/>
    <w:rsid w:val="00061111"/>
    <w:rsid w:val="00061233"/>
    <w:rsid w:val="00061535"/>
    <w:rsid w:val="0006177C"/>
    <w:rsid w:val="00061933"/>
    <w:rsid w:val="00061993"/>
    <w:rsid w:val="00061B8C"/>
    <w:rsid w:val="00062330"/>
    <w:rsid w:val="000624BB"/>
    <w:rsid w:val="00062C57"/>
    <w:rsid w:val="00062D47"/>
    <w:rsid w:val="00062EE9"/>
    <w:rsid w:val="000633E8"/>
    <w:rsid w:val="00063437"/>
    <w:rsid w:val="0006366E"/>
    <w:rsid w:val="00063F52"/>
    <w:rsid w:val="000641EB"/>
    <w:rsid w:val="00064557"/>
    <w:rsid w:val="000648E8"/>
    <w:rsid w:val="00064CE5"/>
    <w:rsid w:val="00064FAA"/>
    <w:rsid w:val="0006519E"/>
    <w:rsid w:val="000651D2"/>
    <w:rsid w:val="000653F5"/>
    <w:rsid w:val="000656EC"/>
    <w:rsid w:val="000657A7"/>
    <w:rsid w:val="00065BF3"/>
    <w:rsid w:val="000665AB"/>
    <w:rsid w:val="00066C63"/>
    <w:rsid w:val="00066D82"/>
    <w:rsid w:val="00066E63"/>
    <w:rsid w:val="00066F8C"/>
    <w:rsid w:val="00066FC9"/>
    <w:rsid w:val="000679BC"/>
    <w:rsid w:val="000702C3"/>
    <w:rsid w:val="00070B45"/>
    <w:rsid w:val="00070D3C"/>
    <w:rsid w:val="00070EA5"/>
    <w:rsid w:val="0007102B"/>
    <w:rsid w:val="0007176E"/>
    <w:rsid w:val="0007185D"/>
    <w:rsid w:val="00071EF7"/>
    <w:rsid w:val="00071F1E"/>
    <w:rsid w:val="00072373"/>
    <w:rsid w:val="00072CBE"/>
    <w:rsid w:val="0007310A"/>
    <w:rsid w:val="000731C5"/>
    <w:rsid w:val="0007335C"/>
    <w:rsid w:val="000733D6"/>
    <w:rsid w:val="0007360C"/>
    <w:rsid w:val="000738EB"/>
    <w:rsid w:val="00073944"/>
    <w:rsid w:val="00073BF5"/>
    <w:rsid w:val="00073D9D"/>
    <w:rsid w:val="00073E21"/>
    <w:rsid w:val="00073E85"/>
    <w:rsid w:val="00073E92"/>
    <w:rsid w:val="0007476E"/>
    <w:rsid w:val="00075051"/>
    <w:rsid w:val="00075593"/>
    <w:rsid w:val="0007582F"/>
    <w:rsid w:val="00076434"/>
    <w:rsid w:val="00076DA5"/>
    <w:rsid w:val="000772B1"/>
    <w:rsid w:val="00077354"/>
    <w:rsid w:val="000773FA"/>
    <w:rsid w:val="000779DC"/>
    <w:rsid w:val="00077AAF"/>
    <w:rsid w:val="00077ADE"/>
    <w:rsid w:val="00080439"/>
    <w:rsid w:val="00080895"/>
    <w:rsid w:val="000812ED"/>
    <w:rsid w:val="00081636"/>
    <w:rsid w:val="00081696"/>
    <w:rsid w:val="000816E0"/>
    <w:rsid w:val="00081905"/>
    <w:rsid w:val="000819A8"/>
    <w:rsid w:val="00081E45"/>
    <w:rsid w:val="00081F57"/>
    <w:rsid w:val="00081FAD"/>
    <w:rsid w:val="0008208B"/>
    <w:rsid w:val="00082090"/>
    <w:rsid w:val="000826D0"/>
    <w:rsid w:val="000827AD"/>
    <w:rsid w:val="00082971"/>
    <w:rsid w:val="00082DEF"/>
    <w:rsid w:val="00083022"/>
    <w:rsid w:val="00083837"/>
    <w:rsid w:val="00083842"/>
    <w:rsid w:val="00083B06"/>
    <w:rsid w:val="000840C3"/>
    <w:rsid w:val="00084494"/>
    <w:rsid w:val="0008456B"/>
    <w:rsid w:val="000845B9"/>
    <w:rsid w:val="000847BF"/>
    <w:rsid w:val="00084EE0"/>
    <w:rsid w:val="000855F4"/>
    <w:rsid w:val="00085729"/>
    <w:rsid w:val="00085D0E"/>
    <w:rsid w:val="00085EA1"/>
    <w:rsid w:val="00086045"/>
    <w:rsid w:val="000861D9"/>
    <w:rsid w:val="0008677E"/>
    <w:rsid w:val="000867DC"/>
    <w:rsid w:val="000869E1"/>
    <w:rsid w:val="000869F6"/>
    <w:rsid w:val="00086A5C"/>
    <w:rsid w:val="00086B04"/>
    <w:rsid w:val="00086C42"/>
    <w:rsid w:val="00086E69"/>
    <w:rsid w:val="00086EBC"/>
    <w:rsid w:val="0008779D"/>
    <w:rsid w:val="00087F7D"/>
    <w:rsid w:val="00087FC4"/>
    <w:rsid w:val="00090362"/>
    <w:rsid w:val="00090DBA"/>
    <w:rsid w:val="000910DA"/>
    <w:rsid w:val="00091AD2"/>
    <w:rsid w:val="00091C4F"/>
    <w:rsid w:val="00091D6E"/>
    <w:rsid w:val="000928AF"/>
    <w:rsid w:val="00093188"/>
    <w:rsid w:val="00093603"/>
    <w:rsid w:val="00093796"/>
    <w:rsid w:val="00093910"/>
    <w:rsid w:val="000939CA"/>
    <w:rsid w:val="00094010"/>
    <w:rsid w:val="000943A8"/>
    <w:rsid w:val="000944B7"/>
    <w:rsid w:val="00094531"/>
    <w:rsid w:val="00094676"/>
    <w:rsid w:val="000950A8"/>
    <w:rsid w:val="0009567D"/>
    <w:rsid w:val="0009569E"/>
    <w:rsid w:val="00095E57"/>
    <w:rsid w:val="0009650F"/>
    <w:rsid w:val="00096616"/>
    <w:rsid w:val="00096896"/>
    <w:rsid w:val="00096A17"/>
    <w:rsid w:val="00096C06"/>
    <w:rsid w:val="00096C31"/>
    <w:rsid w:val="00096E12"/>
    <w:rsid w:val="00096E4E"/>
    <w:rsid w:val="000970BA"/>
    <w:rsid w:val="00097192"/>
    <w:rsid w:val="00097245"/>
    <w:rsid w:val="00097626"/>
    <w:rsid w:val="00097790"/>
    <w:rsid w:val="00097CF0"/>
    <w:rsid w:val="00097D78"/>
    <w:rsid w:val="00097F09"/>
    <w:rsid w:val="000A00A2"/>
    <w:rsid w:val="000A011D"/>
    <w:rsid w:val="000A07C9"/>
    <w:rsid w:val="000A09ED"/>
    <w:rsid w:val="000A0C33"/>
    <w:rsid w:val="000A0D9F"/>
    <w:rsid w:val="000A14F8"/>
    <w:rsid w:val="000A17C5"/>
    <w:rsid w:val="000A17F1"/>
    <w:rsid w:val="000A1B09"/>
    <w:rsid w:val="000A1DED"/>
    <w:rsid w:val="000A2395"/>
    <w:rsid w:val="000A2E24"/>
    <w:rsid w:val="000A3130"/>
    <w:rsid w:val="000A336C"/>
    <w:rsid w:val="000A346F"/>
    <w:rsid w:val="000A3898"/>
    <w:rsid w:val="000A3C2F"/>
    <w:rsid w:val="000A487A"/>
    <w:rsid w:val="000A52A1"/>
    <w:rsid w:val="000A5824"/>
    <w:rsid w:val="000A5DB9"/>
    <w:rsid w:val="000A633D"/>
    <w:rsid w:val="000A6389"/>
    <w:rsid w:val="000A6392"/>
    <w:rsid w:val="000A646A"/>
    <w:rsid w:val="000A6922"/>
    <w:rsid w:val="000A74C3"/>
    <w:rsid w:val="000A756F"/>
    <w:rsid w:val="000A7AA9"/>
    <w:rsid w:val="000A7C5E"/>
    <w:rsid w:val="000A7E55"/>
    <w:rsid w:val="000A7E96"/>
    <w:rsid w:val="000B08F0"/>
    <w:rsid w:val="000B0A33"/>
    <w:rsid w:val="000B0D24"/>
    <w:rsid w:val="000B0DE2"/>
    <w:rsid w:val="000B16CB"/>
    <w:rsid w:val="000B1905"/>
    <w:rsid w:val="000B2042"/>
    <w:rsid w:val="000B2490"/>
    <w:rsid w:val="000B286B"/>
    <w:rsid w:val="000B2942"/>
    <w:rsid w:val="000B2944"/>
    <w:rsid w:val="000B2AF2"/>
    <w:rsid w:val="000B2CFB"/>
    <w:rsid w:val="000B2DCD"/>
    <w:rsid w:val="000B2E2A"/>
    <w:rsid w:val="000B2F0F"/>
    <w:rsid w:val="000B3097"/>
    <w:rsid w:val="000B3557"/>
    <w:rsid w:val="000B3623"/>
    <w:rsid w:val="000B3BB2"/>
    <w:rsid w:val="000B3DC4"/>
    <w:rsid w:val="000B3F0A"/>
    <w:rsid w:val="000B3F3E"/>
    <w:rsid w:val="000B4179"/>
    <w:rsid w:val="000B442C"/>
    <w:rsid w:val="000B4935"/>
    <w:rsid w:val="000B5042"/>
    <w:rsid w:val="000B5227"/>
    <w:rsid w:val="000B53C0"/>
    <w:rsid w:val="000B53FD"/>
    <w:rsid w:val="000B56FE"/>
    <w:rsid w:val="000B5744"/>
    <w:rsid w:val="000B5B36"/>
    <w:rsid w:val="000B5C2F"/>
    <w:rsid w:val="000B61DE"/>
    <w:rsid w:val="000B638D"/>
    <w:rsid w:val="000B64E3"/>
    <w:rsid w:val="000B689B"/>
    <w:rsid w:val="000B73C6"/>
    <w:rsid w:val="000B7685"/>
    <w:rsid w:val="000B7CB8"/>
    <w:rsid w:val="000B7DC3"/>
    <w:rsid w:val="000B7F93"/>
    <w:rsid w:val="000C06A4"/>
    <w:rsid w:val="000C0BBD"/>
    <w:rsid w:val="000C0F3A"/>
    <w:rsid w:val="000C0FAC"/>
    <w:rsid w:val="000C1231"/>
    <w:rsid w:val="000C1575"/>
    <w:rsid w:val="000C1F18"/>
    <w:rsid w:val="000C2987"/>
    <w:rsid w:val="000C2EA9"/>
    <w:rsid w:val="000C32BB"/>
    <w:rsid w:val="000C354C"/>
    <w:rsid w:val="000C3927"/>
    <w:rsid w:val="000C3B22"/>
    <w:rsid w:val="000C4063"/>
    <w:rsid w:val="000C4BB7"/>
    <w:rsid w:val="000C4DFC"/>
    <w:rsid w:val="000C50B3"/>
    <w:rsid w:val="000C53E9"/>
    <w:rsid w:val="000C5486"/>
    <w:rsid w:val="000C604F"/>
    <w:rsid w:val="000C68D6"/>
    <w:rsid w:val="000C6936"/>
    <w:rsid w:val="000C6E9F"/>
    <w:rsid w:val="000C76F8"/>
    <w:rsid w:val="000C776D"/>
    <w:rsid w:val="000C782D"/>
    <w:rsid w:val="000C7AE7"/>
    <w:rsid w:val="000C7F62"/>
    <w:rsid w:val="000D01AA"/>
    <w:rsid w:val="000D0A89"/>
    <w:rsid w:val="000D0ACF"/>
    <w:rsid w:val="000D0B77"/>
    <w:rsid w:val="000D0BB6"/>
    <w:rsid w:val="000D0C8D"/>
    <w:rsid w:val="000D1354"/>
    <w:rsid w:val="000D149C"/>
    <w:rsid w:val="000D1DEA"/>
    <w:rsid w:val="000D1EA8"/>
    <w:rsid w:val="000D2088"/>
    <w:rsid w:val="000D224A"/>
    <w:rsid w:val="000D2311"/>
    <w:rsid w:val="000D27F5"/>
    <w:rsid w:val="000D2879"/>
    <w:rsid w:val="000D2A5E"/>
    <w:rsid w:val="000D2D5C"/>
    <w:rsid w:val="000D3378"/>
    <w:rsid w:val="000D3531"/>
    <w:rsid w:val="000D355C"/>
    <w:rsid w:val="000D366D"/>
    <w:rsid w:val="000D375A"/>
    <w:rsid w:val="000D37C2"/>
    <w:rsid w:val="000D3BC1"/>
    <w:rsid w:val="000D3CC1"/>
    <w:rsid w:val="000D4063"/>
    <w:rsid w:val="000D4101"/>
    <w:rsid w:val="000D41CA"/>
    <w:rsid w:val="000D4342"/>
    <w:rsid w:val="000D43B8"/>
    <w:rsid w:val="000D4457"/>
    <w:rsid w:val="000D48FF"/>
    <w:rsid w:val="000D533D"/>
    <w:rsid w:val="000D535B"/>
    <w:rsid w:val="000D5667"/>
    <w:rsid w:val="000D571F"/>
    <w:rsid w:val="000D57A8"/>
    <w:rsid w:val="000D5C58"/>
    <w:rsid w:val="000D65F5"/>
    <w:rsid w:val="000D6C93"/>
    <w:rsid w:val="000D6DB3"/>
    <w:rsid w:val="000D70AE"/>
    <w:rsid w:val="000D70D7"/>
    <w:rsid w:val="000D763B"/>
    <w:rsid w:val="000D772C"/>
    <w:rsid w:val="000D7C54"/>
    <w:rsid w:val="000D7E36"/>
    <w:rsid w:val="000E0210"/>
    <w:rsid w:val="000E1007"/>
    <w:rsid w:val="000E1757"/>
    <w:rsid w:val="000E1767"/>
    <w:rsid w:val="000E17A7"/>
    <w:rsid w:val="000E1940"/>
    <w:rsid w:val="000E1979"/>
    <w:rsid w:val="000E1A53"/>
    <w:rsid w:val="000E1B78"/>
    <w:rsid w:val="000E20EE"/>
    <w:rsid w:val="000E26C1"/>
    <w:rsid w:val="000E3109"/>
    <w:rsid w:val="000E311B"/>
    <w:rsid w:val="000E3592"/>
    <w:rsid w:val="000E35A0"/>
    <w:rsid w:val="000E3868"/>
    <w:rsid w:val="000E38BA"/>
    <w:rsid w:val="000E3BE1"/>
    <w:rsid w:val="000E3D68"/>
    <w:rsid w:val="000E3E15"/>
    <w:rsid w:val="000E41D5"/>
    <w:rsid w:val="000E423E"/>
    <w:rsid w:val="000E47B0"/>
    <w:rsid w:val="000E4B37"/>
    <w:rsid w:val="000E4EBC"/>
    <w:rsid w:val="000E4FF4"/>
    <w:rsid w:val="000E5031"/>
    <w:rsid w:val="000E5404"/>
    <w:rsid w:val="000E5C21"/>
    <w:rsid w:val="000E6391"/>
    <w:rsid w:val="000E63B0"/>
    <w:rsid w:val="000E6774"/>
    <w:rsid w:val="000E6AA5"/>
    <w:rsid w:val="000E7041"/>
    <w:rsid w:val="000E798E"/>
    <w:rsid w:val="000E7BAB"/>
    <w:rsid w:val="000E7F56"/>
    <w:rsid w:val="000F0293"/>
    <w:rsid w:val="000F03DA"/>
    <w:rsid w:val="000F0674"/>
    <w:rsid w:val="000F0879"/>
    <w:rsid w:val="000F0AC1"/>
    <w:rsid w:val="000F0B55"/>
    <w:rsid w:val="000F1981"/>
    <w:rsid w:val="000F19C5"/>
    <w:rsid w:val="000F1CDA"/>
    <w:rsid w:val="000F1EE5"/>
    <w:rsid w:val="000F232B"/>
    <w:rsid w:val="000F28B5"/>
    <w:rsid w:val="000F29FF"/>
    <w:rsid w:val="000F2B0F"/>
    <w:rsid w:val="000F2F0E"/>
    <w:rsid w:val="000F2F8D"/>
    <w:rsid w:val="000F3314"/>
    <w:rsid w:val="000F3632"/>
    <w:rsid w:val="000F38A4"/>
    <w:rsid w:val="000F3CBF"/>
    <w:rsid w:val="000F3FBF"/>
    <w:rsid w:val="000F414B"/>
    <w:rsid w:val="000F44AD"/>
    <w:rsid w:val="000F58BC"/>
    <w:rsid w:val="000F594C"/>
    <w:rsid w:val="000F5E36"/>
    <w:rsid w:val="000F5F7F"/>
    <w:rsid w:val="000F649F"/>
    <w:rsid w:val="000F6700"/>
    <w:rsid w:val="000F7631"/>
    <w:rsid w:val="000F7694"/>
    <w:rsid w:val="000F7787"/>
    <w:rsid w:val="000F7C51"/>
    <w:rsid w:val="000F7F5B"/>
    <w:rsid w:val="0010018B"/>
    <w:rsid w:val="001002D2"/>
    <w:rsid w:val="00100409"/>
    <w:rsid w:val="00100583"/>
    <w:rsid w:val="0010076D"/>
    <w:rsid w:val="00100E6F"/>
    <w:rsid w:val="001013EE"/>
    <w:rsid w:val="0010173F"/>
    <w:rsid w:val="001017E3"/>
    <w:rsid w:val="00101C90"/>
    <w:rsid w:val="00101F87"/>
    <w:rsid w:val="00102135"/>
    <w:rsid w:val="001021D7"/>
    <w:rsid w:val="00102AFD"/>
    <w:rsid w:val="00102B29"/>
    <w:rsid w:val="00102BE0"/>
    <w:rsid w:val="00102F76"/>
    <w:rsid w:val="00102FEB"/>
    <w:rsid w:val="00103339"/>
    <w:rsid w:val="001033A9"/>
    <w:rsid w:val="001034E3"/>
    <w:rsid w:val="001039C2"/>
    <w:rsid w:val="00103B00"/>
    <w:rsid w:val="00103C7F"/>
    <w:rsid w:val="00103CBC"/>
    <w:rsid w:val="00103DFF"/>
    <w:rsid w:val="00103F1C"/>
    <w:rsid w:val="001040AD"/>
    <w:rsid w:val="0010422B"/>
    <w:rsid w:val="00104960"/>
    <w:rsid w:val="00104EDD"/>
    <w:rsid w:val="001053D9"/>
    <w:rsid w:val="0010567A"/>
    <w:rsid w:val="00105A17"/>
    <w:rsid w:val="00105C56"/>
    <w:rsid w:val="001060B0"/>
    <w:rsid w:val="001064A4"/>
    <w:rsid w:val="00106826"/>
    <w:rsid w:val="00106CB2"/>
    <w:rsid w:val="00106CEE"/>
    <w:rsid w:val="0010739F"/>
    <w:rsid w:val="00107B24"/>
    <w:rsid w:val="00107B43"/>
    <w:rsid w:val="00107E52"/>
    <w:rsid w:val="001103B6"/>
    <w:rsid w:val="00110417"/>
    <w:rsid w:val="001107F1"/>
    <w:rsid w:val="00110824"/>
    <w:rsid w:val="00110996"/>
    <w:rsid w:val="00110DC5"/>
    <w:rsid w:val="0011178C"/>
    <w:rsid w:val="00111ABA"/>
    <w:rsid w:val="00111AE7"/>
    <w:rsid w:val="00111EC2"/>
    <w:rsid w:val="001120B0"/>
    <w:rsid w:val="001121D0"/>
    <w:rsid w:val="0011243C"/>
    <w:rsid w:val="001125AB"/>
    <w:rsid w:val="001125E7"/>
    <w:rsid w:val="00112988"/>
    <w:rsid w:val="00112A57"/>
    <w:rsid w:val="00112CF0"/>
    <w:rsid w:val="00112E1E"/>
    <w:rsid w:val="001136C6"/>
    <w:rsid w:val="0011408D"/>
    <w:rsid w:val="0011428D"/>
    <w:rsid w:val="00114AC8"/>
    <w:rsid w:val="00114D9B"/>
    <w:rsid w:val="00114DA1"/>
    <w:rsid w:val="00114EA0"/>
    <w:rsid w:val="00114F65"/>
    <w:rsid w:val="00115235"/>
    <w:rsid w:val="001154AD"/>
    <w:rsid w:val="00115672"/>
    <w:rsid w:val="001157AB"/>
    <w:rsid w:val="0011585E"/>
    <w:rsid w:val="00115ADE"/>
    <w:rsid w:val="00115C9E"/>
    <w:rsid w:val="00116062"/>
    <w:rsid w:val="00116702"/>
    <w:rsid w:val="0011699D"/>
    <w:rsid w:val="00116D3E"/>
    <w:rsid w:val="00116EE4"/>
    <w:rsid w:val="0011729F"/>
    <w:rsid w:val="001172BD"/>
    <w:rsid w:val="001178E4"/>
    <w:rsid w:val="00117AA2"/>
    <w:rsid w:val="00117CFD"/>
    <w:rsid w:val="0012020C"/>
    <w:rsid w:val="00120B1E"/>
    <w:rsid w:val="001211AB"/>
    <w:rsid w:val="001214BE"/>
    <w:rsid w:val="001218B8"/>
    <w:rsid w:val="00121A72"/>
    <w:rsid w:val="00121F79"/>
    <w:rsid w:val="001220B7"/>
    <w:rsid w:val="00122457"/>
    <w:rsid w:val="0012251F"/>
    <w:rsid w:val="00122774"/>
    <w:rsid w:val="00123325"/>
    <w:rsid w:val="00123BC6"/>
    <w:rsid w:val="00123DA3"/>
    <w:rsid w:val="00124730"/>
    <w:rsid w:val="00124826"/>
    <w:rsid w:val="00124B73"/>
    <w:rsid w:val="00124ED1"/>
    <w:rsid w:val="0012542D"/>
    <w:rsid w:val="0012561A"/>
    <w:rsid w:val="00125806"/>
    <w:rsid w:val="001258EF"/>
    <w:rsid w:val="00125B33"/>
    <w:rsid w:val="001260B6"/>
    <w:rsid w:val="001260E3"/>
    <w:rsid w:val="00126201"/>
    <w:rsid w:val="001266EE"/>
    <w:rsid w:val="00126AD1"/>
    <w:rsid w:val="00126FB4"/>
    <w:rsid w:val="001272E6"/>
    <w:rsid w:val="00127687"/>
    <w:rsid w:val="001277C7"/>
    <w:rsid w:val="00127C8B"/>
    <w:rsid w:val="00127E95"/>
    <w:rsid w:val="00130303"/>
    <w:rsid w:val="001307A8"/>
    <w:rsid w:val="00130DCA"/>
    <w:rsid w:val="001312CB"/>
    <w:rsid w:val="00131BAD"/>
    <w:rsid w:val="00131D5F"/>
    <w:rsid w:val="001322D2"/>
    <w:rsid w:val="00132503"/>
    <w:rsid w:val="00132E0B"/>
    <w:rsid w:val="001333F9"/>
    <w:rsid w:val="00133C81"/>
    <w:rsid w:val="00133F08"/>
    <w:rsid w:val="00134146"/>
    <w:rsid w:val="00134222"/>
    <w:rsid w:val="00134344"/>
    <w:rsid w:val="001346A2"/>
    <w:rsid w:val="0013474C"/>
    <w:rsid w:val="001347D3"/>
    <w:rsid w:val="00134847"/>
    <w:rsid w:val="0013497E"/>
    <w:rsid w:val="00134FA3"/>
    <w:rsid w:val="00135080"/>
    <w:rsid w:val="001351C6"/>
    <w:rsid w:val="001356C7"/>
    <w:rsid w:val="0013601E"/>
    <w:rsid w:val="0013623B"/>
    <w:rsid w:val="00136497"/>
    <w:rsid w:val="001369BF"/>
    <w:rsid w:val="00136F29"/>
    <w:rsid w:val="00136F6F"/>
    <w:rsid w:val="00137D90"/>
    <w:rsid w:val="00140D09"/>
    <w:rsid w:val="00140DA5"/>
    <w:rsid w:val="001414E0"/>
    <w:rsid w:val="00141BD1"/>
    <w:rsid w:val="001423B0"/>
    <w:rsid w:val="00142B21"/>
    <w:rsid w:val="00142B86"/>
    <w:rsid w:val="00143228"/>
    <w:rsid w:val="001438E0"/>
    <w:rsid w:val="00143B25"/>
    <w:rsid w:val="00143D52"/>
    <w:rsid w:val="00143F85"/>
    <w:rsid w:val="001441DA"/>
    <w:rsid w:val="00144A22"/>
    <w:rsid w:val="00144C8A"/>
    <w:rsid w:val="001455CC"/>
    <w:rsid w:val="00145604"/>
    <w:rsid w:val="0014616B"/>
    <w:rsid w:val="00147115"/>
    <w:rsid w:val="001471DD"/>
    <w:rsid w:val="0014740D"/>
    <w:rsid w:val="00147461"/>
    <w:rsid w:val="001477CE"/>
    <w:rsid w:val="0014784F"/>
    <w:rsid w:val="001478AD"/>
    <w:rsid w:val="00147BCC"/>
    <w:rsid w:val="00147F4D"/>
    <w:rsid w:val="0015040C"/>
    <w:rsid w:val="00150B89"/>
    <w:rsid w:val="00150C35"/>
    <w:rsid w:val="00150ECB"/>
    <w:rsid w:val="00151316"/>
    <w:rsid w:val="0015167D"/>
    <w:rsid w:val="001517E0"/>
    <w:rsid w:val="001519C7"/>
    <w:rsid w:val="00151DFB"/>
    <w:rsid w:val="00152123"/>
    <w:rsid w:val="0015233A"/>
    <w:rsid w:val="00152611"/>
    <w:rsid w:val="00152807"/>
    <w:rsid w:val="00152BE0"/>
    <w:rsid w:val="00152C3D"/>
    <w:rsid w:val="00152ED6"/>
    <w:rsid w:val="00152FED"/>
    <w:rsid w:val="0015360F"/>
    <w:rsid w:val="00153AA7"/>
    <w:rsid w:val="00153CA7"/>
    <w:rsid w:val="00153D48"/>
    <w:rsid w:val="00154A35"/>
    <w:rsid w:val="00154A9A"/>
    <w:rsid w:val="001550A3"/>
    <w:rsid w:val="0015510B"/>
    <w:rsid w:val="00155469"/>
    <w:rsid w:val="00155746"/>
    <w:rsid w:val="00155EAF"/>
    <w:rsid w:val="00156419"/>
    <w:rsid w:val="0015686A"/>
    <w:rsid w:val="00156C80"/>
    <w:rsid w:val="0015742B"/>
    <w:rsid w:val="00157450"/>
    <w:rsid w:val="001574A7"/>
    <w:rsid w:val="0015776C"/>
    <w:rsid w:val="001579DC"/>
    <w:rsid w:val="00157AD5"/>
    <w:rsid w:val="00157BA5"/>
    <w:rsid w:val="00157CEB"/>
    <w:rsid w:val="00157F02"/>
    <w:rsid w:val="00160015"/>
    <w:rsid w:val="00160346"/>
    <w:rsid w:val="001604D5"/>
    <w:rsid w:val="001605EB"/>
    <w:rsid w:val="00160877"/>
    <w:rsid w:val="00160EA4"/>
    <w:rsid w:val="0016108C"/>
    <w:rsid w:val="001610AC"/>
    <w:rsid w:val="00161391"/>
    <w:rsid w:val="00161616"/>
    <w:rsid w:val="00161DCE"/>
    <w:rsid w:val="001620CB"/>
    <w:rsid w:val="001625EC"/>
    <w:rsid w:val="00162780"/>
    <w:rsid w:val="00162999"/>
    <w:rsid w:val="00163983"/>
    <w:rsid w:val="00163C45"/>
    <w:rsid w:val="00163E35"/>
    <w:rsid w:val="00164202"/>
    <w:rsid w:val="00164B4B"/>
    <w:rsid w:val="00164ECE"/>
    <w:rsid w:val="001652C2"/>
    <w:rsid w:val="0016534B"/>
    <w:rsid w:val="001654B0"/>
    <w:rsid w:val="001657CF"/>
    <w:rsid w:val="00165907"/>
    <w:rsid w:val="00165FF0"/>
    <w:rsid w:val="00166098"/>
    <w:rsid w:val="001660AA"/>
    <w:rsid w:val="0016688E"/>
    <w:rsid w:val="0016689D"/>
    <w:rsid w:val="00166BE5"/>
    <w:rsid w:val="00166CAC"/>
    <w:rsid w:val="00166E24"/>
    <w:rsid w:val="00166F83"/>
    <w:rsid w:val="00167169"/>
    <w:rsid w:val="0016723A"/>
    <w:rsid w:val="001672D1"/>
    <w:rsid w:val="00167335"/>
    <w:rsid w:val="001674FA"/>
    <w:rsid w:val="00167AA3"/>
    <w:rsid w:val="00170100"/>
    <w:rsid w:val="0017034B"/>
    <w:rsid w:val="001704CF"/>
    <w:rsid w:val="00170DC9"/>
    <w:rsid w:val="00171335"/>
    <w:rsid w:val="0017181D"/>
    <w:rsid w:val="00171A05"/>
    <w:rsid w:val="00171D48"/>
    <w:rsid w:val="001725BB"/>
    <w:rsid w:val="00172E17"/>
    <w:rsid w:val="00172E28"/>
    <w:rsid w:val="00172EC4"/>
    <w:rsid w:val="00172F3A"/>
    <w:rsid w:val="001730A3"/>
    <w:rsid w:val="001730FD"/>
    <w:rsid w:val="0017311D"/>
    <w:rsid w:val="00173557"/>
    <w:rsid w:val="001735B1"/>
    <w:rsid w:val="00173798"/>
    <w:rsid w:val="00173BE6"/>
    <w:rsid w:val="00173DA5"/>
    <w:rsid w:val="00173E72"/>
    <w:rsid w:val="00173E9E"/>
    <w:rsid w:val="00174762"/>
    <w:rsid w:val="00175209"/>
    <w:rsid w:val="0017572D"/>
    <w:rsid w:val="00175AA2"/>
    <w:rsid w:val="00175ACB"/>
    <w:rsid w:val="001760FF"/>
    <w:rsid w:val="0017645D"/>
    <w:rsid w:val="00176738"/>
    <w:rsid w:val="00176E42"/>
    <w:rsid w:val="00176E9A"/>
    <w:rsid w:val="001775AD"/>
    <w:rsid w:val="0017771D"/>
    <w:rsid w:val="001777D5"/>
    <w:rsid w:val="001777E9"/>
    <w:rsid w:val="001778D0"/>
    <w:rsid w:val="00177B6B"/>
    <w:rsid w:val="00177D12"/>
    <w:rsid w:val="001807C0"/>
    <w:rsid w:val="00180935"/>
    <w:rsid w:val="00180A23"/>
    <w:rsid w:val="00180ABF"/>
    <w:rsid w:val="00180B76"/>
    <w:rsid w:val="00180BE8"/>
    <w:rsid w:val="001811DE"/>
    <w:rsid w:val="001818CC"/>
    <w:rsid w:val="00181B43"/>
    <w:rsid w:val="00182487"/>
    <w:rsid w:val="001826CB"/>
    <w:rsid w:val="001827AC"/>
    <w:rsid w:val="00182899"/>
    <w:rsid w:val="001831E8"/>
    <w:rsid w:val="001832B0"/>
    <w:rsid w:val="0018349C"/>
    <w:rsid w:val="00183562"/>
    <w:rsid w:val="00183649"/>
    <w:rsid w:val="00183970"/>
    <w:rsid w:val="00183C19"/>
    <w:rsid w:val="001843C4"/>
    <w:rsid w:val="00184519"/>
    <w:rsid w:val="001845F7"/>
    <w:rsid w:val="00184A83"/>
    <w:rsid w:val="00185037"/>
    <w:rsid w:val="0018537D"/>
    <w:rsid w:val="001853A5"/>
    <w:rsid w:val="00185A8A"/>
    <w:rsid w:val="001862DA"/>
    <w:rsid w:val="001866D1"/>
    <w:rsid w:val="001868A3"/>
    <w:rsid w:val="00186A8A"/>
    <w:rsid w:val="00186EB8"/>
    <w:rsid w:val="00187145"/>
    <w:rsid w:val="001874F4"/>
    <w:rsid w:val="00187613"/>
    <w:rsid w:val="00187DA4"/>
    <w:rsid w:val="001904D5"/>
    <w:rsid w:val="00190D0C"/>
    <w:rsid w:val="0019104D"/>
    <w:rsid w:val="00191778"/>
    <w:rsid w:val="00191A77"/>
    <w:rsid w:val="00191DB3"/>
    <w:rsid w:val="00191F60"/>
    <w:rsid w:val="00191FD5"/>
    <w:rsid w:val="001923ED"/>
    <w:rsid w:val="00192B90"/>
    <w:rsid w:val="00192BFE"/>
    <w:rsid w:val="00192CCE"/>
    <w:rsid w:val="00192D0D"/>
    <w:rsid w:val="00193260"/>
    <w:rsid w:val="0019374B"/>
    <w:rsid w:val="00193A90"/>
    <w:rsid w:val="00193B10"/>
    <w:rsid w:val="00193EE3"/>
    <w:rsid w:val="00194098"/>
    <w:rsid w:val="00194995"/>
    <w:rsid w:val="00194FCC"/>
    <w:rsid w:val="00195476"/>
    <w:rsid w:val="00195CD2"/>
    <w:rsid w:val="00196167"/>
    <w:rsid w:val="0019620C"/>
    <w:rsid w:val="00196526"/>
    <w:rsid w:val="00196594"/>
    <w:rsid w:val="00196963"/>
    <w:rsid w:val="00196B93"/>
    <w:rsid w:val="00196BA3"/>
    <w:rsid w:val="001970F9"/>
    <w:rsid w:val="00197350"/>
    <w:rsid w:val="00197BC3"/>
    <w:rsid w:val="00197DCD"/>
    <w:rsid w:val="001A0968"/>
    <w:rsid w:val="001A0F0C"/>
    <w:rsid w:val="001A0F6B"/>
    <w:rsid w:val="001A1720"/>
    <w:rsid w:val="001A192B"/>
    <w:rsid w:val="001A2109"/>
    <w:rsid w:val="001A2466"/>
    <w:rsid w:val="001A26F5"/>
    <w:rsid w:val="001A27E6"/>
    <w:rsid w:val="001A2DDC"/>
    <w:rsid w:val="001A2F36"/>
    <w:rsid w:val="001A372B"/>
    <w:rsid w:val="001A3771"/>
    <w:rsid w:val="001A3991"/>
    <w:rsid w:val="001A4336"/>
    <w:rsid w:val="001A4780"/>
    <w:rsid w:val="001A4CCB"/>
    <w:rsid w:val="001A4EB6"/>
    <w:rsid w:val="001A5419"/>
    <w:rsid w:val="001A5705"/>
    <w:rsid w:val="001A585E"/>
    <w:rsid w:val="001A592C"/>
    <w:rsid w:val="001A5D64"/>
    <w:rsid w:val="001A620B"/>
    <w:rsid w:val="001A63F2"/>
    <w:rsid w:val="001A6496"/>
    <w:rsid w:val="001A6575"/>
    <w:rsid w:val="001A6E6B"/>
    <w:rsid w:val="001A7346"/>
    <w:rsid w:val="001A7386"/>
    <w:rsid w:val="001A751B"/>
    <w:rsid w:val="001A7971"/>
    <w:rsid w:val="001A7B28"/>
    <w:rsid w:val="001A7BFE"/>
    <w:rsid w:val="001A7E01"/>
    <w:rsid w:val="001A7E31"/>
    <w:rsid w:val="001A7FFD"/>
    <w:rsid w:val="001B0110"/>
    <w:rsid w:val="001B0511"/>
    <w:rsid w:val="001B090D"/>
    <w:rsid w:val="001B09E3"/>
    <w:rsid w:val="001B0AC4"/>
    <w:rsid w:val="001B0C0A"/>
    <w:rsid w:val="001B0F33"/>
    <w:rsid w:val="001B105E"/>
    <w:rsid w:val="001B10FE"/>
    <w:rsid w:val="001B1324"/>
    <w:rsid w:val="001B1729"/>
    <w:rsid w:val="001B1FAD"/>
    <w:rsid w:val="001B3048"/>
    <w:rsid w:val="001B3826"/>
    <w:rsid w:val="001B3961"/>
    <w:rsid w:val="001B40CB"/>
    <w:rsid w:val="001B40E7"/>
    <w:rsid w:val="001B42E4"/>
    <w:rsid w:val="001B436F"/>
    <w:rsid w:val="001B4E90"/>
    <w:rsid w:val="001B5291"/>
    <w:rsid w:val="001B563F"/>
    <w:rsid w:val="001B571B"/>
    <w:rsid w:val="001B582D"/>
    <w:rsid w:val="001B5890"/>
    <w:rsid w:val="001B59A9"/>
    <w:rsid w:val="001B5C8D"/>
    <w:rsid w:val="001B5D3A"/>
    <w:rsid w:val="001B5D41"/>
    <w:rsid w:val="001B5EB0"/>
    <w:rsid w:val="001B6421"/>
    <w:rsid w:val="001B691A"/>
    <w:rsid w:val="001B696E"/>
    <w:rsid w:val="001B6A56"/>
    <w:rsid w:val="001B7191"/>
    <w:rsid w:val="001B71B9"/>
    <w:rsid w:val="001B7243"/>
    <w:rsid w:val="001B76A8"/>
    <w:rsid w:val="001B782D"/>
    <w:rsid w:val="001C00F2"/>
    <w:rsid w:val="001C05BE"/>
    <w:rsid w:val="001C0963"/>
    <w:rsid w:val="001C09D9"/>
    <w:rsid w:val="001C1121"/>
    <w:rsid w:val="001C14EA"/>
    <w:rsid w:val="001C1A14"/>
    <w:rsid w:val="001C1AC5"/>
    <w:rsid w:val="001C1DE7"/>
    <w:rsid w:val="001C202D"/>
    <w:rsid w:val="001C21A2"/>
    <w:rsid w:val="001C21B4"/>
    <w:rsid w:val="001C22BD"/>
    <w:rsid w:val="001C22F8"/>
    <w:rsid w:val="001C23C3"/>
    <w:rsid w:val="001C24B2"/>
    <w:rsid w:val="001C24F4"/>
    <w:rsid w:val="001C2A03"/>
    <w:rsid w:val="001C30D2"/>
    <w:rsid w:val="001C39E8"/>
    <w:rsid w:val="001C3A22"/>
    <w:rsid w:val="001C3BC6"/>
    <w:rsid w:val="001C3CD8"/>
    <w:rsid w:val="001C3D31"/>
    <w:rsid w:val="001C3F63"/>
    <w:rsid w:val="001C44E0"/>
    <w:rsid w:val="001C4553"/>
    <w:rsid w:val="001C4619"/>
    <w:rsid w:val="001C4623"/>
    <w:rsid w:val="001C4632"/>
    <w:rsid w:val="001C469B"/>
    <w:rsid w:val="001C4A0B"/>
    <w:rsid w:val="001C4B75"/>
    <w:rsid w:val="001C4C45"/>
    <w:rsid w:val="001C4C8C"/>
    <w:rsid w:val="001C4DA4"/>
    <w:rsid w:val="001C504B"/>
    <w:rsid w:val="001C532B"/>
    <w:rsid w:val="001C54F5"/>
    <w:rsid w:val="001C559E"/>
    <w:rsid w:val="001C55F6"/>
    <w:rsid w:val="001C5D2D"/>
    <w:rsid w:val="001C5D8B"/>
    <w:rsid w:val="001C6086"/>
    <w:rsid w:val="001C6252"/>
    <w:rsid w:val="001C62B4"/>
    <w:rsid w:val="001C6311"/>
    <w:rsid w:val="001C6504"/>
    <w:rsid w:val="001C6758"/>
    <w:rsid w:val="001C681D"/>
    <w:rsid w:val="001C69B9"/>
    <w:rsid w:val="001C6A71"/>
    <w:rsid w:val="001C6BFC"/>
    <w:rsid w:val="001C71AA"/>
    <w:rsid w:val="001C73F8"/>
    <w:rsid w:val="001C75AB"/>
    <w:rsid w:val="001C75B2"/>
    <w:rsid w:val="001C776C"/>
    <w:rsid w:val="001C77E1"/>
    <w:rsid w:val="001C79DA"/>
    <w:rsid w:val="001C7ABB"/>
    <w:rsid w:val="001C7C88"/>
    <w:rsid w:val="001C7F9B"/>
    <w:rsid w:val="001D112B"/>
    <w:rsid w:val="001D11B3"/>
    <w:rsid w:val="001D19A8"/>
    <w:rsid w:val="001D1C06"/>
    <w:rsid w:val="001D240E"/>
    <w:rsid w:val="001D26ED"/>
    <w:rsid w:val="001D28B3"/>
    <w:rsid w:val="001D2D33"/>
    <w:rsid w:val="001D30D9"/>
    <w:rsid w:val="001D33AD"/>
    <w:rsid w:val="001D3D79"/>
    <w:rsid w:val="001D5257"/>
    <w:rsid w:val="001D5280"/>
    <w:rsid w:val="001D5963"/>
    <w:rsid w:val="001D5CAD"/>
    <w:rsid w:val="001D5D71"/>
    <w:rsid w:val="001D62F5"/>
    <w:rsid w:val="001D638B"/>
    <w:rsid w:val="001D6488"/>
    <w:rsid w:val="001D6CCE"/>
    <w:rsid w:val="001D6DFA"/>
    <w:rsid w:val="001D7159"/>
    <w:rsid w:val="001D742D"/>
    <w:rsid w:val="001D7798"/>
    <w:rsid w:val="001D79EF"/>
    <w:rsid w:val="001E004B"/>
    <w:rsid w:val="001E069D"/>
    <w:rsid w:val="001E0741"/>
    <w:rsid w:val="001E08D8"/>
    <w:rsid w:val="001E0916"/>
    <w:rsid w:val="001E1901"/>
    <w:rsid w:val="001E19D3"/>
    <w:rsid w:val="001E1F97"/>
    <w:rsid w:val="001E23D1"/>
    <w:rsid w:val="001E2428"/>
    <w:rsid w:val="001E252F"/>
    <w:rsid w:val="001E26BD"/>
    <w:rsid w:val="001E2908"/>
    <w:rsid w:val="001E2A8E"/>
    <w:rsid w:val="001E38A8"/>
    <w:rsid w:val="001E3982"/>
    <w:rsid w:val="001E53CD"/>
    <w:rsid w:val="001E580B"/>
    <w:rsid w:val="001E5BBB"/>
    <w:rsid w:val="001E5D60"/>
    <w:rsid w:val="001E5F64"/>
    <w:rsid w:val="001E6180"/>
    <w:rsid w:val="001E674B"/>
    <w:rsid w:val="001E68FC"/>
    <w:rsid w:val="001E6C2D"/>
    <w:rsid w:val="001E6D8E"/>
    <w:rsid w:val="001E714A"/>
    <w:rsid w:val="001E72B6"/>
    <w:rsid w:val="001E7396"/>
    <w:rsid w:val="001E7569"/>
    <w:rsid w:val="001E7600"/>
    <w:rsid w:val="001E7F25"/>
    <w:rsid w:val="001F0766"/>
    <w:rsid w:val="001F0B30"/>
    <w:rsid w:val="001F0C39"/>
    <w:rsid w:val="001F0EE5"/>
    <w:rsid w:val="001F111D"/>
    <w:rsid w:val="001F16FB"/>
    <w:rsid w:val="001F1761"/>
    <w:rsid w:val="001F1844"/>
    <w:rsid w:val="001F1A09"/>
    <w:rsid w:val="001F1BC4"/>
    <w:rsid w:val="001F2178"/>
    <w:rsid w:val="001F22CC"/>
    <w:rsid w:val="001F25E0"/>
    <w:rsid w:val="001F2DF7"/>
    <w:rsid w:val="001F3C5F"/>
    <w:rsid w:val="001F458A"/>
    <w:rsid w:val="001F4B1F"/>
    <w:rsid w:val="001F4F5A"/>
    <w:rsid w:val="001F5293"/>
    <w:rsid w:val="001F61FE"/>
    <w:rsid w:val="001F646F"/>
    <w:rsid w:val="001F66DE"/>
    <w:rsid w:val="001F68BC"/>
    <w:rsid w:val="001F6C87"/>
    <w:rsid w:val="001F6EC5"/>
    <w:rsid w:val="001F705D"/>
    <w:rsid w:val="001F7246"/>
    <w:rsid w:val="001F7971"/>
    <w:rsid w:val="001F7ACA"/>
    <w:rsid w:val="001F7D00"/>
    <w:rsid w:val="0020066A"/>
    <w:rsid w:val="00200807"/>
    <w:rsid w:val="00200A6B"/>
    <w:rsid w:val="00200CAC"/>
    <w:rsid w:val="00200D92"/>
    <w:rsid w:val="0020124F"/>
    <w:rsid w:val="002014E7"/>
    <w:rsid w:val="00201A05"/>
    <w:rsid w:val="00202046"/>
    <w:rsid w:val="00202576"/>
    <w:rsid w:val="0020279F"/>
    <w:rsid w:val="00202966"/>
    <w:rsid w:val="00202A9E"/>
    <w:rsid w:val="00202AA8"/>
    <w:rsid w:val="00202D81"/>
    <w:rsid w:val="00202DC0"/>
    <w:rsid w:val="00202E80"/>
    <w:rsid w:val="00202EB6"/>
    <w:rsid w:val="00203B02"/>
    <w:rsid w:val="00203F82"/>
    <w:rsid w:val="00204026"/>
    <w:rsid w:val="002048BC"/>
    <w:rsid w:val="002051EE"/>
    <w:rsid w:val="00205507"/>
    <w:rsid w:val="00205642"/>
    <w:rsid w:val="00205644"/>
    <w:rsid w:val="00205A9F"/>
    <w:rsid w:val="00205B0E"/>
    <w:rsid w:val="00205B1F"/>
    <w:rsid w:val="00205FEA"/>
    <w:rsid w:val="002061CA"/>
    <w:rsid w:val="0020689C"/>
    <w:rsid w:val="00206929"/>
    <w:rsid w:val="002069BC"/>
    <w:rsid w:val="00206E13"/>
    <w:rsid w:val="00206F7F"/>
    <w:rsid w:val="0020718C"/>
    <w:rsid w:val="00207205"/>
    <w:rsid w:val="00207223"/>
    <w:rsid w:val="00207408"/>
    <w:rsid w:val="00207526"/>
    <w:rsid w:val="0020762E"/>
    <w:rsid w:val="00207675"/>
    <w:rsid w:val="00207FF8"/>
    <w:rsid w:val="0021000D"/>
    <w:rsid w:val="0021033E"/>
    <w:rsid w:val="00210679"/>
    <w:rsid w:val="00210901"/>
    <w:rsid w:val="00210954"/>
    <w:rsid w:val="00210D6E"/>
    <w:rsid w:val="00210D9C"/>
    <w:rsid w:val="00210DCC"/>
    <w:rsid w:val="00210DCD"/>
    <w:rsid w:val="0021198D"/>
    <w:rsid w:val="002119BF"/>
    <w:rsid w:val="00211C52"/>
    <w:rsid w:val="00211D3D"/>
    <w:rsid w:val="0021225B"/>
    <w:rsid w:val="0021226C"/>
    <w:rsid w:val="002126B2"/>
    <w:rsid w:val="00212948"/>
    <w:rsid w:val="00212BFF"/>
    <w:rsid w:val="002134A1"/>
    <w:rsid w:val="00213A9B"/>
    <w:rsid w:val="00213E70"/>
    <w:rsid w:val="00213E74"/>
    <w:rsid w:val="00214036"/>
    <w:rsid w:val="00214433"/>
    <w:rsid w:val="002145B9"/>
    <w:rsid w:val="00214BD4"/>
    <w:rsid w:val="00214FFF"/>
    <w:rsid w:val="0021501A"/>
    <w:rsid w:val="00215101"/>
    <w:rsid w:val="002151CB"/>
    <w:rsid w:val="00215468"/>
    <w:rsid w:val="00215AAF"/>
    <w:rsid w:val="00215B73"/>
    <w:rsid w:val="002160BB"/>
    <w:rsid w:val="00216238"/>
    <w:rsid w:val="002163C8"/>
    <w:rsid w:val="002165D3"/>
    <w:rsid w:val="00216677"/>
    <w:rsid w:val="00216771"/>
    <w:rsid w:val="0021687C"/>
    <w:rsid w:val="0021697C"/>
    <w:rsid w:val="00216AAA"/>
    <w:rsid w:val="00217423"/>
    <w:rsid w:val="00217839"/>
    <w:rsid w:val="00217BBD"/>
    <w:rsid w:val="0022067E"/>
    <w:rsid w:val="002208DA"/>
    <w:rsid w:val="00221197"/>
    <w:rsid w:val="00221201"/>
    <w:rsid w:val="0022195B"/>
    <w:rsid w:val="00221B1E"/>
    <w:rsid w:val="0022224C"/>
    <w:rsid w:val="00222392"/>
    <w:rsid w:val="002223C1"/>
    <w:rsid w:val="002224C1"/>
    <w:rsid w:val="00222D4A"/>
    <w:rsid w:val="00222D97"/>
    <w:rsid w:val="0022389B"/>
    <w:rsid w:val="002240C5"/>
    <w:rsid w:val="002244A6"/>
    <w:rsid w:val="0022463E"/>
    <w:rsid w:val="002256E4"/>
    <w:rsid w:val="00225A3B"/>
    <w:rsid w:val="00225A8C"/>
    <w:rsid w:val="00225BD8"/>
    <w:rsid w:val="00225CFE"/>
    <w:rsid w:val="00226058"/>
    <w:rsid w:val="00226081"/>
    <w:rsid w:val="002263A4"/>
    <w:rsid w:val="002264E2"/>
    <w:rsid w:val="00226999"/>
    <w:rsid w:val="00226AF7"/>
    <w:rsid w:val="00226CF3"/>
    <w:rsid w:val="002276A5"/>
    <w:rsid w:val="002277B0"/>
    <w:rsid w:val="0022799E"/>
    <w:rsid w:val="00227B4A"/>
    <w:rsid w:val="00227CDE"/>
    <w:rsid w:val="00227FDC"/>
    <w:rsid w:val="00230817"/>
    <w:rsid w:val="0023081D"/>
    <w:rsid w:val="00230A9B"/>
    <w:rsid w:val="00230DCC"/>
    <w:rsid w:val="00230F31"/>
    <w:rsid w:val="00230FA0"/>
    <w:rsid w:val="00230FE7"/>
    <w:rsid w:val="00231417"/>
    <w:rsid w:val="00231611"/>
    <w:rsid w:val="002317CA"/>
    <w:rsid w:val="00231960"/>
    <w:rsid w:val="00231E84"/>
    <w:rsid w:val="00231F26"/>
    <w:rsid w:val="002324E3"/>
    <w:rsid w:val="002326C4"/>
    <w:rsid w:val="00232917"/>
    <w:rsid w:val="002329E5"/>
    <w:rsid w:val="00232FEC"/>
    <w:rsid w:val="0023329C"/>
    <w:rsid w:val="00233355"/>
    <w:rsid w:val="00233586"/>
    <w:rsid w:val="00233808"/>
    <w:rsid w:val="00233868"/>
    <w:rsid w:val="00233BC0"/>
    <w:rsid w:val="00233D92"/>
    <w:rsid w:val="00233E7B"/>
    <w:rsid w:val="00233FBB"/>
    <w:rsid w:val="00233FF1"/>
    <w:rsid w:val="00234B4F"/>
    <w:rsid w:val="0023511A"/>
    <w:rsid w:val="00235412"/>
    <w:rsid w:val="00235F4B"/>
    <w:rsid w:val="00236244"/>
    <w:rsid w:val="00236656"/>
    <w:rsid w:val="0023669A"/>
    <w:rsid w:val="00236DC0"/>
    <w:rsid w:val="00236F4C"/>
    <w:rsid w:val="002373A2"/>
    <w:rsid w:val="00237A0A"/>
    <w:rsid w:val="00237EAC"/>
    <w:rsid w:val="002402F3"/>
    <w:rsid w:val="00240461"/>
    <w:rsid w:val="002407CC"/>
    <w:rsid w:val="002409E3"/>
    <w:rsid w:val="002410C2"/>
    <w:rsid w:val="0024113D"/>
    <w:rsid w:val="002411C6"/>
    <w:rsid w:val="00241394"/>
    <w:rsid w:val="002415CE"/>
    <w:rsid w:val="00242487"/>
    <w:rsid w:val="00242517"/>
    <w:rsid w:val="0024260B"/>
    <w:rsid w:val="00243446"/>
    <w:rsid w:val="002439B0"/>
    <w:rsid w:val="00243BD2"/>
    <w:rsid w:val="00243D63"/>
    <w:rsid w:val="0024401F"/>
    <w:rsid w:val="00244685"/>
    <w:rsid w:val="002447E9"/>
    <w:rsid w:val="002447FC"/>
    <w:rsid w:val="00244A56"/>
    <w:rsid w:val="00244EE7"/>
    <w:rsid w:val="002453BE"/>
    <w:rsid w:val="002455C3"/>
    <w:rsid w:val="0024569B"/>
    <w:rsid w:val="00245A3F"/>
    <w:rsid w:val="00245FE1"/>
    <w:rsid w:val="00246686"/>
    <w:rsid w:val="00246967"/>
    <w:rsid w:val="00247177"/>
    <w:rsid w:val="0024736E"/>
    <w:rsid w:val="0024799C"/>
    <w:rsid w:val="00247B4D"/>
    <w:rsid w:val="00250386"/>
    <w:rsid w:val="00250A38"/>
    <w:rsid w:val="00250BFD"/>
    <w:rsid w:val="00250C60"/>
    <w:rsid w:val="0025106D"/>
    <w:rsid w:val="002513AE"/>
    <w:rsid w:val="00251CAD"/>
    <w:rsid w:val="00251CFF"/>
    <w:rsid w:val="00251FB0"/>
    <w:rsid w:val="002521E1"/>
    <w:rsid w:val="002527A2"/>
    <w:rsid w:val="0025309F"/>
    <w:rsid w:val="002530F3"/>
    <w:rsid w:val="002535CE"/>
    <w:rsid w:val="00253724"/>
    <w:rsid w:val="00254114"/>
    <w:rsid w:val="00254247"/>
    <w:rsid w:val="002542B2"/>
    <w:rsid w:val="0025447C"/>
    <w:rsid w:val="00254681"/>
    <w:rsid w:val="00254B08"/>
    <w:rsid w:val="00254B81"/>
    <w:rsid w:val="00255399"/>
    <w:rsid w:val="002559B3"/>
    <w:rsid w:val="00255A84"/>
    <w:rsid w:val="00255B5A"/>
    <w:rsid w:val="00255F7F"/>
    <w:rsid w:val="00256777"/>
    <w:rsid w:val="00256795"/>
    <w:rsid w:val="0025684E"/>
    <w:rsid w:val="0025698E"/>
    <w:rsid w:val="002574AF"/>
    <w:rsid w:val="00257AAA"/>
    <w:rsid w:val="00257C41"/>
    <w:rsid w:val="00260448"/>
    <w:rsid w:val="00260BA6"/>
    <w:rsid w:val="00260C35"/>
    <w:rsid w:val="0026114B"/>
    <w:rsid w:val="0026115B"/>
    <w:rsid w:val="0026123A"/>
    <w:rsid w:val="00261391"/>
    <w:rsid w:val="0026169D"/>
    <w:rsid w:val="00261972"/>
    <w:rsid w:val="00261CF1"/>
    <w:rsid w:val="00261DA5"/>
    <w:rsid w:val="00262869"/>
    <w:rsid w:val="002628F6"/>
    <w:rsid w:val="00262DCF"/>
    <w:rsid w:val="00262EBA"/>
    <w:rsid w:val="002634EA"/>
    <w:rsid w:val="00263558"/>
    <w:rsid w:val="002637CF"/>
    <w:rsid w:val="00263AF8"/>
    <w:rsid w:val="00263CD1"/>
    <w:rsid w:val="002645C7"/>
    <w:rsid w:val="002646FE"/>
    <w:rsid w:val="00264795"/>
    <w:rsid w:val="002648EE"/>
    <w:rsid w:val="00264B3D"/>
    <w:rsid w:val="00264C1F"/>
    <w:rsid w:val="00264FD6"/>
    <w:rsid w:val="002656C7"/>
    <w:rsid w:val="00265AC3"/>
    <w:rsid w:val="00265BFC"/>
    <w:rsid w:val="00265D3C"/>
    <w:rsid w:val="00266D29"/>
    <w:rsid w:val="00266E9A"/>
    <w:rsid w:val="002671A2"/>
    <w:rsid w:val="0026722A"/>
    <w:rsid w:val="00267496"/>
    <w:rsid w:val="00267A28"/>
    <w:rsid w:val="00267A7C"/>
    <w:rsid w:val="00267B57"/>
    <w:rsid w:val="00267F66"/>
    <w:rsid w:val="00270169"/>
    <w:rsid w:val="002702D2"/>
    <w:rsid w:val="00270370"/>
    <w:rsid w:val="002708A2"/>
    <w:rsid w:val="00270E19"/>
    <w:rsid w:val="0027170E"/>
    <w:rsid w:val="00271B4D"/>
    <w:rsid w:val="00272164"/>
    <w:rsid w:val="00272499"/>
    <w:rsid w:val="00272623"/>
    <w:rsid w:val="00272960"/>
    <w:rsid w:val="00272A65"/>
    <w:rsid w:val="00272DBE"/>
    <w:rsid w:val="0027304A"/>
    <w:rsid w:val="0027304D"/>
    <w:rsid w:val="00273102"/>
    <w:rsid w:val="0027349A"/>
    <w:rsid w:val="00273CB2"/>
    <w:rsid w:val="002742FE"/>
    <w:rsid w:val="00274C4D"/>
    <w:rsid w:val="00274EFA"/>
    <w:rsid w:val="00275025"/>
    <w:rsid w:val="0027590D"/>
    <w:rsid w:val="0027596A"/>
    <w:rsid w:val="002759C0"/>
    <w:rsid w:val="00275B68"/>
    <w:rsid w:val="00275C43"/>
    <w:rsid w:val="00275D7A"/>
    <w:rsid w:val="00275F9E"/>
    <w:rsid w:val="002761BD"/>
    <w:rsid w:val="0027652E"/>
    <w:rsid w:val="00276884"/>
    <w:rsid w:val="002772AF"/>
    <w:rsid w:val="0027780B"/>
    <w:rsid w:val="00277A86"/>
    <w:rsid w:val="00277B7E"/>
    <w:rsid w:val="00280B6C"/>
    <w:rsid w:val="00280CBA"/>
    <w:rsid w:val="00280D5B"/>
    <w:rsid w:val="00280EA4"/>
    <w:rsid w:val="00281007"/>
    <w:rsid w:val="002811B7"/>
    <w:rsid w:val="00281364"/>
    <w:rsid w:val="00281819"/>
    <w:rsid w:val="00281DA0"/>
    <w:rsid w:val="002822C7"/>
    <w:rsid w:val="00282372"/>
    <w:rsid w:val="002827F9"/>
    <w:rsid w:val="00282BAE"/>
    <w:rsid w:val="00282D05"/>
    <w:rsid w:val="00282DAC"/>
    <w:rsid w:val="00282EE5"/>
    <w:rsid w:val="002834C9"/>
    <w:rsid w:val="002835A6"/>
    <w:rsid w:val="002837C2"/>
    <w:rsid w:val="0028399A"/>
    <w:rsid w:val="002839FB"/>
    <w:rsid w:val="00283BB4"/>
    <w:rsid w:val="00283D4E"/>
    <w:rsid w:val="00284036"/>
    <w:rsid w:val="00284162"/>
    <w:rsid w:val="002844AC"/>
    <w:rsid w:val="002845EA"/>
    <w:rsid w:val="002848C8"/>
    <w:rsid w:val="00284B22"/>
    <w:rsid w:val="0028523A"/>
    <w:rsid w:val="00285309"/>
    <w:rsid w:val="0028551B"/>
    <w:rsid w:val="00285A8C"/>
    <w:rsid w:val="00285DF6"/>
    <w:rsid w:val="00286154"/>
    <w:rsid w:val="0028670B"/>
    <w:rsid w:val="00286894"/>
    <w:rsid w:val="00286B1C"/>
    <w:rsid w:val="00286DCB"/>
    <w:rsid w:val="00286EBE"/>
    <w:rsid w:val="00286FB0"/>
    <w:rsid w:val="0028718B"/>
    <w:rsid w:val="00287699"/>
    <w:rsid w:val="0028783E"/>
    <w:rsid w:val="0029008E"/>
    <w:rsid w:val="00290588"/>
    <w:rsid w:val="002907BC"/>
    <w:rsid w:val="00290F8B"/>
    <w:rsid w:val="0029134D"/>
    <w:rsid w:val="002919DB"/>
    <w:rsid w:val="002920C7"/>
    <w:rsid w:val="00292228"/>
    <w:rsid w:val="002929D8"/>
    <w:rsid w:val="00292B9F"/>
    <w:rsid w:val="00292C19"/>
    <w:rsid w:val="00293109"/>
    <w:rsid w:val="002938EF"/>
    <w:rsid w:val="00293C63"/>
    <w:rsid w:val="00293F3D"/>
    <w:rsid w:val="0029467A"/>
    <w:rsid w:val="002948F5"/>
    <w:rsid w:val="00294A58"/>
    <w:rsid w:val="00294B49"/>
    <w:rsid w:val="00294D2F"/>
    <w:rsid w:val="00295274"/>
    <w:rsid w:val="002958DE"/>
    <w:rsid w:val="00295B70"/>
    <w:rsid w:val="00295EEF"/>
    <w:rsid w:val="002963DD"/>
    <w:rsid w:val="0029648D"/>
    <w:rsid w:val="00296F47"/>
    <w:rsid w:val="00297289"/>
    <w:rsid w:val="0029733E"/>
    <w:rsid w:val="00297514"/>
    <w:rsid w:val="0029799C"/>
    <w:rsid w:val="00297ECD"/>
    <w:rsid w:val="002A04E2"/>
    <w:rsid w:val="002A0662"/>
    <w:rsid w:val="002A06E7"/>
    <w:rsid w:val="002A0E02"/>
    <w:rsid w:val="002A0E79"/>
    <w:rsid w:val="002A0E94"/>
    <w:rsid w:val="002A1263"/>
    <w:rsid w:val="002A18FE"/>
    <w:rsid w:val="002A19F7"/>
    <w:rsid w:val="002A1FB9"/>
    <w:rsid w:val="002A2364"/>
    <w:rsid w:val="002A283D"/>
    <w:rsid w:val="002A2A08"/>
    <w:rsid w:val="002A2B37"/>
    <w:rsid w:val="002A2BC4"/>
    <w:rsid w:val="002A2D62"/>
    <w:rsid w:val="002A2D93"/>
    <w:rsid w:val="002A31FA"/>
    <w:rsid w:val="002A32BE"/>
    <w:rsid w:val="002A339E"/>
    <w:rsid w:val="002A33FC"/>
    <w:rsid w:val="002A3418"/>
    <w:rsid w:val="002A35A5"/>
    <w:rsid w:val="002A3FF6"/>
    <w:rsid w:val="002A4113"/>
    <w:rsid w:val="002A4266"/>
    <w:rsid w:val="002A449A"/>
    <w:rsid w:val="002A44A0"/>
    <w:rsid w:val="002A45B1"/>
    <w:rsid w:val="002A46C8"/>
    <w:rsid w:val="002A47DF"/>
    <w:rsid w:val="002A496E"/>
    <w:rsid w:val="002A4E42"/>
    <w:rsid w:val="002A5379"/>
    <w:rsid w:val="002A556F"/>
    <w:rsid w:val="002A598E"/>
    <w:rsid w:val="002A61A5"/>
    <w:rsid w:val="002A61B1"/>
    <w:rsid w:val="002A648D"/>
    <w:rsid w:val="002A6700"/>
    <w:rsid w:val="002A7199"/>
    <w:rsid w:val="002A7418"/>
    <w:rsid w:val="002A7682"/>
    <w:rsid w:val="002A77C3"/>
    <w:rsid w:val="002A79D9"/>
    <w:rsid w:val="002A7BAF"/>
    <w:rsid w:val="002A7BBD"/>
    <w:rsid w:val="002B05A8"/>
    <w:rsid w:val="002B0D6E"/>
    <w:rsid w:val="002B10B0"/>
    <w:rsid w:val="002B1225"/>
    <w:rsid w:val="002B12AB"/>
    <w:rsid w:val="002B1437"/>
    <w:rsid w:val="002B14DB"/>
    <w:rsid w:val="002B169C"/>
    <w:rsid w:val="002B1838"/>
    <w:rsid w:val="002B1F89"/>
    <w:rsid w:val="002B21BB"/>
    <w:rsid w:val="002B22F5"/>
    <w:rsid w:val="002B274C"/>
    <w:rsid w:val="002B2868"/>
    <w:rsid w:val="002B2E9F"/>
    <w:rsid w:val="002B2F77"/>
    <w:rsid w:val="002B3462"/>
    <w:rsid w:val="002B3529"/>
    <w:rsid w:val="002B3596"/>
    <w:rsid w:val="002B43B3"/>
    <w:rsid w:val="002B4FAD"/>
    <w:rsid w:val="002B538D"/>
    <w:rsid w:val="002B5B61"/>
    <w:rsid w:val="002B5CA1"/>
    <w:rsid w:val="002B6031"/>
    <w:rsid w:val="002B6699"/>
    <w:rsid w:val="002B6716"/>
    <w:rsid w:val="002B6EFD"/>
    <w:rsid w:val="002B6F33"/>
    <w:rsid w:val="002B7445"/>
    <w:rsid w:val="002B79F0"/>
    <w:rsid w:val="002B7B8A"/>
    <w:rsid w:val="002B7C96"/>
    <w:rsid w:val="002B7F3E"/>
    <w:rsid w:val="002C00F5"/>
    <w:rsid w:val="002C0166"/>
    <w:rsid w:val="002C059A"/>
    <w:rsid w:val="002C05D9"/>
    <w:rsid w:val="002C06B5"/>
    <w:rsid w:val="002C08D4"/>
    <w:rsid w:val="002C0CCC"/>
    <w:rsid w:val="002C0CD7"/>
    <w:rsid w:val="002C0D7B"/>
    <w:rsid w:val="002C0D99"/>
    <w:rsid w:val="002C11BC"/>
    <w:rsid w:val="002C11D6"/>
    <w:rsid w:val="002C143E"/>
    <w:rsid w:val="002C1443"/>
    <w:rsid w:val="002C1CBF"/>
    <w:rsid w:val="002C1D9C"/>
    <w:rsid w:val="002C1EFA"/>
    <w:rsid w:val="002C22C5"/>
    <w:rsid w:val="002C2806"/>
    <w:rsid w:val="002C2BD3"/>
    <w:rsid w:val="002C2BEB"/>
    <w:rsid w:val="002C30A4"/>
    <w:rsid w:val="002C30D3"/>
    <w:rsid w:val="002C34B2"/>
    <w:rsid w:val="002C366F"/>
    <w:rsid w:val="002C3894"/>
    <w:rsid w:val="002C3D9B"/>
    <w:rsid w:val="002C3E6A"/>
    <w:rsid w:val="002C40EF"/>
    <w:rsid w:val="002C488D"/>
    <w:rsid w:val="002C4A81"/>
    <w:rsid w:val="002C4B78"/>
    <w:rsid w:val="002C4B93"/>
    <w:rsid w:val="002C4CA9"/>
    <w:rsid w:val="002C4CB2"/>
    <w:rsid w:val="002C5453"/>
    <w:rsid w:val="002C57BD"/>
    <w:rsid w:val="002C5A5C"/>
    <w:rsid w:val="002C5BFE"/>
    <w:rsid w:val="002C64F8"/>
    <w:rsid w:val="002C6686"/>
    <w:rsid w:val="002C68E5"/>
    <w:rsid w:val="002C7016"/>
    <w:rsid w:val="002C70A3"/>
    <w:rsid w:val="002C7301"/>
    <w:rsid w:val="002C75E6"/>
    <w:rsid w:val="002C7C0A"/>
    <w:rsid w:val="002C7C9C"/>
    <w:rsid w:val="002C7FF4"/>
    <w:rsid w:val="002D04C5"/>
    <w:rsid w:val="002D059D"/>
    <w:rsid w:val="002D0727"/>
    <w:rsid w:val="002D100C"/>
    <w:rsid w:val="002D1B36"/>
    <w:rsid w:val="002D1B96"/>
    <w:rsid w:val="002D2270"/>
    <w:rsid w:val="002D2E4C"/>
    <w:rsid w:val="002D2EC4"/>
    <w:rsid w:val="002D319A"/>
    <w:rsid w:val="002D32AF"/>
    <w:rsid w:val="002D3306"/>
    <w:rsid w:val="002D3568"/>
    <w:rsid w:val="002D37C1"/>
    <w:rsid w:val="002D4074"/>
    <w:rsid w:val="002D42F1"/>
    <w:rsid w:val="002D4487"/>
    <w:rsid w:val="002D4830"/>
    <w:rsid w:val="002D4A0A"/>
    <w:rsid w:val="002D4A43"/>
    <w:rsid w:val="002D5041"/>
    <w:rsid w:val="002D52BF"/>
    <w:rsid w:val="002D607F"/>
    <w:rsid w:val="002D60C9"/>
    <w:rsid w:val="002D65B4"/>
    <w:rsid w:val="002D68CE"/>
    <w:rsid w:val="002D6D06"/>
    <w:rsid w:val="002D72F7"/>
    <w:rsid w:val="002D7EC5"/>
    <w:rsid w:val="002E0315"/>
    <w:rsid w:val="002E0403"/>
    <w:rsid w:val="002E0903"/>
    <w:rsid w:val="002E0C71"/>
    <w:rsid w:val="002E0D26"/>
    <w:rsid w:val="002E0D8B"/>
    <w:rsid w:val="002E10FA"/>
    <w:rsid w:val="002E21D1"/>
    <w:rsid w:val="002E229D"/>
    <w:rsid w:val="002E25A8"/>
    <w:rsid w:val="002E279A"/>
    <w:rsid w:val="002E2BE7"/>
    <w:rsid w:val="002E323E"/>
    <w:rsid w:val="002E34CF"/>
    <w:rsid w:val="002E3832"/>
    <w:rsid w:val="002E399E"/>
    <w:rsid w:val="002E3B08"/>
    <w:rsid w:val="002E3CE5"/>
    <w:rsid w:val="002E3DC8"/>
    <w:rsid w:val="002E4118"/>
    <w:rsid w:val="002E41F3"/>
    <w:rsid w:val="002E4505"/>
    <w:rsid w:val="002E4519"/>
    <w:rsid w:val="002E5038"/>
    <w:rsid w:val="002E533C"/>
    <w:rsid w:val="002E557C"/>
    <w:rsid w:val="002E5BB9"/>
    <w:rsid w:val="002E60A1"/>
    <w:rsid w:val="002E6116"/>
    <w:rsid w:val="002E67E6"/>
    <w:rsid w:val="002E69B3"/>
    <w:rsid w:val="002E6DBB"/>
    <w:rsid w:val="002E6E7C"/>
    <w:rsid w:val="002E6F72"/>
    <w:rsid w:val="002E7B0D"/>
    <w:rsid w:val="002F04DE"/>
    <w:rsid w:val="002F089E"/>
    <w:rsid w:val="002F0A2B"/>
    <w:rsid w:val="002F0B9F"/>
    <w:rsid w:val="002F0D1B"/>
    <w:rsid w:val="002F0F46"/>
    <w:rsid w:val="002F121E"/>
    <w:rsid w:val="002F14D0"/>
    <w:rsid w:val="002F1524"/>
    <w:rsid w:val="002F190D"/>
    <w:rsid w:val="002F196B"/>
    <w:rsid w:val="002F1A3E"/>
    <w:rsid w:val="002F1CD3"/>
    <w:rsid w:val="002F1D51"/>
    <w:rsid w:val="002F1E10"/>
    <w:rsid w:val="002F1E43"/>
    <w:rsid w:val="002F1EA4"/>
    <w:rsid w:val="002F24B0"/>
    <w:rsid w:val="002F279C"/>
    <w:rsid w:val="002F283F"/>
    <w:rsid w:val="002F2BB2"/>
    <w:rsid w:val="002F3A93"/>
    <w:rsid w:val="002F3AFA"/>
    <w:rsid w:val="002F4355"/>
    <w:rsid w:val="002F4444"/>
    <w:rsid w:val="002F4777"/>
    <w:rsid w:val="002F4BEA"/>
    <w:rsid w:val="002F54B6"/>
    <w:rsid w:val="002F5629"/>
    <w:rsid w:val="002F5674"/>
    <w:rsid w:val="002F65E5"/>
    <w:rsid w:val="002F6A6F"/>
    <w:rsid w:val="002F6B24"/>
    <w:rsid w:val="002F6E28"/>
    <w:rsid w:val="002F70BA"/>
    <w:rsid w:val="002F725F"/>
    <w:rsid w:val="002F7A88"/>
    <w:rsid w:val="002F7A99"/>
    <w:rsid w:val="002F7C08"/>
    <w:rsid w:val="002F7E68"/>
    <w:rsid w:val="002F7F86"/>
    <w:rsid w:val="00300560"/>
    <w:rsid w:val="003007DE"/>
    <w:rsid w:val="00300A82"/>
    <w:rsid w:val="00300A84"/>
    <w:rsid w:val="00300C9E"/>
    <w:rsid w:val="00300E39"/>
    <w:rsid w:val="00300F95"/>
    <w:rsid w:val="0030101C"/>
    <w:rsid w:val="0030107F"/>
    <w:rsid w:val="003011A6"/>
    <w:rsid w:val="003013EF"/>
    <w:rsid w:val="00302306"/>
    <w:rsid w:val="003023C2"/>
    <w:rsid w:val="003024FE"/>
    <w:rsid w:val="0030294F"/>
    <w:rsid w:val="00302E5E"/>
    <w:rsid w:val="00302EA1"/>
    <w:rsid w:val="00303249"/>
    <w:rsid w:val="003038DB"/>
    <w:rsid w:val="00303BC0"/>
    <w:rsid w:val="00303BC3"/>
    <w:rsid w:val="00303D58"/>
    <w:rsid w:val="00303D69"/>
    <w:rsid w:val="00303FA3"/>
    <w:rsid w:val="0030415A"/>
    <w:rsid w:val="00304433"/>
    <w:rsid w:val="0030458D"/>
    <w:rsid w:val="003048C9"/>
    <w:rsid w:val="00304C8F"/>
    <w:rsid w:val="00304D19"/>
    <w:rsid w:val="00304D4E"/>
    <w:rsid w:val="00304F3C"/>
    <w:rsid w:val="00304FF8"/>
    <w:rsid w:val="00305098"/>
    <w:rsid w:val="0030511E"/>
    <w:rsid w:val="00305BCF"/>
    <w:rsid w:val="0030615E"/>
    <w:rsid w:val="003066E9"/>
    <w:rsid w:val="00306D6D"/>
    <w:rsid w:val="00307448"/>
    <w:rsid w:val="003079B4"/>
    <w:rsid w:val="00307C55"/>
    <w:rsid w:val="00307DEF"/>
    <w:rsid w:val="00310138"/>
    <w:rsid w:val="0031027B"/>
    <w:rsid w:val="003105A3"/>
    <w:rsid w:val="003107E5"/>
    <w:rsid w:val="00310DE6"/>
    <w:rsid w:val="0031115B"/>
    <w:rsid w:val="003115AC"/>
    <w:rsid w:val="003119A7"/>
    <w:rsid w:val="00311D33"/>
    <w:rsid w:val="00311EE1"/>
    <w:rsid w:val="0031200F"/>
    <w:rsid w:val="00312054"/>
    <w:rsid w:val="0031208A"/>
    <w:rsid w:val="003126CA"/>
    <w:rsid w:val="003127C5"/>
    <w:rsid w:val="003135E8"/>
    <w:rsid w:val="00313664"/>
    <w:rsid w:val="00313754"/>
    <w:rsid w:val="0031380E"/>
    <w:rsid w:val="003138A6"/>
    <w:rsid w:val="00313958"/>
    <w:rsid w:val="00313B78"/>
    <w:rsid w:val="00313C9A"/>
    <w:rsid w:val="00313DD4"/>
    <w:rsid w:val="003143BF"/>
    <w:rsid w:val="00314475"/>
    <w:rsid w:val="0031486F"/>
    <w:rsid w:val="00314A3D"/>
    <w:rsid w:val="00314F90"/>
    <w:rsid w:val="00315238"/>
    <w:rsid w:val="00315247"/>
    <w:rsid w:val="003153B1"/>
    <w:rsid w:val="00315731"/>
    <w:rsid w:val="003159A1"/>
    <w:rsid w:val="00315C6A"/>
    <w:rsid w:val="00315D4B"/>
    <w:rsid w:val="00315E34"/>
    <w:rsid w:val="00315F85"/>
    <w:rsid w:val="0031617F"/>
    <w:rsid w:val="00316769"/>
    <w:rsid w:val="00316C3C"/>
    <w:rsid w:val="00316DEC"/>
    <w:rsid w:val="00317101"/>
    <w:rsid w:val="0032006F"/>
    <w:rsid w:val="003201A1"/>
    <w:rsid w:val="00320747"/>
    <w:rsid w:val="00320832"/>
    <w:rsid w:val="00320FD1"/>
    <w:rsid w:val="00321109"/>
    <w:rsid w:val="0032124F"/>
    <w:rsid w:val="00321560"/>
    <w:rsid w:val="00321690"/>
    <w:rsid w:val="00321758"/>
    <w:rsid w:val="00321823"/>
    <w:rsid w:val="00321BDA"/>
    <w:rsid w:val="003226B9"/>
    <w:rsid w:val="00322E12"/>
    <w:rsid w:val="0032358B"/>
    <w:rsid w:val="003238F4"/>
    <w:rsid w:val="00323D94"/>
    <w:rsid w:val="00323FC4"/>
    <w:rsid w:val="003243D1"/>
    <w:rsid w:val="00324D77"/>
    <w:rsid w:val="0032547A"/>
    <w:rsid w:val="00325692"/>
    <w:rsid w:val="003257A7"/>
    <w:rsid w:val="00325820"/>
    <w:rsid w:val="00325841"/>
    <w:rsid w:val="003259D7"/>
    <w:rsid w:val="00326451"/>
    <w:rsid w:val="003268C7"/>
    <w:rsid w:val="00326914"/>
    <w:rsid w:val="00326B3B"/>
    <w:rsid w:val="0032704C"/>
    <w:rsid w:val="0032709A"/>
    <w:rsid w:val="00327426"/>
    <w:rsid w:val="003277AE"/>
    <w:rsid w:val="00327BD3"/>
    <w:rsid w:val="00327CAA"/>
    <w:rsid w:val="00327DE9"/>
    <w:rsid w:val="00327EB4"/>
    <w:rsid w:val="00327F5E"/>
    <w:rsid w:val="003301B3"/>
    <w:rsid w:val="0033033D"/>
    <w:rsid w:val="00330372"/>
    <w:rsid w:val="00330385"/>
    <w:rsid w:val="003303CC"/>
    <w:rsid w:val="003308D8"/>
    <w:rsid w:val="0033102E"/>
    <w:rsid w:val="0033137B"/>
    <w:rsid w:val="00331401"/>
    <w:rsid w:val="00331CEE"/>
    <w:rsid w:val="00332344"/>
    <w:rsid w:val="00332372"/>
    <w:rsid w:val="0033289C"/>
    <w:rsid w:val="00332CF5"/>
    <w:rsid w:val="00332F67"/>
    <w:rsid w:val="0033312E"/>
    <w:rsid w:val="00333234"/>
    <w:rsid w:val="00333822"/>
    <w:rsid w:val="003339EC"/>
    <w:rsid w:val="00333B1F"/>
    <w:rsid w:val="00333CC8"/>
    <w:rsid w:val="003340BC"/>
    <w:rsid w:val="0033414E"/>
    <w:rsid w:val="003343B5"/>
    <w:rsid w:val="003345F8"/>
    <w:rsid w:val="00334A9A"/>
    <w:rsid w:val="00334F79"/>
    <w:rsid w:val="003351AE"/>
    <w:rsid w:val="00335370"/>
    <w:rsid w:val="003353FE"/>
    <w:rsid w:val="003356B3"/>
    <w:rsid w:val="0033572C"/>
    <w:rsid w:val="0033577C"/>
    <w:rsid w:val="0033583D"/>
    <w:rsid w:val="00335ED1"/>
    <w:rsid w:val="00336C06"/>
    <w:rsid w:val="00336FBD"/>
    <w:rsid w:val="00337808"/>
    <w:rsid w:val="00337905"/>
    <w:rsid w:val="00337EF8"/>
    <w:rsid w:val="003407E4"/>
    <w:rsid w:val="0034081B"/>
    <w:rsid w:val="00340C0A"/>
    <w:rsid w:val="00341296"/>
    <w:rsid w:val="00341557"/>
    <w:rsid w:val="003416A0"/>
    <w:rsid w:val="00341833"/>
    <w:rsid w:val="00341A29"/>
    <w:rsid w:val="003423C7"/>
    <w:rsid w:val="003424A0"/>
    <w:rsid w:val="003425DF"/>
    <w:rsid w:val="00342803"/>
    <w:rsid w:val="00342841"/>
    <w:rsid w:val="003428BA"/>
    <w:rsid w:val="00342A60"/>
    <w:rsid w:val="00342CBB"/>
    <w:rsid w:val="00342DDC"/>
    <w:rsid w:val="00342FBC"/>
    <w:rsid w:val="0034375A"/>
    <w:rsid w:val="0034379D"/>
    <w:rsid w:val="003439F6"/>
    <w:rsid w:val="00343CB0"/>
    <w:rsid w:val="00343DED"/>
    <w:rsid w:val="00343E5D"/>
    <w:rsid w:val="00343E69"/>
    <w:rsid w:val="0034402F"/>
    <w:rsid w:val="0034410F"/>
    <w:rsid w:val="00344182"/>
    <w:rsid w:val="00344359"/>
    <w:rsid w:val="00344774"/>
    <w:rsid w:val="00344983"/>
    <w:rsid w:val="00344A10"/>
    <w:rsid w:val="00344A29"/>
    <w:rsid w:val="00344C81"/>
    <w:rsid w:val="00345553"/>
    <w:rsid w:val="00346192"/>
    <w:rsid w:val="003463D1"/>
    <w:rsid w:val="003463D8"/>
    <w:rsid w:val="0034646D"/>
    <w:rsid w:val="00346681"/>
    <w:rsid w:val="00346C66"/>
    <w:rsid w:val="0034714F"/>
    <w:rsid w:val="003477AD"/>
    <w:rsid w:val="0034797B"/>
    <w:rsid w:val="00347BE5"/>
    <w:rsid w:val="00347D85"/>
    <w:rsid w:val="003507DD"/>
    <w:rsid w:val="00350B03"/>
    <w:rsid w:val="00350C0E"/>
    <w:rsid w:val="00350C95"/>
    <w:rsid w:val="00351124"/>
    <w:rsid w:val="00351347"/>
    <w:rsid w:val="00351632"/>
    <w:rsid w:val="0035167A"/>
    <w:rsid w:val="00351831"/>
    <w:rsid w:val="003522E0"/>
    <w:rsid w:val="0035267F"/>
    <w:rsid w:val="0035284A"/>
    <w:rsid w:val="00352B39"/>
    <w:rsid w:val="00352B55"/>
    <w:rsid w:val="003530FE"/>
    <w:rsid w:val="00354193"/>
    <w:rsid w:val="003547F2"/>
    <w:rsid w:val="003547FA"/>
    <w:rsid w:val="003548FE"/>
    <w:rsid w:val="003550A4"/>
    <w:rsid w:val="003550BA"/>
    <w:rsid w:val="00355171"/>
    <w:rsid w:val="0035537A"/>
    <w:rsid w:val="003554D2"/>
    <w:rsid w:val="0035580D"/>
    <w:rsid w:val="0035588D"/>
    <w:rsid w:val="00355985"/>
    <w:rsid w:val="00355D0B"/>
    <w:rsid w:val="003565E0"/>
    <w:rsid w:val="00356887"/>
    <w:rsid w:val="00356915"/>
    <w:rsid w:val="00356E75"/>
    <w:rsid w:val="00356F02"/>
    <w:rsid w:val="0035766F"/>
    <w:rsid w:val="0035781A"/>
    <w:rsid w:val="0035797B"/>
    <w:rsid w:val="00357B39"/>
    <w:rsid w:val="00357CB5"/>
    <w:rsid w:val="00357E8C"/>
    <w:rsid w:val="003600B2"/>
    <w:rsid w:val="003602DC"/>
    <w:rsid w:val="0036040E"/>
    <w:rsid w:val="00360517"/>
    <w:rsid w:val="00360532"/>
    <w:rsid w:val="00360B57"/>
    <w:rsid w:val="00360EB5"/>
    <w:rsid w:val="00360F43"/>
    <w:rsid w:val="00361A0A"/>
    <w:rsid w:val="00361D06"/>
    <w:rsid w:val="00361D3F"/>
    <w:rsid w:val="00362660"/>
    <w:rsid w:val="00362FD3"/>
    <w:rsid w:val="003639FB"/>
    <w:rsid w:val="00363BF7"/>
    <w:rsid w:val="00364264"/>
    <w:rsid w:val="00364D9D"/>
    <w:rsid w:val="003650F3"/>
    <w:rsid w:val="003652B9"/>
    <w:rsid w:val="0036601F"/>
    <w:rsid w:val="003660DB"/>
    <w:rsid w:val="0036633A"/>
    <w:rsid w:val="003665B1"/>
    <w:rsid w:val="0036695B"/>
    <w:rsid w:val="003678EB"/>
    <w:rsid w:val="00367B88"/>
    <w:rsid w:val="00370307"/>
    <w:rsid w:val="0037035D"/>
    <w:rsid w:val="00370821"/>
    <w:rsid w:val="003709A2"/>
    <w:rsid w:val="00370A18"/>
    <w:rsid w:val="00370AA1"/>
    <w:rsid w:val="003710ED"/>
    <w:rsid w:val="003716B7"/>
    <w:rsid w:val="003717D0"/>
    <w:rsid w:val="00371D3A"/>
    <w:rsid w:val="003720EE"/>
    <w:rsid w:val="00372263"/>
    <w:rsid w:val="003725AA"/>
    <w:rsid w:val="003728BF"/>
    <w:rsid w:val="00372A5B"/>
    <w:rsid w:val="00373491"/>
    <w:rsid w:val="00373766"/>
    <w:rsid w:val="003739DD"/>
    <w:rsid w:val="00373A9E"/>
    <w:rsid w:val="003741A2"/>
    <w:rsid w:val="00374419"/>
    <w:rsid w:val="00374624"/>
    <w:rsid w:val="00374AC8"/>
    <w:rsid w:val="00374C44"/>
    <w:rsid w:val="00374D75"/>
    <w:rsid w:val="00374DC6"/>
    <w:rsid w:val="0037526B"/>
    <w:rsid w:val="003753CE"/>
    <w:rsid w:val="00375A73"/>
    <w:rsid w:val="00375E08"/>
    <w:rsid w:val="00375EA8"/>
    <w:rsid w:val="00376F2E"/>
    <w:rsid w:val="0037738C"/>
    <w:rsid w:val="00377CAD"/>
    <w:rsid w:val="00377D9A"/>
    <w:rsid w:val="00377E4F"/>
    <w:rsid w:val="00377F68"/>
    <w:rsid w:val="0038016E"/>
    <w:rsid w:val="00380265"/>
    <w:rsid w:val="00380364"/>
    <w:rsid w:val="0038047C"/>
    <w:rsid w:val="00380746"/>
    <w:rsid w:val="00380B0B"/>
    <w:rsid w:val="00380BB9"/>
    <w:rsid w:val="00380D7D"/>
    <w:rsid w:val="00380E94"/>
    <w:rsid w:val="00381256"/>
    <w:rsid w:val="0038126C"/>
    <w:rsid w:val="003813B0"/>
    <w:rsid w:val="003814BB"/>
    <w:rsid w:val="00381562"/>
    <w:rsid w:val="00381750"/>
    <w:rsid w:val="00382266"/>
    <w:rsid w:val="0038235E"/>
    <w:rsid w:val="00382A53"/>
    <w:rsid w:val="00382AE5"/>
    <w:rsid w:val="00382B0C"/>
    <w:rsid w:val="00382FE3"/>
    <w:rsid w:val="00383170"/>
    <w:rsid w:val="003833B5"/>
    <w:rsid w:val="0038352D"/>
    <w:rsid w:val="003835FF"/>
    <w:rsid w:val="00383BF4"/>
    <w:rsid w:val="00384584"/>
    <w:rsid w:val="003847ED"/>
    <w:rsid w:val="00384ADE"/>
    <w:rsid w:val="00384DB9"/>
    <w:rsid w:val="003856BD"/>
    <w:rsid w:val="00386DDB"/>
    <w:rsid w:val="00387553"/>
    <w:rsid w:val="0038792E"/>
    <w:rsid w:val="0038797A"/>
    <w:rsid w:val="00387A4A"/>
    <w:rsid w:val="00391078"/>
    <w:rsid w:val="0039121A"/>
    <w:rsid w:val="003921CD"/>
    <w:rsid w:val="00392270"/>
    <w:rsid w:val="003929D2"/>
    <w:rsid w:val="00392BC2"/>
    <w:rsid w:val="00392CCA"/>
    <w:rsid w:val="00392F26"/>
    <w:rsid w:val="00393029"/>
    <w:rsid w:val="00393AD7"/>
    <w:rsid w:val="00393E3E"/>
    <w:rsid w:val="00393F81"/>
    <w:rsid w:val="00393FA5"/>
    <w:rsid w:val="0039406E"/>
    <w:rsid w:val="0039411F"/>
    <w:rsid w:val="0039413F"/>
    <w:rsid w:val="003946B9"/>
    <w:rsid w:val="00394B51"/>
    <w:rsid w:val="003953BE"/>
    <w:rsid w:val="003957BB"/>
    <w:rsid w:val="003962CD"/>
    <w:rsid w:val="003963FF"/>
    <w:rsid w:val="003965C0"/>
    <w:rsid w:val="00396894"/>
    <w:rsid w:val="00396935"/>
    <w:rsid w:val="00396997"/>
    <w:rsid w:val="00396A4C"/>
    <w:rsid w:val="0039743E"/>
    <w:rsid w:val="00397A8D"/>
    <w:rsid w:val="00397CAC"/>
    <w:rsid w:val="00397D16"/>
    <w:rsid w:val="003A0403"/>
    <w:rsid w:val="003A0D0B"/>
    <w:rsid w:val="003A1301"/>
    <w:rsid w:val="003A1968"/>
    <w:rsid w:val="003A1EE5"/>
    <w:rsid w:val="003A27BB"/>
    <w:rsid w:val="003A280A"/>
    <w:rsid w:val="003A2FE5"/>
    <w:rsid w:val="003A31F5"/>
    <w:rsid w:val="003A35D6"/>
    <w:rsid w:val="003A43CA"/>
    <w:rsid w:val="003A4473"/>
    <w:rsid w:val="003A4780"/>
    <w:rsid w:val="003A4E51"/>
    <w:rsid w:val="003A5077"/>
    <w:rsid w:val="003A5614"/>
    <w:rsid w:val="003A56A1"/>
    <w:rsid w:val="003A5BC5"/>
    <w:rsid w:val="003A5C82"/>
    <w:rsid w:val="003A5CF2"/>
    <w:rsid w:val="003A5D19"/>
    <w:rsid w:val="003A5D52"/>
    <w:rsid w:val="003A5E4A"/>
    <w:rsid w:val="003A5F4E"/>
    <w:rsid w:val="003A6A4E"/>
    <w:rsid w:val="003A6DDA"/>
    <w:rsid w:val="003A72FF"/>
    <w:rsid w:val="003A782B"/>
    <w:rsid w:val="003B03BF"/>
    <w:rsid w:val="003B0E9B"/>
    <w:rsid w:val="003B1620"/>
    <w:rsid w:val="003B1661"/>
    <w:rsid w:val="003B1919"/>
    <w:rsid w:val="003B28F3"/>
    <w:rsid w:val="003B2A09"/>
    <w:rsid w:val="003B2E43"/>
    <w:rsid w:val="003B2FCF"/>
    <w:rsid w:val="003B317B"/>
    <w:rsid w:val="003B3EC4"/>
    <w:rsid w:val="003B3FD2"/>
    <w:rsid w:val="003B4059"/>
    <w:rsid w:val="003B4407"/>
    <w:rsid w:val="003B440E"/>
    <w:rsid w:val="003B453B"/>
    <w:rsid w:val="003B51D0"/>
    <w:rsid w:val="003B5254"/>
    <w:rsid w:val="003B533E"/>
    <w:rsid w:val="003B5747"/>
    <w:rsid w:val="003B580F"/>
    <w:rsid w:val="003B6230"/>
    <w:rsid w:val="003B63DD"/>
    <w:rsid w:val="003B642F"/>
    <w:rsid w:val="003B673D"/>
    <w:rsid w:val="003B6A7F"/>
    <w:rsid w:val="003B730A"/>
    <w:rsid w:val="003B7840"/>
    <w:rsid w:val="003B7AF0"/>
    <w:rsid w:val="003B7CC3"/>
    <w:rsid w:val="003B7F41"/>
    <w:rsid w:val="003C0183"/>
    <w:rsid w:val="003C0B0E"/>
    <w:rsid w:val="003C1054"/>
    <w:rsid w:val="003C175D"/>
    <w:rsid w:val="003C1CFB"/>
    <w:rsid w:val="003C2577"/>
    <w:rsid w:val="003C2BBD"/>
    <w:rsid w:val="003C2F98"/>
    <w:rsid w:val="003C32A6"/>
    <w:rsid w:val="003C3379"/>
    <w:rsid w:val="003C3AE8"/>
    <w:rsid w:val="003C3BB5"/>
    <w:rsid w:val="003C3E77"/>
    <w:rsid w:val="003C3E86"/>
    <w:rsid w:val="003C4066"/>
    <w:rsid w:val="003C4264"/>
    <w:rsid w:val="003C43EC"/>
    <w:rsid w:val="003C4448"/>
    <w:rsid w:val="003C46AD"/>
    <w:rsid w:val="003C4B15"/>
    <w:rsid w:val="003C4D1E"/>
    <w:rsid w:val="003C4DE4"/>
    <w:rsid w:val="003C4E99"/>
    <w:rsid w:val="003C529F"/>
    <w:rsid w:val="003C5FC9"/>
    <w:rsid w:val="003C63D3"/>
    <w:rsid w:val="003C7449"/>
    <w:rsid w:val="003C7AF1"/>
    <w:rsid w:val="003C7BE5"/>
    <w:rsid w:val="003D0022"/>
    <w:rsid w:val="003D0B52"/>
    <w:rsid w:val="003D0B5A"/>
    <w:rsid w:val="003D1093"/>
    <w:rsid w:val="003D1448"/>
    <w:rsid w:val="003D1621"/>
    <w:rsid w:val="003D1ADC"/>
    <w:rsid w:val="003D1BB5"/>
    <w:rsid w:val="003D1D95"/>
    <w:rsid w:val="003D1EEC"/>
    <w:rsid w:val="003D1EF2"/>
    <w:rsid w:val="003D1F44"/>
    <w:rsid w:val="003D22D2"/>
    <w:rsid w:val="003D33E2"/>
    <w:rsid w:val="003D3537"/>
    <w:rsid w:val="003D35E6"/>
    <w:rsid w:val="003D3A06"/>
    <w:rsid w:val="003D3CB2"/>
    <w:rsid w:val="003D3D91"/>
    <w:rsid w:val="003D3EC2"/>
    <w:rsid w:val="003D4674"/>
    <w:rsid w:val="003D4708"/>
    <w:rsid w:val="003D472C"/>
    <w:rsid w:val="003D477A"/>
    <w:rsid w:val="003D4D86"/>
    <w:rsid w:val="003D5469"/>
    <w:rsid w:val="003D55F6"/>
    <w:rsid w:val="003D5847"/>
    <w:rsid w:val="003D614C"/>
    <w:rsid w:val="003D619A"/>
    <w:rsid w:val="003D6556"/>
    <w:rsid w:val="003D7078"/>
    <w:rsid w:val="003D71FB"/>
    <w:rsid w:val="003D758E"/>
    <w:rsid w:val="003D7C86"/>
    <w:rsid w:val="003D7CF9"/>
    <w:rsid w:val="003E01B9"/>
    <w:rsid w:val="003E0352"/>
    <w:rsid w:val="003E05BD"/>
    <w:rsid w:val="003E0976"/>
    <w:rsid w:val="003E0A15"/>
    <w:rsid w:val="003E0C71"/>
    <w:rsid w:val="003E0C99"/>
    <w:rsid w:val="003E14BE"/>
    <w:rsid w:val="003E182D"/>
    <w:rsid w:val="003E1937"/>
    <w:rsid w:val="003E1AFB"/>
    <w:rsid w:val="003E213F"/>
    <w:rsid w:val="003E26B2"/>
    <w:rsid w:val="003E2B86"/>
    <w:rsid w:val="003E3046"/>
    <w:rsid w:val="003E3205"/>
    <w:rsid w:val="003E32E1"/>
    <w:rsid w:val="003E32FE"/>
    <w:rsid w:val="003E345C"/>
    <w:rsid w:val="003E3615"/>
    <w:rsid w:val="003E3966"/>
    <w:rsid w:val="003E3F41"/>
    <w:rsid w:val="003E3F62"/>
    <w:rsid w:val="003E50A1"/>
    <w:rsid w:val="003E5127"/>
    <w:rsid w:val="003E536E"/>
    <w:rsid w:val="003E542F"/>
    <w:rsid w:val="003E569A"/>
    <w:rsid w:val="003E592F"/>
    <w:rsid w:val="003E5F33"/>
    <w:rsid w:val="003E61EF"/>
    <w:rsid w:val="003E6615"/>
    <w:rsid w:val="003E694D"/>
    <w:rsid w:val="003E6CD0"/>
    <w:rsid w:val="003E74C3"/>
    <w:rsid w:val="003E79F9"/>
    <w:rsid w:val="003E7C34"/>
    <w:rsid w:val="003F06E0"/>
    <w:rsid w:val="003F076E"/>
    <w:rsid w:val="003F083C"/>
    <w:rsid w:val="003F08C4"/>
    <w:rsid w:val="003F0949"/>
    <w:rsid w:val="003F0C38"/>
    <w:rsid w:val="003F0D7C"/>
    <w:rsid w:val="003F1223"/>
    <w:rsid w:val="003F12E9"/>
    <w:rsid w:val="003F177A"/>
    <w:rsid w:val="003F1AB9"/>
    <w:rsid w:val="003F1BBE"/>
    <w:rsid w:val="003F1C13"/>
    <w:rsid w:val="003F1FD6"/>
    <w:rsid w:val="003F26FE"/>
    <w:rsid w:val="003F2A44"/>
    <w:rsid w:val="003F2ABB"/>
    <w:rsid w:val="003F2C11"/>
    <w:rsid w:val="003F301F"/>
    <w:rsid w:val="003F3377"/>
    <w:rsid w:val="003F33B7"/>
    <w:rsid w:val="003F37FD"/>
    <w:rsid w:val="003F3854"/>
    <w:rsid w:val="003F39AE"/>
    <w:rsid w:val="003F3A52"/>
    <w:rsid w:val="003F3EF1"/>
    <w:rsid w:val="003F45B2"/>
    <w:rsid w:val="003F4679"/>
    <w:rsid w:val="003F4B62"/>
    <w:rsid w:val="003F59F4"/>
    <w:rsid w:val="003F5B16"/>
    <w:rsid w:val="003F5CD7"/>
    <w:rsid w:val="003F5CD8"/>
    <w:rsid w:val="003F5FDD"/>
    <w:rsid w:val="003F6086"/>
    <w:rsid w:val="003F60E1"/>
    <w:rsid w:val="003F648C"/>
    <w:rsid w:val="003F6633"/>
    <w:rsid w:val="003F66FD"/>
    <w:rsid w:val="003F672A"/>
    <w:rsid w:val="003F7000"/>
    <w:rsid w:val="003F757E"/>
    <w:rsid w:val="003F764A"/>
    <w:rsid w:val="003F7F49"/>
    <w:rsid w:val="0040032A"/>
    <w:rsid w:val="0040033C"/>
    <w:rsid w:val="00400494"/>
    <w:rsid w:val="004004F6"/>
    <w:rsid w:val="0040078F"/>
    <w:rsid w:val="004010AA"/>
    <w:rsid w:val="004017DF"/>
    <w:rsid w:val="00401A68"/>
    <w:rsid w:val="00401B69"/>
    <w:rsid w:val="0040214B"/>
    <w:rsid w:val="00402280"/>
    <w:rsid w:val="00402B37"/>
    <w:rsid w:val="00402BA1"/>
    <w:rsid w:val="00402DC6"/>
    <w:rsid w:val="0040313C"/>
    <w:rsid w:val="0040351E"/>
    <w:rsid w:val="00403882"/>
    <w:rsid w:val="00403A03"/>
    <w:rsid w:val="00404D94"/>
    <w:rsid w:val="00404DCD"/>
    <w:rsid w:val="0040548B"/>
    <w:rsid w:val="004054A8"/>
    <w:rsid w:val="004055FB"/>
    <w:rsid w:val="00405AE6"/>
    <w:rsid w:val="00405E6C"/>
    <w:rsid w:val="00405EA9"/>
    <w:rsid w:val="00406145"/>
    <w:rsid w:val="0040646D"/>
    <w:rsid w:val="00406500"/>
    <w:rsid w:val="0040667E"/>
    <w:rsid w:val="00406A86"/>
    <w:rsid w:val="00406AC1"/>
    <w:rsid w:val="00406D88"/>
    <w:rsid w:val="00406FFC"/>
    <w:rsid w:val="00407441"/>
    <w:rsid w:val="004077D6"/>
    <w:rsid w:val="0040780E"/>
    <w:rsid w:val="00407867"/>
    <w:rsid w:val="00407C0D"/>
    <w:rsid w:val="004104BE"/>
    <w:rsid w:val="00410778"/>
    <w:rsid w:val="00410883"/>
    <w:rsid w:val="00410A5C"/>
    <w:rsid w:val="00410C9B"/>
    <w:rsid w:val="00411033"/>
    <w:rsid w:val="00411317"/>
    <w:rsid w:val="004115E1"/>
    <w:rsid w:val="004116F3"/>
    <w:rsid w:val="004117A8"/>
    <w:rsid w:val="00411A53"/>
    <w:rsid w:val="00411BEF"/>
    <w:rsid w:val="00411F5D"/>
    <w:rsid w:val="004120B3"/>
    <w:rsid w:val="004121E7"/>
    <w:rsid w:val="004129F1"/>
    <w:rsid w:val="0041312D"/>
    <w:rsid w:val="00413710"/>
    <w:rsid w:val="00414334"/>
    <w:rsid w:val="00414665"/>
    <w:rsid w:val="00414673"/>
    <w:rsid w:val="0041473B"/>
    <w:rsid w:val="0041478B"/>
    <w:rsid w:val="00414B30"/>
    <w:rsid w:val="00414C6B"/>
    <w:rsid w:val="00414E51"/>
    <w:rsid w:val="00414E5C"/>
    <w:rsid w:val="0041517D"/>
    <w:rsid w:val="004151EC"/>
    <w:rsid w:val="00415D9B"/>
    <w:rsid w:val="00416093"/>
    <w:rsid w:val="004162D3"/>
    <w:rsid w:val="00416512"/>
    <w:rsid w:val="004167C7"/>
    <w:rsid w:val="004167DB"/>
    <w:rsid w:val="00416CA7"/>
    <w:rsid w:val="00416CC7"/>
    <w:rsid w:val="00416D3C"/>
    <w:rsid w:val="00416E86"/>
    <w:rsid w:val="00417347"/>
    <w:rsid w:val="004173A0"/>
    <w:rsid w:val="0041747D"/>
    <w:rsid w:val="0041760B"/>
    <w:rsid w:val="00417775"/>
    <w:rsid w:val="004179E2"/>
    <w:rsid w:val="00417E60"/>
    <w:rsid w:val="004202E1"/>
    <w:rsid w:val="004203EF"/>
    <w:rsid w:val="00420435"/>
    <w:rsid w:val="0042094B"/>
    <w:rsid w:val="00420AAC"/>
    <w:rsid w:val="00420F04"/>
    <w:rsid w:val="004210BA"/>
    <w:rsid w:val="004213A2"/>
    <w:rsid w:val="004213A6"/>
    <w:rsid w:val="004214FC"/>
    <w:rsid w:val="00421870"/>
    <w:rsid w:val="00422156"/>
    <w:rsid w:val="004228C6"/>
    <w:rsid w:val="00422D03"/>
    <w:rsid w:val="00423099"/>
    <w:rsid w:val="0042347C"/>
    <w:rsid w:val="00423CBD"/>
    <w:rsid w:val="004240A9"/>
    <w:rsid w:val="004241CE"/>
    <w:rsid w:val="00424200"/>
    <w:rsid w:val="00424564"/>
    <w:rsid w:val="00424D0A"/>
    <w:rsid w:val="00424E79"/>
    <w:rsid w:val="00424FA9"/>
    <w:rsid w:val="0042558E"/>
    <w:rsid w:val="00425B6E"/>
    <w:rsid w:val="00425BA1"/>
    <w:rsid w:val="00426178"/>
    <w:rsid w:val="0042661C"/>
    <w:rsid w:val="00427271"/>
    <w:rsid w:val="004274B3"/>
    <w:rsid w:val="00427808"/>
    <w:rsid w:val="00427F27"/>
    <w:rsid w:val="0043009C"/>
    <w:rsid w:val="00430294"/>
    <w:rsid w:val="004303AB"/>
    <w:rsid w:val="0043044F"/>
    <w:rsid w:val="0043062E"/>
    <w:rsid w:val="00430734"/>
    <w:rsid w:val="0043076A"/>
    <w:rsid w:val="00430BDD"/>
    <w:rsid w:val="00431060"/>
    <w:rsid w:val="0043113F"/>
    <w:rsid w:val="00431785"/>
    <w:rsid w:val="00431B17"/>
    <w:rsid w:val="00432048"/>
    <w:rsid w:val="004323EB"/>
    <w:rsid w:val="00432540"/>
    <w:rsid w:val="00432D78"/>
    <w:rsid w:val="00432E48"/>
    <w:rsid w:val="00432ED2"/>
    <w:rsid w:val="004332B3"/>
    <w:rsid w:val="00433469"/>
    <w:rsid w:val="00433529"/>
    <w:rsid w:val="0043362C"/>
    <w:rsid w:val="00433C2A"/>
    <w:rsid w:val="00433F36"/>
    <w:rsid w:val="00433FEE"/>
    <w:rsid w:val="004344BF"/>
    <w:rsid w:val="0043452F"/>
    <w:rsid w:val="00434660"/>
    <w:rsid w:val="00434B15"/>
    <w:rsid w:val="00434B64"/>
    <w:rsid w:val="00435A59"/>
    <w:rsid w:val="00435CB8"/>
    <w:rsid w:val="00436217"/>
    <w:rsid w:val="00436227"/>
    <w:rsid w:val="0043632B"/>
    <w:rsid w:val="00436624"/>
    <w:rsid w:val="00436E6C"/>
    <w:rsid w:val="00437057"/>
    <w:rsid w:val="00437135"/>
    <w:rsid w:val="004375B3"/>
    <w:rsid w:val="00437B99"/>
    <w:rsid w:val="00440195"/>
    <w:rsid w:val="00440360"/>
    <w:rsid w:val="004403F7"/>
    <w:rsid w:val="0044069D"/>
    <w:rsid w:val="00440C8C"/>
    <w:rsid w:val="004412FA"/>
    <w:rsid w:val="0044167F"/>
    <w:rsid w:val="004418E1"/>
    <w:rsid w:val="00441CBC"/>
    <w:rsid w:val="00441F98"/>
    <w:rsid w:val="0044207C"/>
    <w:rsid w:val="00442E9B"/>
    <w:rsid w:val="004438E4"/>
    <w:rsid w:val="00443B94"/>
    <w:rsid w:val="00443E1F"/>
    <w:rsid w:val="00443EC1"/>
    <w:rsid w:val="0044403E"/>
    <w:rsid w:val="004441D6"/>
    <w:rsid w:val="00444240"/>
    <w:rsid w:val="004443E1"/>
    <w:rsid w:val="0044566E"/>
    <w:rsid w:val="00446A96"/>
    <w:rsid w:val="00446C68"/>
    <w:rsid w:val="00446D05"/>
    <w:rsid w:val="00446F26"/>
    <w:rsid w:val="0044756C"/>
    <w:rsid w:val="00447666"/>
    <w:rsid w:val="00447725"/>
    <w:rsid w:val="004477FF"/>
    <w:rsid w:val="00447AC9"/>
    <w:rsid w:val="00447CE7"/>
    <w:rsid w:val="00447D1A"/>
    <w:rsid w:val="00447D60"/>
    <w:rsid w:val="004502B2"/>
    <w:rsid w:val="00450452"/>
    <w:rsid w:val="0045047E"/>
    <w:rsid w:val="004504E9"/>
    <w:rsid w:val="00450CD9"/>
    <w:rsid w:val="00451433"/>
    <w:rsid w:val="00451970"/>
    <w:rsid w:val="00451E80"/>
    <w:rsid w:val="00452434"/>
    <w:rsid w:val="00452631"/>
    <w:rsid w:val="004526F1"/>
    <w:rsid w:val="00452EAE"/>
    <w:rsid w:val="00452EF2"/>
    <w:rsid w:val="00452FEC"/>
    <w:rsid w:val="00453264"/>
    <w:rsid w:val="0045350E"/>
    <w:rsid w:val="0045402E"/>
    <w:rsid w:val="004549A2"/>
    <w:rsid w:val="004551F2"/>
    <w:rsid w:val="0045521A"/>
    <w:rsid w:val="0045526D"/>
    <w:rsid w:val="00455597"/>
    <w:rsid w:val="00456226"/>
    <w:rsid w:val="0045628F"/>
    <w:rsid w:val="004562B8"/>
    <w:rsid w:val="0045650E"/>
    <w:rsid w:val="004568D7"/>
    <w:rsid w:val="00456E0B"/>
    <w:rsid w:val="004574E7"/>
    <w:rsid w:val="004575B3"/>
    <w:rsid w:val="00457981"/>
    <w:rsid w:val="00457990"/>
    <w:rsid w:val="00457C7C"/>
    <w:rsid w:val="00460114"/>
    <w:rsid w:val="0046147A"/>
    <w:rsid w:val="0046174C"/>
    <w:rsid w:val="00461CDE"/>
    <w:rsid w:val="00462036"/>
    <w:rsid w:val="0046222A"/>
    <w:rsid w:val="00462914"/>
    <w:rsid w:val="00462B54"/>
    <w:rsid w:val="00463064"/>
    <w:rsid w:val="0046334D"/>
    <w:rsid w:val="004633A5"/>
    <w:rsid w:val="004636C5"/>
    <w:rsid w:val="004637AF"/>
    <w:rsid w:val="00463DB5"/>
    <w:rsid w:val="004640FD"/>
    <w:rsid w:val="00464118"/>
    <w:rsid w:val="004649CD"/>
    <w:rsid w:val="00464C37"/>
    <w:rsid w:val="00465385"/>
    <w:rsid w:val="0046558A"/>
    <w:rsid w:val="004656CF"/>
    <w:rsid w:val="00465D65"/>
    <w:rsid w:val="00465E91"/>
    <w:rsid w:val="00466750"/>
    <w:rsid w:val="00466805"/>
    <w:rsid w:val="0046685B"/>
    <w:rsid w:val="00466FC4"/>
    <w:rsid w:val="00467066"/>
    <w:rsid w:val="004670A0"/>
    <w:rsid w:val="0046770A"/>
    <w:rsid w:val="00467A5C"/>
    <w:rsid w:val="00467ABD"/>
    <w:rsid w:val="00467E2B"/>
    <w:rsid w:val="00470BAE"/>
    <w:rsid w:val="00471411"/>
    <w:rsid w:val="00471956"/>
    <w:rsid w:val="00471D36"/>
    <w:rsid w:val="00471DEC"/>
    <w:rsid w:val="00472461"/>
    <w:rsid w:val="004724BE"/>
    <w:rsid w:val="004727AD"/>
    <w:rsid w:val="00472B98"/>
    <w:rsid w:val="00472DEE"/>
    <w:rsid w:val="00473141"/>
    <w:rsid w:val="004732CA"/>
    <w:rsid w:val="00473C3D"/>
    <w:rsid w:val="00473EBA"/>
    <w:rsid w:val="00474445"/>
    <w:rsid w:val="0047451E"/>
    <w:rsid w:val="00474835"/>
    <w:rsid w:val="00474EA2"/>
    <w:rsid w:val="00475B95"/>
    <w:rsid w:val="00475BFE"/>
    <w:rsid w:val="00475C23"/>
    <w:rsid w:val="00475C50"/>
    <w:rsid w:val="004762F3"/>
    <w:rsid w:val="00477042"/>
    <w:rsid w:val="0047711B"/>
    <w:rsid w:val="00477404"/>
    <w:rsid w:val="00477612"/>
    <w:rsid w:val="00477C42"/>
    <w:rsid w:val="00480065"/>
    <w:rsid w:val="00480562"/>
    <w:rsid w:val="00480564"/>
    <w:rsid w:val="004808B8"/>
    <w:rsid w:val="004809B8"/>
    <w:rsid w:val="00480DD9"/>
    <w:rsid w:val="0048119A"/>
    <w:rsid w:val="00481708"/>
    <w:rsid w:val="004817E9"/>
    <w:rsid w:val="00481CFE"/>
    <w:rsid w:val="00481F10"/>
    <w:rsid w:val="004820FA"/>
    <w:rsid w:val="004821B9"/>
    <w:rsid w:val="004824F0"/>
    <w:rsid w:val="00482758"/>
    <w:rsid w:val="00483217"/>
    <w:rsid w:val="0048347E"/>
    <w:rsid w:val="0048354C"/>
    <w:rsid w:val="00483A69"/>
    <w:rsid w:val="00484AA6"/>
    <w:rsid w:val="00484D05"/>
    <w:rsid w:val="00485301"/>
    <w:rsid w:val="00485601"/>
    <w:rsid w:val="00485612"/>
    <w:rsid w:val="00485A0F"/>
    <w:rsid w:val="00485DD4"/>
    <w:rsid w:val="00485F13"/>
    <w:rsid w:val="00486093"/>
    <w:rsid w:val="0048632D"/>
    <w:rsid w:val="00486D36"/>
    <w:rsid w:val="00486E2E"/>
    <w:rsid w:val="0048701F"/>
    <w:rsid w:val="00487498"/>
    <w:rsid w:val="00487D40"/>
    <w:rsid w:val="004900BA"/>
    <w:rsid w:val="004902A7"/>
    <w:rsid w:val="00490742"/>
    <w:rsid w:val="004908BF"/>
    <w:rsid w:val="00490A31"/>
    <w:rsid w:val="004910A6"/>
    <w:rsid w:val="00491575"/>
    <w:rsid w:val="004916CB"/>
    <w:rsid w:val="004917B9"/>
    <w:rsid w:val="0049183D"/>
    <w:rsid w:val="00491880"/>
    <w:rsid w:val="00491D88"/>
    <w:rsid w:val="00491FDF"/>
    <w:rsid w:val="00492271"/>
    <w:rsid w:val="004925BF"/>
    <w:rsid w:val="004926AE"/>
    <w:rsid w:val="004927D8"/>
    <w:rsid w:val="004928BF"/>
    <w:rsid w:val="00493021"/>
    <w:rsid w:val="00493277"/>
    <w:rsid w:val="004935ED"/>
    <w:rsid w:val="00493631"/>
    <w:rsid w:val="00493BE7"/>
    <w:rsid w:val="004942B5"/>
    <w:rsid w:val="00494E80"/>
    <w:rsid w:val="0049508D"/>
    <w:rsid w:val="004958AC"/>
    <w:rsid w:val="00495FD4"/>
    <w:rsid w:val="0049605C"/>
    <w:rsid w:val="004965C1"/>
    <w:rsid w:val="004965F7"/>
    <w:rsid w:val="00496605"/>
    <w:rsid w:val="004966F6"/>
    <w:rsid w:val="0049687E"/>
    <w:rsid w:val="004969AF"/>
    <w:rsid w:val="00496A3B"/>
    <w:rsid w:val="00496DA4"/>
    <w:rsid w:val="004970F8"/>
    <w:rsid w:val="00497552"/>
    <w:rsid w:val="004975AD"/>
    <w:rsid w:val="00497950"/>
    <w:rsid w:val="00497BFA"/>
    <w:rsid w:val="00497FBF"/>
    <w:rsid w:val="004A053D"/>
    <w:rsid w:val="004A06F9"/>
    <w:rsid w:val="004A1635"/>
    <w:rsid w:val="004A1D47"/>
    <w:rsid w:val="004A1FCC"/>
    <w:rsid w:val="004A2565"/>
    <w:rsid w:val="004A267A"/>
    <w:rsid w:val="004A29BD"/>
    <w:rsid w:val="004A2F18"/>
    <w:rsid w:val="004A2FFD"/>
    <w:rsid w:val="004A3183"/>
    <w:rsid w:val="004A325C"/>
    <w:rsid w:val="004A3873"/>
    <w:rsid w:val="004A39C9"/>
    <w:rsid w:val="004A3B78"/>
    <w:rsid w:val="004A4036"/>
    <w:rsid w:val="004A40B0"/>
    <w:rsid w:val="004A41FB"/>
    <w:rsid w:val="004A4309"/>
    <w:rsid w:val="004A46FF"/>
    <w:rsid w:val="004A4A56"/>
    <w:rsid w:val="004A4BFA"/>
    <w:rsid w:val="004A4CBD"/>
    <w:rsid w:val="004A56B1"/>
    <w:rsid w:val="004A5A65"/>
    <w:rsid w:val="004A5F9D"/>
    <w:rsid w:val="004A6101"/>
    <w:rsid w:val="004A6166"/>
    <w:rsid w:val="004A63E5"/>
    <w:rsid w:val="004A66FC"/>
    <w:rsid w:val="004A67E9"/>
    <w:rsid w:val="004A687D"/>
    <w:rsid w:val="004A6896"/>
    <w:rsid w:val="004A6B13"/>
    <w:rsid w:val="004A6DB6"/>
    <w:rsid w:val="004A7048"/>
    <w:rsid w:val="004A7057"/>
    <w:rsid w:val="004A70F7"/>
    <w:rsid w:val="004A7200"/>
    <w:rsid w:val="004A73A0"/>
    <w:rsid w:val="004A742E"/>
    <w:rsid w:val="004A7616"/>
    <w:rsid w:val="004A7B16"/>
    <w:rsid w:val="004A7B5E"/>
    <w:rsid w:val="004A7EFC"/>
    <w:rsid w:val="004B0498"/>
    <w:rsid w:val="004B0514"/>
    <w:rsid w:val="004B0A0A"/>
    <w:rsid w:val="004B0B7E"/>
    <w:rsid w:val="004B0D70"/>
    <w:rsid w:val="004B102D"/>
    <w:rsid w:val="004B1088"/>
    <w:rsid w:val="004B1125"/>
    <w:rsid w:val="004B12F1"/>
    <w:rsid w:val="004B1C4B"/>
    <w:rsid w:val="004B1DA3"/>
    <w:rsid w:val="004B1F04"/>
    <w:rsid w:val="004B208D"/>
    <w:rsid w:val="004B2392"/>
    <w:rsid w:val="004B2722"/>
    <w:rsid w:val="004B2891"/>
    <w:rsid w:val="004B2C16"/>
    <w:rsid w:val="004B2C60"/>
    <w:rsid w:val="004B2D06"/>
    <w:rsid w:val="004B2D30"/>
    <w:rsid w:val="004B370E"/>
    <w:rsid w:val="004B37D3"/>
    <w:rsid w:val="004B3804"/>
    <w:rsid w:val="004B3B67"/>
    <w:rsid w:val="004B3BF2"/>
    <w:rsid w:val="004B3E57"/>
    <w:rsid w:val="004B3F9E"/>
    <w:rsid w:val="004B4507"/>
    <w:rsid w:val="004B46BB"/>
    <w:rsid w:val="004B4928"/>
    <w:rsid w:val="004B4C98"/>
    <w:rsid w:val="004B545E"/>
    <w:rsid w:val="004B5C07"/>
    <w:rsid w:val="004B60CB"/>
    <w:rsid w:val="004B6291"/>
    <w:rsid w:val="004B6673"/>
    <w:rsid w:val="004B6784"/>
    <w:rsid w:val="004B6BAA"/>
    <w:rsid w:val="004B6E81"/>
    <w:rsid w:val="004B6E89"/>
    <w:rsid w:val="004B7591"/>
    <w:rsid w:val="004B7652"/>
    <w:rsid w:val="004B7B95"/>
    <w:rsid w:val="004C0650"/>
    <w:rsid w:val="004C07D9"/>
    <w:rsid w:val="004C0B4E"/>
    <w:rsid w:val="004C10FE"/>
    <w:rsid w:val="004C12D1"/>
    <w:rsid w:val="004C14AA"/>
    <w:rsid w:val="004C1CB5"/>
    <w:rsid w:val="004C29CF"/>
    <w:rsid w:val="004C2DEE"/>
    <w:rsid w:val="004C30EF"/>
    <w:rsid w:val="004C37DA"/>
    <w:rsid w:val="004C3B79"/>
    <w:rsid w:val="004C4088"/>
    <w:rsid w:val="004C484D"/>
    <w:rsid w:val="004C4C21"/>
    <w:rsid w:val="004C507A"/>
    <w:rsid w:val="004C50F1"/>
    <w:rsid w:val="004C5141"/>
    <w:rsid w:val="004C5197"/>
    <w:rsid w:val="004C5665"/>
    <w:rsid w:val="004C5C5F"/>
    <w:rsid w:val="004C5C83"/>
    <w:rsid w:val="004C5F4F"/>
    <w:rsid w:val="004C6354"/>
    <w:rsid w:val="004C63BB"/>
    <w:rsid w:val="004C641F"/>
    <w:rsid w:val="004C6639"/>
    <w:rsid w:val="004C6876"/>
    <w:rsid w:val="004C7986"/>
    <w:rsid w:val="004C7D58"/>
    <w:rsid w:val="004D075D"/>
    <w:rsid w:val="004D07EB"/>
    <w:rsid w:val="004D0A49"/>
    <w:rsid w:val="004D0B88"/>
    <w:rsid w:val="004D0C27"/>
    <w:rsid w:val="004D0D2B"/>
    <w:rsid w:val="004D0DFB"/>
    <w:rsid w:val="004D1AB3"/>
    <w:rsid w:val="004D1C82"/>
    <w:rsid w:val="004D210D"/>
    <w:rsid w:val="004D228F"/>
    <w:rsid w:val="004D2819"/>
    <w:rsid w:val="004D281A"/>
    <w:rsid w:val="004D2B7A"/>
    <w:rsid w:val="004D2E82"/>
    <w:rsid w:val="004D2F55"/>
    <w:rsid w:val="004D3041"/>
    <w:rsid w:val="004D31E0"/>
    <w:rsid w:val="004D3287"/>
    <w:rsid w:val="004D33BE"/>
    <w:rsid w:val="004D34A9"/>
    <w:rsid w:val="004D3571"/>
    <w:rsid w:val="004D376D"/>
    <w:rsid w:val="004D3F61"/>
    <w:rsid w:val="004D479B"/>
    <w:rsid w:val="004D48FD"/>
    <w:rsid w:val="004D4CF4"/>
    <w:rsid w:val="004D4E8E"/>
    <w:rsid w:val="004D55D1"/>
    <w:rsid w:val="004D56AB"/>
    <w:rsid w:val="004D6797"/>
    <w:rsid w:val="004D693C"/>
    <w:rsid w:val="004D6EF5"/>
    <w:rsid w:val="004D7100"/>
    <w:rsid w:val="004D73A4"/>
    <w:rsid w:val="004D7660"/>
    <w:rsid w:val="004D76E1"/>
    <w:rsid w:val="004D7E55"/>
    <w:rsid w:val="004E094F"/>
    <w:rsid w:val="004E0B48"/>
    <w:rsid w:val="004E10E4"/>
    <w:rsid w:val="004E1357"/>
    <w:rsid w:val="004E184D"/>
    <w:rsid w:val="004E186D"/>
    <w:rsid w:val="004E2081"/>
    <w:rsid w:val="004E269F"/>
    <w:rsid w:val="004E2879"/>
    <w:rsid w:val="004E3A95"/>
    <w:rsid w:val="004E3B79"/>
    <w:rsid w:val="004E406C"/>
    <w:rsid w:val="004E420A"/>
    <w:rsid w:val="004E4825"/>
    <w:rsid w:val="004E4899"/>
    <w:rsid w:val="004E4AAD"/>
    <w:rsid w:val="004E513E"/>
    <w:rsid w:val="004E55D2"/>
    <w:rsid w:val="004E59E1"/>
    <w:rsid w:val="004E6073"/>
    <w:rsid w:val="004E6318"/>
    <w:rsid w:val="004E6499"/>
    <w:rsid w:val="004E6719"/>
    <w:rsid w:val="004E6B7D"/>
    <w:rsid w:val="004E6DD8"/>
    <w:rsid w:val="004E7076"/>
    <w:rsid w:val="004E7104"/>
    <w:rsid w:val="004E7517"/>
    <w:rsid w:val="004E7519"/>
    <w:rsid w:val="004E769A"/>
    <w:rsid w:val="004E7AEB"/>
    <w:rsid w:val="004E7C01"/>
    <w:rsid w:val="004F03D5"/>
    <w:rsid w:val="004F0684"/>
    <w:rsid w:val="004F06A5"/>
    <w:rsid w:val="004F07A1"/>
    <w:rsid w:val="004F1173"/>
    <w:rsid w:val="004F148C"/>
    <w:rsid w:val="004F1ACF"/>
    <w:rsid w:val="004F1BA7"/>
    <w:rsid w:val="004F2A15"/>
    <w:rsid w:val="004F2C66"/>
    <w:rsid w:val="004F2CB7"/>
    <w:rsid w:val="004F2F39"/>
    <w:rsid w:val="004F2F52"/>
    <w:rsid w:val="004F3156"/>
    <w:rsid w:val="004F31AE"/>
    <w:rsid w:val="004F32DC"/>
    <w:rsid w:val="004F341F"/>
    <w:rsid w:val="004F383C"/>
    <w:rsid w:val="004F3A8E"/>
    <w:rsid w:val="004F3B60"/>
    <w:rsid w:val="004F3F7A"/>
    <w:rsid w:val="004F491F"/>
    <w:rsid w:val="004F4A13"/>
    <w:rsid w:val="004F502A"/>
    <w:rsid w:val="004F53E2"/>
    <w:rsid w:val="004F585C"/>
    <w:rsid w:val="004F58D3"/>
    <w:rsid w:val="004F5CEF"/>
    <w:rsid w:val="004F5D2B"/>
    <w:rsid w:val="004F5F48"/>
    <w:rsid w:val="004F6230"/>
    <w:rsid w:val="004F628E"/>
    <w:rsid w:val="004F6439"/>
    <w:rsid w:val="004F65C1"/>
    <w:rsid w:val="004F6794"/>
    <w:rsid w:val="004F750C"/>
    <w:rsid w:val="004F7531"/>
    <w:rsid w:val="004F7F2F"/>
    <w:rsid w:val="0050005E"/>
    <w:rsid w:val="00500160"/>
    <w:rsid w:val="005003BB"/>
    <w:rsid w:val="00500586"/>
    <w:rsid w:val="005007BA"/>
    <w:rsid w:val="00500A3C"/>
    <w:rsid w:val="00500ACD"/>
    <w:rsid w:val="00500D49"/>
    <w:rsid w:val="00500FC1"/>
    <w:rsid w:val="00500FCE"/>
    <w:rsid w:val="00501138"/>
    <w:rsid w:val="00501181"/>
    <w:rsid w:val="005012C0"/>
    <w:rsid w:val="005015C6"/>
    <w:rsid w:val="005017F8"/>
    <w:rsid w:val="00501A5D"/>
    <w:rsid w:val="00501C81"/>
    <w:rsid w:val="00501CF6"/>
    <w:rsid w:val="00501F21"/>
    <w:rsid w:val="00501F68"/>
    <w:rsid w:val="00501F6F"/>
    <w:rsid w:val="00501FFE"/>
    <w:rsid w:val="00502C17"/>
    <w:rsid w:val="00502C52"/>
    <w:rsid w:val="00502E6D"/>
    <w:rsid w:val="00503344"/>
    <w:rsid w:val="00503797"/>
    <w:rsid w:val="0050390F"/>
    <w:rsid w:val="00503994"/>
    <w:rsid w:val="00503A82"/>
    <w:rsid w:val="00503AB4"/>
    <w:rsid w:val="00503C46"/>
    <w:rsid w:val="00504061"/>
    <w:rsid w:val="0050462E"/>
    <w:rsid w:val="00504A0B"/>
    <w:rsid w:val="00504B27"/>
    <w:rsid w:val="00504DE0"/>
    <w:rsid w:val="00504E91"/>
    <w:rsid w:val="00504F2E"/>
    <w:rsid w:val="00505176"/>
    <w:rsid w:val="00505210"/>
    <w:rsid w:val="00505BAE"/>
    <w:rsid w:val="00505E22"/>
    <w:rsid w:val="005060F6"/>
    <w:rsid w:val="005062FE"/>
    <w:rsid w:val="00506956"/>
    <w:rsid w:val="00506973"/>
    <w:rsid w:val="005069BD"/>
    <w:rsid w:val="00506F90"/>
    <w:rsid w:val="0050707B"/>
    <w:rsid w:val="00507243"/>
    <w:rsid w:val="005074E8"/>
    <w:rsid w:val="0050753C"/>
    <w:rsid w:val="00507B89"/>
    <w:rsid w:val="00510370"/>
    <w:rsid w:val="005105DA"/>
    <w:rsid w:val="00510FA2"/>
    <w:rsid w:val="00510FDF"/>
    <w:rsid w:val="00511267"/>
    <w:rsid w:val="00511662"/>
    <w:rsid w:val="005117F7"/>
    <w:rsid w:val="00511C48"/>
    <w:rsid w:val="00511CE8"/>
    <w:rsid w:val="00511D3F"/>
    <w:rsid w:val="00511D63"/>
    <w:rsid w:val="00512025"/>
    <w:rsid w:val="005127C1"/>
    <w:rsid w:val="0051299B"/>
    <w:rsid w:val="00512BD8"/>
    <w:rsid w:val="00512CC3"/>
    <w:rsid w:val="0051339F"/>
    <w:rsid w:val="00513553"/>
    <w:rsid w:val="005138B1"/>
    <w:rsid w:val="00513DC7"/>
    <w:rsid w:val="00513E6D"/>
    <w:rsid w:val="00513F21"/>
    <w:rsid w:val="00514161"/>
    <w:rsid w:val="00514559"/>
    <w:rsid w:val="00514685"/>
    <w:rsid w:val="00514A33"/>
    <w:rsid w:val="00515380"/>
    <w:rsid w:val="005153F3"/>
    <w:rsid w:val="0051549E"/>
    <w:rsid w:val="005155DD"/>
    <w:rsid w:val="005155F1"/>
    <w:rsid w:val="00515B60"/>
    <w:rsid w:val="00515DC1"/>
    <w:rsid w:val="00516118"/>
    <w:rsid w:val="0051639F"/>
    <w:rsid w:val="00516C18"/>
    <w:rsid w:val="00516C1C"/>
    <w:rsid w:val="005171F2"/>
    <w:rsid w:val="005176CA"/>
    <w:rsid w:val="0051783F"/>
    <w:rsid w:val="00517A74"/>
    <w:rsid w:val="00517B22"/>
    <w:rsid w:val="00520091"/>
    <w:rsid w:val="00520495"/>
    <w:rsid w:val="00520530"/>
    <w:rsid w:val="005206F3"/>
    <w:rsid w:val="00520D09"/>
    <w:rsid w:val="00520FFC"/>
    <w:rsid w:val="0052116B"/>
    <w:rsid w:val="00521244"/>
    <w:rsid w:val="005213EB"/>
    <w:rsid w:val="00521758"/>
    <w:rsid w:val="00521F7D"/>
    <w:rsid w:val="00522660"/>
    <w:rsid w:val="005227A8"/>
    <w:rsid w:val="00522967"/>
    <w:rsid w:val="005235D1"/>
    <w:rsid w:val="005236C0"/>
    <w:rsid w:val="00523C7A"/>
    <w:rsid w:val="00523DCF"/>
    <w:rsid w:val="00524457"/>
    <w:rsid w:val="0052445F"/>
    <w:rsid w:val="005244E9"/>
    <w:rsid w:val="005247FB"/>
    <w:rsid w:val="00524A7D"/>
    <w:rsid w:val="00524E4E"/>
    <w:rsid w:val="00525268"/>
    <w:rsid w:val="00525367"/>
    <w:rsid w:val="005253CA"/>
    <w:rsid w:val="005253FC"/>
    <w:rsid w:val="005256A7"/>
    <w:rsid w:val="005259C4"/>
    <w:rsid w:val="00525B2F"/>
    <w:rsid w:val="0052604A"/>
    <w:rsid w:val="005260B6"/>
    <w:rsid w:val="005260FD"/>
    <w:rsid w:val="0052638F"/>
    <w:rsid w:val="00526495"/>
    <w:rsid w:val="005269C5"/>
    <w:rsid w:val="00527084"/>
    <w:rsid w:val="005270FC"/>
    <w:rsid w:val="00527486"/>
    <w:rsid w:val="0052773D"/>
    <w:rsid w:val="00527841"/>
    <w:rsid w:val="005279AE"/>
    <w:rsid w:val="00527F6D"/>
    <w:rsid w:val="00530736"/>
    <w:rsid w:val="00530C32"/>
    <w:rsid w:val="00530DB1"/>
    <w:rsid w:val="005312A7"/>
    <w:rsid w:val="00531B3F"/>
    <w:rsid w:val="00531FA2"/>
    <w:rsid w:val="00532494"/>
    <w:rsid w:val="00532B13"/>
    <w:rsid w:val="00532CB2"/>
    <w:rsid w:val="00532D10"/>
    <w:rsid w:val="00533149"/>
    <w:rsid w:val="00533571"/>
    <w:rsid w:val="0053371D"/>
    <w:rsid w:val="00533B84"/>
    <w:rsid w:val="00534593"/>
    <w:rsid w:val="0053498F"/>
    <w:rsid w:val="00534A1C"/>
    <w:rsid w:val="00534D7D"/>
    <w:rsid w:val="005350DC"/>
    <w:rsid w:val="00535252"/>
    <w:rsid w:val="0053539E"/>
    <w:rsid w:val="00535C83"/>
    <w:rsid w:val="00535CB4"/>
    <w:rsid w:val="00535DFF"/>
    <w:rsid w:val="00536010"/>
    <w:rsid w:val="0053606A"/>
    <w:rsid w:val="00536237"/>
    <w:rsid w:val="00536896"/>
    <w:rsid w:val="00536AD5"/>
    <w:rsid w:val="00537146"/>
    <w:rsid w:val="00537904"/>
    <w:rsid w:val="00537A77"/>
    <w:rsid w:val="00537A7E"/>
    <w:rsid w:val="00537C63"/>
    <w:rsid w:val="00540310"/>
    <w:rsid w:val="005408E1"/>
    <w:rsid w:val="00540EB6"/>
    <w:rsid w:val="00540F9D"/>
    <w:rsid w:val="0054148C"/>
    <w:rsid w:val="0054154D"/>
    <w:rsid w:val="00541A14"/>
    <w:rsid w:val="00541D17"/>
    <w:rsid w:val="005420F8"/>
    <w:rsid w:val="0054211F"/>
    <w:rsid w:val="005422EE"/>
    <w:rsid w:val="00542D62"/>
    <w:rsid w:val="00542DE0"/>
    <w:rsid w:val="00542E34"/>
    <w:rsid w:val="00542EEF"/>
    <w:rsid w:val="00543462"/>
    <w:rsid w:val="00543834"/>
    <w:rsid w:val="0054390B"/>
    <w:rsid w:val="00543A5B"/>
    <w:rsid w:val="00543E00"/>
    <w:rsid w:val="00543F9C"/>
    <w:rsid w:val="00544300"/>
    <w:rsid w:val="00544774"/>
    <w:rsid w:val="00544A37"/>
    <w:rsid w:val="00544BF1"/>
    <w:rsid w:val="00545290"/>
    <w:rsid w:val="00545C42"/>
    <w:rsid w:val="00545D06"/>
    <w:rsid w:val="00545DB7"/>
    <w:rsid w:val="00545DDB"/>
    <w:rsid w:val="00545F2D"/>
    <w:rsid w:val="005461AA"/>
    <w:rsid w:val="005462D0"/>
    <w:rsid w:val="00546AD0"/>
    <w:rsid w:val="00546C79"/>
    <w:rsid w:val="00546D39"/>
    <w:rsid w:val="00546F85"/>
    <w:rsid w:val="005472F3"/>
    <w:rsid w:val="00547A88"/>
    <w:rsid w:val="00547AED"/>
    <w:rsid w:val="0055000A"/>
    <w:rsid w:val="0055036C"/>
    <w:rsid w:val="0055047F"/>
    <w:rsid w:val="0055087D"/>
    <w:rsid w:val="00550AB0"/>
    <w:rsid w:val="00550CBF"/>
    <w:rsid w:val="00550E84"/>
    <w:rsid w:val="00551368"/>
    <w:rsid w:val="005513AC"/>
    <w:rsid w:val="0055141A"/>
    <w:rsid w:val="00551759"/>
    <w:rsid w:val="005524B0"/>
    <w:rsid w:val="00552B0F"/>
    <w:rsid w:val="00552C3B"/>
    <w:rsid w:val="00552CD2"/>
    <w:rsid w:val="00552F7C"/>
    <w:rsid w:val="00552FCC"/>
    <w:rsid w:val="0055344F"/>
    <w:rsid w:val="00553893"/>
    <w:rsid w:val="00553D16"/>
    <w:rsid w:val="00553DFB"/>
    <w:rsid w:val="00554139"/>
    <w:rsid w:val="00554316"/>
    <w:rsid w:val="00554894"/>
    <w:rsid w:val="00554A84"/>
    <w:rsid w:val="00554F08"/>
    <w:rsid w:val="00554FFD"/>
    <w:rsid w:val="005555DB"/>
    <w:rsid w:val="0055584F"/>
    <w:rsid w:val="0055587F"/>
    <w:rsid w:val="00555AE0"/>
    <w:rsid w:val="00555AEC"/>
    <w:rsid w:val="00555B16"/>
    <w:rsid w:val="00555F09"/>
    <w:rsid w:val="00556028"/>
    <w:rsid w:val="005567FF"/>
    <w:rsid w:val="00556EFB"/>
    <w:rsid w:val="00557296"/>
    <w:rsid w:val="005577B0"/>
    <w:rsid w:val="00557B39"/>
    <w:rsid w:val="0056013B"/>
    <w:rsid w:val="00560192"/>
    <w:rsid w:val="00561117"/>
    <w:rsid w:val="00561241"/>
    <w:rsid w:val="00561AB3"/>
    <w:rsid w:val="00562084"/>
    <w:rsid w:val="005623EA"/>
    <w:rsid w:val="005626AD"/>
    <w:rsid w:val="00562EA1"/>
    <w:rsid w:val="005630B7"/>
    <w:rsid w:val="005632E4"/>
    <w:rsid w:val="0056375B"/>
    <w:rsid w:val="00563DF2"/>
    <w:rsid w:val="00564369"/>
    <w:rsid w:val="00564B82"/>
    <w:rsid w:val="00564C58"/>
    <w:rsid w:val="00564C66"/>
    <w:rsid w:val="00565333"/>
    <w:rsid w:val="0056574F"/>
    <w:rsid w:val="005658BD"/>
    <w:rsid w:val="00565AA0"/>
    <w:rsid w:val="00565BB7"/>
    <w:rsid w:val="00565DB9"/>
    <w:rsid w:val="0056644C"/>
    <w:rsid w:val="005669BC"/>
    <w:rsid w:val="00566AD4"/>
    <w:rsid w:val="00566D15"/>
    <w:rsid w:val="00567154"/>
    <w:rsid w:val="00567562"/>
    <w:rsid w:val="005675DF"/>
    <w:rsid w:val="005679ED"/>
    <w:rsid w:val="00567BDA"/>
    <w:rsid w:val="00567BE3"/>
    <w:rsid w:val="00567DE1"/>
    <w:rsid w:val="0057042E"/>
    <w:rsid w:val="00570EED"/>
    <w:rsid w:val="00570F18"/>
    <w:rsid w:val="0057107A"/>
    <w:rsid w:val="0057141A"/>
    <w:rsid w:val="005716FC"/>
    <w:rsid w:val="005717F7"/>
    <w:rsid w:val="0057198F"/>
    <w:rsid w:val="00571D2A"/>
    <w:rsid w:val="00571F9E"/>
    <w:rsid w:val="00571FE8"/>
    <w:rsid w:val="005723C9"/>
    <w:rsid w:val="00572546"/>
    <w:rsid w:val="005725E3"/>
    <w:rsid w:val="005727BD"/>
    <w:rsid w:val="00572C2A"/>
    <w:rsid w:val="00572EF2"/>
    <w:rsid w:val="00573587"/>
    <w:rsid w:val="00573B54"/>
    <w:rsid w:val="00573F56"/>
    <w:rsid w:val="005744F6"/>
    <w:rsid w:val="00574B37"/>
    <w:rsid w:val="005754ED"/>
    <w:rsid w:val="00575AE0"/>
    <w:rsid w:val="00575B15"/>
    <w:rsid w:val="00575B53"/>
    <w:rsid w:val="00575CAC"/>
    <w:rsid w:val="00575DEF"/>
    <w:rsid w:val="00575F16"/>
    <w:rsid w:val="00576C5F"/>
    <w:rsid w:val="00577004"/>
    <w:rsid w:val="005771F0"/>
    <w:rsid w:val="0057740D"/>
    <w:rsid w:val="005774BA"/>
    <w:rsid w:val="005778C8"/>
    <w:rsid w:val="005778EF"/>
    <w:rsid w:val="00577A25"/>
    <w:rsid w:val="00577A7F"/>
    <w:rsid w:val="0058013F"/>
    <w:rsid w:val="005801A4"/>
    <w:rsid w:val="00580A06"/>
    <w:rsid w:val="0058131B"/>
    <w:rsid w:val="005816FA"/>
    <w:rsid w:val="005817DB"/>
    <w:rsid w:val="005818C7"/>
    <w:rsid w:val="0058211D"/>
    <w:rsid w:val="0058248A"/>
    <w:rsid w:val="005826EA"/>
    <w:rsid w:val="0058358D"/>
    <w:rsid w:val="0058385F"/>
    <w:rsid w:val="00583A33"/>
    <w:rsid w:val="00583DAA"/>
    <w:rsid w:val="00583E24"/>
    <w:rsid w:val="00583F94"/>
    <w:rsid w:val="0058453E"/>
    <w:rsid w:val="00584619"/>
    <w:rsid w:val="00584BE4"/>
    <w:rsid w:val="00584BFC"/>
    <w:rsid w:val="005852F7"/>
    <w:rsid w:val="0058546C"/>
    <w:rsid w:val="005854C4"/>
    <w:rsid w:val="00585A79"/>
    <w:rsid w:val="00585D6F"/>
    <w:rsid w:val="005860AF"/>
    <w:rsid w:val="005867D2"/>
    <w:rsid w:val="0058687D"/>
    <w:rsid w:val="005869CB"/>
    <w:rsid w:val="005870E2"/>
    <w:rsid w:val="0058724E"/>
    <w:rsid w:val="005875A5"/>
    <w:rsid w:val="00587876"/>
    <w:rsid w:val="0058798E"/>
    <w:rsid w:val="0059013D"/>
    <w:rsid w:val="00590781"/>
    <w:rsid w:val="00590862"/>
    <w:rsid w:val="005909A8"/>
    <w:rsid w:val="00590D4E"/>
    <w:rsid w:val="00590E3D"/>
    <w:rsid w:val="005910E0"/>
    <w:rsid w:val="00591C16"/>
    <w:rsid w:val="00592808"/>
    <w:rsid w:val="00592A0D"/>
    <w:rsid w:val="00592A8E"/>
    <w:rsid w:val="00592B45"/>
    <w:rsid w:val="00592B4E"/>
    <w:rsid w:val="00593FA4"/>
    <w:rsid w:val="00594376"/>
    <w:rsid w:val="005944B6"/>
    <w:rsid w:val="00594A61"/>
    <w:rsid w:val="00594F1D"/>
    <w:rsid w:val="00594F6F"/>
    <w:rsid w:val="005953AD"/>
    <w:rsid w:val="005956B6"/>
    <w:rsid w:val="005956E3"/>
    <w:rsid w:val="00595894"/>
    <w:rsid w:val="00595996"/>
    <w:rsid w:val="00596154"/>
    <w:rsid w:val="005963CC"/>
    <w:rsid w:val="00596841"/>
    <w:rsid w:val="00596861"/>
    <w:rsid w:val="00596C9B"/>
    <w:rsid w:val="00596E19"/>
    <w:rsid w:val="00596E80"/>
    <w:rsid w:val="005978AA"/>
    <w:rsid w:val="0059794D"/>
    <w:rsid w:val="00597AA8"/>
    <w:rsid w:val="005A02D7"/>
    <w:rsid w:val="005A07F1"/>
    <w:rsid w:val="005A0E45"/>
    <w:rsid w:val="005A1113"/>
    <w:rsid w:val="005A1369"/>
    <w:rsid w:val="005A16FB"/>
    <w:rsid w:val="005A1986"/>
    <w:rsid w:val="005A1C71"/>
    <w:rsid w:val="005A2049"/>
    <w:rsid w:val="005A241E"/>
    <w:rsid w:val="005A27FB"/>
    <w:rsid w:val="005A28B4"/>
    <w:rsid w:val="005A2FEF"/>
    <w:rsid w:val="005A3624"/>
    <w:rsid w:val="005A38AA"/>
    <w:rsid w:val="005A3C3C"/>
    <w:rsid w:val="005A3C9B"/>
    <w:rsid w:val="005A418F"/>
    <w:rsid w:val="005A46A3"/>
    <w:rsid w:val="005A46F6"/>
    <w:rsid w:val="005A472C"/>
    <w:rsid w:val="005A4869"/>
    <w:rsid w:val="005A4897"/>
    <w:rsid w:val="005A4A43"/>
    <w:rsid w:val="005A4C3D"/>
    <w:rsid w:val="005A4C76"/>
    <w:rsid w:val="005A51A0"/>
    <w:rsid w:val="005A5325"/>
    <w:rsid w:val="005A554C"/>
    <w:rsid w:val="005A5557"/>
    <w:rsid w:val="005A573A"/>
    <w:rsid w:val="005A61A7"/>
    <w:rsid w:val="005A61F3"/>
    <w:rsid w:val="005A627D"/>
    <w:rsid w:val="005A6F61"/>
    <w:rsid w:val="005A6F92"/>
    <w:rsid w:val="005A6FED"/>
    <w:rsid w:val="005A70E5"/>
    <w:rsid w:val="005A7323"/>
    <w:rsid w:val="005A777A"/>
    <w:rsid w:val="005A78B2"/>
    <w:rsid w:val="005A7A57"/>
    <w:rsid w:val="005A7AA4"/>
    <w:rsid w:val="005B05E7"/>
    <w:rsid w:val="005B0AE8"/>
    <w:rsid w:val="005B0B39"/>
    <w:rsid w:val="005B10EF"/>
    <w:rsid w:val="005B13CE"/>
    <w:rsid w:val="005B166A"/>
    <w:rsid w:val="005B1A25"/>
    <w:rsid w:val="005B1B3E"/>
    <w:rsid w:val="005B1BC4"/>
    <w:rsid w:val="005B1D50"/>
    <w:rsid w:val="005B2836"/>
    <w:rsid w:val="005B2C40"/>
    <w:rsid w:val="005B2D3D"/>
    <w:rsid w:val="005B3B14"/>
    <w:rsid w:val="005B3C66"/>
    <w:rsid w:val="005B3D11"/>
    <w:rsid w:val="005B411C"/>
    <w:rsid w:val="005B4BA3"/>
    <w:rsid w:val="005B4E4D"/>
    <w:rsid w:val="005B5538"/>
    <w:rsid w:val="005B5D5F"/>
    <w:rsid w:val="005B5E5A"/>
    <w:rsid w:val="005B63CD"/>
    <w:rsid w:val="005B6661"/>
    <w:rsid w:val="005B668D"/>
    <w:rsid w:val="005B6894"/>
    <w:rsid w:val="005B6B61"/>
    <w:rsid w:val="005B6C18"/>
    <w:rsid w:val="005B6E5D"/>
    <w:rsid w:val="005B6ED8"/>
    <w:rsid w:val="005B6F74"/>
    <w:rsid w:val="005B6FEC"/>
    <w:rsid w:val="005B6FF5"/>
    <w:rsid w:val="005B7121"/>
    <w:rsid w:val="005B7243"/>
    <w:rsid w:val="005B779C"/>
    <w:rsid w:val="005B7B2E"/>
    <w:rsid w:val="005B7B47"/>
    <w:rsid w:val="005C01A8"/>
    <w:rsid w:val="005C06F8"/>
    <w:rsid w:val="005C072C"/>
    <w:rsid w:val="005C0E15"/>
    <w:rsid w:val="005C1023"/>
    <w:rsid w:val="005C1384"/>
    <w:rsid w:val="005C13B2"/>
    <w:rsid w:val="005C17A1"/>
    <w:rsid w:val="005C1815"/>
    <w:rsid w:val="005C1AEC"/>
    <w:rsid w:val="005C1FC1"/>
    <w:rsid w:val="005C2269"/>
    <w:rsid w:val="005C27E3"/>
    <w:rsid w:val="005C33AA"/>
    <w:rsid w:val="005C37CB"/>
    <w:rsid w:val="005C3BE8"/>
    <w:rsid w:val="005C3EF8"/>
    <w:rsid w:val="005C3FE3"/>
    <w:rsid w:val="005C43CC"/>
    <w:rsid w:val="005C459C"/>
    <w:rsid w:val="005C475A"/>
    <w:rsid w:val="005C5AB2"/>
    <w:rsid w:val="005C5C95"/>
    <w:rsid w:val="005C614F"/>
    <w:rsid w:val="005C71FB"/>
    <w:rsid w:val="005C74C5"/>
    <w:rsid w:val="005C76CC"/>
    <w:rsid w:val="005C7775"/>
    <w:rsid w:val="005C7FCF"/>
    <w:rsid w:val="005D02FB"/>
    <w:rsid w:val="005D1457"/>
    <w:rsid w:val="005D14B9"/>
    <w:rsid w:val="005D1A9F"/>
    <w:rsid w:val="005D1C71"/>
    <w:rsid w:val="005D1D91"/>
    <w:rsid w:val="005D28CC"/>
    <w:rsid w:val="005D292F"/>
    <w:rsid w:val="005D2A87"/>
    <w:rsid w:val="005D3264"/>
    <w:rsid w:val="005D34EA"/>
    <w:rsid w:val="005D354D"/>
    <w:rsid w:val="005D368B"/>
    <w:rsid w:val="005D3E8E"/>
    <w:rsid w:val="005D40A9"/>
    <w:rsid w:val="005D42BD"/>
    <w:rsid w:val="005D45B5"/>
    <w:rsid w:val="005D4661"/>
    <w:rsid w:val="005D4C57"/>
    <w:rsid w:val="005D4FE1"/>
    <w:rsid w:val="005D5075"/>
    <w:rsid w:val="005D50C0"/>
    <w:rsid w:val="005D52FA"/>
    <w:rsid w:val="005D5403"/>
    <w:rsid w:val="005D600F"/>
    <w:rsid w:val="005D6013"/>
    <w:rsid w:val="005D6612"/>
    <w:rsid w:val="005D66F5"/>
    <w:rsid w:val="005D697E"/>
    <w:rsid w:val="005D7088"/>
    <w:rsid w:val="005D76AE"/>
    <w:rsid w:val="005D76DE"/>
    <w:rsid w:val="005D7713"/>
    <w:rsid w:val="005D777B"/>
    <w:rsid w:val="005D77DE"/>
    <w:rsid w:val="005D7D29"/>
    <w:rsid w:val="005D7EBF"/>
    <w:rsid w:val="005E00A0"/>
    <w:rsid w:val="005E05A1"/>
    <w:rsid w:val="005E09E4"/>
    <w:rsid w:val="005E0D78"/>
    <w:rsid w:val="005E1726"/>
    <w:rsid w:val="005E235A"/>
    <w:rsid w:val="005E2513"/>
    <w:rsid w:val="005E25C0"/>
    <w:rsid w:val="005E266F"/>
    <w:rsid w:val="005E26A3"/>
    <w:rsid w:val="005E2BCF"/>
    <w:rsid w:val="005E2FA1"/>
    <w:rsid w:val="005E38DE"/>
    <w:rsid w:val="005E3B4C"/>
    <w:rsid w:val="005E3F34"/>
    <w:rsid w:val="005E421C"/>
    <w:rsid w:val="005E4241"/>
    <w:rsid w:val="005E42F5"/>
    <w:rsid w:val="005E4BCF"/>
    <w:rsid w:val="005E4EF0"/>
    <w:rsid w:val="005E50E8"/>
    <w:rsid w:val="005E5734"/>
    <w:rsid w:val="005E5741"/>
    <w:rsid w:val="005E5EC3"/>
    <w:rsid w:val="005E602B"/>
    <w:rsid w:val="005E6150"/>
    <w:rsid w:val="005E61B6"/>
    <w:rsid w:val="005E6487"/>
    <w:rsid w:val="005E651F"/>
    <w:rsid w:val="005E664C"/>
    <w:rsid w:val="005E6971"/>
    <w:rsid w:val="005E6D4E"/>
    <w:rsid w:val="005E73CE"/>
    <w:rsid w:val="005E77E3"/>
    <w:rsid w:val="005E7BA9"/>
    <w:rsid w:val="005F0616"/>
    <w:rsid w:val="005F0727"/>
    <w:rsid w:val="005F07DC"/>
    <w:rsid w:val="005F0C34"/>
    <w:rsid w:val="005F0EAB"/>
    <w:rsid w:val="005F0FB4"/>
    <w:rsid w:val="005F1283"/>
    <w:rsid w:val="005F13BD"/>
    <w:rsid w:val="005F1859"/>
    <w:rsid w:val="005F1AC8"/>
    <w:rsid w:val="005F1B25"/>
    <w:rsid w:val="005F21AF"/>
    <w:rsid w:val="005F21FB"/>
    <w:rsid w:val="005F257C"/>
    <w:rsid w:val="005F25E2"/>
    <w:rsid w:val="005F27E3"/>
    <w:rsid w:val="005F2B4F"/>
    <w:rsid w:val="005F347F"/>
    <w:rsid w:val="005F35AA"/>
    <w:rsid w:val="005F38CE"/>
    <w:rsid w:val="005F40DE"/>
    <w:rsid w:val="005F4421"/>
    <w:rsid w:val="005F4541"/>
    <w:rsid w:val="005F4927"/>
    <w:rsid w:val="005F49F4"/>
    <w:rsid w:val="005F4ABD"/>
    <w:rsid w:val="005F4AFC"/>
    <w:rsid w:val="005F4B7D"/>
    <w:rsid w:val="005F4D34"/>
    <w:rsid w:val="005F4DB6"/>
    <w:rsid w:val="005F4E65"/>
    <w:rsid w:val="005F4F77"/>
    <w:rsid w:val="005F557D"/>
    <w:rsid w:val="005F56F3"/>
    <w:rsid w:val="005F59E5"/>
    <w:rsid w:val="005F5A0F"/>
    <w:rsid w:val="005F5EDF"/>
    <w:rsid w:val="005F6035"/>
    <w:rsid w:val="005F61C5"/>
    <w:rsid w:val="005F63D8"/>
    <w:rsid w:val="005F64FB"/>
    <w:rsid w:val="005F67EC"/>
    <w:rsid w:val="005F6A3F"/>
    <w:rsid w:val="005F6BBB"/>
    <w:rsid w:val="005F6C45"/>
    <w:rsid w:val="005F71EC"/>
    <w:rsid w:val="005F789F"/>
    <w:rsid w:val="005F7F70"/>
    <w:rsid w:val="006000CD"/>
    <w:rsid w:val="006000FB"/>
    <w:rsid w:val="006001C9"/>
    <w:rsid w:val="00600265"/>
    <w:rsid w:val="006006E4"/>
    <w:rsid w:val="00600754"/>
    <w:rsid w:val="0060119A"/>
    <w:rsid w:val="006022D0"/>
    <w:rsid w:val="0060251E"/>
    <w:rsid w:val="00602A68"/>
    <w:rsid w:val="00602DDE"/>
    <w:rsid w:val="00602E0C"/>
    <w:rsid w:val="0060339B"/>
    <w:rsid w:val="00603552"/>
    <w:rsid w:val="0060377C"/>
    <w:rsid w:val="006046E4"/>
    <w:rsid w:val="00604BC5"/>
    <w:rsid w:val="00604D85"/>
    <w:rsid w:val="00605037"/>
    <w:rsid w:val="0060577C"/>
    <w:rsid w:val="006058B4"/>
    <w:rsid w:val="0060595F"/>
    <w:rsid w:val="006059B6"/>
    <w:rsid w:val="00605E04"/>
    <w:rsid w:val="00605E0D"/>
    <w:rsid w:val="00605FFE"/>
    <w:rsid w:val="006063F2"/>
    <w:rsid w:val="0060650C"/>
    <w:rsid w:val="00606B37"/>
    <w:rsid w:val="00606FF6"/>
    <w:rsid w:val="00607252"/>
    <w:rsid w:val="00607624"/>
    <w:rsid w:val="00607C2E"/>
    <w:rsid w:val="00610137"/>
    <w:rsid w:val="0061038C"/>
    <w:rsid w:val="006106C1"/>
    <w:rsid w:val="006106F4"/>
    <w:rsid w:val="00610B28"/>
    <w:rsid w:val="00610F52"/>
    <w:rsid w:val="0061124A"/>
    <w:rsid w:val="006112D0"/>
    <w:rsid w:val="0061167D"/>
    <w:rsid w:val="0061169D"/>
    <w:rsid w:val="00611737"/>
    <w:rsid w:val="00611752"/>
    <w:rsid w:val="00611B07"/>
    <w:rsid w:val="00611C1D"/>
    <w:rsid w:val="00611C60"/>
    <w:rsid w:val="00611F0D"/>
    <w:rsid w:val="00612019"/>
    <w:rsid w:val="00612388"/>
    <w:rsid w:val="006128EB"/>
    <w:rsid w:val="00612904"/>
    <w:rsid w:val="00612E32"/>
    <w:rsid w:val="00612FDD"/>
    <w:rsid w:val="006133A6"/>
    <w:rsid w:val="006134CA"/>
    <w:rsid w:val="006136FB"/>
    <w:rsid w:val="00613846"/>
    <w:rsid w:val="00613ECE"/>
    <w:rsid w:val="00613F81"/>
    <w:rsid w:val="0061461E"/>
    <w:rsid w:val="00614646"/>
    <w:rsid w:val="006148C3"/>
    <w:rsid w:val="0061494C"/>
    <w:rsid w:val="00614B35"/>
    <w:rsid w:val="00614DE8"/>
    <w:rsid w:val="006152D6"/>
    <w:rsid w:val="006154EE"/>
    <w:rsid w:val="00615A35"/>
    <w:rsid w:val="00615B2C"/>
    <w:rsid w:val="006165A9"/>
    <w:rsid w:val="00616755"/>
    <w:rsid w:val="00616B8C"/>
    <w:rsid w:val="00616BC0"/>
    <w:rsid w:val="00617108"/>
    <w:rsid w:val="00617211"/>
    <w:rsid w:val="00617264"/>
    <w:rsid w:val="0061750E"/>
    <w:rsid w:val="006175A7"/>
    <w:rsid w:val="00617652"/>
    <w:rsid w:val="0061784D"/>
    <w:rsid w:val="00617B8B"/>
    <w:rsid w:val="00617C18"/>
    <w:rsid w:val="00617C50"/>
    <w:rsid w:val="00617F79"/>
    <w:rsid w:val="00620231"/>
    <w:rsid w:val="006207B2"/>
    <w:rsid w:val="006207ED"/>
    <w:rsid w:val="00620AFF"/>
    <w:rsid w:val="00620B98"/>
    <w:rsid w:val="0062140E"/>
    <w:rsid w:val="00622143"/>
    <w:rsid w:val="00622388"/>
    <w:rsid w:val="00622669"/>
    <w:rsid w:val="0062286A"/>
    <w:rsid w:val="00622B1A"/>
    <w:rsid w:val="00622E0B"/>
    <w:rsid w:val="00622EFD"/>
    <w:rsid w:val="00622FE1"/>
    <w:rsid w:val="006230E8"/>
    <w:rsid w:val="0062325B"/>
    <w:rsid w:val="00623438"/>
    <w:rsid w:val="006237DE"/>
    <w:rsid w:val="00623960"/>
    <w:rsid w:val="006240FF"/>
    <w:rsid w:val="0062416C"/>
    <w:rsid w:val="006241BC"/>
    <w:rsid w:val="00624470"/>
    <w:rsid w:val="00624510"/>
    <w:rsid w:val="0062488E"/>
    <w:rsid w:val="006249B1"/>
    <w:rsid w:val="00624CAC"/>
    <w:rsid w:val="00624F4E"/>
    <w:rsid w:val="00624F7C"/>
    <w:rsid w:val="006253B7"/>
    <w:rsid w:val="00625C1A"/>
    <w:rsid w:val="00625C77"/>
    <w:rsid w:val="00625CE5"/>
    <w:rsid w:val="00625EE9"/>
    <w:rsid w:val="00626071"/>
    <w:rsid w:val="00626216"/>
    <w:rsid w:val="00626652"/>
    <w:rsid w:val="006267E9"/>
    <w:rsid w:val="00626C37"/>
    <w:rsid w:val="00626C39"/>
    <w:rsid w:val="00626F07"/>
    <w:rsid w:val="00626FCF"/>
    <w:rsid w:val="0062707D"/>
    <w:rsid w:val="006274F5"/>
    <w:rsid w:val="00630256"/>
    <w:rsid w:val="0063071F"/>
    <w:rsid w:val="0063075D"/>
    <w:rsid w:val="006309D8"/>
    <w:rsid w:val="00630C5E"/>
    <w:rsid w:val="00630CFB"/>
    <w:rsid w:val="00631655"/>
    <w:rsid w:val="00631873"/>
    <w:rsid w:val="00631891"/>
    <w:rsid w:val="006318C0"/>
    <w:rsid w:val="00631BCE"/>
    <w:rsid w:val="00631E00"/>
    <w:rsid w:val="00631E43"/>
    <w:rsid w:val="00632111"/>
    <w:rsid w:val="006321FB"/>
    <w:rsid w:val="00632459"/>
    <w:rsid w:val="0063251C"/>
    <w:rsid w:val="006326DF"/>
    <w:rsid w:val="006327CF"/>
    <w:rsid w:val="0063286A"/>
    <w:rsid w:val="00632B0E"/>
    <w:rsid w:val="00632E50"/>
    <w:rsid w:val="00632FD8"/>
    <w:rsid w:val="0063336F"/>
    <w:rsid w:val="00633C36"/>
    <w:rsid w:val="00633C83"/>
    <w:rsid w:val="0063426D"/>
    <w:rsid w:val="0063440B"/>
    <w:rsid w:val="0063461D"/>
    <w:rsid w:val="006347E7"/>
    <w:rsid w:val="006347F4"/>
    <w:rsid w:val="00634826"/>
    <w:rsid w:val="00634AA9"/>
    <w:rsid w:val="00634B42"/>
    <w:rsid w:val="00634D4F"/>
    <w:rsid w:val="00634D53"/>
    <w:rsid w:val="00635027"/>
    <w:rsid w:val="00635560"/>
    <w:rsid w:val="006355C4"/>
    <w:rsid w:val="00635CB0"/>
    <w:rsid w:val="00636486"/>
    <w:rsid w:val="0063660C"/>
    <w:rsid w:val="00636664"/>
    <w:rsid w:val="00636694"/>
    <w:rsid w:val="00636EBB"/>
    <w:rsid w:val="00637170"/>
    <w:rsid w:val="00637208"/>
    <w:rsid w:val="006374E0"/>
    <w:rsid w:val="00637764"/>
    <w:rsid w:val="00637C38"/>
    <w:rsid w:val="00637CBA"/>
    <w:rsid w:val="00640576"/>
    <w:rsid w:val="0064059A"/>
    <w:rsid w:val="00640962"/>
    <w:rsid w:val="00640AC5"/>
    <w:rsid w:val="0064126C"/>
    <w:rsid w:val="006413AA"/>
    <w:rsid w:val="006416D2"/>
    <w:rsid w:val="00641A83"/>
    <w:rsid w:val="00641D62"/>
    <w:rsid w:val="00641D96"/>
    <w:rsid w:val="006423AA"/>
    <w:rsid w:val="00642E37"/>
    <w:rsid w:val="00642F08"/>
    <w:rsid w:val="0064319B"/>
    <w:rsid w:val="00643AF4"/>
    <w:rsid w:val="00643E35"/>
    <w:rsid w:val="00644178"/>
    <w:rsid w:val="006441F6"/>
    <w:rsid w:val="0064422A"/>
    <w:rsid w:val="00644A7B"/>
    <w:rsid w:val="00644D3A"/>
    <w:rsid w:val="00644DE9"/>
    <w:rsid w:val="00644FC4"/>
    <w:rsid w:val="0064516B"/>
    <w:rsid w:val="006455AF"/>
    <w:rsid w:val="00645BDE"/>
    <w:rsid w:val="00645E59"/>
    <w:rsid w:val="00645F5B"/>
    <w:rsid w:val="006465C3"/>
    <w:rsid w:val="0064669D"/>
    <w:rsid w:val="00646C6F"/>
    <w:rsid w:val="006470C4"/>
    <w:rsid w:val="00647163"/>
    <w:rsid w:val="0064720C"/>
    <w:rsid w:val="0064722E"/>
    <w:rsid w:val="006478DF"/>
    <w:rsid w:val="00647A7F"/>
    <w:rsid w:val="00650941"/>
    <w:rsid w:val="00650C28"/>
    <w:rsid w:val="00650E6D"/>
    <w:rsid w:val="006510CE"/>
    <w:rsid w:val="006512D6"/>
    <w:rsid w:val="0065149D"/>
    <w:rsid w:val="00651812"/>
    <w:rsid w:val="0065196B"/>
    <w:rsid w:val="00651BBB"/>
    <w:rsid w:val="00651C59"/>
    <w:rsid w:val="00651D74"/>
    <w:rsid w:val="00652880"/>
    <w:rsid w:val="00652C3A"/>
    <w:rsid w:val="00652DB7"/>
    <w:rsid w:val="00652FCE"/>
    <w:rsid w:val="00653298"/>
    <w:rsid w:val="006535EE"/>
    <w:rsid w:val="0065394F"/>
    <w:rsid w:val="00653B1B"/>
    <w:rsid w:val="006541F5"/>
    <w:rsid w:val="006543BA"/>
    <w:rsid w:val="00654926"/>
    <w:rsid w:val="00654D72"/>
    <w:rsid w:val="006553F3"/>
    <w:rsid w:val="006556D1"/>
    <w:rsid w:val="006556D9"/>
    <w:rsid w:val="00655AEE"/>
    <w:rsid w:val="00655BB2"/>
    <w:rsid w:val="0065607A"/>
    <w:rsid w:val="006564CB"/>
    <w:rsid w:val="006565F7"/>
    <w:rsid w:val="006566BF"/>
    <w:rsid w:val="00656CDB"/>
    <w:rsid w:val="00656DA0"/>
    <w:rsid w:val="00657123"/>
    <w:rsid w:val="00657189"/>
    <w:rsid w:val="0065724E"/>
    <w:rsid w:val="006576EC"/>
    <w:rsid w:val="00657F90"/>
    <w:rsid w:val="006600DB"/>
    <w:rsid w:val="006613C0"/>
    <w:rsid w:val="0066194E"/>
    <w:rsid w:val="00661C46"/>
    <w:rsid w:val="0066202F"/>
    <w:rsid w:val="006622A8"/>
    <w:rsid w:val="006626BE"/>
    <w:rsid w:val="006630FC"/>
    <w:rsid w:val="00663147"/>
    <w:rsid w:val="00663344"/>
    <w:rsid w:val="00663C93"/>
    <w:rsid w:val="00663DFB"/>
    <w:rsid w:val="00664416"/>
    <w:rsid w:val="006644E1"/>
    <w:rsid w:val="006645EC"/>
    <w:rsid w:val="00664642"/>
    <w:rsid w:val="00664674"/>
    <w:rsid w:val="00664C0C"/>
    <w:rsid w:val="0066506E"/>
    <w:rsid w:val="006652D3"/>
    <w:rsid w:val="0066540D"/>
    <w:rsid w:val="00665888"/>
    <w:rsid w:val="00666CBE"/>
    <w:rsid w:val="00667409"/>
    <w:rsid w:val="00667B59"/>
    <w:rsid w:val="00667BC6"/>
    <w:rsid w:val="00667C3E"/>
    <w:rsid w:val="00667CF3"/>
    <w:rsid w:val="00667F94"/>
    <w:rsid w:val="00670380"/>
    <w:rsid w:val="0067050A"/>
    <w:rsid w:val="006705D5"/>
    <w:rsid w:val="006706B5"/>
    <w:rsid w:val="00670722"/>
    <w:rsid w:val="00670C07"/>
    <w:rsid w:val="00670D48"/>
    <w:rsid w:val="00670F72"/>
    <w:rsid w:val="00670F81"/>
    <w:rsid w:val="00671047"/>
    <w:rsid w:val="0067158A"/>
    <w:rsid w:val="00671738"/>
    <w:rsid w:val="006719B2"/>
    <w:rsid w:val="00671FF4"/>
    <w:rsid w:val="00672BC1"/>
    <w:rsid w:val="00672C45"/>
    <w:rsid w:val="00672F79"/>
    <w:rsid w:val="0067319C"/>
    <w:rsid w:val="00673DC1"/>
    <w:rsid w:val="00673F42"/>
    <w:rsid w:val="00674042"/>
    <w:rsid w:val="006744B2"/>
    <w:rsid w:val="00674D58"/>
    <w:rsid w:val="006758C9"/>
    <w:rsid w:val="00675A5F"/>
    <w:rsid w:val="006764BC"/>
    <w:rsid w:val="006769C4"/>
    <w:rsid w:val="00676C47"/>
    <w:rsid w:val="00676C6F"/>
    <w:rsid w:val="00676CC6"/>
    <w:rsid w:val="00677456"/>
    <w:rsid w:val="006774B0"/>
    <w:rsid w:val="00677627"/>
    <w:rsid w:val="006776C7"/>
    <w:rsid w:val="00677743"/>
    <w:rsid w:val="00677A67"/>
    <w:rsid w:val="00677A87"/>
    <w:rsid w:val="00677BD5"/>
    <w:rsid w:val="00677E3C"/>
    <w:rsid w:val="0068025E"/>
    <w:rsid w:val="0068051B"/>
    <w:rsid w:val="006805D9"/>
    <w:rsid w:val="00680912"/>
    <w:rsid w:val="00680E8B"/>
    <w:rsid w:val="0068150F"/>
    <w:rsid w:val="006818D0"/>
    <w:rsid w:val="006819A3"/>
    <w:rsid w:val="00681D51"/>
    <w:rsid w:val="00681E2F"/>
    <w:rsid w:val="00682129"/>
    <w:rsid w:val="0068266C"/>
    <w:rsid w:val="00682E55"/>
    <w:rsid w:val="0068340E"/>
    <w:rsid w:val="00683528"/>
    <w:rsid w:val="00683722"/>
    <w:rsid w:val="006837AA"/>
    <w:rsid w:val="00683D2F"/>
    <w:rsid w:val="00684044"/>
    <w:rsid w:val="006840B2"/>
    <w:rsid w:val="006843F6"/>
    <w:rsid w:val="0068491F"/>
    <w:rsid w:val="00684F4C"/>
    <w:rsid w:val="006851A2"/>
    <w:rsid w:val="0068563E"/>
    <w:rsid w:val="00685DE4"/>
    <w:rsid w:val="00686118"/>
    <w:rsid w:val="006861C0"/>
    <w:rsid w:val="00686596"/>
    <w:rsid w:val="00686CC2"/>
    <w:rsid w:val="00686F00"/>
    <w:rsid w:val="00687C97"/>
    <w:rsid w:val="00687D5A"/>
    <w:rsid w:val="00690324"/>
    <w:rsid w:val="006904C2"/>
    <w:rsid w:val="006904DD"/>
    <w:rsid w:val="00690524"/>
    <w:rsid w:val="00690E71"/>
    <w:rsid w:val="006911C8"/>
    <w:rsid w:val="00691459"/>
    <w:rsid w:val="00692D12"/>
    <w:rsid w:val="00693137"/>
    <w:rsid w:val="00693531"/>
    <w:rsid w:val="00693842"/>
    <w:rsid w:val="00693888"/>
    <w:rsid w:val="00693C87"/>
    <w:rsid w:val="00693D3E"/>
    <w:rsid w:val="0069457A"/>
    <w:rsid w:val="006949A7"/>
    <w:rsid w:val="00694B65"/>
    <w:rsid w:val="00694C69"/>
    <w:rsid w:val="00694D53"/>
    <w:rsid w:val="00694E58"/>
    <w:rsid w:val="00694FD4"/>
    <w:rsid w:val="006951CE"/>
    <w:rsid w:val="006951E5"/>
    <w:rsid w:val="006951FF"/>
    <w:rsid w:val="00695B5A"/>
    <w:rsid w:val="00695D1E"/>
    <w:rsid w:val="00695FCA"/>
    <w:rsid w:val="00696335"/>
    <w:rsid w:val="00696A4D"/>
    <w:rsid w:val="00696C70"/>
    <w:rsid w:val="00697AC9"/>
    <w:rsid w:val="00697D19"/>
    <w:rsid w:val="006A0052"/>
    <w:rsid w:val="006A05C7"/>
    <w:rsid w:val="006A08CA"/>
    <w:rsid w:val="006A0E43"/>
    <w:rsid w:val="006A102D"/>
    <w:rsid w:val="006A11E4"/>
    <w:rsid w:val="006A15CF"/>
    <w:rsid w:val="006A16F0"/>
    <w:rsid w:val="006A20A4"/>
    <w:rsid w:val="006A29FF"/>
    <w:rsid w:val="006A2AB9"/>
    <w:rsid w:val="006A2DB4"/>
    <w:rsid w:val="006A350E"/>
    <w:rsid w:val="006A414D"/>
    <w:rsid w:val="006A41F8"/>
    <w:rsid w:val="006A42A5"/>
    <w:rsid w:val="006A451E"/>
    <w:rsid w:val="006A45BB"/>
    <w:rsid w:val="006A4E52"/>
    <w:rsid w:val="006A4FC8"/>
    <w:rsid w:val="006A50F1"/>
    <w:rsid w:val="006A517B"/>
    <w:rsid w:val="006A55E1"/>
    <w:rsid w:val="006A603D"/>
    <w:rsid w:val="006A607B"/>
    <w:rsid w:val="006A61EC"/>
    <w:rsid w:val="006A6296"/>
    <w:rsid w:val="006A6E27"/>
    <w:rsid w:val="006A6EAC"/>
    <w:rsid w:val="006A6FB8"/>
    <w:rsid w:val="006A72B0"/>
    <w:rsid w:val="006A74E5"/>
    <w:rsid w:val="006A7AB4"/>
    <w:rsid w:val="006B009C"/>
    <w:rsid w:val="006B02C4"/>
    <w:rsid w:val="006B04FE"/>
    <w:rsid w:val="006B05D4"/>
    <w:rsid w:val="006B075C"/>
    <w:rsid w:val="006B0856"/>
    <w:rsid w:val="006B0894"/>
    <w:rsid w:val="006B18C5"/>
    <w:rsid w:val="006B1932"/>
    <w:rsid w:val="006B1B85"/>
    <w:rsid w:val="006B1F47"/>
    <w:rsid w:val="006B1FDA"/>
    <w:rsid w:val="006B36AE"/>
    <w:rsid w:val="006B3980"/>
    <w:rsid w:val="006B3E4D"/>
    <w:rsid w:val="006B3F76"/>
    <w:rsid w:val="006B417B"/>
    <w:rsid w:val="006B4449"/>
    <w:rsid w:val="006B474F"/>
    <w:rsid w:val="006B4C0C"/>
    <w:rsid w:val="006B4EAB"/>
    <w:rsid w:val="006B5091"/>
    <w:rsid w:val="006B50B8"/>
    <w:rsid w:val="006B50F9"/>
    <w:rsid w:val="006B5756"/>
    <w:rsid w:val="006B5A61"/>
    <w:rsid w:val="006B5C4C"/>
    <w:rsid w:val="006B5D79"/>
    <w:rsid w:val="006B5FBC"/>
    <w:rsid w:val="006B64E8"/>
    <w:rsid w:val="006B654C"/>
    <w:rsid w:val="006B6AEF"/>
    <w:rsid w:val="006B6DA1"/>
    <w:rsid w:val="006B76C2"/>
    <w:rsid w:val="006B7877"/>
    <w:rsid w:val="006B7CBC"/>
    <w:rsid w:val="006C02CD"/>
    <w:rsid w:val="006C06A9"/>
    <w:rsid w:val="006C132E"/>
    <w:rsid w:val="006C13A3"/>
    <w:rsid w:val="006C157B"/>
    <w:rsid w:val="006C1822"/>
    <w:rsid w:val="006C204C"/>
    <w:rsid w:val="006C21F1"/>
    <w:rsid w:val="006C2ABA"/>
    <w:rsid w:val="006C2B59"/>
    <w:rsid w:val="006C2C86"/>
    <w:rsid w:val="006C2C8B"/>
    <w:rsid w:val="006C2D1A"/>
    <w:rsid w:val="006C34A1"/>
    <w:rsid w:val="006C3686"/>
    <w:rsid w:val="006C38EF"/>
    <w:rsid w:val="006C3A2D"/>
    <w:rsid w:val="006C3BCF"/>
    <w:rsid w:val="006C3BEF"/>
    <w:rsid w:val="006C3EBC"/>
    <w:rsid w:val="006C4043"/>
    <w:rsid w:val="006C41C1"/>
    <w:rsid w:val="006C41ED"/>
    <w:rsid w:val="006C43FB"/>
    <w:rsid w:val="006C4950"/>
    <w:rsid w:val="006C49AF"/>
    <w:rsid w:val="006C4F0A"/>
    <w:rsid w:val="006C52B9"/>
    <w:rsid w:val="006C559A"/>
    <w:rsid w:val="006C58E3"/>
    <w:rsid w:val="006C5A8D"/>
    <w:rsid w:val="006C5CDD"/>
    <w:rsid w:val="006C5D0C"/>
    <w:rsid w:val="006C6346"/>
    <w:rsid w:val="006C6C12"/>
    <w:rsid w:val="006C6ED1"/>
    <w:rsid w:val="006C6F68"/>
    <w:rsid w:val="006C7FB8"/>
    <w:rsid w:val="006C7FF1"/>
    <w:rsid w:val="006D02AA"/>
    <w:rsid w:val="006D0F89"/>
    <w:rsid w:val="006D1A50"/>
    <w:rsid w:val="006D1DFE"/>
    <w:rsid w:val="006D20A4"/>
    <w:rsid w:val="006D2560"/>
    <w:rsid w:val="006D328B"/>
    <w:rsid w:val="006D3620"/>
    <w:rsid w:val="006D41CE"/>
    <w:rsid w:val="006D460E"/>
    <w:rsid w:val="006D472A"/>
    <w:rsid w:val="006D4ADA"/>
    <w:rsid w:val="006D4CA2"/>
    <w:rsid w:val="006D5176"/>
    <w:rsid w:val="006D5201"/>
    <w:rsid w:val="006D5313"/>
    <w:rsid w:val="006D535C"/>
    <w:rsid w:val="006D5510"/>
    <w:rsid w:val="006D55C0"/>
    <w:rsid w:val="006D5820"/>
    <w:rsid w:val="006D5886"/>
    <w:rsid w:val="006D5F9A"/>
    <w:rsid w:val="006D6703"/>
    <w:rsid w:val="006D6944"/>
    <w:rsid w:val="006D6989"/>
    <w:rsid w:val="006D6F24"/>
    <w:rsid w:val="006D74ED"/>
    <w:rsid w:val="006D78EB"/>
    <w:rsid w:val="006D7C6D"/>
    <w:rsid w:val="006E058C"/>
    <w:rsid w:val="006E0922"/>
    <w:rsid w:val="006E0B0D"/>
    <w:rsid w:val="006E0ED9"/>
    <w:rsid w:val="006E0EF4"/>
    <w:rsid w:val="006E0F5D"/>
    <w:rsid w:val="006E0FA4"/>
    <w:rsid w:val="006E13A6"/>
    <w:rsid w:val="006E13C3"/>
    <w:rsid w:val="006E1629"/>
    <w:rsid w:val="006E1691"/>
    <w:rsid w:val="006E16F2"/>
    <w:rsid w:val="006E1941"/>
    <w:rsid w:val="006E2008"/>
    <w:rsid w:val="006E2429"/>
    <w:rsid w:val="006E2656"/>
    <w:rsid w:val="006E28FF"/>
    <w:rsid w:val="006E2BB3"/>
    <w:rsid w:val="006E3848"/>
    <w:rsid w:val="006E38A2"/>
    <w:rsid w:val="006E3D01"/>
    <w:rsid w:val="006E3DA4"/>
    <w:rsid w:val="006E3E96"/>
    <w:rsid w:val="006E4021"/>
    <w:rsid w:val="006E402D"/>
    <w:rsid w:val="006E42CD"/>
    <w:rsid w:val="006E4654"/>
    <w:rsid w:val="006E4690"/>
    <w:rsid w:val="006E48EE"/>
    <w:rsid w:val="006E4A43"/>
    <w:rsid w:val="006E4B4C"/>
    <w:rsid w:val="006E50E1"/>
    <w:rsid w:val="006E5147"/>
    <w:rsid w:val="006E5269"/>
    <w:rsid w:val="006E5934"/>
    <w:rsid w:val="006E5BC2"/>
    <w:rsid w:val="006E5F40"/>
    <w:rsid w:val="006E6779"/>
    <w:rsid w:val="006E6BC2"/>
    <w:rsid w:val="006E6CE7"/>
    <w:rsid w:val="006E744A"/>
    <w:rsid w:val="006E77A5"/>
    <w:rsid w:val="006E77BB"/>
    <w:rsid w:val="006E780C"/>
    <w:rsid w:val="006E7BD2"/>
    <w:rsid w:val="006E7EF3"/>
    <w:rsid w:val="006E7FB6"/>
    <w:rsid w:val="006F020F"/>
    <w:rsid w:val="006F061C"/>
    <w:rsid w:val="006F0800"/>
    <w:rsid w:val="006F08FA"/>
    <w:rsid w:val="006F0A30"/>
    <w:rsid w:val="006F1024"/>
    <w:rsid w:val="006F129F"/>
    <w:rsid w:val="006F13E0"/>
    <w:rsid w:val="006F1488"/>
    <w:rsid w:val="006F1F36"/>
    <w:rsid w:val="006F26B4"/>
    <w:rsid w:val="006F2A0D"/>
    <w:rsid w:val="006F2D0A"/>
    <w:rsid w:val="006F2D7F"/>
    <w:rsid w:val="006F319D"/>
    <w:rsid w:val="006F3549"/>
    <w:rsid w:val="006F3ABE"/>
    <w:rsid w:val="006F3C1F"/>
    <w:rsid w:val="006F41F0"/>
    <w:rsid w:val="006F45A4"/>
    <w:rsid w:val="006F474D"/>
    <w:rsid w:val="006F4C65"/>
    <w:rsid w:val="006F4CC9"/>
    <w:rsid w:val="006F4FB4"/>
    <w:rsid w:val="006F5A7C"/>
    <w:rsid w:val="006F5CC2"/>
    <w:rsid w:val="006F6303"/>
    <w:rsid w:val="006F6316"/>
    <w:rsid w:val="006F65A2"/>
    <w:rsid w:val="006F6885"/>
    <w:rsid w:val="006F6C31"/>
    <w:rsid w:val="006F74B5"/>
    <w:rsid w:val="006F7A56"/>
    <w:rsid w:val="006F7DEF"/>
    <w:rsid w:val="00700CF2"/>
    <w:rsid w:val="00700F78"/>
    <w:rsid w:val="007011CC"/>
    <w:rsid w:val="0070150E"/>
    <w:rsid w:val="007016DD"/>
    <w:rsid w:val="00701735"/>
    <w:rsid w:val="00701852"/>
    <w:rsid w:val="00701CC3"/>
    <w:rsid w:val="00702381"/>
    <w:rsid w:val="007024FB"/>
    <w:rsid w:val="00702577"/>
    <w:rsid w:val="00702F8D"/>
    <w:rsid w:val="00703238"/>
    <w:rsid w:val="00703253"/>
    <w:rsid w:val="007032EF"/>
    <w:rsid w:val="00703F05"/>
    <w:rsid w:val="00704126"/>
    <w:rsid w:val="007043D6"/>
    <w:rsid w:val="00704788"/>
    <w:rsid w:val="00704C5B"/>
    <w:rsid w:val="00705212"/>
    <w:rsid w:val="007055E4"/>
    <w:rsid w:val="00705DB8"/>
    <w:rsid w:val="00705F50"/>
    <w:rsid w:val="00705F92"/>
    <w:rsid w:val="0070625C"/>
    <w:rsid w:val="007066F3"/>
    <w:rsid w:val="00706929"/>
    <w:rsid w:val="00706C8C"/>
    <w:rsid w:val="0070746A"/>
    <w:rsid w:val="0070748A"/>
    <w:rsid w:val="007076A2"/>
    <w:rsid w:val="00707A4C"/>
    <w:rsid w:val="00707A98"/>
    <w:rsid w:val="00707E5B"/>
    <w:rsid w:val="00707FE1"/>
    <w:rsid w:val="00710349"/>
    <w:rsid w:val="0071035A"/>
    <w:rsid w:val="0071049B"/>
    <w:rsid w:val="00711412"/>
    <w:rsid w:val="00711738"/>
    <w:rsid w:val="0071179B"/>
    <w:rsid w:val="00711C71"/>
    <w:rsid w:val="00711D57"/>
    <w:rsid w:val="00713225"/>
    <w:rsid w:val="00713737"/>
    <w:rsid w:val="00713B79"/>
    <w:rsid w:val="00713BB3"/>
    <w:rsid w:val="007140E8"/>
    <w:rsid w:val="007141F4"/>
    <w:rsid w:val="00714972"/>
    <w:rsid w:val="00714F97"/>
    <w:rsid w:val="0071529D"/>
    <w:rsid w:val="0071548F"/>
    <w:rsid w:val="0071682C"/>
    <w:rsid w:val="00716FE6"/>
    <w:rsid w:val="0071717E"/>
    <w:rsid w:val="007171E9"/>
    <w:rsid w:val="007175A7"/>
    <w:rsid w:val="00717B3E"/>
    <w:rsid w:val="00720232"/>
    <w:rsid w:val="007205E1"/>
    <w:rsid w:val="0072095F"/>
    <w:rsid w:val="0072108E"/>
    <w:rsid w:val="007215E5"/>
    <w:rsid w:val="007216B7"/>
    <w:rsid w:val="00721767"/>
    <w:rsid w:val="00721826"/>
    <w:rsid w:val="00721A20"/>
    <w:rsid w:val="00721C77"/>
    <w:rsid w:val="007223D1"/>
    <w:rsid w:val="0072299A"/>
    <w:rsid w:val="00722B70"/>
    <w:rsid w:val="00722D6F"/>
    <w:rsid w:val="00723062"/>
    <w:rsid w:val="007231DD"/>
    <w:rsid w:val="00723770"/>
    <w:rsid w:val="00724018"/>
    <w:rsid w:val="007241BE"/>
    <w:rsid w:val="00724786"/>
    <w:rsid w:val="0072512A"/>
    <w:rsid w:val="00725356"/>
    <w:rsid w:val="00725966"/>
    <w:rsid w:val="007261CF"/>
    <w:rsid w:val="00726384"/>
    <w:rsid w:val="007264AD"/>
    <w:rsid w:val="007264B1"/>
    <w:rsid w:val="00726C80"/>
    <w:rsid w:val="00726F11"/>
    <w:rsid w:val="00726FDC"/>
    <w:rsid w:val="00727529"/>
    <w:rsid w:val="00727930"/>
    <w:rsid w:val="00727AAD"/>
    <w:rsid w:val="0073072C"/>
    <w:rsid w:val="0073130B"/>
    <w:rsid w:val="00731769"/>
    <w:rsid w:val="00731A08"/>
    <w:rsid w:val="00731EE6"/>
    <w:rsid w:val="0073211A"/>
    <w:rsid w:val="0073271E"/>
    <w:rsid w:val="00732C26"/>
    <w:rsid w:val="00732C2F"/>
    <w:rsid w:val="00732D7D"/>
    <w:rsid w:val="00733081"/>
    <w:rsid w:val="0073347A"/>
    <w:rsid w:val="0073356D"/>
    <w:rsid w:val="0073359C"/>
    <w:rsid w:val="00734249"/>
    <w:rsid w:val="007343D5"/>
    <w:rsid w:val="00734420"/>
    <w:rsid w:val="00734D16"/>
    <w:rsid w:val="00734F40"/>
    <w:rsid w:val="00734FA3"/>
    <w:rsid w:val="00735025"/>
    <w:rsid w:val="007355A6"/>
    <w:rsid w:val="00735C36"/>
    <w:rsid w:val="00735F43"/>
    <w:rsid w:val="00736675"/>
    <w:rsid w:val="007368D0"/>
    <w:rsid w:val="00736915"/>
    <w:rsid w:val="00736E5C"/>
    <w:rsid w:val="00736E60"/>
    <w:rsid w:val="007371C6"/>
    <w:rsid w:val="007371D7"/>
    <w:rsid w:val="00737503"/>
    <w:rsid w:val="00737E19"/>
    <w:rsid w:val="00737F87"/>
    <w:rsid w:val="00740368"/>
    <w:rsid w:val="00740410"/>
    <w:rsid w:val="00740A71"/>
    <w:rsid w:val="00740E94"/>
    <w:rsid w:val="00740FA6"/>
    <w:rsid w:val="00741167"/>
    <w:rsid w:val="0074146C"/>
    <w:rsid w:val="007420C7"/>
    <w:rsid w:val="0074223A"/>
    <w:rsid w:val="00742532"/>
    <w:rsid w:val="00742648"/>
    <w:rsid w:val="00743047"/>
    <w:rsid w:val="007439CC"/>
    <w:rsid w:val="00743A7D"/>
    <w:rsid w:val="00743CAC"/>
    <w:rsid w:val="00743CC3"/>
    <w:rsid w:val="00743DC1"/>
    <w:rsid w:val="00743E88"/>
    <w:rsid w:val="00743F25"/>
    <w:rsid w:val="00744015"/>
    <w:rsid w:val="00744041"/>
    <w:rsid w:val="0074436B"/>
    <w:rsid w:val="00744E10"/>
    <w:rsid w:val="007450A5"/>
    <w:rsid w:val="007453BE"/>
    <w:rsid w:val="007453E9"/>
    <w:rsid w:val="007458D5"/>
    <w:rsid w:val="007459A4"/>
    <w:rsid w:val="00745C92"/>
    <w:rsid w:val="007460DA"/>
    <w:rsid w:val="00746901"/>
    <w:rsid w:val="00746F4A"/>
    <w:rsid w:val="00747126"/>
    <w:rsid w:val="007476A0"/>
    <w:rsid w:val="007477C5"/>
    <w:rsid w:val="0074792C"/>
    <w:rsid w:val="00747938"/>
    <w:rsid w:val="00747C8E"/>
    <w:rsid w:val="00750EC3"/>
    <w:rsid w:val="00750FCF"/>
    <w:rsid w:val="007512B3"/>
    <w:rsid w:val="00751551"/>
    <w:rsid w:val="007515D1"/>
    <w:rsid w:val="007517DA"/>
    <w:rsid w:val="00751B95"/>
    <w:rsid w:val="0075204A"/>
    <w:rsid w:val="007521C4"/>
    <w:rsid w:val="00752BEB"/>
    <w:rsid w:val="00752D13"/>
    <w:rsid w:val="00752DD8"/>
    <w:rsid w:val="0075312C"/>
    <w:rsid w:val="007532FA"/>
    <w:rsid w:val="00753671"/>
    <w:rsid w:val="00753757"/>
    <w:rsid w:val="0075377A"/>
    <w:rsid w:val="00753A38"/>
    <w:rsid w:val="00753D0A"/>
    <w:rsid w:val="007541E4"/>
    <w:rsid w:val="0075469A"/>
    <w:rsid w:val="00755467"/>
    <w:rsid w:val="00755817"/>
    <w:rsid w:val="00755B12"/>
    <w:rsid w:val="00755D93"/>
    <w:rsid w:val="00755DCB"/>
    <w:rsid w:val="00755E5C"/>
    <w:rsid w:val="00755F67"/>
    <w:rsid w:val="00757035"/>
    <w:rsid w:val="00757186"/>
    <w:rsid w:val="007578E1"/>
    <w:rsid w:val="00757A6A"/>
    <w:rsid w:val="00757CF3"/>
    <w:rsid w:val="0076006D"/>
    <w:rsid w:val="00760768"/>
    <w:rsid w:val="00760BCC"/>
    <w:rsid w:val="0076106B"/>
    <w:rsid w:val="00761830"/>
    <w:rsid w:val="00761A7B"/>
    <w:rsid w:val="00761B62"/>
    <w:rsid w:val="007621FF"/>
    <w:rsid w:val="00762AFB"/>
    <w:rsid w:val="007630F5"/>
    <w:rsid w:val="00763275"/>
    <w:rsid w:val="00763388"/>
    <w:rsid w:val="007637BC"/>
    <w:rsid w:val="007639D9"/>
    <w:rsid w:val="007640AF"/>
    <w:rsid w:val="0076440A"/>
    <w:rsid w:val="0076475B"/>
    <w:rsid w:val="00764B31"/>
    <w:rsid w:val="00764B5D"/>
    <w:rsid w:val="00764D00"/>
    <w:rsid w:val="00764FD5"/>
    <w:rsid w:val="007655A9"/>
    <w:rsid w:val="007656A1"/>
    <w:rsid w:val="007656CA"/>
    <w:rsid w:val="00765956"/>
    <w:rsid w:val="00765A07"/>
    <w:rsid w:val="00765BA8"/>
    <w:rsid w:val="00766007"/>
    <w:rsid w:val="00766143"/>
    <w:rsid w:val="00766463"/>
    <w:rsid w:val="007664F7"/>
    <w:rsid w:val="00767193"/>
    <w:rsid w:val="007673C8"/>
    <w:rsid w:val="00767768"/>
    <w:rsid w:val="0076784F"/>
    <w:rsid w:val="00767BEF"/>
    <w:rsid w:val="00767BF3"/>
    <w:rsid w:val="00767D9C"/>
    <w:rsid w:val="00767FFC"/>
    <w:rsid w:val="0077018F"/>
    <w:rsid w:val="00770A26"/>
    <w:rsid w:val="00770F71"/>
    <w:rsid w:val="00770FA5"/>
    <w:rsid w:val="00771608"/>
    <w:rsid w:val="0077163A"/>
    <w:rsid w:val="007717E4"/>
    <w:rsid w:val="00771FB5"/>
    <w:rsid w:val="007724A7"/>
    <w:rsid w:val="007726FA"/>
    <w:rsid w:val="00772945"/>
    <w:rsid w:val="007730BE"/>
    <w:rsid w:val="007731BC"/>
    <w:rsid w:val="0077330B"/>
    <w:rsid w:val="00773328"/>
    <w:rsid w:val="00773481"/>
    <w:rsid w:val="00773913"/>
    <w:rsid w:val="00773C3D"/>
    <w:rsid w:val="007741E7"/>
    <w:rsid w:val="007746ED"/>
    <w:rsid w:val="00774814"/>
    <w:rsid w:val="00774B93"/>
    <w:rsid w:val="00774EAF"/>
    <w:rsid w:val="00774FC7"/>
    <w:rsid w:val="00775231"/>
    <w:rsid w:val="007754C3"/>
    <w:rsid w:val="0077554D"/>
    <w:rsid w:val="00775567"/>
    <w:rsid w:val="007757C6"/>
    <w:rsid w:val="00775C40"/>
    <w:rsid w:val="00775C59"/>
    <w:rsid w:val="0077629F"/>
    <w:rsid w:val="0077645D"/>
    <w:rsid w:val="00776542"/>
    <w:rsid w:val="00776749"/>
    <w:rsid w:val="00776E2E"/>
    <w:rsid w:val="00777442"/>
    <w:rsid w:val="00777451"/>
    <w:rsid w:val="007779A3"/>
    <w:rsid w:val="00777ADC"/>
    <w:rsid w:val="007802E7"/>
    <w:rsid w:val="00780B1A"/>
    <w:rsid w:val="00780D45"/>
    <w:rsid w:val="00780F3F"/>
    <w:rsid w:val="007812E7"/>
    <w:rsid w:val="00781315"/>
    <w:rsid w:val="0078159F"/>
    <w:rsid w:val="00781A97"/>
    <w:rsid w:val="00781E7D"/>
    <w:rsid w:val="00782065"/>
    <w:rsid w:val="00782419"/>
    <w:rsid w:val="007824BC"/>
    <w:rsid w:val="00782D2D"/>
    <w:rsid w:val="00782DFC"/>
    <w:rsid w:val="00782EC4"/>
    <w:rsid w:val="00782EEE"/>
    <w:rsid w:val="00783153"/>
    <w:rsid w:val="00783A74"/>
    <w:rsid w:val="00783AE5"/>
    <w:rsid w:val="00784B98"/>
    <w:rsid w:val="0078539C"/>
    <w:rsid w:val="00785777"/>
    <w:rsid w:val="00785C83"/>
    <w:rsid w:val="007864DA"/>
    <w:rsid w:val="00786ED8"/>
    <w:rsid w:val="00787491"/>
    <w:rsid w:val="0078759B"/>
    <w:rsid w:val="00787807"/>
    <w:rsid w:val="00787A15"/>
    <w:rsid w:val="00787CF3"/>
    <w:rsid w:val="00787D20"/>
    <w:rsid w:val="00787FD1"/>
    <w:rsid w:val="0079001F"/>
    <w:rsid w:val="00790362"/>
    <w:rsid w:val="007904EA"/>
    <w:rsid w:val="0079065C"/>
    <w:rsid w:val="00790767"/>
    <w:rsid w:val="00790B5F"/>
    <w:rsid w:val="0079108A"/>
    <w:rsid w:val="007911B6"/>
    <w:rsid w:val="00791669"/>
    <w:rsid w:val="00791BF5"/>
    <w:rsid w:val="007920FE"/>
    <w:rsid w:val="00792431"/>
    <w:rsid w:val="00792CDE"/>
    <w:rsid w:val="007930B7"/>
    <w:rsid w:val="00793237"/>
    <w:rsid w:val="00793541"/>
    <w:rsid w:val="0079404D"/>
    <w:rsid w:val="007946AA"/>
    <w:rsid w:val="00794E6A"/>
    <w:rsid w:val="00794F5F"/>
    <w:rsid w:val="007953AE"/>
    <w:rsid w:val="007954CF"/>
    <w:rsid w:val="00795730"/>
    <w:rsid w:val="007958E5"/>
    <w:rsid w:val="00795DF5"/>
    <w:rsid w:val="00795E2E"/>
    <w:rsid w:val="0079691E"/>
    <w:rsid w:val="007969E4"/>
    <w:rsid w:val="00796CD0"/>
    <w:rsid w:val="00796E5B"/>
    <w:rsid w:val="00796E96"/>
    <w:rsid w:val="00797093"/>
    <w:rsid w:val="007970C0"/>
    <w:rsid w:val="0079776F"/>
    <w:rsid w:val="00797CD7"/>
    <w:rsid w:val="007A0003"/>
    <w:rsid w:val="007A0131"/>
    <w:rsid w:val="007A04E1"/>
    <w:rsid w:val="007A06CB"/>
    <w:rsid w:val="007A08CD"/>
    <w:rsid w:val="007A08CE"/>
    <w:rsid w:val="007A092C"/>
    <w:rsid w:val="007A0B7E"/>
    <w:rsid w:val="007A0BC8"/>
    <w:rsid w:val="007A0F3F"/>
    <w:rsid w:val="007A1364"/>
    <w:rsid w:val="007A1785"/>
    <w:rsid w:val="007A1889"/>
    <w:rsid w:val="007A1939"/>
    <w:rsid w:val="007A1F2D"/>
    <w:rsid w:val="007A2286"/>
    <w:rsid w:val="007A2485"/>
    <w:rsid w:val="007A24A0"/>
    <w:rsid w:val="007A2542"/>
    <w:rsid w:val="007A2720"/>
    <w:rsid w:val="007A2769"/>
    <w:rsid w:val="007A2824"/>
    <w:rsid w:val="007A28EC"/>
    <w:rsid w:val="007A2938"/>
    <w:rsid w:val="007A2CCB"/>
    <w:rsid w:val="007A2DB0"/>
    <w:rsid w:val="007A2E83"/>
    <w:rsid w:val="007A332C"/>
    <w:rsid w:val="007A35AC"/>
    <w:rsid w:val="007A3B9A"/>
    <w:rsid w:val="007A3FC1"/>
    <w:rsid w:val="007A4171"/>
    <w:rsid w:val="007A41A1"/>
    <w:rsid w:val="007A41B9"/>
    <w:rsid w:val="007A4377"/>
    <w:rsid w:val="007A4637"/>
    <w:rsid w:val="007A48CA"/>
    <w:rsid w:val="007A4AB2"/>
    <w:rsid w:val="007A4E13"/>
    <w:rsid w:val="007A58DD"/>
    <w:rsid w:val="007A5E68"/>
    <w:rsid w:val="007A602B"/>
    <w:rsid w:val="007A61FE"/>
    <w:rsid w:val="007A63C9"/>
    <w:rsid w:val="007A6CFC"/>
    <w:rsid w:val="007A71CE"/>
    <w:rsid w:val="007A7442"/>
    <w:rsid w:val="007A7825"/>
    <w:rsid w:val="007A7925"/>
    <w:rsid w:val="007A7E8C"/>
    <w:rsid w:val="007B08C9"/>
    <w:rsid w:val="007B09AA"/>
    <w:rsid w:val="007B0A22"/>
    <w:rsid w:val="007B0CAC"/>
    <w:rsid w:val="007B0E20"/>
    <w:rsid w:val="007B14FD"/>
    <w:rsid w:val="007B15A6"/>
    <w:rsid w:val="007B18D5"/>
    <w:rsid w:val="007B1B6D"/>
    <w:rsid w:val="007B1BF7"/>
    <w:rsid w:val="007B1DA8"/>
    <w:rsid w:val="007B265A"/>
    <w:rsid w:val="007B27BE"/>
    <w:rsid w:val="007B2892"/>
    <w:rsid w:val="007B2FD6"/>
    <w:rsid w:val="007B321C"/>
    <w:rsid w:val="007B33E5"/>
    <w:rsid w:val="007B36BF"/>
    <w:rsid w:val="007B3C14"/>
    <w:rsid w:val="007B3D0B"/>
    <w:rsid w:val="007B4261"/>
    <w:rsid w:val="007B454A"/>
    <w:rsid w:val="007B46A6"/>
    <w:rsid w:val="007B4A59"/>
    <w:rsid w:val="007B4D42"/>
    <w:rsid w:val="007B51AA"/>
    <w:rsid w:val="007B5502"/>
    <w:rsid w:val="007B577C"/>
    <w:rsid w:val="007B598C"/>
    <w:rsid w:val="007B5A2F"/>
    <w:rsid w:val="007B5B27"/>
    <w:rsid w:val="007B5B32"/>
    <w:rsid w:val="007B5C75"/>
    <w:rsid w:val="007B610F"/>
    <w:rsid w:val="007B629E"/>
    <w:rsid w:val="007B63CF"/>
    <w:rsid w:val="007B6AEE"/>
    <w:rsid w:val="007B713D"/>
    <w:rsid w:val="007B745C"/>
    <w:rsid w:val="007B7472"/>
    <w:rsid w:val="007B7573"/>
    <w:rsid w:val="007B7A13"/>
    <w:rsid w:val="007B7AAB"/>
    <w:rsid w:val="007B7F08"/>
    <w:rsid w:val="007C03BB"/>
    <w:rsid w:val="007C06B2"/>
    <w:rsid w:val="007C124F"/>
    <w:rsid w:val="007C1D9D"/>
    <w:rsid w:val="007C229C"/>
    <w:rsid w:val="007C27F4"/>
    <w:rsid w:val="007C28CF"/>
    <w:rsid w:val="007C2941"/>
    <w:rsid w:val="007C29D7"/>
    <w:rsid w:val="007C2A9E"/>
    <w:rsid w:val="007C2FC6"/>
    <w:rsid w:val="007C3215"/>
    <w:rsid w:val="007C34DE"/>
    <w:rsid w:val="007C38B5"/>
    <w:rsid w:val="007C404B"/>
    <w:rsid w:val="007C4187"/>
    <w:rsid w:val="007C41A0"/>
    <w:rsid w:val="007C4A68"/>
    <w:rsid w:val="007C4BAE"/>
    <w:rsid w:val="007C4BEE"/>
    <w:rsid w:val="007C4D64"/>
    <w:rsid w:val="007C4EF0"/>
    <w:rsid w:val="007C4FAE"/>
    <w:rsid w:val="007C5BA9"/>
    <w:rsid w:val="007C62AC"/>
    <w:rsid w:val="007C667A"/>
    <w:rsid w:val="007C6A89"/>
    <w:rsid w:val="007C6D50"/>
    <w:rsid w:val="007C6F2E"/>
    <w:rsid w:val="007C73CF"/>
    <w:rsid w:val="007C764E"/>
    <w:rsid w:val="007C77C5"/>
    <w:rsid w:val="007C7E37"/>
    <w:rsid w:val="007D01AF"/>
    <w:rsid w:val="007D044C"/>
    <w:rsid w:val="007D10C8"/>
    <w:rsid w:val="007D1269"/>
    <w:rsid w:val="007D1406"/>
    <w:rsid w:val="007D1D3B"/>
    <w:rsid w:val="007D1DF0"/>
    <w:rsid w:val="007D20B0"/>
    <w:rsid w:val="007D24CF"/>
    <w:rsid w:val="007D2A15"/>
    <w:rsid w:val="007D3165"/>
    <w:rsid w:val="007D32B3"/>
    <w:rsid w:val="007D3560"/>
    <w:rsid w:val="007D3DF2"/>
    <w:rsid w:val="007D4068"/>
    <w:rsid w:val="007D4284"/>
    <w:rsid w:val="007D4621"/>
    <w:rsid w:val="007D47A8"/>
    <w:rsid w:val="007D495A"/>
    <w:rsid w:val="007D4982"/>
    <w:rsid w:val="007D4D87"/>
    <w:rsid w:val="007D4E55"/>
    <w:rsid w:val="007D5134"/>
    <w:rsid w:val="007D5696"/>
    <w:rsid w:val="007D5787"/>
    <w:rsid w:val="007D5960"/>
    <w:rsid w:val="007D5A97"/>
    <w:rsid w:val="007D6002"/>
    <w:rsid w:val="007D606A"/>
    <w:rsid w:val="007D65F6"/>
    <w:rsid w:val="007D6C0C"/>
    <w:rsid w:val="007D7882"/>
    <w:rsid w:val="007D7C3C"/>
    <w:rsid w:val="007D7D31"/>
    <w:rsid w:val="007E025A"/>
    <w:rsid w:val="007E0521"/>
    <w:rsid w:val="007E06B3"/>
    <w:rsid w:val="007E0D25"/>
    <w:rsid w:val="007E114E"/>
    <w:rsid w:val="007E119B"/>
    <w:rsid w:val="007E15F0"/>
    <w:rsid w:val="007E17FA"/>
    <w:rsid w:val="007E2B82"/>
    <w:rsid w:val="007E2DD3"/>
    <w:rsid w:val="007E33B9"/>
    <w:rsid w:val="007E3460"/>
    <w:rsid w:val="007E3588"/>
    <w:rsid w:val="007E36ED"/>
    <w:rsid w:val="007E378E"/>
    <w:rsid w:val="007E42E6"/>
    <w:rsid w:val="007E46BF"/>
    <w:rsid w:val="007E487F"/>
    <w:rsid w:val="007E4A0D"/>
    <w:rsid w:val="007E4B2D"/>
    <w:rsid w:val="007E4C3F"/>
    <w:rsid w:val="007E5388"/>
    <w:rsid w:val="007E54E0"/>
    <w:rsid w:val="007E587D"/>
    <w:rsid w:val="007E58C0"/>
    <w:rsid w:val="007E5CE8"/>
    <w:rsid w:val="007E6447"/>
    <w:rsid w:val="007E6757"/>
    <w:rsid w:val="007E68C0"/>
    <w:rsid w:val="007E6D75"/>
    <w:rsid w:val="007E6D9B"/>
    <w:rsid w:val="007E6DE7"/>
    <w:rsid w:val="007E7124"/>
    <w:rsid w:val="007E71E9"/>
    <w:rsid w:val="007E74E3"/>
    <w:rsid w:val="007E76CB"/>
    <w:rsid w:val="007E7721"/>
    <w:rsid w:val="007E7B1C"/>
    <w:rsid w:val="007E7C5C"/>
    <w:rsid w:val="007E7CB2"/>
    <w:rsid w:val="007E7CF2"/>
    <w:rsid w:val="007F02B2"/>
    <w:rsid w:val="007F02C7"/>
    <w:rsid w:val="007F032B"/>
    <w:rsid w:val="007F0CBE"/>
    <w:rsid w:val="007F10CC"/>
    <w:rsid w:val="007F12E0"/>
    <w:rsid w:val="007F160D"/>
    <w:rsid w:val="007F1873"/>
    <w:rsid w:val="007F1BFB"/>
    <w:rsid w:val="007F1D06"/>
    <w:rsid w:val="007F1ECD"/>
    <w:rsid w:val="007F2C72"/>
    <w:rsid w:val="007F2EB2"/>
    <w:rsid w:val="007F2F7E"/>
    <w:rsid w:val="007F3034"/>
    <w:rsid w:val="007F344C"/>
    <w:rsid w:val="007F3745"/>
    <w:rsid w:val="007F5287"/>
    <w:rsid w:val="007F5799"/>
    <w:rsid w:val="007F5A11"/>
    <w:rsid w:val="007F5BF1"/>
    <w:rsid w:val="007F62F3"/>
    <w:rsid w:val="007F66F4"/>
    <w:rsid w:val="007F68DC"/>
    <w:rsid w:val="007F68DF"/>
    <w:rsid w:val="007F6B28"/>
    <w:rsid w:val="007F6D6C"/>
    <w:rsid w:val="007F70B9"/>
    <w:rsid w:val="007F7137"/>
    <w:rsid w:val="007F7A75"/>
    <w:rsid w:val="007F7C48"/>
    <w:rsid w:val="007F7ECC"/>
    <w:rsid w:val="0080006E"/>
    <w:rsid w:val="00800462"/>
    <w:rsid w:val="0080048C"/>
    <w:rsid w:val="008007B7"/>
    <w:rsid w:val="00800E62"/>
    <w:rsid w:val="00800F35"/>
    <w:rsid w:val="008010D7"/>
    <w:rsid w:val="0080128D"/>
    <w:rsid w:val="0080147D"/>
    <w:rsid w:val="008016CA"/>
    <w:rsid w:val="008017B6"/>
    <w:rsid w:val="00801DB0"/>
    <w:rsid w:val="00802A65"/>
    <w:rsid w:val="00802DF1"/>
    <w:rsid w:val="00803432"/>
    <w:rsid w:val="00803443"/>
    <w:rsid w:val="008036C0"/>
    <w:rsid w:val="008039BF"/>
    <w:rsid w:val="00804131"/>
    <w:rsid w:val="00804144"/>
    <w:rsid w:val="008041DE"/>
    <w:rsid w:val="0080450E"/>
    <w:rsid w:val="00804530"/>
    <w:rsid w:val="008048F5"/>
    <w:rsid w:val="00804A6F"/>
    <w:rsid w:val="00804B1E"/>
    <w:rsid w:val="00804D52"/>
    <w:rsid w:val="00805159"/>
    <w:rsid w:val="0080516A"/>
    <w:rsid w:val="00805930"/>
    <w:rsid w:val="00805D9C"/>
    <w:rsid w:val="008061D6"/>
    <w:rsid w:val="0080646D"/>
    <w:rsid w:val="0080680D"/>
    <w:rsid w:val="00807138"/>
    <w:rsid w:val="0080786A"/>
    <w:rsid w:val="00807AA3"/>
    <w:rsid w:val="00807F10"/>
    <w:rsid w:val="00810139"/>
    <w:rsid w:val="00810552"/>
    <w:rsid w:val="008105B3"/>
    <w:rsid w:val="008111CF"/>
    <w:rsid w:val="0081154C"/>
    <w:rsid w:val="00811CEA"/>
    <w:rsid w:val="00811D79"/>
    <w:rsid w:val="008127F9"/>
    <w:rsid w:val="00812A4B"/>
    <w:rsid w:val="00812C05"/>
    <w:rsid w:val="00812DF0"/>
    <w:rsid w:val="00812FA4"/>
    <w:rsid w:val="008130B3"/>
    <w:rsid w:val="008130C4"/>
    <w:rsid w:val="0081322A"/>
    <w:rsid w:val="0081367C"/>
    <w:rsid w:val="008137B6"/>
    <w:rsid w:val="00813A02"/>
    <w:rsid w:val="00813B8D"/>
    <w:rsid w:val="00813C26"/>
    <w:rsid w:val="00813DC9"/>
    <w:rsid w:val="0081423C"/>
    <w:rsid w:val="00814693"/>
    <w:rsid w:val="00814746"/>
    <w:rsid w:val="008148C2"/>
    <w:rsid w:val="00814D2B"/>
    <w:rsid w:val="00814FFC"/>
    <w:rsid w:val="00815055"/>
    <w:rsid w:val="008151CC"/>
    <w:rsid w:val="0081521F"/>
    <w:rsid w:val="008153C9"/>
    <w:rsid w:val="00815617"/>
    <w:rsid w:val="008158D3"/>
    <w:rsid w:val="00815E12"/>
    <w:rsid w:val="008162AB"/>
    <w:rsid w:val="008164EB"/>
    <w:rsid w:val="008169C0"/>
    <w:rsid w:val="008169E7"/>
    <w:rsid w:val="00816E7C"/>
    <w:rsid w:val="0081766B"/>
    <w:rsid w:val="00817A08"/>
    <w:rsid w:val="00817A68"/>
    <w:rsid w:val="00820071"/>
    <w:rsid w:val="00820281"/>
    <w:rsid w:val="008203C0"/>
    <w:rsid w:val="00820BC4"/>
    <w:rsid w:val="0082130E"/>
    <w:rsid w:val="00821747"/>
    <w:rsid w:val="00821C6A"/>
    <w:rsid w:val="00821EE3"/>
    <w:rsid w:val="00822048"/>
    <w:rsid w:val="0082253F"/>
    <w:rsid w:val="00822C58"/>
    <w:rsid w:val="00822D96"/>
    <w:rsid w:val="0082353F"/>
    <w:rsid w:val="00823AEB"/>
    <w:rsid w:val="00823C4B"/>
    <w:rsid w:val="00823E43"/>
    <w:rsid w:val="00823F22"/>
    <w:rsid w:val="008249A1"/>
    <w:rsid w:val="00824E21"/>
    <w:rsid w:val="008252C7"/>
    <w:rsid w:val="008253BF"/>
    <w:rsid w:val="00825933"/>
    <w:rsid w:val="0082604B"/>
    <w:rsid w:val="00826220"/>
    <w:rsid w:val="008264F4"/>
    <w:rsid w:val="00826747"/>
    <w:rsid w:val="008267DA"/>
    <w:rsid w:val="00826C83"/>
    <w:rsid w:val="00826D47"/>
    <w:rsid w:val="00827368"/>
    <w:rsid w:val="00827AAC"/>
    <w:rsid w:val="00827C83"/>
    <w:rsid w:val="00827D6E"/>
    <w:rsid w:val="00827DC0"/>
    <w:rsid w:val="00827DEF"/>
    <w:rsid w:val="00827F0B"/>
    <w:rsid w:val="00827F65"/>
    <w:rsid w:val="00830040"/>
    <w:rsid w:val="0083010F"/>
    <w:rsid w:val="008302B7"/>
    <w:rsid w:val="00830340"/>
    <w:rsid w:val="008303A5"/>
    <w:rsid w:val="00830A36"/>
    <w:rsid w:val="00830F45"/>
    <w:rsid w:val="0083115E"/>
    <w:rsid w:val="00831279"/>
    <w:rsid w:val="00831864"/>
    <w:rsid w:val="00831FC2"/>
    <w:rsid w:val="0083256E"/>
    <w:rsid w:val="0083269B"/>
    <w:rsid w:val="00832B42"/>
    <w:rsid w:val="00832BB0"/>
    <w:rsid w:val="00832D79"/>
    <w:rsid w:val="00832F98"/>
    <w:rsid w:val="008330FE"/>
    <w:rsid w:val="008333AF"/>
    <w:rsid w:val="008337D2"/>
    <w:rsid w:val="00833B23"/>
    <w:rsid w:val="00833DDB"/>
    <w:rsid w:val="00833E6F"/>
    <w:rsid w:val="00833F3F"/>
    <w:rsid w:val="0083438F"/>
    <w:rsid w:val="00834608"/>
    <w:rsid w:val="008346F0"/>
    <w:rsid w:val="008349B6"/>
    <w:rsid w:val="00834C54"/>
    <w:rsid w:val="0083508E"/>
    <w:rsid w:val="0083582D"/>
    <w:rsid w:val="00835B07"/>
    <w:rsid w:val="00835F6A"/>
    <w:rsid w:val="0083608A"/>
    <w:rsid w:val="008360A1"/>
    <w:rsid w:val="0083639B"/>
    <w:rsid w:val="00836D98"/>
    <w:rsid w:val="0083793B"/>
    <w:rsid w:val="00837AA4"/>
    <w:rsid w:val="00840A83"/>
    <w:rsid w:val="00840CA5"/>
    <w:rsid w:val="00841533"/>
    <w:rsid w:val="00841B13"/>
    <w:rsid w:val="00841E92"/>
    <w:rsid w:val="00842AB6"/>
    <w:rsid w:val="00842E09"/>
    <w:rsid w:val="00843016"/>
    <w:rsid w:val="00843577"/>
    <w:rsid w:val="00843E6F"/>
    <w:rsid w:val="008441CE"/>
    <w:rsid w:val="008443E7"/>
    <w:rsid w:val="00844890"/>
    <w:rsid w:val="00844A90"/>
    <w:rsid w:val="00844E7A"/>
    <w:rsid w:val="00844F83"/>
    <w:rsid w:val="0084524A"/>
    <w:rsid w:val="00845487"/>
    <w:rsid w:val="00845499"/>
    <w:rsid w:val="008456CE"/>
    <w:rsid w:val="00845881"/>
    <w:rsid w:val="008460D6"/>
    <w:rsid w:val="00846C00"/>
    <w:rsid w:val="00846E05"/>
    <w:rsid w:val="00846E4A"/>
    <w:rsid w:val="008476D6"/>
    <w:rsid w:val="00847C2B"/>
    <w:rsid w:val="00850128"/>
    <w:rsid w:val="008503D0"/>
    <w:rsid w:val="00850581"/>
    <w:rsid w:val="00850832"/>
    <w:rsid w:val="00851046"/>
    <w:rsid w:val="00851100"/>
    <w:rsid w:val="00851111"/>
    <w:rsid w:val="0085127C"/>
    <w:rsid w:val="00851654"/>
    <w:rsid w:val="00851AF5"/>
    <w:rsid w:val="00851DAA"/>
    <w:rsid w:val="00851E3A"/>
    <w:rsid w:val="00851EA9"/>
    <w:rsid w:val="00851FB5"/>
    <w:rsid w:val="008521DB"/>
    <w:rsid w:val="008522D5"/>
    <w:rsid w:val="008523B5"/>
    <w:rsid w:val="00852677"/>
    <w:rsid w:val="00852766"/>
    <w:rsid w:val="008527D1"/>
    <w:rsid w:val="00852A40"/>
    <w:rsid w:val="00852B97"/>
    <w:rsid w:val="00852DB9"/>
    <w:rsid w:val="00852EC6"/>
    <w:rsid w:val="008533EE"/>
    <w:rsid w:val="0085404C"/>
    <w:rsid w:val="00854332"/>
    <w:rsid w:val="008543AB"/>
    <w:rsid w:val="00854670"/>
    <w:rsid w:val="00854724"/>
    <w:rsid w:val="00854DAA"/>
    <w:rsid w:val="008550CB"/>
    <w:rsid w:val="00855513"/>
    <w:rsid w:val="00855761"/>
    <w:rsid w:val="00855B60"/>
    <w:rsid w:val="00855E0B"/>
    <w:rsid w:val="008560B9"/>
    <w:rsid w:val="008561E8"/>
    <w:rsid w:val="00856A20"/>
    <w:rsid w:val="00856D81"/>
    <w:rsid w:val="008570DB"/>
    <w:rsid w:val="0085710F"/>
    <w:rsid w:val="0085718B"/>
    <w:rsid w:val="00857897"/>
    <w:rsid w:val="00857A69"/>
    <w:rsid w:val="008603CB"/>
    <w:rsid w:val="00860793"/>
    <w:rsid w:val="008608A3"/>
    <w:rsid w:val="0086092E"/>
    <w:rsid w:val="00860B4C"/>
    <w:rsid w:val="00860D6C"/>
    <w:rsid w:val="008612B7"/>
    <w:rsid w:val="0086169D"/>
    <w:rsid w:val="00861B3D"/>
    <w:rsid w:val="00861B8D"/>
    <w:rsid w:val="00862196"/>
    <w:rsid w:val="008622FB"/>
    <w:rsid w:val="0086242C"/>
    <w:rsid w:val="008626B9"/>
    <w:rsid w:val="00862721"/>
    <w:rsid w:val="0086362C"/>
    <w:rsid w:val="0086396F"/>
    <w:rsid w:val="00863A17"/>
    <w:rsid w:val="0086447F"/>
    <w:rsid w:val="008647DE"/>
    <w:rsid w:val="00864A8A"/>
    <w:rsid w:val="00864B95"/>
    <w:rsid w:val="00864DEB"/>
    <w:rsid w:val="00864E48"/>
    <w:rsid w:val="0086549E"/>
    <w:rsid w:val="008654D4"/>
    <w:rsid w:val="008656A2"/>
    <w:rsid w:val="00865737"/>
    <w:rsid w:val="00865E72"/>
    <w:rsid w:val="00865F33"/>
    <w:rsid w:val="00866142"/>
    <w:rsid w:val="00866277"/>
    <w:rsid w:val="0086631B"/>
    <w:rsid w:val="0086663F"/>
    <w:rsid w:val="00866788"/>
    <w:rsid w:val="008667B8"/>
    <w:rsid w:val="008668F6"/>
    <w:rsid w:val="00866A85"/>
    <w:rsid w:val="00866EFA"/>
    <w:rsid w:val="00867003"/>
    <w:rsid w:val="00867488"/>
    <w:rsid w:val="00867DA2"/>
    <w:rsid w:val="00870122"/>
    <w:rsid w:val="00870402"/>
    <w:rsid w:val="008705D6"/>
    <w:rsid w:val="00870BFB"/>
    <w:rsid w:val="00870C2B"/>
    <w:rsid w:val="008712E0"/>
    <w:rsid w:val="008713BA"/>
    <w:rsid w:val="00871C23"/>
    <w:rsid w:val="00871C8A"/>
    <w:rsid w:val="00871C95"/>
    <w:rsid w:val="00871DDA"/>
    <w:rsid w:val="00872175"/>
    <w:rsid w:val="00872295"/>
    <w:rsid w:val="008723B7"/>
    <w:rsid w:val="008727F1"/>
    <w:rsid w:val="00873620"/>
    <w:rsid w:val="00873BDE"/>
    <w:rsid w:val="00873C67"/>
    <w:rsid w:val="00873EFF"/>
    <w:rsid w:val="00874159"/>
    <w:rsid w:val="008747A6"/>
    <w:rsid w:val="00874ABD"/>
    <w:rsid w:val="00874DB0"/>
    <w:rsid w:val="00874E64"/>
    <w:rsid w:val="00875A5A"/>
    <w:rsid w:val="00875A72"/>
    <w:rsid w:val="008760EF"/>
    <w:rsid w:val="00876567"/>
    <w:rsid w:val="00876B8D"/>
    <w:rsid w:val="00876F19"/>
    <w:rsid w:val="00877051"/>
    <w:rsid w:val="008771D1"/>
    <w:rsid w:val="008771EA"/>
    <w:rsid w:val="00877277"/>
    <w:rsid w:val="008773A1"/>
    <w:rsid w:val="00877727"/>
    <w:rsid w:val="008778F9"/>
    <w:rsid w:val="00877B1A"/>
    <w:rsid w:val="00877E7E"/>
    <w:rsid w:val="00877E9C"/>
    <w:rsid w:val="008800D3"/>
    <w:rsid w:val="00880159"/>
    <w:rsid w:val="00880C56"/>
    <w:rsid w:val="00880D8E"/>
    <w:rsid w:val="00880F1A"/>
    <w:rsid w:val="0088141F"/>
    <w:rsid w:val="008816A8"/>
    <w:rsid w:val="00881ADB"/>
    <w:rsid w:val="00881B11"/>
    <w:rsid w:val="00881B16"/>
    <w:rsid w:val="00881C85"/>
    <w:rsid w:val="00882181"/>
    <w:rsid w:val="0088236F"/>
    <w:rsid w:val="00882748"/>
    <w:rsid w:val="00882AB4"/>
    <w:rsid w:val="00882D12"/>
    <w:rsid w:val="008831D1"/>
    <w:rsid w:val="00883B56"/>
    <w:rsid w:val="00883CA4"/>
    <w:rsid w:val="00883E2B"/>
    <w:rsid w:val="00883EC1"/>
    <w:rsid w:val="008841C5"/>
    <w:rsid w:val="00884EA2"/>
    <w:rsid w:val="008853B4"/>
    <w:rsid w:val="008853C7"/>
    <w:rsid w:val="00885825"/>
    <w:rsid w:val="00885B9B"/>
    <w:rsid w:val="00886030"/>
    <w:rsid w:val="00886501"/>
    <w:rsid w:val="00886531"/>
    <w:rsid w:val="00886CDD"/>
    <w:rsid w:val="00886F36"/>
    <w:rsid w:val="00886F38"/>
    <w:rsid w:val="00886FF6"/>
    <w:rsid w:val="00887462"/>
    <w:rsid w:val="008879A9"/>
    <w:rsid w:val="00887A37"/>
    <w:rsid w:val="00887E1E"/>
    <w:rsid w:val="008914FB"/>
    <w:rsid w:val="008915B6"/>
    <w:rsid w:val="00891D47"/>
    <w:rsid w:val="0089214D"/>
    <w:rsid w:val="008922AD"/>
    <w:rsid w:val="00892B2D"/>
    <w:rsid w:val="00893C0D"/>
    <w:rsid w:val="00893D72"/>
    <w:rsid w:val="00894081"/>
    <w:rsid w:val="00894125"/>
    <w:rsid w:val="00894143"/>
    <w:rsid w:val="0089435A"/>
    <w:rsid w:val="00894781"/>
    <w:rsid w:val="0089485F"/>
    <w:rsid w:val="00894A50"/>
    <w:rsid w:val="00894E3A"/>
    <w:rsid w:val="008950EF"/>
    <w:rsid w:val="008954F9"/>
    <w:rsid w:val="0089559F"/>
    <w:rsid w:val="00895653"/>
    <w:rsid w:val="008957DD"/>
    <w:rsid w:val="00896449"/>
    <w:rsid w:val="00896596"/>
    <w:rsid w:val="00897194"/>
    <w:rsid w:val="0089724F"/>
    <w:rsid w:val="0089754C"/>
    <w:rsid w:val="008975D9"/>
    <w:rsid w:val="00897B5E"/>
    <w:rsid w:val="00897BC6"/>
    <w:rsid w:val="00897D8B"/>
    <w:rsid w:val="00897DC3"/>
    <w:rsid w:val="008A002A"/>
    <w:rsid w:val="008A014D"/>
    <w:rsid w:val="008A02EC"/>
    <w:rsid w:val="008A0E11"/>
    <w:rsid w:val="008A12ED"/>
    <w:rsid w:val="008A18AD"/>
    <w:rsid w:val="008A1B0F"/>
    <w:rsid w:val="008A20DA"/>
    <w:rsid w:val="008A21C0"/>
    <w:rsid w:val="008A21CD"/>
    <w:rsid w:val="008A28B1"/>
    <w:rsid w:val="008A298B"/>
    <w:rsid w:val="008A2D0B"/>
    <w:rsid w:val="008A2D18"/>
    <w:rsid w:val="008A2EF0"/>
    <w:rsid w:val="008A3163"/>
    <w:rsid w:val="008A36C1"/>
    <w:rsid w:val="008A3CC4"/>
    <w:rsid w:val="008A4019"/>
    <w:rsid w:val="008A436D"/>
    <w:rsid w:val="008A4424"/>
    <w:rsid w:val="008A4D27"/>
    <w:rsid w:val="008A534C"/>
    <w:rsid w:val="008A54C1"/>
    <w:rsid w:val="008A5616"/>
    <w:rsid w:val="008A581A"/>
    <w:rsid w:val="008A5FB5"/>
    <w:rsid w:val="008A612D"/>
    <w:rsid w:val="008A6395"/>
    <w:rsid w:val="008A6B2C"/>
    <w:rsid w:val="008A6B43"/>
    <w:rsid w:val="008A6D58"/>
    <w:rsid w:val="008A71FC"/>
    <w:rsid w:val="008A7878"/>
    <w:rsid w:val="008A7C16"/>
    <w:rsid w:val="008A7CA8"/>
    <w:rsid w:val="008A7FE2"/>
    <w:rsid w:val="008B0164"/>
    <w:rsid w:val="008B0254"/>
    <w:rsid w:val="008B044E"/>
    <w:rsid w:val="008B0526"/>
    <w:rsid w:val="008B0F41"/>
    <w:rsid w:val="008B1ABF"/>
    <w:rsid w:val="008B1F63"/>
    <w:rsid w:val="008B20E3"/>
    <w:rsid w:val="008B22E8"/>
    <w:rsid w:val="008B259C"/>
    <w:rsid w:val="008B261F"/>
    <w:rsid w:val="008B2636"/>
    <w:rsid w:val="008B2B14"/>
    <w:rsid w:val="008B2BEE"/>
    <w:rsid w:val="008B3612"/>
    <w:rsid w:val="008B3745"/>
    <w:rsid w:val="008B3750"/>
    <w:rsid w:val="008B3C5E"/>
    <w:rsid w:val="008B4026"/>
    <w:rsid w:val="008B406E"/>
    <w:rsid w:val="008B4093"/>
    <w:rsid w:val="008B40F2"/>
    <w:rsid w:val="008B5C8F"/>
    <w:rsid w:val="008B5DD6"/>
    <w:rsid w:val="008B5F16"/>
    <w:rsid w:val="008B6B1E"/>
    <w:rsid w:val="008B6F7C"/>
    <w:rsid w:val="008B7183"/>
    <w:rsid w:val="008B7451"/>
    <w:rsid w:val="008B7722"/>
    <w:rsid w:val="008B77CE"/>
    <w:rsid w:val="008B7868"/>
    <w:rsid w:val="008B786F"/>
    <w:rsid w:val="008B792C"/>
    <w:rsid w:val="008B7EAB"/>
    <w:rsid w:val="008B7F9A"/>
    <w:rsid w:val="008C02BE"/>
    <w:rsid w:val="008C02E7"/>
    <w:rsid w:val="008C0475"/>
    <w:rsid w:val="008C07DA"/>
    <w:rsid w:val="008C0AFA"/>
    <w:rsid w:val="008C0DAB"/>
    <w:rsid w:val="008C0E5C"/>
    <w:rsid w:val="008C184B"/>
    <w:rsid w:val="008C18BC"/>
    <w:rsid w:val="008C1ADE"/>
    <w:rsid w:val="008C1B45"/>
    <w:rsid w:val="008C1E2C"/>
    <w:rsid w:val="008C1F5E"/>
    <w:rsid w:val="008C26ED"/>
    <w:rsid w:val="008C28D0"/>
    <w:rsid w:val="008C2BB5"/>
    <w:rsid w:val="008C343F"/>
    <w:rsid w:val="008C36BD"/>
    <w:rsid w:val="008C39E1"/>
    <w:rsid w:val="008C3B3A"/>
    <w:rsid w:val="008C3C63"/>
    <w:rsid w:val="008C4206"/>
    <w:rsid w:val="008C43E2"/>
    <w:rsid w:val="008C446A"/>
    <w:rsid w:val="008C4581"/>
    <w:rsid w:val="008C489E"/>
    <w:rsid w:val="008C4FA9"/>
    <w:rsid w:val="008C504D"/>
    <w:rsid w:val="008C59DF"/>
    <w:rsid w:val="008C5D76"/>
    <w:rsid w:val="008C5EE3"/>
    <w:rsid w:val="008C6829"/>
    <w:rsid w:val="008C6B32"/>
    <w:rsid w:val="008C6E40"/>
    <w:rsid w:val="008C6F52"/>
    <w:rsid w:val="008C7096"/>
    <w:rsid w:val="008C7138"/>
    <w:rsid w:val="008C73B9"/>
    <w:rsid w:val="008C7584"/>
    <w:rsid w:val="008C79A1"/>
    <w:rsid w:val="008C7C57"/>
    <w:rsid w:val="008D0369"/>
    <w:rsid w:val="008D0519"/>
    <w:rsid w:val="008D0902"/>
    <w:rsid w:val="008D0ED4"/>
    <w:rsid w:val="008D100D"/>
    <w:rsid w:val="008D1497"/>
    <w:rsid w:val="008D1C1A"/>
    <w:rsid w:val="008D1E8F"/>
    <w:rsid w:val="008D1FB9"/>
    <w:rsid w:val="008D2099"/>
    <w:rsid w:val="008D248E"/>
    <w:rsid w:val="008D264B"/>
    <w:rsid w:val="008D32FC"/>
    <w:rsid w:val="008D335A"/>
    <w:rsid w:val="008D348B"/>
    <w:rsid w:val="008D3C94"/>
    <w:rsid w:val="008D4269"/>
    <w:rsid w:val="008D4629"/>
    <w:rsid w:val="008D4658"/>
    <w:rsid w:val="008D46EE"/>
    <w:rsid w:val="008D4A17"/>
    <w:rsid w:val="008D4E5B"/>
    <w:rsid w:val="008D55D1"/>
    <w:rsid w:val="008D5705"/>
    <w:rsid w:val="008D635F"/>
    <w:rsid w:val="008D6600"/>
    <w:rsid w:val="008D6782"/>
    <w:rsid w:val="008D6C04"/>
    <w:rsid w:val="008D6D34"/>
    <w:rsid w:val="008D7CD8"/>
    <w:rsid w:val="008D7EE9"/>
    <w:rsid w:val="008E006C"/>
    <w:rsid w:val="008E027A"/>
    <w:rsid w:val="008E0629"/>
    <w:rsid w:val="008E07EB"/>
    <w:rsid w:val="008E097D"/>
    <w:rsid w:val="008E14F9"/>
    <w:rsid w:val="008E1619"/>
    <w:rsid w:val="008E1B8E"/>
    <w:rsid w:val="008E1BF5"/>
    <w:rsid w:val="008E1DBB"/>
    <w:rsid w:val="008E1FC2"/>
    <w:rsid w:val="008E2136"/>
    <w:rsid w:val="008E230B"/>
    <w:rsid w:val="008E27A2"/>
    <w:rsid w:val="008E2BE4"/>
    <w:rsid w:val="008E2CBC"/>
    <w:rsid w:val="008E2D39"/>
    <w:rsid w:val="008E2D87"/>
    <w:rsid w:val="008E3191"/>
    <w:rsid w:val="008E345C"/>
    <w:rsid w:val="008E3B97"/>
    <w:rsid w:val="008E3ED5"/>
    <w:rsid w:val="008E41BE"/>
    <w:rsid w:val="008E4254"/>
    <w:rsid w:val="008E456A"/>
    <w:rsid w:val="008E49F3"/>
    <w:rsid w:val="008E4A5B"/>
    <w:rsid w:val="008E4FAE"/>
    <w:rsid w:val="008E5047"/>
    <w:rsid w:val="008E5175"/>
    <w:rsid w:val="008E53A2"/>
    <w:rsid w:val="008E5786"/>
    <w:rsid w:val="008E58F0"/>
    <w:rsid w:val="008E5B20"/>
    <w:rsid w:val="008E60B5"/>
    <w:rsid w:val="008E62D2"/>
    <w:rsid w:val="008E66B3"/>
    <w:rsid w:val="008E68E5"/>
    <w:rsid w:val="008E6B4E"/>
    <w:rsid w:val="008E6B79"/>
    <w:rsid w:val="008E6CE6"/>
    <w:rsid w:val="008E6DC0"/>
    <w:rsid w:val="008E72EE"/>
    <w:rsid w:val="008E7455"/>
    <w:rsid w:val="008E7970"/>
    <w:rsid w:val="008E7B40"/>
    <w:rsid w:val="008E7C34"/>
    <w:rsid w:val="008E7F4A"/>
    <w:rsid w:val="008F0155"/>
    <w:rsid w:val="008F03A7"/>
    <w:rsid w:val="008F0B57"/>
    <w:rsid w:val="008F0C36"/>
    <w:rsid w:val="008F0EB2"/>
    <w:rsid w:val="008F1016"/>
    <w:rsid w:val="008F107F"/>
    <w:rsid w:val="008F10B3"/>
    <w:rsid w:val="008F10D9"/>
    <w:rsid w:val="008F10DD"/>
    <w:rsid w:val="008F1350"/>
    <w:rsid w:val="008F1959"/>
    <w:rsid w:val="008F1BDA"/>
    <w:rsid w:val="008F1C38"/>
    <w:rsid w:val="008F20F7"/>
    <w:rsid w:val="008F21B8"/>
    <w:rsid w:val="008F258F"/>
    <w:rsid w:val="008F2847"/>
    <w:rsid w:val="008F2F7D"/>
    <w:rsid w:val="008F31DA"/>
    <w:rsid w:val="008F328D"/>
    <w:rsid w:val="008F344E"/>
    <w:rsid w:val="008F36E2"/>
    <w:rsid w:val="008F377B"/>
    <w:rsid w:val="008F39D9"/>
    <w:rsid w:val="008F3C4B"/>
    <w:rsid w:val="008F43F5"/>
    <w:rsid w:val="008F4823"/>
    <w:rsid w:val="008F4835"/>
    <w:rsid w:val="008F48F6"/>
    <w:rsid w:val="008F4E23"/>
    <w:rsid w:val="008F4FC9"/>
    <w:rsid w:val="008F50A6"/>
    <w:rsid w:val="008F51DA"/>
    <w:rsid w:val="008F56DE"/>
    <w:rsid w:val="008F5D89"/>
    <w:rsid w:val="008F5E4C"/>
    <w:rsid w:val="008F61A0"/>
    <w:rsid w:val="008F621C"/>
    <w:rsid w:val="008F67CC"/>
    <w:rsid w:val="008F6AD6"/>
    <w:rsid w:val="00900259"/>
    <w:rsid w:val="009007FC"/>
    <w:rsid w:val="00900B47"/>
    <w:rsid w:val="00900C35"/>
    <w:rsid w:val="00901012"/>
    <w:rsid w:val="009011CE"/>
    <w:rsid w:val="009017A1"/>
    <w:rsid w:val="00901D41"/>
    <w:rsid w:val="0090252A"/>
    <w:rsid w:val="0090258C"/>
    <w:rsid w:val="009025AB"/>
    <w:rsid w:val="00902C00"/>
    <w:rsid w:val="00902CA5"/>
    <w:rsid w:val="00902D4F"/>
    <w:rsid w:val="009030E3"/>
    <w:rsid w:val="009034B9"/>
    <w:rsid w:val="00903FB3"/>
    <w:rsid w:val="00904690"/>
    <w:rsid w:val="00905336"/>
    <w:rsid w:val="009060FF"/>
    <w:rsid w:val="009066DC"/>
    <w:rsid w:val="00906E22"/>
    <w:rsid w:val="00907163"/>
    <w:rsid w:val="0090728D"/>
    <w:rsid w:val="00907441"/>
    <w:rsid w:val="00907583"/>
    <w:rsid w:val="0090758F"/>
    <w:rsid w:val="0090766F"/>
    <w:rsid w:val="0090779A"/>
    <w:rsid w:val="0090780A"/>
    <w:rsid w:val="009102B4"/>
    <w:rsid w:val="0091052B"/>
    <w:rsid w:val="00910715"/>
    <w:rsid w:val="009107FF"/>
    <w:rsid w:val="0091091D"/>
    <w:rsid w:val="00911327"/>
    <w:rsid w:val="00911F7E"/>
    <w:rsid w:val="009122DB"/>
    <w:rsid w:val="00912848"/>
    <w:rsid w:val="00912B56"/>
    <w:rsid w:val="00912C6F"/>
    <w:rsid w:val="00912E6B"/>
    <w:rsid w:val="009131F8"/>
    <w:rsid w:val="009133D4"/>
    <w:rsid w:val="009136D9"/>
    <w:rsid w:val="00913F98"/>
    <w:rsid w:val="00914D25"/>
    <w:rsid w:val="00914D48"/>
    <w:rsid w:val="00915512"/>
    <w:rsid w:val="00916223"/>
    <w:rsid w:val="009163A0"/>
    <w:rsid w:val="009165A9"/>
    <w:rsid w:val="0091696F"/>
    <w:rsid w:val="00916C99"/>
    <w:rsid w:val="00916EA5"/>
    <w:rsid w:val="00916EE9"/>
    <w:rsid w:val="00917159"/>
    <w:rsid w:val="00917C84"/>
    <w:rsid w:val="00917D6B"/>
    <w:rsid w:val="00920872"/>
    <w:rsid w:val="00920FCF"/>
    <w:rsid w:val="0092119F"/>
    <w:rsid w:val="0092147F"/>
    <w:rsid w:val="009218A2"/>
    <w:rsid w:val="0092191B"/>
    <w:rsid w:val="00921D86"/>
    <w:rsid w:val="00921FE8"/>
    <w:rsid w:val="0092241F"/>
    <w:rsid w:val="009224A3"/>
    <w:rsid w:val="009224B7"/>
    <w:rsid w:val="0092261B"/>
    <w:rsid w:val="00922E3B"/>
    <w:rsid w:val="00922FD8"/>
    <w:rsid w:val="009230B4"/>
    <w:rsid w:val="00923261"/>
    <w:rsid w:val="009233CC"/>
    <w:rsid w:val="00923509"/>
    <w:rsid w:val="00923551"/>
    <w:rsid w:val="00923633"/>
    <w:rsid w:val="00923651"/>
    <w:rsid w:val="00923C11"/>
    <w:rsid w:val="009240D8"/>
    <w:rsid w:val="009240FF"/>
    <w:rsid w:val="00924502"/>
    <w:rsid w:val="00924AA7"/>
    <w:rsid w:val="00924EC9"/>
    <w:rsid w:val="0092518C"/>
    <w:rsid w:val="0092523D"/>
    <w:rsid w:val="0092571D"/>
    <w:rsid w:val="0092586A"/>
    <w:rsid w:val="009259B7"/>
    <w:rsid w:val="00925EF6"/>
    <w:rsid w:val="00925F7F"/>
    <w:rsid w:val="009260FB"/>
    <w:rsid w:val="00926354"/>
    <w:rsid w:val="009264CA"/>
    <w:rsid w:val="00926F34"/>
    <w:rsid w:val="00927038"/>
    <w:rsid w:val="0092785A"/>
    <w:rsid w:val="0092789F"/>
    <w:rsid w:val="00927A08"/>
    <w:rsid w:val="00927F26"/>
    <w:rsid w:val="00927FCB"/>
    <w:rsid w:val="009303C3"/>
    <w:rsid w:val="0093066B"/>
    <w:rsid w:val="0093069F"/>
    <w:rsid w:val="00930745"/>
    <w:rsid w:val="00930812"/>
    <w:rsid w:val="00930948"/>
    <w:rsid w:val="00930A39"/>
    <w:rsid w:val="00930A74"/>
    <w:rsid w:val="00930E1C"/>
    <w:rsid w:val="00930EA1"/>
    <w:rsid w:val="009310EB"/>
    <w:rsid w:val="00931112"/>
    <w:rsid w:val="00931338"/>
    <w:rsid w:val="009316A4"/>
    <w:rsid w:val="0093176E"/>
    <w:rsid w:val="00931852"/>
    <w:rsid w:val="00931B5E"/>
    <w:rsid w:val="00932100"/>
    <w:rsid w:val="00932509"/>
    <w:rsid w:val="00932929"/>
    <w:rsid w:val="00932983"/>
    <w:rsid w:val="009329B0"/>
    <w:rsid w:val="009329B2"/>
    <w:rsid w:val="00933165"/>
    <w:rsid w:val="009332E2"/>
    <w:rsid w:val="00933817"/>
    <w:rsid w:val="00933A35"/>
    <w:rsid w:val="00933FE3"/>
    <w:rsid w:val="00934B9E"/>
    <w:rsid w:val="00934EAC"/>
    <w:rsid w:val="009350E4"/>
    <w:rsid w:val="009354E5"/>
    <w:rsid w:val="00935753"/>
    <w:rsid w:val="009359DF"/>
    <w:rsid w:val="00935A5A"/>
    <w:rsid w:val="0093603E"/>
    <w:rsid w:val="009360D7"/>
    <w:rsid w:val="009362C9"/>
    <w:rsid w:val="0093743C"/>
    <w:rsid w:val="00937498"/>
    <w:rsid w:val="00937509"/>
    <w:rsid w:val="0093753F"/>
    <w:rsid w:val="00937935"/>
    <w:rsid w:val="00937E54"/>
    <w:rsid w:val="009404D7"/>
    <w:rsid w:val="009405A4"/>
    <w:rsid w:val="009407AA"/>
    <w:rsid w:val="00940AD1"/>
    <w:rsid w:val="00940E50"/>
    <w:rsid w:val="00941026"/>
    <w:rsid w:val="00941536"/>
    <w:rsid w:val="00941754"/>
    <w:rsid w:val="00941769"/>
    <w:rsid w:val="00941D13"/>
    <w:rsid w:val="00942058"/>
    <w:rsid w:val="0094218A"/>
    <w:rsid w:val="00942226"/>
    <w:rsid w:val="00942387"/>
    <w:rsid w:val="00942927"/>
    <w:rsid w:val="0094299E"/>
    <w:rsid w:val="00942A1E"/>
    <w:rsid w:val="00943093"/>
    <w:rsid w:val="0094380C"/>
    <w:rsid w:val="0094385A"/>
    <w:rsid w:val="009438FE"/>
    <w:rsid w:val="00943AD9"/>
    <w:rsid w:val="00943AE3"/>
    <w:rsid w:val="00944236"/>
    <w:rsid w:val="00944614"/>
    <w:rsid w:val="00944959"/>
    <w:rsid w:val="00944EAE"/>
    <w:rsid w:val="0094517F"/>
    <w:rsid w:val="009451A4"/>
    <w:rsid w:val="0094553C"/>
    <w:rsid w:val="00945613"/>
    <w:rsid w:val="009457B0"/>
    <w:rsid w:val="00945D86"/>
    <w:rsid w:val="00945EF3"/>
    <w:rsid w:val="00946019"/>
    <w:rsid w:val="0094626F"/>
    <w:rsid w:val="009462D2"/>
    <w:rsid w:val="0094692B"/>
    <w:rsid w:val="00946A1D"/>
    <w:rsid w:val="0094701C"/>
    <w:rsid w:val="00947253"/>
    <w:rsid w:val="009476AB"/>
    <w:rsid w:val="009479A6"/>
    <w:rsid w:val="00947E56"/>
    <w:rsid w:val="00950A20"/>
    <w:rsid w:val="00950CD5"/>
    <w:rsid w:val="00950D16"/>
    <w:rsid w:val="0095118D"/>
    <w:rsid w:val="0095144C"/>
    <w:rsid w:val="009515F4"/>
    <w:rsid w:val="0095165B"/>
    <w:rsid w:val="00951BD0"/>
    <w:rsid w:val="009523F2"/>
    <w:rsid w:val="00952548"/>
    <w:rsid w:val="00952844"/>
    <w:rsid w:val="009531B5"/>
    <w:rsid w:val="00953825"/>
    <w:rsid w:val="009538C2"/>
    <w:rsid w:val="00953D79"/>
    <w:rsid w:val="00953D91"/>
    <w:rsid w:val="00954003"/>
    <w:rsid w:val="00954148"/>
    <w:rsid w:val="009542ED"/>
    <w:rsid w:val="0095434A"/>
    <w:rsid w:val="00954939"/>
    <w:rsid w:val="00955341"/>
    <w:rsid w:val="009553DD"/>
    <w:rsid w:val="0095554D"/>
    <w:rsid w:val="00955943"/>
    <w:rsid w:val="009559B8"/>
    <w:rsid w:val="00955AC4"/>
    <w:rsid w:val="00955DF3"/>
    <w:rsid w:val="0095654C"/>
    <w:rsid w:val="0095686C"/>
    <w:rsid w:val="0095696B"/>
    <w:rsid w:val="00956C4E"/>
    <w:rsid w:val="0095751D"/>
    <w:rsid w:val="00957569"/>
    <w:rsid w:val="00957A77"/>
    <w:rsid w:val="00957D5D"/>
    <w:rsid w:val="0096002A"/>
    <w:rsid w:val="009608B3"/>
    <w:rsid w:val="00961623"/>
    <w:rsid w:val="009619B3"/>
    <w:rsid w:val="00961F6E"/>
    <w:rsid w:val="00961F98"/>
    <w:rsid w:val="00961F9F"/>
    <w:rsid w:val="00961FF0"/>
    <w:rsid w:val="00962323"/>
    <w:rsid w:val="009626AC"/>
    <w:rsid w:val="0096297B"/>
    <w:rsid w:val="009633D7"/>
    <w:rsid w:val="009637F5"/>
    <w:rsid w:val="00963ACD"/>
    <w:rsid w:val="00963B85"/>
    <w:rsid w:val="00964723"/>
    <w:rsid w:val="00964A1C"/>
    <w:rsid w:val="00964A79"/>
    <w:rsid w:val="00964C14"/>
    <w:rsid w:val="00964CF1"/>
    <w:rsid w:val="009651B9"/>
    <w:rsid w:val="009652D5"/>
    <w:rsid w:val="00966C16"/>
    <w:rsid w:val="00966D01"/>
    <w:rsid w:val="009673BF"/>
    <w:rsid w:val="0096761A"/>
    <w:rsid w:val="009677F8"/>
    <w:rsid w:val="00967F13"/>
    <w:rsid w:val="0097004D"/>
    <w:rsid w:val="009701A3"/>
    <w:rsid w:val="0097036B"/>
    <w:rsid w:val="00970386"/>
    <w:rsid w:val="0097054C"/>
    <w:rsid w:val="009705FE"/>
    <w:rsid w:val="00970910"/>
    <w:rsid w:val="00970C46"/>
    <w:rsid w:val="00970D1A"/>
    <w:rsid w:val="00970E55"/>
    <w:rsid w:val="00970EF1"/>
    <w:rsid w:val="00970F09"/>
    <w:rsid w:val="00970F7A"/>
    <w:rsid w:val="00971146"/>
    <w:rsid w:val="009713E2"/>
    <w:rsid w:val="009713EB"/>
    <w:rsid w:val="009717F0"/>
    <w:rsid w:val="0097198B"/>
    <w:rsid w:val="00971AA1"/>
    <w:rsid w:val="00971C3A"/>
    <w:rsid w:val="00971DC0"/>
    <w:rsid w:val="009721A3"/>
    <w:rsid w:val="00972278"/>
    <w:rsid w:val="009723EC"/>
    <w:rsid w:val="009725F2"/>
    <w:rsid w:val="00972636"/>
    <w:rsid w:val="00972847"/>
    <w:rsid w:val="00972916"/>
    <w:rsid w:val="00972A9A"/>
    <w:rsid w:val="00972AFF"/>
    <w:rsid w:val="00972B99"/>
    <w:rsid w:val="009735FB"/>
    <w:rsid w:val="0097374B"/>
    <w:rsid w:val="00973C85"/>
    <w:rsid w:val="0097429B"/>
    <w:rsid w:val="009746C6"/>
    <w:rsid w:val="009749F7"/>
    <w:rsid w:val="009757B3"/>
    <w:rsid w:val="00975B8C"/>
    <w:rsid w:val="0097600B"/>
    <w:rsid w:val="0097691F"/>
    <w:rsid w:val="009769C3"/>
    <w:rsid w:val="00977263"/>
    <w:rsid w:val="00977A34"/>
    <w:rsid w:val="00977D75"/>
    <w:rsid w:val="009809DC"/>
    <w:rsid w:val="00981126"/>
    <w:rsid w:val="0098193C"/>
    <w:rsid w:val="00981C05"/>
    <w:rsid w:val="00981E75"/>
    <w:rsid w:val="009821F9"/>
    <w:rsid w:val="00982435"/>
    <w:rsid w:val="00982559"/>
    <w:rsid w:val="00982627"/>
    <w:rsid w:val="00982719"/>
    <w:rsid w:val="00982745"/>
    <w:rsid w:val="0098307E"/>
    <w:rsid w:val="00983096"/>
    <w:rsid w:val="0098338D"/>
    <w:rsid w:val="00983A0F"/>
    <w:rsid w:val="00983C31"/>
    <w:rsid w:val="00983DFB"/>
    <w:rsid w:val="00983E7E"/>
    <w:rsid w:val="00983EF1"/>
    <w:rsid w:val="0098401C"/>
    <w:rsid w:val="009841C1"/>
    <w:rsid w:val="0098461A"/>
    <w:rsid w:val="00984A1E"/>
    <w:rsid w:val="00984E8C"/>
    <w:rsid w:val="00985121"/>
    <w:rsid w:val="0098513A"/>
    <w:rsid w:val="00985E04"/>
    <w:rsid w:val="009865DA"/>
    <w:rsid w:val="009866A4"/>
    <w:rsid w:val="00987008"/>
    <w:rsid w:val="00987347"/>
    <w:rsid w:val="0098740D"/>
    <w:rsid w:val="009874D7"/>
    <w:rsid w:val="0098765E"/>
    <w:rsid w:val="00987A6D"/>
    <w:rsid w:val="00987BAC"/>
    <w:rsid w:val="00987BB1"/>
    <w:rsid w:val="00987C50"/>
    <w:rsid w:val="00990169"/>
    <w:rsid w:val="009902F9"/>
    <w:rsid w:val="009905FF"/>
    <w:rsid w:val="00990672"/>
    <w:rsid w:val="00990CF1"/>
    <w:rsid w:val="00990D40"/>
    <w:rsid w:val="00990F98"/>
    <w:rsid w:val="00991675"/>
    <w:rsid w:val="00991D05"/>
    <w:rsid w:val="00992008"/>
    <w:rsid w:val="009928FE"/>
    <w:rsid w:val="00992A0D"/>
    <w:rsid w:val="00992B05"/>
    <w:rsid w:val="00992BBD"/>
    <w:rsid w:val="00992BC7"/>
    <w:rsid w:val="00993387"/>
    <w:rsid w:val="00993EC9"/>
    <w:rsid w:val="00993F9C"/>
    <w:rsid w:val="00994540"/>
    <w:rsid w:val="0099478E"/>
    <w:rsid w:val="0099499F"/>
    <w:rsid w:val="00994B8D"/>
    <w:rsid w:val="0099513F"/>
    <w:rsid w:val="00995563"/>
    <w:rsid w:val="0099566F"/>
    <w:rsid w:val="00995D8B"/>
    <w:rsid w:val="00995F67"/>
    <w:rsid w:val="0099606C"/>
    <w:rsid w:val="00996409"/>
    <w:rsid w:val="00996499"/>
    <w:rsid w:val="009965BC"/>
    <w:rsid w:val="00996750"/>
    <w:rsid w:val="0099699D"/>
    <w:rsid w:val="009969D4"/>
    <w:rsid w:val="00996ACD"/>
    <w:rsid w:val="00996BB0"/>
    <w:rsid w:val="00996D00"/>
    <w:rsid w:val="00996D57"/>
    <w:rsid w:val="0099752F"/>
    <w:rsid w:val="00997B48"/>
    <w:rsid w:val="009A0382"/>
    <w:rsid w:val="009A03DC"/>
    <w:rsid w:val="009A0481"/>
    <w:rsid w:val="009A058D"/>
    <w:rsid w:val="009A0FD4"/>
    <w:rsid w:val="009A1683"/>
    <w:rsid w:val="009A16C3"/>
    <w:rsid w:val="009A2217"/>
    <w:rsid w:val="009A228E"/>
    <w:rsid w:val="009A2700"/>
    <w:rsid w:val="009A2C92"/>
    <w:rsid w:val="009A3215"/>
    <w:rsid w:val="009A3414"/>
    <w:rsid w:val="009A34D9"/>
    <w:rsid w:val="009A35F7"/>
    <w:rsid w:val="009A3D6B"/>
    <w:rsid w:val="009A41A1"/>
    <w:rsid w:val="009A48BF"/>
    <w:rsid w:val="009A567A"/>
    <w:rsid w:val="009A6CF3"/>
    <w:rsid w:val="009A7199"/>
    <w:rsid w:val="009A74E4"/>
    <w:rsid w:val="009A76F7"/>
    <w:rsid w:val="009A7999"/>
    <w:rsid w:val="009B0134"/>
    <w:rsid w:val="009B0655"/>
    <w:rsid w:val="009B08A0"/>
    <w:rsid w:val="009B0E88"/>
    <w:rsid w:val="009B1A42"/>
    <w:rsid w:val="009B1A57"/>
    <w:rsid w:val="009B2020"/>
    <w:rsid w:val="009B24F2"/>
    <w:rsid w:val="009B252F"/>
    <w:rsid w:val="009B2785"/>
    <w:rsid w:val="009B2AE5"/>
    <w:rsid w:val="009B2DBA"/>
    <w:rsid w:val="009B3133"/>
    <w:rsid w:val="009B3504"/>
    <w:rsid w:val="009B366F"/>
    <w:rsid w:val="009B38BC"/>
    <w:rsid w:val="009B42DD"/>
    <w:rsid w:val="009B43BF"/>
    <w:rsid w:val="009B449D"/>
    <w:rsid w:val="009B4693"/>
    <w:rsid w:val="009B4A2D"/>
    <w:rsid w:val="009B4A90"/>
    <w:rsid w:val="009B540B"/>
    <w:rsid w:val="009B54E0"/>
    <w:rsid w:val="009B56F9"/>
    <w:rsid w:val="009B591D"/>
    <w:rsid w:val="009B5A07"/>
    <w:rsid w:val="009B5CD6"/>
    <w:rsid w:val="009B64D1"/>
    <w:rsid w:val="009B655D"/>
    <w:rsid w:val="009B6884"/>
    <w:rsid w:val="009B6BC6"/>
    <w:rsid w:val="009B6EAB"/>
    <w:rsid w:val="009B74D3"/>
    <w:rsid w:val="009B757A"/>
    <w:rsid w:val="009C065D"/>
    <w:rsid w:val="009C09C4"/>
    <w:rsid w:val="009C0D78"/>
    <w:rsid w:val="009C1363"/>
    <w:rsid w:val="009C14A4"/>
    <w:rsid w:val="009C16B9"/>
    <w:rsid w:val="009C18B8"/>
    <w:rsid w:val="009C1B3C"/>
    <w:rsid w:val="009C1B59"/>
    <w:rsid w:val="009C1B99"/>
    <w:rsid w:val="009C1E01"/>
    <w:rsid w:val="009C1E0B"/>
    <w:rsid w:val="009C2259"/>
    <w:rsid w:val="009C26C9"/>
    <w:rsid w:val="009C2871"/>
    <w:rsid w:val="009C2EC7"/>
    <w:rsid w:val="009C2F02"/>
    <w:rsid w:val="009C442C"/>
    <w:rsid w:val="009C4851"/>
    <w:rsid w:val="009C4884"/>
    <w:rsid w:val="009C4A9D"/>
    <w:rsid w:val="009C4AD3"/>
    <w:rsid w:val="009C52A7"/>
    <w:rsid w:val="009C5421"/>
    <w:rsid w:val="009C56C2"/>
    <w:rsid w:val="009C57A4"/>
    <w:rsid w:val="009C5AFF"/>
    <w:rsid w:val="009C601F"/>
    <w:rsid w:val="009C62F8"/>
    <w:rsid w:val="009C73CB"/>
    <w:rsid w:val="009C7951"/>
    <w:rsid w:val="009C7B7D"/>
    <w:rsid w:val="009D03E1"/>
    <w:rsid w:val="009D057F"/>
    <w:rsid w:val="009D0581"/>
    <w:rsid w:val="009D07C3"/>
    <w:rsid w:val="009D0946"/>
    <w:rsid w:val="009D097D"/>
    <w:rsid w:val="009D09FF"/>
    <w:rsid w:val="009D0D3A"/>
    <w:rsid w:val="009D0F03"/>
    <w:rsid w:val="009D15C6"/>
    <w:rsid w:val="009D17B9"/>
    <w:rsid w:val="009D1A67"/>
    <w:rsid w:val="009D1C02"/>
    <w:rsid w:val="009D1ED1"/>
    <w:rsid w:val="009D1F69"/>
    <w:rsid w:val="009D2362"/>
    <w:rsid w:val="009D23F9"/>
    <w:rsid w:val="009D2788"/>
    <w:rsid w:val="009D38F7"/>
    <w:rsid w:val="009D3DD0"/>
    <w:rsid w:val="009D406F"/>
    <w:rsid w:val="009D545A"/>
    <w:rsid w:val="009D558A"/>
    <w:rsid w:val="009D5BCD"/>
    <w:rsid w:val="009D5BF0"/>
    <w:rsid w:val="009D5E81"/>
    <w:rsid w:val="009D6321"/>
    <w:rsid w:val="009D6606"/>
    <w:rsid w:val="009D669A"/>
    <w:rsid w:val="009D6B83"/>
    <w:rsid w:val="009D6B9B"/>
    <w:rsid w:val="009D6CDA"/>
    <w:rsid w:val="009D6D44"/>
    <w:rsid w:val="009D7225"/>
    <w:rsid w:val="009E00EA"/>
    <w:rsid w:val="009E01D7"/>
    <w:rsid w:val="009E02E3"/>
    <w:rsid w:val="009E037D"/>
    <w:rsid w:val="009E0593"/>
    <w:rsid w:val="009E0CC9"/>
    <w:rsid w:val="009E0F4D"/>
    <w:rsid w:val="009E10D6"/>
    <w:rsid w:val="009E11F6"/>
    <w:rsid w:val="009E165F"/>
    <w:rsid w:val="009E1CCF"/>
    <w:rsid w:val="009E1F4C"/>
    <w:rsid w:val="009E1F85"/>
    <w:rsid w:val="009E22FA"/>
    <w:rsid w:val="009E2D9C"/>
    <w:rsid w:val="009E2E6B"/>
    <w:rsid w:val="009E3F46"/>
    <w:rsid w:val="009E3FA9"/>
    <w:rsid w:val="009E44DA"/>
    <w:rsid w:val="009E4744"/>
    <w:rsid w:val="009E47E0"/>
    <w:rsid w:val="009E4878"/>
    <w:rsid w:val="009E4CB5"/>
    <w:rsid w:val="009E4CBA"/>
    <w:rsid w:val="009E4EC9"/>
    <w:rsid w:val="009E4FA3"/>
    <w:rsid w:val="009E5542"/>
    <w:rsid w:val="009E58B0"/>
    <w:rsid w:val="009E5D00"/>
    <w:rsid w:val="009E5D5A"/>
    <w:rsid w:val="009E67F6"/>
    <w:rsid w:val="009E6876"/>
    <w:rsid w:val="009E6D30"/>
    <w:rsid w:val="009E6DB6"/>
    <w:rsid w:val="009E784E"/>
    <w:rsid w:val="009E7F68"/>
    <w:rsid w:val="009F0630"/>
    <w:rsid w:val="009F0984"/>
    <w:rsid w:val="009F0B36"/>
    <w:rsid w:val="009F1180"/>
    <w:rsid w:val="009F1758"/>
    <w:rsid w:val="009F1C84"/>
    <w:rsid w:val="009F2114"/>
    <w:rsid w:val="009F2262"/>
    <w:rsid w:val="009F28E2"/>
    <w:rsid w:val="009F299F"/>
    <w:rsid w:val="009F2C2D"/>
    <w:rsid w:val="009F2FC5"/>
    <w:rsid w:val="009F3315"/>
    <w:rsid w:val="009F3377"/>
    <w:rsid w:val="009F3BCC"/>
    <w:rsid w:val="009F4171"/>
    <w:rsid w:val="009F42E8"/>
    <w:rsid w:val="009F441E"/>
    <w:rsid w:val="009F4462"/>
    <w:rsid w:val="009F4583"/>
    <w:rsid w:val="009F47CE"/>
    <w:rsid w:val="009F4A66"/>
    <w:rsid w:val="009F4ADA"/>
    <w:rsid w:val="009F4BA8"/>
    <w:rsid w:val="009F5858"/>
    <w:rsid w:val="009F6239"/>
    <w:rsid w:val="009F6658"/>
    <w:rsid w:val="009F6A0D"/>
    <w:rsid w:val="009F6BF2"/>
    <w:rsid w:val="009F6C05"/>
    <w:rsid w:val="009F7100"/>
    <w:rsid w:val="009F7294"/>
    <w:rsid w:val="009F734C"/>
    <w:rsid w:val="009F746A"/>
    <w:rsid w:val="009F7C9B"/>
    <w:rsid w:val="009F7E3B"/>
    <w:rsid w:val="009F7E63"/>
    <w:rsid w:val="009F7E8C"/>
    <w:rsid w:val="009F7FB3"/>
    <w:rsid w:val="00A00BA5"/>
    <w:rsid w:val="00A017A8"/>
    <w:rsid w:val="00A01AAD"/>
    <w:rsid w:val="00A01B15"/>
    <w:rsid w:val="00A01BA3"/>
    <w:rsid w:val="00A01EAA"/>
    <w:rsid w:val="00A028E5"/>
    <w:rsid w:val="00A02F04"/>
    <w:rsid w:val="00A02FD1"/>
    <w:rsid w:val="00A0313B"/>
    <w:rsid w:val="00A03D76"/>
    <w:rsid w:val="00A03F67"/>
    <w:rsid w:val="00A04712"/>
    <w:rsid w:val="00A04CFA"/>
    <w:rsid w:val="00A04D9F"/>
    <w:rsid w:val="00A05069"/>
    <w:rsid w:val="00A050D7"/>
    <w:rsid w:val="00A0534B"/>
    <w:rsid w:val="00A0638A"/>
    <w:rsid w:val="00A069D1"/>
    <w:rsid w:val="00A06E2E"/>
    <w:rsid w:val="00A070B7"/>
    <w:rsid w:val="00A074B7"/>
    <w:rsid w:val="00A07991"/>
    <w:rsid w:val="00A079A5"/>
    <w:rsid w:val="00A07ACD"/>
    <w:rsid w:val="00A07B27"/>
    <w:rsid w:val="00A07F1F"/>
    <w:rsid w:val="00A1008B"/>
    <w:rsid w:val="00A104CE"/>
    <w:rsid w:val="00A106AC"/>
    <w:rsid w:val="00A1092B"/>
    <w:rsid w:val="00A10CDE"/>
    <w:rsid w:val="00A1135A"/>
    <w:rsid w:val="00A11545"/>
    <w:rsid w:val="00A11EAA"/>
    <w:rsid w:val="00A1223D"/>
    <w:rsid w:val="00A12DE8"/>
    <w:rsid w:val="00A12F1D"/>
    <w:rsid w:val="00A12FE0"/>
    <w:rsid w:val="00A139FC"/>
    <w:rsid w:val="00A13A89"/>
    <w:rsid w:val="00A13E76"/>
    <w:rsid w:val="00A143E1"/>
    <w:rsid w:val="00A143F0"/>
    <w:rsid w:val="00A14598"/>
    <w:rsid w:val="00A14748"/>
    <w:rsid w:val="00A14887"/>
    <w:rsid w:val="00A14DE8"/>
    <w:rsid w:val="00A14F5E"/>
    <w:rsid w:val="00A150BE"/>
    <w:rsid w:val="00A152E5"/>
    <w:rsid w:val="00A15BD1"/>
    <w:rsid w:val="00A15F04"/>
    <w:rsid w:val="00A15F6E"/>
    <w:rsid w:val="00A160A9"/>
    <w:rsid w:val="00A1680D"/>
    <w:rsid w:val="00A168D9"/>
    <w:rsid w:val="00A16CA1"/>
    <w:rsid w:val="00A16EA7"/>
    <w:rsid w:val="00A1716C"/>
    <w:rsid w:val="00A1749D"/>
    <w:rsid w:val="00A176FF"/>
    <w:rsid w:val="00A17CC1"/>
    <w:rsid w:val="00A2190F"/>
    <w:rsid w:val="00A21962"/>
    <w:rsid w:val="00A21B20"/>
    <w:rsid w:val="00A21D6F"/>
    <w:rsid w:val="00A21DA9"/>
    <w:rsid w:val="00A21DDD"/>
    <w:rsid w:val="00A21EDD"/>
    <w:rsid w:val="00A22037"/>
    <w:rsid w:val="00A222CC"/>
    <w:rsid w:val="00A22BA1"/>
    <w:rsid w:val="00A23718"/>
    <w:rsid w:val="00A23764"/>
    <w:rsid w:val="00A238F3"/>
    <w:rsid w:val="00A23AB0"/>
    <w:rsid w:val="00A241A2"/>
    <w:rsid w:val="00A24949"/>
    <w:rsid w:val="00A2507A"/>
    <w:rsid w:val="00A25D3B"/>
    <w:rsid w:val="00A266C5"/>
    <w:rsid w:val="00A26704"/>
    <w:rsid w:val="00A26B02"/>
    <w:rsid w:val="00A26B03"/>
    <w:rsid w:val="00A26C43"/>
    <w:rsid w:val="00A26D60"/>
    <w:rsid w:val="00A26E70"/>
    <w:rsid w:val="00A2712F"/>
    <w:rsid w:val="00A27303"/>
    <w:rsid w:val="00A27448"/>
    <w:rsid w:val="00A278DB"/>
    <w:rsid w:val="00A3020D"/>
    <w:rsid w:val="00A3052D"/>
    <w:rsid w:val="00A308B2"/>
    <w:rsid w:val="00A309C6"/>
    <w:rsid w:val="00A30BC0"/>
    <w:rsid w:val="00A30C55"/>
    <w:rsid w:val="00A30F98"/>
    <w:rsid w:val="00A3115A"/>
    <w:rsid w:val="00A313F8"/>
    <w:rsid w:val="00A31657"/>
    <w:rsid w:val="00A31734"/>
    <w:rsid w:val="00A31778"/>
    <w:rsid w:val="00A317A3"/>
    <w:rsid w:val="00A3187D"/>
    <w:rsid w:val="00A31C8F"/>
    <w:rsid w:val="00A3227D"/>
    <w:rsid w:val="00A326F2"/>
    <w:rsid w:val="00A3277F"/>
    <w:rsid w:val="00A32AFC"/>
    <w:rsid w:val="00A32E4E"/>
    <w:rsid w:val="00A33019"/>
    <w:rsid w:val="00A3301F"/>
    <w:rsid w:val="00A333F6"/>
    <w:rsid w:val="00A336E7"/>
    <w:rsid w:val="00A33BAE"/>
    <w:rsid w:val="00A33D3C"/>
    <w:rsid w:val="00A3430F"/>
    <w:rsid w:val="00A3443F"/>
    <w:rsid w:val="00A34538"/>
    <w:rsid w:val="00A347CC"/>
    <w:rsid w:val="00A34882"/>
    <w:rsid w:val="00A349DD"/>
    <w:rsid w:val="00A34BA3"/>
    <w:rsid w:val="00A34D12"/>
    <w:rsid w:val="00A354E8"/>
    <w:rsid w:val="00A3553E"/>
    <w:rsid w:val="00A357C1"/>
    <w:rsid w:val="00A358C4"/>
    <w:rsid w:val="00A35ACA"/>
    <w:rsid w:val="00A35B65"/>
    <w:rsid w:val="00A35E89"/>
    <w:rsid w:val="00A36400"/>
    <w:rsid w:val="00A3647F"/>
    <w:rsid w:val="00A36493"/>
    <w:rsid w:val="00A36842"/>
    <w:rsid w:val="00A36C43"/>
    <w:rsid w:val="00A36C9C"/>
    <w:rsid w:val="00A372A5"/>
    <w:rsid w:val="00A37574"/>
    <w:rsid w:val="00A40325"/>
    <w:rsid w:val="00A4089E"/>
    <w:rsid w:val="00A40FE5"/>
    <w:rsid w:val="00A4103C"/>
    <w:rsid w:val="00A4109C"/>
    <w:rsid w:val="00A415E6"/>
    <w:rsid w:val="00A41726"/>
    <w:rsid w:val="00A41B00"/>
    <w:rsid w:val="00A41D03"/>
    <w:rsid w:val="00A42026"/>
    <w:rsid w:val="00A427D6"/>
    <w:rsid w:val="00A42AF7"/>
    <w:rsid w:val="00A42BED"/>
    <w:rsid w:val="00A42D88"/>
    <w:rsid w:val="00A42EFE"/>
    <w:rsid w:val="00A4327B"/>
    <w:rsid w:val="00A438EC"/>
    <w:rsid w:val="00A43EF4"/>
    <w:rsid w:val="00A44066"/>
    <w:rsid w:val="00A445E5"/>
    <w:rsid w:val="00A44625"/>
    <w:rsid w:val="00A44C91"/>
    <w:rsid w:val="00A44EA7"/>
    <w:rsid w:val="00A451A0"/>
    <w:rsid w:val="00A4542B"/>
    <w:rsid w:val="00A45D10"/>
    <w:rsid w:val="00A45FF3"/>
    <w:rsid w:val="00A464C8"/>
    <w:rsid w:val="00A47281"/>
    <w:rsid w:val="00A4765F"/>
    <w:rsid w:val="00A47868"/>
    <w:rsid w:val="00A47B26"/>
    <w:rsid w:val="00A47D63"/>
    <w:rsid w:val="00A47ECE"/>
    <w:rsid w:val="00A50328"/>
    <w:rsid w:val="00A504C0"/>
    <w:rsid w:val="00A505DE"/>
    <w:rsid w:val="00A50CDF"/>
    <w:rsid w:val="00A50D3F"/>
    <w:rsid w:val="00A50D81"/>
    <w:rsid w:val="00A50D97"/>
    <w:rsid w:val="00A50DBB"/>
    <w:rsid w:val="00A5102B"/>
    <w:rsid w:val="00A51164"/>
    <w:rsid w:val="00A51818"/>
    <w:rsid w:val="00A51A3F"/>
    <w:rsid w:val="00A525F4"/>
    <w:rsid w:val="00A52857"/>
    <w:rsid w:val="00A529E8"/>
    <w:rsid w:val="00A5314F"/>
    <w:rsid w:val="00A531BB"/>
    <w:rsid w:val="00A5327C"/>
    <w:rsid w:val="00A53A7F"/>
    <w:rsid w:val="00A53AE7"/>
    <w:rsid w:val="00A53F6A"/>
    <w:rsid w:val="00A54056"/>
    <w:rsid w:val="00A54439"/>
    <w:rsid w:val="00A549DA"/>
    <w:rsid w:val="00A558F9"/>
    <w:rsid w:val="00A5597C"/>
    <w:rsid w:val="00A55B2C"/>
    <w:rsid w:val="00A55B31"/>
    <w:rsid w:val="00A56AC9"/>
    <w:rsid w:val="00A56C71"/>
    <w:rsid w:val="00A5721C"/>
    <w:rsid w:val="00A57434"/>
    <w:rsid w:val="00A574FA"/>
    <w:rsid w:val="00A57EB4"/>
    <w:rsid w:val="00A60563"/>
    <w:rsid w:val="00A60A26"/>
    <w:rsid w:val="00A60BB9"/>
    <w:rsid w:val="00A60CF4"/>
    <w:rsid w:val="00A60D2F"/>
    <w:rsid w:val="00A611D9"/>
    <w:rsid w:val="00A61239"/>
    <w:rsid w:val="00A61446"/>
    <w:rsid w:val="00A6146C"/>
    <w:rsid w:val="00A614EB"/>
    <w:rsid w:val="00A614EC"/>
    <w:rsid w:val="00A6165A"/>
    <w:rsid w:val="00A61705"/>
    <w:rsid w:val="00A61E6C"/>
    <w:rsid w:val="00A61F47"/>
    <w:rsid w:val="00A62293"/>
    <w:rsid w:val="00A62781"/>
    <w:rsid w:val="00A62D5D"/>
    <w:rsid w:val="00A62FC9"/>
    <w:rsid w:val="00A6304E"/>
    <w:rsid w:val="00A63410"/>
    <w:rsid w:val="00A63D22"/>
    <w:rsid w:val="00A63F85"/>
    <w:rsid w:val="00A64769"/>
    <w:rsid w:val="00A65106"/>
    <w:rsid w:val="00A654E7"/>
    <w:rsid w:val="00A6591E"/>
    <w:rsid w:val="00A65C97"/>
    <w:rsid w:val="00A65DAD"/>
    <w:rsid w:val="00A65E23"/>
    <w:rsid w:val="00A6608F"/>
    <w:rsid w:val="00A661CC"/>
    <w:rsid w:val="00A66234"/>
    <w:rsid w:val="00A6633A"/>
    <w:rsid w:val="00A66C65"/>
    <w:rsid w:val="00A66D34"/>
    <w:rsid w:val="00A66DE4"/>
    <w:rsid w:val="00A67215"/>
    <w:rsid w:val="00A67913"/>
    <w:rsid w:val="00A67969"/>
    <w:rsid w:val="00A67A73"/>
    <w:rsid w:val="00A67B22"/>
    <w:rsid w:val="00A67DAB"/>
    <w:rsid w:val="00A70D18"/>
    <w:rsid w:val="00A7113E"/>
    <w:rsid w:val="00A714FB"/>
    <w:rsid w:val="00A716BA"/>
    <w:rsid w:val="00A71A6C"/>
    <w:rsid w:val="00A722A2"/>
    <w:rsid w:val="00A72432"/>
    <w:rsid w:val="00A73704"/>
    <w:rsid w:val="00A73E86"/>
    <w:rsid w:val="00A74064"/>
    <w:rsid w:val="00A74260"/>
    <w:rsid w:val="00A743F8"/>
    <w:rsid w:val="00A74599"/>
    <w:rsid w:val="00A7483E"/>
    <w:rsid w:val="00A748F0"/>
    <w:rsid w:val="00A74934"/>
    <w:rsid w:val="00A74B9B"/>
    <w:rsid w:val="00A74F50"/>
    <w:rsid w:val="00A75077"/>
    <w:rsid w:val="00A750EE"/>
    <w:rsid w:val="00A75892"/>
    <w:rsid w:val="00A759D5"/>
    <w:rsid w:val="00A75A1F"/>
    <w:rsid w:val="00A766E4"/>
    <w:rsid w:val="00A766FF"/>
    <w:rsid w:val="00A76917"/>
    <w:rsid w:val="00A76BFF"/>
    <w:rsid w:val="00A77C21"/>
    <w:rsid w:val="00A77D6D"/>
    <w:rsid w:val="00A8014C"/>
    <w:rsid w:val="00A808DB"/>
    <w:rsid w:val="00A80B2C"/>
    <w:rsid w:val="00A80B3C"/>
    <w:rsid w:val="00A80FF2"/>
    <w:rsid w:val="00A81252"/>
    <w:rsid w:val="00A81A94"/>
    <w:rsid w:val="00A81D28"/>
    <w:rsid w:val="00A81D45"/>
    <w:rsid w:val="00A81F9A"/>
    <w:rsid w:val="00A8223B"/>
    <w:rsid w:val="00A82534"/>
    <w:rsid w:val="00A82948"/>
    <w:rsid w:val="00A82BA1"/>
    <w:rsid w:val="00A82C5B"/>
    <w:rsid w:val="00A82C9E"/>
    <w:rsid w:val="00A8329D"/>
    <w:rsid w:val="00A8364E"/>
    <w:rsid w:val="00A83ACF"/>
    <w:rsid w:val="00A83EEE"/>
    <w:rsid w:val="00A843C4"/>
    <w:rsid w:val="00A845F6"/>
    <w:rsid w:val="00A84D50"/>
    <w:rsid w:val="00A84E12"/>
    <w:rsid w:val="00A85346"/>
    <w:rsid w:val="00A85D0F"/>
    <w:rsid w:val="00A85EDA"/>
    <w:rsid w:val="00A86039"/>
    <w:rsid w:val="00A860BF"/>
    <w:rsid w:val="00A860F3"/>
    <w:rsid w:val="00A86C7B"/>
    <w:rsid w:val="00A86E2E"/>
    <w:rsid w:val="00A87332"/>
    <w:rsid w:val="00A878B9"/>
    <w:rsid w:val="00A87DD8"/>
    <w:rsid w:val="00A87FF6"/>
    <w:rsid w:val="00A90503"/>
    <w:rsid w:val="00A90B83"/>
    <w:rsid w:val="00A9108B"/>
    <w:rsid w:val="00A9119A"/>
    <w:rsid w:val="00A911F3"/>
    <w:rsid w:val="00A92037"/>
    <w:rsid w:val="00A927C2"/>
    <w:rsid w:val="00A9289F"/>
    <w:rsid w:val="00A92A30"/>
    <w:rsid w:val="00A93036"/>
    <w:rsid w:val="00A93636"/>
    <w:rsid w:val="00A93749"/>
    <w:rsid w:val="00A9396C"/>
    <w:rsid w:val="00A93DAA"/>
    <w:rsid w:val="00A9453E"/>
    <w:rsid w:val="00A949AE"/>
    <w:rsid w:val="00A949FF"/>
    <w:rsid w:val="00A94C15"/>
    <w:rsid w:val="00A94F3E"/>
    <w:rsid w:val="00A94F59"/>
    <w:rsid w:val="00A9501B"/>
    <w:rsid w:val="00A951CD"/>
    <w:rsid w:val="00A9522D"/>
    <w:rsid w:val="00A95300"/>
    <w:rsid w:val="00A956B1"/>
    <w:rsid w:val="00A95932"/>
    <w:rsid w:val="00A95A12"/>
    <w:rsid w:val="00A95A19"/>
    <w:rsid w:val="00A95D13"/>
    <w:rsid w:val="00A95DED"/>
    <w:rsid w:val="00A961DE"/>
    <w:rsid w:val="00A962F1"/>
    <w:rsid w:val="00A9663C"/>
    <w:rsid w:val="00A9681E"/>
    <w:rsid w:val="00A96A38"/>
    <w:rsid w:val="00A96E4B"/>
    <w:rsid w:val="00A97670"/>
    <w:rsid w:val="00A97948"/>
    <w:rsid w:val="00A97B74"/>
    <w:rsid w:val="00A97E96"/>
    <w:rsid w:val="00AA007A"/>
    <w:rsid w:val="00AA0235"/>
    <w:rsid w:val="00AA02FE"/>
    <w:rsid w:val="00AA0D6A"/>
    <w:rsid w:val="00AA0E8A"/>
    <w:rsid w:val="00AA12B3"/>
    <w:rsid w:val="00AA12C5"/>
    <w:rsid w:val="00AA1C89"/>
    <w:rsid w:val="00AA1E89"/>
    <w:rsid w:val="00AA255D"/>
    <w:rsid w:val="00AA274B"/>
    <w:rsid w:val="00AA353F"/>
    <w:rsid w:val="00AA35B4"/>
    <w:rsid w:val="00AA3603"/>
    <w:rsid w:val="00AA3B49"/>
    <w:rsid w:val="00AA3B57"/>
    <w:rsid w:val="00AA46F0"/>
    <w:rsid w:val="00AA4DB7"/>
    <w:rsid w:val="00AA4DD2"/>
    <w:rsid w:val="00AA4E64"/>
    <w:rsid w:val="00AA5069"/>
    <w:rsid w:val="00AA5443"/>
    <w:rsid w:val="00AA5CF6"/>
    <w:rsid w:val="00AA5F1A"/>
    <w:rsid w:val="00AA607B"/>
    <w:rsid w:val="00AA6586"/>
    <w:rsid w:val="00AA685A"/>
    <w:rsid w:val="00AA6C3C"/>
    <w:rsid w:val="00AA7225"/>
    <w:rsid w:val="00AA73C3"/>
    <w:rsid w:val="00AA756E"/>
    <w:rsid w:val="00AA7586"/>
    <w:rsid w:val="00AA75F7"/>
    <w:rsid w:val="00AA7713"/>
    <w:rsid w:val="00AA7D7B"/>
    <w:rsid w:val="00AA7DB5"/>
    <w:rsid w:val="00AA7DEE"/>
    <w:rsid w:val="00AA7E3A"/>
    <w:rsid w:val="00AB067C"/>
    <w:rsid w:val="00AB073E"/>
    <w:rsid w:val="00AB0950"/>
    <w:rsid w:val="00AB0989"/>
    <w:rsid w:val="00AB0AAB"/>
    <w:rsid w:val="00AB13AF"/>
    <w:rsid w:val="00AB14AE"/>
    <w:rsid w:val="00AB14D7"/>
    <w:rsid w:val="00AB164D"/>
    <w:rsid w:val="00AB16B0"/>
    <w:rsid w:val="00AB1A13"/>
    <w:rsid w:val="00AB1D66"/>
    <w:rsid w:val="00AB208F"/>
    <w:rsid w:val="00AB240C"/>
    <w:rsid w:val="00AB24C5"/>
    <w:rsid w:val="00AB25BF"/>
    <w:rsid w:val="00AB29E8"/>
    <w:rsid w:val="00AB2E87"/>
    <w:rsid w:val="00AB3173"/>
    <w:rsid w:val="00AB31BC"/>
    <w:rsid w:val="00AB3D7C"/>
    <w:rsid w:val="00AB3FBA"/>
    <w:rsid w:val="00AB424B"/>
    <w:rsid w:val="00AB4563"/>
    <w:rsid w:val="00AB47DC"/>
    <w:rsid w:val="00AB4E79"/>
    <w:rsid w:val="00AB4E9F"/>
    <w:rsid w:val="00AB506E"/>
    <w:rsid w:val="00AB5272"/>
    <w:rsid w:val="00AB5493"/>
    <w:rsid w:val="00AB54D6"/>
    <w:rsid w:val="00AB5666"/>
    <w:rsid w:val="00AB5CDF"/>
    <w:rsid w:val="00AB60E2"/>
    <w:rsid w:val="00AB63B3"/>
    <w:rsid w:val="00AB6B3F"/>
    <w:rsid w:val="00AB6E87"/>
    <w:rsid w:val="00AB6FFE"/>
    <w:rsid w:val="00AB7A2F"/>
    <w:rsid w:val="00AC00C4"/>
    <w:rsid w:val="00AC0283"/>
    <w:rsid w:val="00AC0529"/>
    <w:rsid w:val="00AC07DD"/>
    <w:rsid w:val="00AC0A1D"/>
    <w:rsid w:val="00AC0B0B"/>
    <w:rsid w:val="00AC0CE2"/>
    <w:rsid w:val="00AC126F"/>
    <w:rsid w:val="00AC1736"/>
    <w:rsid w:val="00AC190C"/>
    <w:rsid w:val="00AC1C55"/>
    <w:rsid w:val="00AC1D2B"/>
    <w:rsid w:val="00AC210F"/>
    <w:rsid w:val="00AC2262"/>
    <w:rsid w:val="00AC27FF"/>
    <w:rsid w:val="00AC2A31"/>
    <w:rsid w:val="00AC2AD1"/>
    <w:rsid w:val="00AC2F92"/>
    <w:rsid w:val="00AC3010"/>
    <w:rsid w:val="00AC315E"/>
    <w:rsid w:val="00AC319E"/>
    <w:rsid w:val="00AC328F"/>
    <w:rsid w:val="00AC35FD"/>
    <w:rsid w:val="00AC3685"/>
    <w:rsid w:val="00AC3D80"/>
    <w:rsid w:val="00AC3F70"/>
    <w:rsid w:val="00AC42ED"/>
    <w:rsid w:val="00AC446F"/>
    <w:rsid w:val="00AC4659"/>
    <w:rsid w:val="00AC48B8"/>
    <w:rsid w:val="00AC4BB9"/>
    <w:rsid w:val="00AC5A33"/>
    <w:rsid w:val="00AC5B1B"/>
    <w:rsid w:val="00AC5D5A"/>
    <w:rsid w:val="00AC5D6E"/>
    <w:rsid w:val="00AC624F"/>
    <w:rsid w:val="00AC6BCD"/>
    <w:rsid w:val="00AC6C7E"/>
    <w:rsid w:val="00AC6F02"/>
    <w:rsid w:val="00AC6F7A"/>
    <w:rsid w:val="00AC71D8"/>
    <w:rsid w:val="00AC7665"/>
    <w:rsid w:val="00AC7812"/>
    <w:rsid w:val="00AC79CC"/>
    <w:rsid w:val="00AC7D5E"/>
    <w:rsid w:val="00AC7D89"/>
    <w:rsid w:val="00AC7F2F"/>
    <w:rsid w:val="00AD0326"/>
    <w:rsid w:val="00AD06BC"/>
    <w:rsid w:val="00AD09B3"/>
    <w:rsid w:val="00AD0CF7"/>
    <w:rsid w:val="00AD129A"/>
    <w:rsid w:val="00AD1C47"/>
    <w:rsid w:val="00AD21A1"/>
    <w:rsid w:val="00AD222C"/>
    <w:rsid w:val="00AD2294"/>
    <w:rsid w:val="00AD2AC9"/>
    <w:rsid w:val="00AD30A0"/>
    <w:rsid w:val="00AD34F4"/>
    <w:rsid w:val="00AD353F"/>
    <w:rsid w:val="00AD386C"/>
    <w:rsid w:val="00AD3F5E"/>
    <w:rsid w:val="00AD3FC6"/>
    <w:rsid w:val="00AD47E6"/>
    <w:rsid w:val="00AD494E"/>
    <w:rsid w:val="00AD4BE5"/>
    <w:rsid w:val="00AD4ED4"/>
    <w:rsid w:val="00AD50AD"/>
    <w:rsid w:val="00AD51E1"/>
    <w:rsid w:val="00AD5A30"/>
    <w:rsid w:val="00AD5EEC"/>
    <w:rsid w:val="00AD5F24"/>
    <w:rsid w:val="00AD5FE2"/>
    <w:rsid w:val="00AD6131"/>
    <w:rsid w:val="00AD66BE"/>
    <w:rsid w:val="00AD675E"/>
    <w:rsid w:val="00AD6AD3"/>
    <w:rsid w:val="00AD6D52"/>
    <w:rsid w:val="00AD6E42"/>
    <w:rsid w:val="00AD722A"/>
    <w:rsid w:val="00AD7286"/>
    <w:rsid w:val="00AD7F4A"/>
    <w:rsid w:val="00AD7FE9"/>
    <w:rsid w:val="00AE0356"/>
    <w:rsid w:val="00AE04BC"/>
    <w:rsid w:val="00AE0961"/>
    <w:rsid w:val="00AE09FB"/>
    <w:rsid w:val="00AE0A2D"/>
    <w:rsid w:val="00AE0B90"/>
    <w:rsid w:val="00AE1529"/>
    <w:rsid w:val="00AE1B01"/>
    <w:rsid w:val="00AE28E4"/>
    <w:rsid w:val="00AE2AF7"/>
    <w:rsid w:val="00AE2B5B"/>
    <w:rsid w:val="00AE309D"/>
    <w:rsid w:val="00AE313D"/>
    <w:rsid w:val="00AE3455"/>
    <w:rsid w:val="00AE3739"/>
    <w:rsid w:val="00AE3A1E"/>
    <w:rsid w:val="00AE3AA3"/>
    <w:rsid w:val="00AE3D37"/>
    <w:rsid w:val="00AE4395"/>
    <w:rsid w:val="00AE4673"/>
    <w:rsid w:val="00AE4AC3"/>
    <w:rsid w:val="00AE578C"/>
    <w:rsid w:val="00AE5F32"/>
    <w:rsid w:val="00AE5F4E"/>
    <w:rsid w:val="00AE6898"/>
    <w:rsid w:val="00AE68F7"/>
    <w:rsid w:val="00AE69A7"/>
    <w:rsid w:val="00AE69E3"/>
    <w:rsid w:val="00AE6CD0"/>
    <w:rsid w:val="00AE734F"/>
    <w:rsid w:val="00AE7661"/>
    <w:rsid w:val="00AE7F77"/>
    <w:rsid w:val="00AF0308"/>
    <w:rsid w:val="00AF067A"/>
    <w:rsid w:val="00AF07B2"/>
    <w:rsid w:val="00AF109E"/>
    <w:rsid w:val="00AF10C2"/>
    <w:rsid w:val="00AF12C6"/>
    <w:rsid w:val="00AF18AB"/>
    <w:rsid w:val="00AF1A2D"/>
    <w:rsid w:val="00AF2656"/>
    <w:rsid w:val="00AF2676"/>
    <w:rsid w:val="00AF294A"/>
    <w:rsid w:val="00AF2C0B"/>
    <w:rsid w:val="00AF2DBC"/>
    <w:rsid w:val="00AF2FCC"/>
    <w:rsid w:val="00AF300E"/>
    <w:rsid w:val="00AF3824"/>
    <w:rsid w:val="00AF3D60"/>
    <w:rsid w:val="00AF3DFE"/>
    <w:rsid w:val="00AF3E8F"/>
    <w:rsid w:val="00AF4019"/>
    <w:rsid w:val="00AF4170"/>
    <w:rsid w:val="00AF4DBF"/>
    <w:rsid w:val="00AF4FD5"/>
    <w:rsid w:val="00AF57E0"/>
    <w:rsid w:val="00AF5A7E"/>
    <w:rsid w:val="00AF5ACD"/>
    <w:rsid w:val="00AF6110"/>
    <w:rsid w:val="00AF6226"/>
    <w:rsid w:val="00AF63E9"/>
    <w:rsid w:val="00AF6425"/>
    <w:rsid w:val="00AF646E"/>
    <w:rsid w:val="00AF685D"/>
    <w:rsid w:val="00AF68FA"/>
    <w:rsid w:val="00AF6AC6"/>
    <w:rsid w:val="00AF7095"/>
    <w:rsid w:val="00AF70D8"/>
    <w:rsid w:val="00AF719C"/>
    <w:rsid w:val="00AF71C9"/>
    <w:rsid w:val="00AF72E9"/>
    <w:rsid w:val="00AF7D99"/>
    <w:rsid w:val="00AF7E82"/>
    <w:rsid w:val="00B00014"/>
    <w:rsid w:val="00B00611"/>
    <w:rsid w:val="00B013E3"/>
    <w:rsid w:val="00B01F1F"/>
    <w:rsid w:val="00B02141"/>
    <w:rsid w:val="00B02B88"/>
    <w:rsid w:val="00B02DD8"/>
    <w:rsid w:val="00B03037"/>
    <w:rsid w:val="00B0334E"/>
    <w:rsid w:val="00B03484"/>
    <w:rsid w:val="00B03719"/>
    <w:rsid w:val="00B03A5A"/>
    <w:rsid w:val="00B03A82"/>
    <w:rsid w:val="00B03CED"/>
    <w:rsid w:val="00B04354"/>
    <w:rsid w:val="00B0461C"/>
    <w:rsid w:val="00B04663"/>
    <w:rsid w:val="00B048DB"/>
    <w:rsid w:val="00B049C5"/>
    <w:rsid w:val="00B04FD7"/>
    <w:rsid w:val="00B05316"/>
    <w:rsid w:val="00B05686"/>
    <w:rsid w:val="00B06224"/>
    <w:rsid w:val="00B065B9"/>
    <w:rsid w:val="00B0684A"/>
    <w:rsid w:val="00B06BA4"/>
    <w:rsid w:val="00B06BDC"/>
    <w:rsid w:val="00B06C9E"/>
    <w:rsid w:val="00B074FA"/>
    <w:rsid w:val="00B0770C"/>
    <w:rsid w:val="00B07D14"/>
    <w:rsid w:val="00B07DB8"/>
    <w:rsid w:val="00B10118"/>
    <w:rsid w:val="00B101C7"/>
    <w:rsid w:val="00B101E6"/>
    <w:rsid w:val="00B10367"/>
    <w:rsid w:val="00B10737"/>
    <w:rsid w:val="00B10C17"/>
    <w:rsid w:val="00B10D0C"/>
    <w:rsid w:val="00B10D51"/>
    <w:rsid w:val="00B10D6B"/>
    <w:rsid w:val="00B11706"/>
    <w:rsid w:val="00B11B7E"/>
    <w:rsid w:val="00B11BAA"/>
    <w:rsid w:val="00B11BCB"/>
    <w:rsid w:val="00B11D09"/>
    <w:rsid w:val="00B11E11"/>
    <w:rsid w:val="00B11E5A"/>
    <w:rsid w:val="00B1232A"/>
    <w:rsid w:val="00B13013"/>
    <w:rsid w:val="00B130FC"/>
    <w:rsid w:val="00B1325A"/>
    <w:rsid w:val="00B1372B"/>
    <w:rsid w:val="00B13C94"/>
    <w:rsid w:val="00B13DCB"/>
    <w:rsid w:val="00B14BB1"/>
    <w:rsid w:val="00B154F0"/>
    <w:rsid w:val="00B157A5"/>
    <w:rsid w:val="00B157B6"/>
    <w:rsid w:val="00B15B1B"/>
    <w:rsid w:val="00B15BA3"/>
    <w:rsid w:val="00B15BAF"/>
    <w:rsid w:val="00B15DFC"/>
    <w:rsid w:val="00B15ED6"/>
    <w:rsid w:val="00B160CA"/>
    <w:rsid w:val="00B16126"/>
    <w:rsid w:val="00B16420"/>
    <w:rsid w:val="00B164E0"/>
    <w:rsid w:val="00B16BCB"/>
    <w:rsid w:val="00B16D7F"/>
    <w:rsid w:val="00B17D28"/>
    <w:rsid w:val="00B17FBC"/>
    <w:rsid w:val="00B20C13"/>
    <w:rsid w:val="00B20C8E"/>
    <w:rsid w:val="00B20CCB"/>
    <w:rsid w:val="00B22173"/>
    <w:rsid w:val="00B221B5"/>
    <w:rsid w:val="00B2234B"/>
    <w:rsid w:val="00B223EF"/>
    <w:rsid w:val="00B2283A"/>
    <w:rsid w:val="00B2293B"/>
    <w:rsid w:val="00B2324E"/>
    <w:rsid w:val="00B238E4"/>
    <w:rsid w:val="00B23A6B"/>
    <w:rsid w:val="00B23C92"/>
    <w:rsid w:val="00B243B0"/>
    <w:rsid w:val="00B2462E"/>
    <w:rsid w:val="00B2484E"/>
    <w:rsid w:val="00B249FC"/>
    <w:rsid w:val="00B24CE9"/>
    <w:rsid w:val="00B25147"/>
    <w:rsid w:val="00B254B8"/>
    <w:rsid w:val="00B259DE"/>
    <w:rsid w:val="00B25C8C"/>
    <w:rsid w:val="00B268A9"/>
    <w:rsid w:val="00B27212"/>
    <w:rsid w:val="00B27740"/>
    <w:rsid w:val="00B27975"/>
    <w:rsid w:val="00B27FC2"/>
    <w:rsid w:val="00B31035"/>
    <w:rsid w:val="00B31552"/>
    <w:rsid w:val="00B317E7"/>
    <w:rsid w:val="00B31A96"/>
    <w:rsid w:val="00B31C0F"/>
    <w:rsid w:val="00B328AA"/>
    <w:rsid w:val="00B32B64"/>
    <w:rsid w:val="00B32FB1"/>
    <w:rsid w:val="00B338FB"/>
    <w:rsid w:val="00B33A0F"/>
    <w:rsid w:val="00B33A57"/>
    <w:rsid w:val="00B33D39"/>
    <w:rsid w:val="00B34083"/>
    <w:rsid w:val="00B34226"/>
    <w:rsid w:val="00B34744"/>
    <w:rsid w:val="00B34BD6"/>
    <w:rsid w:val="00B34C57"/>
    <w:rsid w:val="00B34F90"/>
    <w:rsid w:val="00B34FFF"/>
    <w:rsid w:val="00B35056"/>
    <w:rsid w:val="00B3514C"/>
    <w:rsid w:val="00B35392"/>
    <w:rsid w:val="00B35BC4"/>
    <w:rsid w:val="00B3623C"/>
    <w:rsid w:val="00B36704"/>
    <w:rsid w:val="00B3678D"/>
    <w:rsid w:val="00B3693B"/>
    <w:rsid w:val="00B36C36"/>
    <w:rsid w:val="00B37514"/>
    <w:rsid w:val="00B37728"/>
    <w:rsid w:val="00B37935"/>
    <w:rsid w:val="00B37E37"/>
    <w:rsid w:val="00B37E88"/>
    <w:rsid w:val="00B4020A"/>
    <w:rsid w:val="00B404C4"/>
    <w:rsid w:val="00B40526"/>
    <w:rsid w:val="00B40949"/>
    <w:rsid w:val="00B41288"/>
    <w:rsid w:val="00B41B52"/>
    <w:rsid w:val="00B41E4A"/>
    <w:rsid w:val="00B4291E"/>
    <w:rsid w:val="00B42ADE"/>
    <w:rsid w:val="00B42EA7"/>
    <w:rsid w:val="00B432C6"/>
    <w:rsid w:val="00B4338B"/>
    <w:rsid w:val="00B435E3"/>
    <w:rsid w:val="00B43827"/>
    <w:rsid w:val="00B43C7F"/>
    <w:rsid w:val="00B43E60"/>
    <w:rsid w:val="00B43EEA"/>
    <w:rsid w:val="00B44205"/>
    <w:rsid w:val="00B444AF"/>
    <w:rsid w:val="00B449E9"/>
    <w:rsid w:val="00B44F50"/>
    <w:rsid w:val="00B44F9C"/>
    <w:rsid w:val="00B450AB"/>
    <w:rsid w:val="00B45373"/>
    <w:rsid w:val="00B4541C"/>
    <w:rsid w:val="00B45702"/>
    <w:rsid w:val="00B458E7"/>
    <w:rsid w:val="00B45C64"/>
    <w:rsid w:val="00B45DB8"/>
    <w:rsid w:val="00B46207"/>
    <w:rsid w:val="00B466F6"/>
    <w:rsid w:val="00B4678F"/>
    <w:rsid w:val="00B46A32"/>
    <w:rsid w:val="00B46B29"/>
    <w:rsid w:val="00B46EF4"/>
    <w:rsid w:val="00B46FE3"/>
    <w:rsid w:val="00B47298"/>
    <w:rsid w:val="00B476E0"/>
    <w:rsid w:val="00B47896"/>
    <w:rsid w:val="00B47954"/>
    <w:rsid w:val="00B47BF7"/>
    <w:rsid w:val="00B47C01"/>
    <w:rsid w:val="00B50765"/>
    <w:rsid w:val="00B50A40"/>
    <w:rsid w:val="00B50E9E"/>
    <w:rsid w:val="00B51177"/>
    <w:rsid w:val="00B51B18"/>
    <w:rsid w:val="00B51D59"/>
    <w:rsid w:val="00B5230B"/>
    <w:rsid w:val="00B528DF"/>
    <w:rsid w:val="00B529FF"/>
    <w:rsid w:val="00B52ABC"/>
    <w:rsid w:val="00B52BE4"/>
    <w:rsid w:val="00B52E18"/>
    <w:rsid w:val="00B53547"/>
    <w:rsid w:val="00B53597"/>
    <w:rsid w:val="00B535E9"/>
    <w:rsid w:val="00B53784"/>
    <w:rsid w:val="00B537EF"/>
    <w:rsid w:val="00B54690"/>
    <w:rsid w:val="00B5494B"/>
    <w:rsid w:val="00B54A2D"/>
    <w:rsid w:val="00B54C75"/>
    <w:rsid w:val="00B550D8"/>
    <w:rsid w:val="00B55114"/>
    <w:rsid w:val="00B5524F"/>
    <w:rsid w:val="00B55322"/>
    <w:rsid w:val="00B55B56"/>
    <w:rsid w:val="00B55D3E"/>
    <w:rsid w:val="00B56F38"/>
    <w:rsid w:val="00B5711C"/>
    <w:rsid w:val="00B57642"/>
    <w:rsid w:val="00B5791A"/>
    <w:rsid w:val="00B57921"/>
    <w:rsid w:val="00B57938"/>
    <w:rsid w:val="00B57B8D"/>
    <w:rsid w:val="00B60122"/>
    <w:rsid w:val="00B60BF9"/>
    <w:rsid w:val="00B610F4"/>
    <w:rsid w:val="00B6141E"/>
    <w:rsid w:val="00B6152F"/>
    <w:rsid w:val="00B61619"/>
    <w:rsid w:val="00B619F4"/>
    <w:rsid w:val="00B61A01"/>
    <w:rsid w:val="00B61F4E"/>
    <w:rsid w:val="00B62590"/>
    <w:rsid w:val="00B626C0"/>
    <w:rsid w:val="00B62700"/>
    <w:rsid w:val="00B62F20"/>
    <w:rsid w:val="00B6327D"/>
    <w:rsid w:val="00B632FF"/>
    <w:rsid w:val="00B6393A"/>
    <w:rsid w:val="00B63970"/>
    <w:rsid w:val="00B646A9"/>
    <w:rsid w:val="00B64AA0"/>
    <w:rsid w:val="00B64C7F"/>
    <w:rsid w:val="00B651B5"/>
    <w:rsid w:val="00B65AF3"/>
    <w:rsid w:val="00B6634B"/>
    <w:rsid w:val="00B66381"/>
    <w:rsid w:val="00B663F1"/>
    <w:rsid w:val="00B6684C"/>
    <w:rsid w:val="00B670BA"/>
    <w:rsid w:val="00B67271"/>
    <w:rsid w:val="00B6729F"/>
    <w:rsid w:val="00B676E1"/>
    <w:rsid w:val="00B7006C"/>
    <w:rsid w:val="00B706E2"/>
    <w:rsid w:val="00B70A8C"/>
    <w:rsid w:val="00B720D4"/>
    <w:rsid w:val="00B721B4"/>
    <w:rsid w:val="00B7222D"/>
    <w:rsid w:val="00B7267A"/>
    <w:rsid w:val="00B72988"/>
    <w:rsid w:val="00B730C2"/>
    <w:rsid w:val="00B7361F"/>
    <w:rsid w:val="00B73788"/>
    <w:rsid w:val="00B742DF"/>
    <w:rsid w:val="00B7451F"/>
    <w:rsid w:val="00B74BA0"/>
    <w:rsid w:val="00B74E9A"/>
    <w:rsid w:val="00B74FD2"/>
    <w:rsid w:val="00B754A4"/>
    <w:rsid w:val="00B755ED"/>
    <w:rsid w:val="00B75608"/>
    <w:rsid w:val="00B75682"/>
    <w:rsid w:val="00B757F1"/>
    <w:rsid w:val="00B759AA"/>
    <w:rsid w:val="00B75B4F"/>
    <w:rsid w:val="00B75DB8"/>
    <w:rsid w:val="00B760B4"/>
    <w:rsid w:val="00B76292"/>
    <w:rsid w:val="00B768C2"/>
    <w:rsid w:val="00B76BDD"/>
    <w:rsid w:val="00B76C7B"/>
    <w:rsid w:val="00B76D3B"/>
    <w:rsid w:val="00B76DBB"/>
    <w:rsid w:val="00B77B49"/>
    <w:rsid w:val="00B77BBF"/>
    <w:rsid w:val="00B77D2C"/>
    <w:rsid w:val="00B77F1D"/>
    <w:rsid w:val="00B77F57"/>
    <w:rsid w:val="00B80772"/>
    <w:rsid w:val="00B80B50"/>
    <w:rsid w:val="00B812BB"/>
    <w:rsid w:val="00B81389"/>
    <w:rsid w:val="00B81AA6"/>
    <w:rsid w:val="00B81C48"/>
    <w:rsid w:val="00B81F24"/>
    <w:rsid w:val="00B823A7"/>
    <w:rsid w:val="00B82567"/>
    <w:rsid w:val="00B82627"/>
    <w:rsid w:val="00B8282F"/>
    <w:rsid w:val="00B82D02"/>
    <w:rsid w:val="00B83298"/>
    <w:rsid w:val="00B83403"/>
    <w:rsid w:val="00B8358F"/>
    <w:rsid w:val="00B83A4B"/>
    <w:rsid w:val="00B84331"/>
    <w:rsid w:val="00B84913"/>
    <w:rsid w:val="00B84A8E"/>
    <w:rsid w:val="00B84B30"/>
    <w:rsid w:val="00B84B6C"/>
    <w:rsid w:val="00B84DB6"/>
    <w:rsid w:val="00B84EED"/>
    <w:rsid w:val="00B84F29"/>
    <w:rsid w:val="00B85271"/>
    <w:rsid w:val="00B8528E"/>
    <w:rsid w:val="00B8624B"/>
    <w:rsid w:val="00B86804"/>
    <w:rsid w:val="00B8693B"/>
    <w:rsid w:val="00B86978"/>
    <w:rsid w:val="00B86AF9"/>
    <w:rsid w:val="00B871F0"/>
    <w:rsid w:val="00B87403"/>
    <w:rsid w:val="00B8751C"/>
    <w:rsid w:val="00B87802"/>
    <w:rsid w:val="00B878BC"/>
    <w:rsid w:val="00B87951"/>
    <w:rsid w:val="00B879CE"/>
    <w:rsid w:val="00B87BCE"/>
    <w:rsid w:val="00B90A0B"/>
    <w:rsid w:val="00B90AA7"/>
    <w:rsid w:val="00B90D03"/>
    <w:rsid w:val="00B9137B"/>
    <w:rsid w:val="00B91453"/>
    <w:rsid w:val="00B91A26"/>
    <w:rsid w:val="00B9230F"/>
    <w:rsid w:val="00B923CA"/>
    <w:rsid w:val="00B925CD"/>
    <w:rsid w:val="00B92825"/>
    <w:rsid w:val="00B92B39"/>
    <w:rsid w:val="00B93311"/>
    <w:rsid w:val="00B93798"/>
    <w:rsid w:val="00B937BA"/>
    <w:rsid w:val="00B93809"/>
    <w:rsid w:val="00B938DC"/>
    <w:rsid w:val="00B940D0"/>
    <w:rsid w:val="00B941ED"/>
    <w:rsid w:val="00B94335"/>
    <w:rsid w:val="00B944A0"/>
    <w:rsid w:val="00B94569"/>
    <w:rsid w:val="00B94879"/>
    <w:rsid w:val="00B94887"/>
    <w:rsid w:val="00B948C0"/>
    <w:rsid w:val="00B94D92"/>
    <w:rsid w:val="00B94E68"/>
    <w:rsid w:val="00B95273"/>
    <w:rsid w:val="00B957B9"/>
    <w:rsid w:val="00B95AD0"/>
    <w:rsid w:val="00B95FBC"/>
    <w:rsid w:val="00B9655A"/>
    <w:rsid w:val="00B96777"/>
    <w:rsid w:val="00B96A15"/>
    <w:rsid w:val="00B96CDE"/>
    <w:rsid w:val="00B96E12"/>
    <w:rsid w:val="00B97943"/>
    <w:rsid w:val="00B979EE"/>
    <w:rsid w:val="00B97A8A"/>
    <w:rsid w:val="00B97ACA"/>
    <w:rsid w:val="00B97AD7"/>
    <w:rsid w:val="00BA0002"/>
    <w:rsid w:val="00BA0033"/>
    <w:rsid w:val="00BA012A"/>
    <w:rsid w:val="00BA0152"/>
    <w:rsid w:val="00BA0B59"/>
    <w:rsid w:val="00BA0D13"/>
    <w:rsid w:val="00BA0FC7"/>
    <w:rsid w:val="00BA12A2"/>
    <w:rsid w:val="00BA168B"/>
    <w:rsid w:val="00BA17DE"/>
    <w:rsid w:val="00BA1810"/>
    <w:rsid w:val="00BA18C8"/>
    <w:rsid w:val="00BA206E"/>
    <w:rsid w:val="00BA230D"/>
    <w:rsid w:val="00BA23CC"/>
    <w:rsid w:val="00BA24E0"/>
    <w:rsid w:val="00BA24EC"/>
    <w:rsid w:val="00BA2837"/>
    <w:rsid w:val="00BA2952"/>
    <w:rsid w:val="00BA2C95"/>
    <w:rsid w:val="00BA2F9B"/>
    <w:rsid w:val="00BA303A"/>
    <w:rsid w:val="00BA32B2"/>
    <w:rsid w:val="00BA3359"/>
    <w:rsid w:val="00BA35C7"/>
    <w:rsid w:val="00BA3717"/>
    <w:rsid w:val="00BA386D"/>
    <w:rsid w:val="00BA38F6"/>
    <w:rsid w:val="00BA3DA3"/>
    <w:rsid w:val="00BA40EA"/>
    <w:rsid w:val="00BA4C59"/>
    <w:rsid w:val="00BA4C9E"/>
    <w:rsid w:val="00BA4EC4"/>
    <w:rsid w:val="00BA55A6"/>
    <w:rsid w:val="00BA56C3"/>
    <w:rsid w:val="00BA60C8"/>
    <w:rsid w:val="00BA659D"/>
    <w:rsid w:val="00BA65E5"/>
    <w:rsid w:val="00BA68D1"/>
    <w:rsid w:val="00BA6CEE"/>
    <w:rsid w:val="00BA704F"/>
    <w:rsid w:val="00BA70B4"/>
    <w:rsid w:val="00BA75E4"/>
    <w:rsid w:val="00BA7903"/>
    <w:rsid w:val="00BA7A62"/>
    <w:rsid w:val="00BA7AE0"/>
    <w:rsid w:val="00BA7D37"/>
    <w:rsid w:val="00BA7DB3"/>
    <w:rsid w:val="00BB0386"/>
    <w:rsid w:val="00BB09DF"/>
    <w:rsid w:val="00BB0D58"/>
    <w:rsid w:val="00BB0F75"/>
    <w:rsid w:val="00BB128A"/>
    <w:rsid w:val="00BB13D3"/>
    <w:rsid w:val="00BB1B43"/>
    <w:rsid w:val="00BB1B4C"/>
    <w:rsid w:val="00BB2028"/>
    <w:rsid w:val="00BB210A"/>
    <w:rsid w:val="00BB2ACB"/>
    <w:rsid w:val="00BB2B29"/>
    <w:rsid w:val="00BB2BBC"/>
    <w:rsid w:val="00BB36E3"/>
    <w:rsid w:val="00BB3FC5"/>
    <w:rsid w:val="00BB4226"/>
    <w:rsid w:val="00BB4456"/>
    <w:rsid w:val="00BB4627"/>
    <w:rsid w:val="00BB467D"/>
    <w:rsid w:val="00BB48D2"/>
    <w:rsid w:val="00BB4A61"/>
    <w:rsid w:val="00BB4BCA"/>
    <w:rsid w:val="00BB4C11"/>
    <w:rsid w:val="00BB551D"/>
    <w:rsid w:val="00BB5D8E"/>
    <w:rsid w:val="00BB60A2"/>
    <w:rsid w:val="00BB6281"/>
    <w:rsid w:val="00BB64D6"/>
    <w:rsid w:val="00BB6B54"/>
    <w:rsid w:val="00BB702E"/>
    <w:rsid w:val="00BB7751"/>
    <w:rsid w:val="00BB7B9C"/>
    <w:rsid w:val="00BC09FB"/>
    <w:rsid w:val="00BC0A2C"/>
    <w:rsid w:val="00BC0A61"/>
    <w:rsid w:val="00BC1E27"/>
    <w:rsid w:val="00BC2098"/>
    <w:rsid w:val="00BC20C8"/>
    <w:rsid w:val="00BC24D8"/>
    <w:rsid w:val="00BC2605"/>
    <w:rsid w:val="00BC2790"/>
    <w:rsid w:val="00BC28D1"/>
    <w:rsid w:val="00BC2B3B"/>
    <w:rsid w:val="00BC2B7D"/>
    <w:rsid w:val="00BC2EFC"/>
    <w:rsid w:val="00BC31AA"/>
    <w:rsid w:val="00BC3232"/>
    <w:rsid w:val="00BC36A7"/>
    <w:rsid w:val="00BC39FC"/>
    <w:rsid w:val="00BC3A6A"/>
    <w:rsid w:val="00BC4008"/>
    <w:rsid w:val="00BC4198"/>
    <w:rsid w:val="00BC4579"/>
    <w:rsid w:val="00BC463D"/>
    <w:rsid w:val="00BC4661"/>
    <w:rsid w:val="00BC47AE"/>
    <w:rsid w:val="00BC49B1"/>
    <w:rsid w:val="00BC4ACA"/>
    <w:rsid w:val="00BC4F8B"/>
    <w:rsid w:val="00BC543C"/>
    <w:rsid w:val="00BC5799"/>
    <w:rsid w:val="00BC6254"/>
    <w:rsid w:val="00BC65C6"/>
    <w:rsid w:val="00BC695E"/>
    <w:rsid w:val="00BC6E8B"/>
    <w:rsid w:val="00BC6EBC"/>
    <w:rsid w:val="00BC6F11"/>
    <w:rsid w:val="00BC72DD"/>
    <w:rsid w:val="00BC7606"/>
    <w:rsid w:val="00BC79D1"/>
    <w:rsid w:val="00BC7D96"/>
    <w:rsid w:val="00BD01BF"/>
    <w:rsid w:val="00BD0B1B"/>
    <w:rsid w:val="00BD0BB6"/>
    <w:rsid w:val="00BD11D4"/>
    <w:rsid w:val="00BD13E7"/>
    <w:rsid w:val="00BD1464"/>
    <w:rsid w:val="00BD165F"/>
    <w:rsid w:val="00BD1940"/>
    <w:rsid w:val="00BD1BDE"/>
    <w:rsid w:val="00BD21B0"/>
    <w:rsid w:val="00BD2604"/>
    <w:rsid w:val="00BD2853"/>
    <w:rsid w:val="00BD2F79"/>
    <w:rsid w:val="00BD301D"/>
    <w:rsid w:val="00BD3D24"/>
    <w:rsid w:val="00BD469D"/>
    <w:rsid w:val="00BD49FD"/>
    <w:rsid w:val="00BD4A85"/>
    <w:rsid w:val="00BD4B1A"/>
    <w:rsid w:val="00BD5C5C"/>
    <w:rsid w:val="00BD62E0"/>
    <w:rsid w:val="00BD640F"/>
    <w:rsid w:val="00BD6551"/>
    <w:rsid w:val="00BD67FF"/>
    <w:rsid w:val="00BD6A77"/>
    <w:rsid w:val="00BD6C77"/>
    <w:rsid w:val="00BD6C86"/>
    <w:rsid w:val="00BD6EEE"/>
    <w:rsid w:val="00BD7B2F"/>
    <w:rsid w:val="00BD7B3E"/>
    <w:rsid w:val="00BD7C26"/>
    <w:rsid w:val="00BD7DD8"/>
    <w:rsid w:val="00BE0854"/>
    <w:rsid w:val="00BE0C60"/>
    <w:rsid w:val="00BE0CA9"/>
    <w:rsid w:val="00BE0E0F"/>
    <w:rsid w:val="00BE1650"/>
    <w:rsid w:val="00BE1FDD"/>
    <w:rsid w:val="00BE206D"/>
    <w:rsid w:val="00BE24E5"/>
    <w:rsid w:val="00BE27F2"/>
    <w:rsid w:val="00BE2855"/>
    <w:rsid w:val="00BE2ACF"/>
    <w:rsid w:val="00BE2FE9"/>
    <w:rsid w:val="00BE31B5"/>
    <w:rsid w:val="00BE36E0"/>
    <w:rsid w:val="00BE3CCE"/>
    <w:rsid w:val="00BE3E6B"/>
    <w:rsid w:val="00BE409A"/>
    <w:rsid w:val="00BE4768"/>
    <w:rsid w:val="00BE48AD"/>
    <w:rsid w:val="00BE491C"/>
    <w:rsid w:val="00BE4D48"/>
    <w:rsid w:val="00BE5447"/>
    <w:rsid w:val="00BE55AE"/>
    <w:rsid w:val="00BE59A1"/>
    <w:rsid w:val="00BE5A5F"/>
    <w:rsid w:val="00BE6000"/>
    <w:rsid w:val="00BE63AF"/>
    <w:rsid w:val="00BE6EC8"/>
    <w:rsid w:val="00BE6FA7"/>
    <w:rsid w:val="00BE71AE"/>
    <w:rsid w:val="00BE7238"/>
    <w:rsid w:val="00BE7398"/>
    <w:rsid w:val="00BE7465"/>
    <w:rsid w:val="00BE769B"/>
    <w:rsid w:val="00BE7C40"/>
    <w:rsid w:val="00BF01CB"/>
    <w:rsid w:val="00BF02A3"/>
    <w:rsid w:val="00BF0BA7"/>
    <w:rsid w:val="00BF0BD7"/>
    <w:rsid w:val="00BF0C46"/>
    <w:rsid w:val="00BF0CD1"/>
    <w:rsid w:val="00BF0D9D"/>
    <w:rsid w:val="00BF1AF1"/>
    <w:rsid w:val="00BF1CBD"/>
    <w:rsid w:val="00BF1FD8"/>
    <w:rsid w:val="00BF20E8"/>
    <w:rsid w:val="00BF2C44"/>
    <w:rsid w:val="00BF2D81"/>
    <w:rsid w:val="00BF3782"/>
    <w:rsid w:val="00BF38CD"/>
    <w:rsid w:val="00BF38DC"/>
    <w:rsid w:val="00BF3BCA"/>
    <w:rsid w:val="00BF5997"/>
    <w:rsid w:val="00BF59CA"/>
    <w:rsid w:val="00BF5BDD"/>
    <w:rsid w:val="00BF5C35"/>
    <w:rsid w:val="00BF5C66"/>
    <w:rsid w:val="00BF5C7E"/>
    <w:rsid w:val="00BF6050"/>
    <w:rsid w:val="00BF63B6"/>
    <w:rsid w:val="00BF66EE"/>
    <w:rsid w:val="00BF71A3"/>
    <w:rsid w:val="00BF75A1"/>
    <w:rsid w:val="00BF7680"/>
    <w:rsid w:val="00BF796C"/>
    <w:rsid w:val="00BF7A2C"/>
    <w:rsid w:val="00BF7A2E"/>
    <w:rsid w:val="00BF7A78"/>
    <w:rsid w:val="00BF7E8C"/>
    <w:rsid w:val="00C0018A"/>
    <w:rsid w:val="00C0034C"/>
    <w:rsid w:val="00C0037D"/>
    <w:rsid w:val="00C003B9"/>
    <w:rsid w:val="00C00905"/>
    <w:rsid w:val="00C00A7C"/>
    <w:rsid w:val="00C0104C"/>
    <w:rsid w:val="00C01170"/>
    <w:rsid w:val="00C0156D"/>
    <w:rsid w:val="00C01892"/>
    <w:rsid w:val="00C01BBB"/>
    <w:rsid w:val="00C01FD1"/>
    <w:rsid w:val="00C024A5"/>
    <w:rsid w:val="00C02CE1"/>
    <w:rsid w:val="00C02D1E"/>
    <w:rsid w:val="00C03144"/>
    <w:rsid w:val="00C0314D"/>
    <w:rsid w:val="00C0331F"/>
    <w:rsid w:val="00C035B5"/>
    <w:rsid w:val="00C036AC"/>
    <w:rsid w:val="00C03865"/>
    <w:rsid w:val="00C03D5A"/>
    <w:rsid w:val="00C04A19"/>
    <w:rsid w:val="00C05276"/>
    <w:rsid w:val="00C054A3"/>
    <w:rsid w:val="00C05622"/>
    <w:rsid w:val="00C05851"/>
    <w:rsid w:val="00C05ECD"/>
    <w:rsid w:val="00C06BEC"/>
    <w:rsid w:val="00C07620"/>
    <w:rsid w:val="00C07AB6"/>
    <w:rsid w:val="00C07ACB"/>
    <w:rsid w:val="00C102F3"/>
    <w:rsid w:val="00C106B8"/>
    <w:rsid w:val="00C10AFD"/>
    <w:rsid w:val="00C10B22"/>
    <w:rsid w:val="00C10C3F"/>
    <w:rsid w:val="00C10C52"/>
    <w:rsid w:val="00C10D5C"/>
    <w:rsid w:val="00C11623"/>
    <w:rsid w:val="00C1172F"/>
    <w:rsid w:val="00C119A0"/>
    <w:rsid w:val="00C11A92"/>
    <w:rsid w:val="00C11ABD"/>
    <w:rsid w:val="00C129D9"/>
    <w:rsid w:val="00C13089"/>
    <w:rsid w:val="00C134DA"/>
    <w:rsid w:val="00C13C06"/>
    <w:rsid w:val="00C13C90"/>
    <w:rsid w:val="00C13CF2"/>
    <w:rsid w:val="00C14F19"/>
    <w:rsid w:val="00C14FB2"/>
    <w:rsid w:val="00C15205"/>
    <w:rsid w:val="00C1575F"/>
    <w:rsid w:val="00C15B0C"/>
    <w:rsid w:val="00C15DE5"/>
    <w:rsid w:val="00C16260"/>
    <w:rsid w:val="00C16621"/>
    <w:rsid w:val="00C168CF"/>
    <w:rsid w:val="00C16912"/>
    <w:rsid w:val="00C17007"/>
    <w:rsid w:val="00C17204"/>
    <w:rsid w:val="00C17304"/>
    <w:rsid w:val="00C1748F"/>
    <w:rsid w:val="00C176AC"/>
    <w:rsid w:val="00C17CE1"/>
    <w:rsid w:val="00C2058B"/>
    <w:rsid w:val="00C20668"/>
    <w:rsid w:val="00C208B8"/>
    <w:rsid w:val="00C209AD"/>
    <w:rsid w:val="00C20B13"/>
    <w:rsid w:val="00C2103A"/>
    <w:rsid w:val="00C2164B"/>
    <w:rsid w:val="00C21DA3"/>
    <w:rsid w:val="00C21EF9"/>
    <w:rsid w:val="00C21FE6"/>
    <w:rsid w:val="00C221C0"/>
    <w:rsid w:val="00C222A1"/>
    <w:rsid w:val="00C222F7"/>
    <w:rsid w:val="00C22397"/>
    <w:rsid w:val="00C224E3"/>
    <w:rsid w:val="00C22AAB"/>
    <w:rsid w:val="00C22ECB"/>
    <w:rsid w:val="00C23BB4"/>
    <w:rsid w:val="00C23F47"/>
    <w:rsid w:val="00C242C1"/>
    <w:rsid w:val="00C24589"/>
    <w:rsid w:val="00C24707"/>
    <w:rsid w:val="00C24792"/>
    <w:rsid w:val="00C24839"/>
    <w:rsid w:val="00C24D35"/>
    <w:rsid w:val="00C2525E"/>
    <w:rsid w:val="00C2584D"/>
    <w:rsid w:val="00C25F77"/>
    <w:rsid w:val="00C26159"/>
    <w:rsid w:val="00C2629C"/>
    <w:rsid w:val="00C262ED"/>
    <w:rsid w:val="00C265C9"/>
    <w:rsid w:val="00C26968"/>
    <w:rsid w:val="00C26A69"/>
    <w:rsid w:val="00C27037"/>
    <w:rsid w:val="00C27231"/>
    <w:rsid w:val="00C27C23"/>
    <w:rsid w:val="00C27F3E"/>
    <w:rsid w:val="00C30019"/>
    <w:rsid w:val="00C301CF"/>
    <w:rsid w:val="00C30603"/>
    <w:rsid w:val="00C309E6"/>
    <w:rsid w:val="00C30B6D"/>
    <w:rsid w:val="00C30C46"/>
    <w:rsid w:val="00C311E2"/>
    <w:rsid w:val="00C31439"/>
    <w:rsid w:val="00C31460"/>
    <w:rsid w:val="00C31808"/>
    <w:rsid w:val="00C31ACA"/>
    <w:rsid w:val="00C31D03"/>
    <w:rsid w:val="00C31D26"/>
    <w:rsid w:val="00C31E1D"/>
    <w:rsid w:val="00C32064"/>
    <w:rsid w:val="00C3223A"/>
    <w:rsid w:val="00C32CA7"/>
    <w:rsid w:val="00C32E58"/>
    <w:rsid w:val="00C330B7"/>
    <w:rsid w:val="00C33183"/>
    <w:rsid w:val="00C33706"/>
    <w:rsid w:val="00C33A05"/>
    <w:rsid w:val="00C33B39"/>
    <w:rsid w:val="00C33F14"/>
    <w:rsid w:val="00C34760"/>
    <w:rsid w:val="00C34D0A"/>
    <w:rsid w:val="00C35028"/>
    <w:rsid w:val="00C357EA"/>
    <w:rsid w:val="00C35941"/>
    <w:rsid w:val="00C35A3D"/>
    <w:rsid w:val="00C35BCA"/>
    <w:rsid w:val="00C3616F"/>
    <w:rsid w:val="00C36691"/>
    <w:rsid w:val="00C366C6"/>
    <w:rsid w:val="00C36A9F"/>
    <w:rsid w:val="00C374C1"/>
    <w:rsid w:val="00C37611"/>
    <w:rsid w:val="00C37666"/>
    <w:rsid w:val="00C37B9E"/>
    <w:rsid w:val="00C37CF3"/>
    <w:rsid w:val="00C40013"/>
    <w:rsid w:val="00C411E9"/>
    <w:rsid w:val="00C416FD"/>
    <w:rsid w:val="00C417CC"/>
    <w:rsid w:val="00C417F5"/>
    <w:rsid w:val="00C41AFB"/>
    <w:rsid w:val="00C41C84"/>
    <w:rsid w:val="00C41DF7"/>
    <w:rsid w:val="00C41E33"/>
    <w:rsid w:val="00C41F79"/>
    <w:rsid w:val="00C424DF"/>
    <w:rsid w:val="00C426CE"/>
    <w:rsid w:val="00C428FF"/>
    <w:rsid w:val="00C42C84"/>
    <w:rsid w:val="00C42ED7"/>
    <w:rsid w:val="00C42FAA"/>
    <w:rsid w:val="00C43051"/>
    <w:rsid w:val="00C43314"/>
    <w:rsid w:val="00C43EA9"/>
    <w:rsid w:val="00C43EC5"/>
    <w:rsid w:val="00C4473A"/>
    <w:rsid w:val="00C44D46"/>
    <w:rsid w:val="00C44DED"/>
    <w:rsid w:val="00C45289"/>
    <w:rsid w:val="00C454D9"/>
    <w:rsid w:val="00C45525"/>
    <w:rsid w:val="00C45537"/>
    <w:rsid w:val="00C45779"/>
    <w:rsid w:val="00C45C60"/>
    <w:rsid w:val="00C4684C"/>
    <w:rsid w:val="00C469F2"/>
    <w:rsid w:val="00C46D29"/>
    <w:rsid w:val="00C46E19"/>
    <w:rsid w:val="00C47541"/>
    <w:rsid w:val="00C475C7"/>
    <w:rsid w:val="00C47601"/>
    <w:rsid w:val="00C47DF2"/>
    <w:rsid w:val="00C50AAE"/>
    <w:rsid w:val="00C5119C"/>
    <w:rsid w:val="00C51591"/>
    <w:rsid w:val="00C515B0"/>
    <w:rsid w:val="00C51702"/>
    <w:rsid w:val="00C5171D"/>
    <w:rsid w:val="00C517ED"/>
    <w:rsid w:val="00C51B08"/>
    <w:rsid w:val="00C51BA8"/>
    <w:rsid w:val="00C51C23"/>
    <w:rsid w:val="00C51C57"/>
    <w:rsid w:val="00C51DB8"/>
    <w:rsid w:val="00C51FF9"/>
    <w:rsid w:val="00C5298A"/>
    <w:rsid w:val="00C5304F"/>
    <w:rsid w:val="00C53513"/>
    <w:rsid w:val="00C53730"/>
    <w:rsid w:val="00C53E49"/>
    <w:rsid w:val="00C540B9"/>
    <w:rsid w:val="00C54398"/>
    <w:rsid w:val="00C54411"/>
    <w:rsid w:val="00C54CC3"/>
    <w:rsid w:val="00C54D6E"/>
    <w:rsid w:val="00C54EE3"/>
    <w:rsid w:val="00C552F9"/>
    <w:rsid w:val="00C554D4"/>
    <w:rsid w:val="00C554D9"/>
    <w:rsid w:val="00C560DB"/>
    <w:rsid w:val="00C56526"/>
    <w:rsid w:val="00C56532"/>
    <w:rsid w:val="00C56D39"/>
    <w:rsid w:val="00C57155"/>
    <w:rsid w:val="00C5715C"/>
    <w:rsid w:val="00C57A92"/>
    <w:rsid w:val="00C57C0D"/>
    <w:rsid w:val="00C57E63"/>
    <w:rsid w:val="00C6069B"/>
    <w:rsid w:val="00C607D1"/>
    <w:rsid w:val="00C60A86"/>
    <w:rsid w:val="00C60CB5"/>
    <w:rsid w:val="00C60D11"/>
    <w:rsid w:val="00C60FBF"/>
    <w:rsid w:val="00C61109"/>
    <w:rsid w:val="00C61324"/>
    <w:rsid w:val="00C6183D"/>
    <w:rsid w:val="00C619B5"/>
    <w:rsid w:val="00C61AB2"/>
    <w:rsid w:val="00C61B02"/>
    <w:rsid w:val="00C61E90"/>
    <w:rsid w:val="00C61F1C"/>
    <w:rsid w:val="00C61FD2"/>
    <w:rsid w:val="00C620D4"/>
    <w:rsid w:val="00C6222B"/>
    <w:rsid w:val="00C6276A"/>
    <w:rsid w:val="00C62798"/>
    <w:rsid w:val="00C6297B"/>
    <w:rsid w:val="00C62AB4"/>
    <w:rsid w:val="00C63BFA"/>
    <w:rsid w:val="00C64208"/>
    <w:rsid w:val="00C643EB"/>
    <w:rsid w:val="00C644C4"/>
    <w:rsid w:val="00C644F2"/>
    <w:rsid w:val="00C64544"/>
    <w:rsid w:val="00C645FD"/>
    <w:rsid w:val="00C64868"/>
    <w:rsid w:val="00C64DA3"/>
    <w:rsid w:val="00C64E8C"/>
    <w:rsid w:val="00C6539B"/>
    <w:rsid w:val="00C6540F"/>
    <w:rsid w:val="00C65840"/>
    <w:rsid w:val="00C65D6D"/>
    <w:rsid w:val="00C65FF3"/>
    <w:rsid w:val="00C6642E"/>
    <w:rsid w:val="00C66494"/>
    <w:rsid w:val="00C66676"/>
    <w:rsid w:val="00C666B9"/>
    <w:rsid w:val="00C66E98"/>
    <w:rsid w:val="00C670FC"/>
    <w:rsid w:val="00C70072"/>
    <w:rsid w:val="00C702A2"/>
    <w:rsid w:val="00C70370"/>
    <w:rsid w:val="00C70585"/>
    <w:rsid w:val="00C707A9"/>
    <w:rsid w:val="00C70975"/>
    <w:rsid w:val="00C709F0"/>
    <w:rsid w:val="00C71490"/>
    <w:rsid w:val="00C71783"/>
    <w:rsid w:val="00C719A2"/>
    <w:rsid w:val="00C71DC7"/>
    <w:rsid w:val="00C71F6D"/>
    <w:rsid w:val="00C72165"/>
    <w:rsid w:val="00C72184"/>
    <w:rsid w:val="00C72773"/>
    <w:rsid w:val="00C72A19"/>
    <w:rsid w:val="00C72B8E"/>
    <w:rsid w:val="00C72D7B"/>
    <w:rsid w:val="00C73AB0"/>
    <w:rsid w:val="00C73D66"/>
    <w:rsid w:val="00C74167"/>
    <w:rsid w:val="00C741D2"/>
    <w:rsid w:val="00C742E3"/>
    <w:rsid w:val="00C7486E"/>
    <w:rsid w:val="00C74929"/>
    <w:rsid w:val="00C74D98"/>
    <w:rsid w:val="00C75357"/>
    <w:rsid w:val="00C7574B"/>
    <w:rsid w:val="00C757AE"/>
    <w:rsid w:val="00C758BD"/>
    <w:rsid w:val="00C75A6D"/>
    <w:rsid w:val="00C75CEB"/>
    <w:rsid w:val="00C76268"/>
    <w:rsid w:val="00C76624"/>
    <w:rsid w:val="00C76661"/>
    <w:rsid w:val="00C7692D"/>
    <w:rsid w:val="00C76AAF"/>
    <w:rsid w:val="00C76C46"/>
    <w:rsid w:val="00C76E35"/>
    <w:rsid w:val="00C77478"/>
    <w:rsid w:val="00C774A1"/>
    <w:rsid w:val="00C775A0"/>
    <w:rsid w:val="00C80C41"/>
    <w:rsid w:val="00C80CEF"/>
    <w:rsid w:val="00C80E40"/>
    <w:rsid w:val="00C81120"/>
    <w:rsid w:val="00C81432"/>
    <w:rsid w:val="00C828B8"/>
    <w:rsid w:val="00C82994"/>
    <w:rsid w:val="00C82E07"/>
    <w:rsid w:val="00C82EC5"/>
    <w:rsid w:val="00C83041"/>
    <w:rsid w:val="00C838C3"/>
    <w:rsid w:val="00C8452A"/>
    <w:rsid w:val="00C848A7"/>
    <w:rsid w:val="00C849C0"/>
    <w:rsid w:val="00C84F2E"/>
    <w:rsid w:val="00C85035"/>
    <w:rsid w:val="00C851F6"/>
    <w:rsid w:val="00C858FF"/>
    <w:rsid w:val="00C85AE0"/>
    <w:rsid w:val="00C85E30"/>
    <w:rsid w:val="00C86BFA"/>
    <w:rsid w:val="00C86E8E"/>
    <w:rsid w:val="00C8712F"/>
    <w:rsid w:val="00C876A0"/>
    <w:rsid w:val="00C878CA"/>
    <w:rsid w:val="00C87AF2"/>
    <w:rsid w:val="00C87B57"/>
    <w:rsid w:val="00C87FC6"/>
    <w:rsid w:val="00C901FE"/>
    <w:rsid w:val="00C908C6"/>
    <w:rsid w:val="00C90B42"/>
    <w:rsid w:val="00C91074"/>
    <w:rsid w:val="00C9182B"/>
    <w:rsid w:val="00C91C5F"/>
    <w:rsid w:val="00C9213E"/>
    <w:rsid w:val="00C9255D"/>
    <w:rsid w:val="00C9296C"/>
    <w:rsid w:val="00C92DFF"/>
    <w:rsid w:val="00C93384"/>
    <w:rsid w:val="00C93FD8"/>
    <w:rsid w:val="00C94170"/>
    <w:rsid w:val="00C945C2"/>
    <w:rsid w:val="00C946B2"/>
    <w:rsid w:val="00C946F6"/>
    <w:rsid w:val="00C9475D"/>
    <w:rsid w:val="00C94B1E"/>
    <w:rsid w:val="00C95056"/>
    <w:rsid w:val="00C95115"/>
    <w:rsid w:val="00C951FD"/>
    <w:rsid w:val="00C952C3"/>
    <w:rsid w:val="00C9536E"/>
    <w:rsid w:val="00C95A15"/>
    <w:rsid w:val="00C95A37"/>
    <w:rsid w:val="00C95D21"/>
    <w:rsid w:val="00C961DD"/>
    <w:rsid w:val="00C962F3"/>
    <w:rsid w:val="00C963BF"/>
    <w:rsid w:val="00C96516"/>
    <w:rsid w:val="00C970A1"/>
    <w:rsid w:val="00C97397"/>
    <w:rsid w:val="00C975E6"/>
    <w:rsid w:val="00C978FE"/>
    <w:rsid w:val="00C97D48"/>
    <w:rsid w:val="00C97E1A"/>
    <w:rsid w:val="00C97EAC"/>
    <w:rsid w:val="00CA0C2D"/>
    <w:rsid w:val="00CA0E9B"/>
    <w:rsid w:val="00CA10D0"/>
    <w:rsid w:val="00CA1333"/>
    <w:rsid w:val="00CA13DE"/>
    <w:rsid w:val="00CA1458"/>
    <w:rsid w:val="00CA15AC"/>
    <w:rsid w:val="00CA175E"/>
    <w:rsid w:val="00CA19A9"/>
    <w:rsid w:val="00CA1B16"/>
    <w:rsid w:val="00CA1E51"/>
    <w:rsid w:val="00CA21A9"/>
    <w:rsid w:val="00CA43F9"/>
    <w:rsid w:val="00CA4458"/>
    <w:rsid w:val="00CA45FC"/>
    <w:rsid w:val="00CA481F"/>
    <w:rsid w:val="00CA487E"/>
    <w:rsid w:val="00CA4DC9"/>
    <w:rsid w:val="00CA516C"/>
    <w:rsid w:val="00CA52B2"/>
    <w:rsid w:val="00CA56C5"/>
    <w:rsid w:val="00CA59C2"/>
    <w:rsid w:val="00CA5C47"/>
    <w:rsid w:val="00CA5C82"/>
    <w:rsid w:val="00CA6228"/>
    <w:rsid w:val="00CA62EE"/>
    <w:rsid w:val="00CA64F4"/>
    <w:rsid w:val="00CA65EF"/>
    <w:rsid w:val="00CA6647"/>
    <w:rsid w:val="00CA679A"/>
    <w:rsid w:val="00CA7414"/>
    <w:rsid w:val="00CA7632"/>
    <w:rsid w:val="00CA7682"/>
    <w:rsid w:val="00CA7854"/>
    <w:rsid w:val="00CA7A75"/>
    <w:rsid w:val="00CA7E03"/>
    <w:rsid w:val="00CA7F28"/>
    <w:rsid w:val="00CA7F39"/>
    <w:rsid w:val="00CB00EA"/>
    <w:rsid w:val="00CB0125"/>
    <w:rsid w:val="00CB01EF"/>
    <w:rsid w:val="00CB01F6"/>
    <w:rsid w:val="00CB029E"/>
    <w:rsid w:val="00CB0768"/>
    <w:rsid w:val="00CB0A1F"/>
    <w:rsid w:val="00CB0CE9"/>
    <w:rsid w:val="00CB131F"/>
    <w:rsid w:val="00CB1320"/>
    <w:rsid w:val="00CB16C4"/>
    <w:rsid w:val="00CB1A00"/>
    <w:rsid w:val="00CB2121"/>
    <w:rsid w:val="00CB21AF"/>
    <w:rsid w:val="00CB221C"/>
    <w:rsid w:val="00CB2476"/>
    <w:rsid w:val="00CB2E15"/>
    <w:rsid w:val="00CB33D0"/>
    <w:rsid w:val="00CB3555"/>
    <w:rsid w:val="00CB3693"/>
    <w:rsid w:val="00CB372C"/>
    <w:rsid w:val="00CB3E69"/>
    <w:rsid w:val="00CB434C"/>
    <w:rsid w:val="00CB439C"/>
    <w:rsid w:val="00CB452B"/>
    <w:rsid w:val="00CB4900"/>
    <w:rsid w:val="00CB4DC2"/>
    <w:rsid w:val="00CB4DCD"/>
    <w:rsid w:val="00CB4E4B"/>
    <w:rsid w:val="00CB4F2D"/>
    <w:rsid w:val="00CB53F8"/>
    <w:rsid w:val="00CB544A"/>
    <w:rsid w:val="00CB5E59"/>
    <w:rsid w:val="00CB5FF4"/>
    <w:rsid w:val="00CB603C"/>
    <w:rsid w:val="00CB6272"/>
    <w:rsid w:val="00CB6B3F"/>
    <w:rsid w:val="00CB6C9D"/>
    <w:rsid w:val="00CB7418"/>
    <w:rsid w:val="00CB7A7D"/>
    <w:rsid w:val="00CB7C49"/>
    <w:rsid w:val="00CB7EC4"/>
    <w:rsid w:val="00CC01EB"/>
    <w:rsid w:val="00CC0670"/>
    <w:rsid w:val="00CC0743"/>
    <w:rsid w:val="00CC0BBE"/>
    <w:rsid w:val="00CC100B"/>
    <w:rsid w:val="00CC1311"/>
    <w:rsid w:val="00CC1690"/>
    <w:rsid w:val="00CC1969"/>
    <w:rsid w:val="00CC19DE"/>
    <w:rsid w:val="00CC2213"/>
    <w:rsid w:val="00CC2221"/>
    <w:rsid w:val="00CC23B3"/>
    <w:rsid w:val="00CC27FE"/>
    <w:rsid w:val="00CC2A78"/>
    <w:rsid w:val="00CC2D98"/>
    <w:rsid w:val="00CC2E06"/>
    <w:rsid w:val="00CC3066"/>
    <w:rsid w:val="00CC367D"/>
    <w:rsid w:val="00CC3A33"/>
    <w:rsid w:val="00CC3C18"/>
    <w:rsid w:val="00CC3D23"/>
    <w:rsid w:val="00CC4210"/>
    <w:rsid w:val="00CC4238"/>
    <w:rsid w:val="00CC44F1"/>
    <w:rsid w:val="00CC44FE"/>
    <w:rsid w:val="00CC4921"/>
    <w:rsid w:val="00CC5431"/>
    <w:rsid w:val="00CC644D"/>
    <w:rsid w:val="00CC658D"/>
    <w:rsid w:val="00CC6657"/>
    <w:rsid w:val="00CC665A"/>
    <w:rsid w:val="00CC67EC"/>
    <w:rsid w:val="00CC6FB8"/>
    <w:rsid w:val="00CC718D"/>
    <w:rsid w:val="00CC7210"/>
    <w:rsid w:val="00CC74A2"/>
    <w:rsid w:val="00CC779C"/>
    <w:rsid w:val="00CC7B51"/>
    <w:rsid w:val="00CC7F36"/>
    <w:rsid w:val="00CD0492"/>
    <w:rsid w:val="00CD0518"/>
    <w:rsid w:val="00CD0593"/>
    <w:rsid w:val="00CD07CA"/>
    <w:rsid w:val="00CD07DE"/>
    <w:rsid w:val="00CD107A"/>
    <w:rsid w:val="00CD1184"/>
    <w:rsid w:val="00CD1311"/>
    <w:rsid w:val="00CD146B"/>
    <w:rsid w:val="00CD155B"/>
    <w:rsid w:val="00CD1A3E"/>
    <w:rsid w:val="00CD1F85"/>
    <w:rsid w:val="00CD1FD1"/>
    <w:rsid w:val="00CD20D4"/>
    <w:rsid w:val="00CD2187"/>
    <w:rsid w:val="00CD246B"/>
    <w:rsid w:val="00CD2519"/>
    <w:rsid w:val="00CD251C"/>
    <w:rsid w:val="00CD2C94"/>
    <w:rsid w:val="00CD2CDC"/>
    <w:rsid w:val="00CD2F34"/>
    <w:rsid w:val="00CD3B66"/>
    <w:rsid w:val="00CD4817"/>
    <w:rsid w:val="00CD4CB3"/>
    <w:rsid w:val="00CD4F23"/>
    <w:rsid w:val="00CD4FC6"/>
    <w:rsid w:val="00CD520E"/>
    <w:rsid w:val="00CD5217"/>
    <w:rsid w:val="00CD5562"/>
    <w:rsid w:val="00CD558B"/>
    <w:rsid w:val="00CD55B3"/>
    <w:rsid w:val="00CD59D9"/>
    <w:rsid w:val="00CD5A05"/>
    <w:rsid w:val="00CD5B7D"/>
    <w:rsid w:val="00CD5D9A"/>
    <w:rsid w:val="00CD5F3B"/>
    <w:rsid w:val="00CD6ABC"/>
    <w:rsid w:val="00CD750A"/>
    <w:rsid w:val="00CD7CD0"/>
    <w:rsid w:val="00CD7E16"/>
    <w:rsid w:val="00CD7EE5"/>
    <w:rsid w:val="00CD7FD7"/>
    <w:rsid w:val="00CE0097"/>
    <w:rsid w:val="00CE04A0"/>
    <w:rsid w:val="00CE04BA"/>
    <w:rsid w:val="00CE06BD"/>
    <w:rsid w:val="00CE07A2"/>
    <w:rsid w:val="00CE0855"/>
    <w:rsid w:val="00CE1AAD"/>
    <w:rsid w:val="00CE23B9"/>
    <w:rsid w:val="00CE3042"/>
    <w:rsid w:val="00CE30A7"/>
    <w:rsid w:val="00CE30B0"/>
    <w:rsid w:val="00CE30E6"/>
    <w:rsid w:val="00CE333D"/>
    <w:rsid w:val="00CE341F"/>
    <w:rsid w:val="00CE345F"/>
    <w:rsid w:val="00CE34DC"/>
    <w:rsid w:val="00CE368B"/>
    <w:rsid w:val="00CE36DD"/>
    <w:rsid w:val="00CE3BF2"/>
    <w:rsid w:val="00CE3F11"/>
    <w:rsid w:val="00CE4BBB"/>
    <w:rsid w:val="00CE4D3C"/>
    <w:rsid w:val="00CE5899"/>
    <w:rsid w:val="00CE593C"/>
    <w:rsid w:val="00CE5E98"/>
    <w:rsid w:val="00CE5F30"/>
    <w:rsid w:val="00CE60CD"/>
    <w:rsid w:val="00CE69FC"/>
    <w:rsid w:val="00CE6CC6"/>
    <w:rsid w:val="00CE6E7E"/>
    <w:rsid w:val="00CE6E81"/>
    <w:rsid w:val="00CF0219"/>
    <w:rsid w:val="00CF04B4"/>
    <w:rsid w:val="00CF05DB"/>
    <w:rsid w:val="00CF0B33"/>
    <w:rsid w:val="00CF0B8C"/>
    <w:rsid w:val="00CF0FC4"/>
    <w:rsid w:val="00CF103E"/>
    <w:rsid w:val="00CF1089"/>
    <w:rsid w:val="00CF1C79"/>
    <w:rsid w:val="00CF1D89"/>
    <w:rsid w:val="00CF2157"/>
    <w:rsid w:val="00CF26C2"/>
    <w:rsid w:val="00CF2708"/>
    <w:rsid w:val="00CF2C08"/>
    <w:rsid w:val="00CF2C97"/>
    <w:rsid w:val="00CF2F64"/>
    <w:rsid w:val="00CF311A"/>
    <w:rsid w:val="00CF3359"/>
    <w:rsid w:val="00CF3400"/>
    <w:rsid w:val="00CF379F"/>
    <w:rsid w:val="00CF42DF"/>
    <w:rsid w:val="00CF4307"/>
    <w:rsid w:val="00CF570D"/>
    <w:rsid w:val="00CF7F26"/>
    <w:rsid w:val="00CF7FAF"/>
    <w:rsid w:val="00D0008E"/>
    <w:rsid w:val="00D007CD"/>
    <w:rsid w:val="00D009E6"/>
    <w:rsid w:val="00D00EEC"/>
    <w:rsid w:val="00D01453"/>
    <w:rsid w:val="00D018FE"/>
    <w:rsid w:val="00D01954"/>
    <w:rsid w:val="00D01ED5"/>
    <w:rsid w:val="00D021F0"/>
    <w:rsid w:val="00D02271"/>
    <w:rsid w:val="00D02456"/>
    <w:rsid w:val="00D026BC"/>
    <w:rsid w:val="00D02AD7"/>
    <w:rsid w:val="00D02C47"/>
    <w:rsid w:val="00D03458"/>
    <w:rsid w:val="00D03E7A"/>
    <w:rsid w:val="00D042BD"/>
    <w:rsid w:val="00D04827"/>
    <w:rsid w:val="00D04EFF"/>
    <w:rsid w:val="00D051A6"/>
    <w:rsid w:val="00D051E5"/>
    <w:rsid w:val="00D05245"/>
    <w:rsid w:val="00D05307"/>
    <w:rsid w:val="00D0557D"/>
    <w:rsid w:val="00D05669"/>
    <w:rsid w:val="00D06878"/>
    <w:rsid w:val="00D06A55"/>
    <w:rsid w:val="00D06CBF"/>
    <w:rsid w:val="00D0713C"/>
    <w:rsid w:val="00D078C6"/>
    <w:rsid w:val="00D07D12"/>
    <w:rsid w:val="00D07FB4"/>
    <w:rsid w:val="00D1036E"/>
    <w:rsid w:val="00D10506"/>
    <w:rsid w:val="00D1060A"/>
    <w:rsid w:val="00D107E7"/>
    <w:rsid w:val="00D10D0E"/>
    <w:rsid w:val="00D10E7B"/>
    <w:rsid w:val="00D10E91"/>
    <w:rsid w:val="00D1105A"/>
    <w:rsid w:val="00D1137B"/>
    <w:rsid w:val="00D11DB6"/>
    <w:rsid w:val="00D12482"/>
    <w:rsid w:val="00D12700"/>
    <w:rsid w:val="00D128D7"/>
    <w:rsid w:val="00D1298F"/>
    <w:rsid w:val="00D12BB7"/>
    <w:rsid w:val="00D132D5"/>
    <w:rsid w:val="00D13621"/>
    <w:rsid w:val="00D13869"/>
    <w:rsid w:val="00D13E53"/>
    <w:rsid w:val="00D151EA"/>
    <w:rsid w:val="00D15303"/>
    <w:rsid w:val="00D16051"/>
    <w:rsid w:val="00D160F7"/>
    <w:rsid w:val="00D16297"/>
    <w:rsid w:val="00D168DB"/>
    <w:rsid w:val="00D16EF2"/>
    <w:rsid w:val="00D17788"/>
    <w:rsid w:val="00D17A2A"/>
    <w:rsid w:val="00D20039"/>
    <w:rsid w:val="00D20461"/>
    <w:rsid w:val="00D20A89"/>
    <w:rsid w:val="00D20B75"/>
    <w:rsid w:val="00D20EB0"/>
    <w:rsid w:val="00D21163"/>
    <w:rsid w:val="00D2148E"/>
    <w:rsid w:val="00D218BB"/>
    <w:rsid w:val="00D21A6E"/>
    <w:rsid w:val="00D21FA8"/>
    <w:rsid w:val="00D220EF"/>
    <w:rsid w:val="00D22166"/>
    <w:rsid w:val="00D22675"/>
    <w:rsid w:val="00D22B80"/>
    <w:rsid w:val="00D22B8A"/>
    <w:rsid w:val="00D236B7"/>
    <w:rsid w:val="00D23BE3"/>
    <w:rsid w:val="00D23E48"/>
    <w:rsid w:val="00D244BE"/>
    <w:rsid w:val="00D244CE"/>
    <w:rsid w:val="00D24537"/>
    <w:rsid w:val="00D24640"/>
    <w:rsid w:val="00D2482F"/>
    <w:rsid w:val="00D24B50"/>
    <w:rsid w:val="00D24B54"/>
    <w:rsid w:val="00D24BB6"/>
    <w:rsid w:val="00D25352"/>
    <w:rsid w:val="00D25410"/>
    <w:rsid w:val="00D25964"/>
    <w:rsid w:val="00D25EC9"/>
    <w:rsid w:val="00D25FED"/>
    <w:rsid w:val="00D263FE"/>
    <w:rsid w:val="00D268D9"/>
    <w:rsid w:val="00D2692A"/>
    <w:rsid w:val="00D26A83"/>
    <w:rsid w:val="00D26D2F"/>
    <w:rsid w:val="00D26F36"/>
    <w:rsid w:val="00D27232"/>
    <w:rsid w:val="00D278E5"/>
    <w:rsid w:val="00D278F4"/>
    <w:rsid w:val="00D27B83"/>
    <w:rsid w:val="00D27F2D"/>
    <w:rsid w:val="00D300E9"/>
    <w:rsid w:val="00D30118"/>
    <w:rsid w:val="00D30334"/>
    <w:rsid w:val="00D304CF"/>
    <w:rsid w:val="00D3090A"/>
    <w:rsid w:val="00D309AC"/>
    <w:rsid w:val="00D310F3"/>
    <w:rsid w:val="00D3111E"/>
    <w:rsid w:val="00D31221"/>
    <w:rsid w:val="00D31318"/>
    <w:rsid w:val="00D316DF"/>
    <w:rsid w:val="00D31700"/>
    <w:rsid w:val="00D31851"/>
    <w:rsid w:val="00D31F8D"/>
    <w:rsid w:val="00D323F9"/>
    <w:rsid w:val="00D32449"/>
    <w:rsid w:val="00D32664"/>
    <w:rsid w:val="00D326D0"/>
    <w:rsid w:val="00D32D36"/>
    <w:rsid w:val="00D32FA5"/>
    <w:rsid w:val="00D3300B"/>
    <w:rsid w:val="00D336AD"/>
    <w:rsid w:val="00D33C32"/>
    <w:rsid w:val="00D33EBE"/>
    <w:rsid w:val="00D34058"/>
    <w:rsid w:val="00D342E8"/>
    <w:rsid w:val="00D34376"/>
    <w:rsid w:val="00D34615"/>
    <w:rsid w:val="00D35357"/>
    <w:rsid w:val="00D353B4"/>
    <w:rsid w:val="00D35755"/>
    <w:rsid w:val="00D358E8"/>
    <w:rsid w:val="00D35E91"/>
    <w:rsid w:val="00D35FE9"/>
    <w:rsid w:val="00D361D9"/>
    <w:rsid w:val="00D36CB6"/>
    <w:rsid w:val="00D36CFB"/>
    <w:rsid w:val="00D373FF"/>
    <w:rsid w:val="00D375EF"/>
    <w:rsid w:val="00D37807"/>
    <w:rsid w:val="00D37ECC"/>
    <w:rsid w:val="00D401AB"/>
    <w:rsid w:val="00D401C6"/>
    <w:rsid w:val="00D4025E"/>
    <w:rsid w:val="00D4049E"/>
    <w:rsid w:val="00D40508"/>
    <w:rsid w:val="00D406B2"/>
    <w:rsid w:val="00D40B95"/>
    <w:rsid w:val="00D40EAE"/>
    <w:rsid w:val="00D4111E"/>
    <w:rsid w:val="00D414C7"/>
    <w:rsid w:val="00D41A59"/>
    <w:rsid w:val="00D41CF9"/>
    <w:rsid w:val="00D41E77"/>
    <w:rsid w:val="00D4281E"/>
    <w:rsid w:val="00D42B97"/>
    <w:rsid w:val="00D43096"/>
    <w:rsid w:val="00D43B5E"/>
    <w:rsid w:val="00D43BC4"/>
    <w:rsid w:val="00D43D89"/>
    <w:rsid w:val="00D43DE4"/>
    <w:rsid w:val="00D43F83"/>
    <w:rsid w:val="00D44715"/>
    <w:rsid w:val="00D44DEF"/>
    <w:rsid w:val="00D44FC7"/>
    <w:rsid w:val="00D45001"/>
    <w:rsid w:val="00D458E5"/>
    <w:rsid w:val="00D45A7A"/>
    <w:rsid w:val="00D45DA9"/>
    <w:rsid w:val="00D45DEB"/>
    <w:rsid w:val="00D4610D"/>
    <w:rsid w:val="00D463A2"/>
    <w:rsid w:val="00D46593"/>
    <w:rsid w:val="00D46852"/>
    <w:rsid w:val="00D469D9"/>
    <w:rsid w:val="00D46AB2"/>
    <w:rsid w:val="00D46C90"/>
    <w:rsid w:val="00D46D50"/>
    <w:rsid w:val="00D471ED"/>
    <w:rsid w:val="00D472D9"/>
    <w:rsid w:val="00D47331"/>
    <w:rsid w:val="00D47815"/>
    <w:rsid w:val="00D47A4F"/>
    <w:rsid w:val="00D47D2C"/>
    <w:rsid w:val="00D500D3"/>
    <w:rsid w:val="00D501AA"/>
    <w:rsid w:val="00D501FA"/>
    <w:rsid w:val="00D50344"/>
    <w:rsid w:val="00D503A5"/>
    <w:rsid w:val="00D5050B"/>
    <w:rsid w:val="00D5069A"/>
    <w:rsid w:val="00D51477"/>
    <w:rsid w:val="00D51647"/>
    <w:rsid w:val="00D516BD"/>
    <w:rsid w:val="00D518A7"/>
    <w:rsid w:val="00D51F0F"/>
    <w:rsid w:val="00D52283"/>
    <w:rsid w:val="00D526F8"/>
    <w:rsid w:val="00D5276E"/>
    <w:rsid w:val="00D527C8"/>
    <w:rsid w:val="00D5287C"/>
    <w:rsid w:val="00D52B7E"/>
    <w:rsid w:val="00D52BBB"/>
    <w:rsid w:val="00D52E6A"/>
    <w:rsid w:val="00D53509"/>
    <w:rsid w:val="00D53637"/>
    <w:rsid w:val="00D5376F"/>
    <w:rsid w:val="00D5392D"/>
    <w:rsid w:val="00D53953"/>
    <w:rsid w:val="00D5396D"/>
    <w:rsid w:val="00D53BC0"/>
    <w:rsid w:val="00D53CE6"/>
    <w:rsid w:val="00D54840"/>
    <w:rsid w:val="00D54B50"/>
    <w:rsid w:val="00D55094"/>
    <w:rsid w:val="00D552EE"/>
    <w:rsid w:val="00D5567E"/>
    <w:rsid w:val="00D557F0"/>
    <w:rsid w:val="00D55928"/>
    <w:rsid w:val="00D55AF0"/>
    <w:rsid w:val="00D55F0F"/>
    <w:rsid w:val="00D5648E"/>
    <w:rsid w:val="00D565D4"/>
    <w:rsid w:val="00D567A6"/>
    <w:rsid w:val="00D56B70"/>
    <w:rsid w:val="00D56F15"/>
    <w:rsid w:val="00D5713D"/>
    <w:rsid w:val="00D57180"/>
    <w:rsid w:val="00D573EC"/>
    <w:rsid w:val="00D577B7"/>
    <w:rsid w:val="00D578F0"/>
    <w:rsid w:val="00D57AB1"/>
    <w:rsid w:val="00D57B11"/>
    <w:rsid w:val="00D60157"/>
    <w:rsid w:val="00D60805"/>
    <w:rsid w:val="00D60A87"/>
    <w:rsid w:val="00D61217"/>
    <w:rsid w:val="00D614B7"/>
    <w:rsid w:val="00D6173B"/>
    <w:rsid w:val="00D61981"/>
    <w:rsid w:val="00D619FD"/>
    <w:rsid w:val="00D62DB6"/>
    <w:rsid w:val="00D62F7C"/>
    <w:rsid w:val="00D63447"/>
    <w:rsid w:val="00D6347A"/>
    <w:rsid w:val="00D6356D"/>
    <w:rsid w:val="00D635CE"/>
    <w:rsid w:val="00D636D3"/>
    <w:rsid w:val="00D63934"/>
    <w:rsid w:val="00D63B98"/>
    <w:rsid w:val="00D63E85"/>
    <w:rsid w:val="00D64059"/>
    <w:rsid w:val="00D6428D"/>
    <w:rsid w:val="00D6437F"/>
    <w:rsid w:val="00D644C2"/>
    <w:rsid w:val="00D64667"/>
    <w:rsid w:val="00D64833"/>
    <w:rsid w:val="00D65425"/>
    <w:rsid w:val="00D6553D"/>
    <w:rsid w:val="00D655E5"/>
    <w:rsid w:val="00D656EB"/>
    <w:rsid w:val="00D65D96"/>
    <w:rsid w:val="00D65F20"/>
    <w:rsid w:val="00D66181"/>
    <w:rsid w:val="00D6686E"/>
    <w:rsid w:val="00D66BA4"/>
    <w:rsid w:val="00D66CFF"/>
    <w:rsid w:val="00D679FD"/>
    <w:rsid w:val="00D701E8"/>
    <w:rsid w:val="00D70222"/>
    <w:rsid w:val="00D703B9"/>
    <w:rsid w:val="00D707A9"/>
    <w:rsid w:val="00D708E9"/>
    <w:rsid w:val="00D71026"/>
    <w:rsid w:val="00D7149A"/>
    <w:rsid w:val="00D71528"/>
    <w:rsid w:val="00D715B2"/>
    <w:rsid w:val="00D720DF"/>
    <w:rsid w:val="00D721E0"/>
    <w:rsid w:val="00D7250F"/>
    <w:rsid w:val="00D72544"/>
    <w:rsid w:val="00D72A83"/>
    <w:rsid w:val="00D72BF1"/>
    <w:rsid w:val="00D72CBF"/>
    <w:rsid w:val="00D72FDC"/>
    <w:rsid w:val="00D730B0"/>
    <w:rsid w:val="00D73385"/>
    <w:rsid w:val="00D73691"/>
    <w:rsid w:val="00D73744"/>
    <w:rsid w:val="00D741B9"/>
    <w:rsid w:val="00D749C1"/>
    <w:rsid w:val="00D74D67"/>
    <w:rsid w:val="00D74EA4"/>
    <w:rsid w:val="00D7506D"/>
    <w:rsid w:val="00D7563F"/>
    <w:rsid w:val="00D758C7"/>
    <w:rsid w:val="00D75B70"/>
    <w:rsid w:val="00D76269"/>
    <w:rsid w:val="00D765A0"/>
    <w:rsid w:val="00D76684"/>
    <w:rsid w:val="00D766AA"/>
    <w:rsid w:val="00D76998"/>
    <w:rsid w:val="00D76AB5"/>
    <w:rsid w:val="00D771FD"/>
    <w:rsid w:val="00D7796D"/>
    <w:rsid w:val="00D77FDB"/>
    <w:rsid w:val="00D800F7"/>
    <w:rsid w:val="00D80855"/>
    <w:rsid w:val="00D80B1A"/>
    <w:rsid w:val="00D80C06"/>
    <w:rsid w:val="00D8111F"/>
    <w:rsid w:val="00D812C7"/>
    <w:rsid w:val="00D812DB"/>
    <w:rsid w:val="00D81B18"/>
    <w:rsid w:val="00D82253"/>
    <w:rsid w:val="00D82666"/>
    <w:rsid w:val="00D831DB"/>
    <w:rsid w:val="00D8327F"/>
    <w:rsid w:val="00D83541"/>
    <w:rsid w:val="00D836EA"/>
    <w:rsid w:val="00D836F8"/>
    <w:rsid w:val="00D83768"/>
    <w:rsid w:val="00D8435E"/>
    <w:rsid w:val="00D8466B"/>
    <w:rsid w:val="00D8487E"/>
    <w:rsid w:val="00D84B4D"/>
    <w:rsid w:val="00D84D05"/>
    <w:rsid w:val="00D8501A"/>
    <w:rsid w:val="00D856AF"/>
    <w:rsid w:val="00D85F1D"/>
    <w:rsid w:val="00D86281"/>
    <w:rsid w:val="00D86421"/>
    <w:rsid w:val="00D865F5"/>
    <w:rsid w:val="00D866A4"/>
    <w:rsid w:val="00D86757"/>
    <w:rsid w:val="00D86BED"/>
    <w:rsid w:val="00D86F9B"/>
    <w:rsid w:val="00D873DC"/>
    <w:rsid w:val="00D87453"/>
    <w:rsid w:val="00D8794E"/>
    <w:rsid w:val="00D87C14"/>
    <w:rsid w:val="00D901AD"/>
    <w:rsid w:val="00D903DE"/>
    <w:rsid w:val="00D906D9"/>
    <w:rsid w:val="00D9113A"/>
    <w:rsid w:val="00D91390"/>
    <w:rsid w:val="00D91540"/>
    <w:rsid w:val="00D91B3E"/>
    <w:rsid w:val="00D91F6E"/>
    <w:rsid w:val="00D92148"/>
    <w:rsid w:val="00D9223B"/>
    <w:rsid w:val="00D922E4"/>
    <w:rsid w:val="00D927AC"/>
    <w:rsid w:val="00D92832"/>
    <w:rsid w:val="00D92A3A"/>
    <w:rsid w:val="00D9355C"/>
    <w:rsid w:val="00D939A2"/>
    <w:rsid w:val="00D93A16"/>
    <w:rsid w:val="00D93B28"/>
    <w:rsid w:val="00D93B89"/>
    <w:rsid w:val="00D93C1B"/>
    <w:rsid w:val="00D93CD5"/>
    <w:rsid w:val="00D93D55"/>
    <w:rsid w:val="00D93E19"/>
    <w:rsid w:val="00D94187"/>
    <w:rsid w:val="00D945AB"/>
    <w:rsid w:val="00D9496D"/>
    <w:rsid w:val="00D94E49"/>
    <w:rsid w:val="00D9500A"/>
    <w:rsid w:val="00D96288"/>
    <w:rsid w:val="00D962E5"/>
    <w:rsid w:val="00D96356"/>
    <w:rsid w:val="00D96699"/>
    <w:rsid w:val="00D967AF"/>
    <w:rsid w:val="00D96DBC"/>
    <w:rsid w:val="00D96DCC"/>
    <w:rsid w:val="00D96E5F"/>
    <w:rsid w:val="00D96ED8"/>
    <w:rsid w:val="00D97252"/>
    <w:rsid w:val="00D975AB"/>
    <w:rsid w:val="00D97BEF"/>
    <w:rsid w:val="00D97CAF"/>
    <w:rsid w:val="00D97F9A"/>
    <w:rsid w:val="00DA004C"/>
    <w:rsid w:val="00DA05D8"/>
    <w:rsid w:val="00DA0768"/>
    <w:rsid w:val="00DA076C"/>
    <w:rsid w:val="00DA0E91"/>
    <w:rsid w:val="00DA161A"/>
    <w:rsid w:val="00DA1A2A"/>
    <w:rsid w:val="00DA1CD0"/>
    <w:rsid w:val="00DA20A3"/>
    <w:rsid w:val="00DA2220"/>
    <w:rsid w:val="00DA2886"/>
    <w:rsid w:val="00DA2C18"/>
    <w:rsid w:val="00DA32A5"/>
    <w:rsid w:val="00DA3494"/>
    <w:rsid w:val="00DA3633"/>
    <w:rsid w:val="00DA3A39"/>
    <w:rsid w:val="00DA3E2F"/>
    <w:rsid w:val="00DA3EEE"/>
    <w:rsid w:val="00DA4039"/>
    <w:rsid w:val="00DA4258"/>
    <w:rsid w:val="00DA43A0"/>
    <w:rsid w:val="00DA46CD"/>
    <w:rsid w:val="00DA475F"/>
    <w:rsid w:val="00DA4850"/>
    <w:rsid w:val="00DA4968"/>
    <w:rsid w:val="00DA4C70"/>
    <w:rsid w:val="00DA4F7F"/>
    <w:rsid w:val="00DA5A94"/>
    <w:rsid w:val="00DA6514"/>
    <w:rsid w:val="00DA6824"/>
    <w:rsid w:val="00DA6A04"/>
    <w:rsid w:val="00DA6C16"/>
    <w:rsid w:val="00DA7191"/>
    <w:rsid w:val="00DA752A"/>
    <w:rsid w:val="00DA7597"/>
    <w:rsid w:val="00DA7634"/>
    <w:rsid w:val="00DA7727"/>
    <w:rsid w:val="00DA7863"/>
    <w:rsid w:val="00DA7953"/>
    <w:rsid w:val="00DA7A46"/>
    <w:rsid w:val="00DA7A60"/>
    <w:rsid w:val="00DA7C81"/>
    <w:rsid w:val="00DA7EFD"/>
    <w:rsid w:val="00DA7F1B"/>
    <w:rsid w:val="00DB012F"/>
    <w:rsid w:val="00DB031B"/>
    <w:rsid w:val="00DB0324"/>
    <w:rsid w:val="00DB05B7"/>
    <w:rsid w:val="00DB05BD"/>
    <w:rsid w:val="00DB061A"/>
    <w:rsid w:val="00DB0867"/>
    <w:rsid w:val="00DB1044"/>
    <w:rsid w:val="00DB1144"/>
    <w:rsid w:val="00DB14EB"/>
    <w:rsid w:val="00DB1B4A"/>
    <w:rsid w:val="00DB1C73"/>
    <w:rsid w:val="00DB1FCF"/>
    <w:rsid w:val="00DB2355"/>
    <w:rsid w:val="00DB2914"/>
    <w:rsid w:val="00DB2CF9"/>
    <w:rsid w:val="00DB2E7C"/>
    <w:rsid w:val="00DB316D"/>
    <w:rsid w:val="00DB35FF"/>
    <w:rsid w:val="00DB3651"/>
    <w:rsid w:val="00DB38DC"/>
    <w:rsid w:val="00DB3BB4"/>
    <w:rsid w:val="00DB3EA6"/>
    <w:rsid w:val="00DB40E4"/>
    <w:rsid w:val="00DB43B7"/>
    <w:rsid w:val="00DB4403"/>
    <w:rsid w:val="00DB45AB"/>
    <w:rsid w:val="00DB4717"/>
    <w:rsid w:val="00DB5415"/>
    <w:rsid w:val="00DB541B"/>
    <w:rsid w:val="00DB5620"/>
    <w:rsid w:val="00DB5777"/>
    <w:rsid w:val="00DB5889"/>
    <w:rsid w:val="00DB5B8E"/>
    <w:rsid w:val="00DB5F6C"/>
    <w:rsid w:val="00DB6699"/>
    <w:rsid w:val="00DB6906"/>
    <w:rsid w:val="00DB6F15"/>
    <w:rsid w:val="00DB74B3"/>
    <w:rsid w:val="00DB762B"/>
    <w:rsid w:val="00DB7A2E"/>
    <w:rsid w:val="00DB7CF1"/>
    <w:rsid w:val="00DB7FDD"/>
    <w:rsid w:val="00DC0015"/>
    <w:rsid w:val="00DC023A"/>
    <w:rsid w:val="00DC07A1"/>
    <w:rsid w:val="00DC0BFE"/>
    <w:rsid w:val="00DC0DB1"/>
    <w:rsid w:val="00DC0F02"/>
    <w:rsid w:val="00DC0F8D"/>
    <w:rsid w:val="00DC1325"/>
    <w:rsid w:val="00DC1EAA"/>
    <w:rsid w:val="00DC1FBF"/>
    <w:rsid w:val="00DC2132"/>
    <w:rsid w:val="00DC2284"/>
    <w:rsid w:val="00DC2483"/>
    <w:rsid w:val="00DC24F1"/>
    <w:rsid w:val="00DC2724"/>
    <w:rsid w:val="00DC2956"/>
    <w:rsid w:val="00DC2D04"/>
    <w:rsid w:val="00DC2DED"/>
    <w:rsid w:val="00DC2E98"/>
    <w:rsid w:val="00DC2EB4"/>
    <w:rsid w:val="00DC34F2"/>
    <w:rsid w:val="00DC3718"/>
    <w:rsid w:val="00DC38AC"/>
    <w:rsid w:val="00DC38DA"/>
    <w:rsid w:val="00DC3CA4"/>
    <w:rsid w:val="00DC3E76"/>
    <w:rsid w:val="00DC40D2"/>
    <w:rsid w:val="00DC410B"/>
    <w:rsid w:val="00DC420E"/>
    <w:rsid w:val="00DC4304"/>
    <w:rsid w:val="00DC49F5"/>
    <w:rsid w:val="00DC4FAF"/>
    <w:rsid w:val="00DC5201"/>
    <w:rsid w:val="00DC53B8"/>
    <w:rsid w:val="00DC556C"/>
    <w:rsid w:val="00DC5AD1"/>
    <w:rsid w:val="00DC5B96"/>
    <w:rsid w:val="00DC5C0D"/>
    <w:rsid w:val="00DC6158"/>
    <w:rsid w:val="00DC7032"/>
    <w:rsid w:val="00DC72A4"/>
    <w:rsid w:val="00DC72D1"/>
    <w:rsid w:val="00DC746E"/>
    <w:rsid w:val="00DC76EE"/>
    <w:rsid w:val="00DC7D95"/>
    <w:rsid w:val="00DD01CA"/>
    <w:rsid w:val="00DD02F4"/>
    <w:rsid w:val="00DD043A"/>
    <w:rsid w:val="00DD069E"/>
    <w:rsid w:val="00DD1176"/>
    <w:rsid w:val="00DD1A7E"/>
    <w:rsid w:val="00DD1B4E"/>
    <w:rsid w:val="00DD245C"/>
    <w:rsid w:val="00DD2484"/>
    <w:rsid w:val="00DD295D"/>
    <w:rsid w:val="00DD2E0D"/>
    <w:rsid w:val="00DD304A"/>
    <w:rsid w:val="00DD399A"/>
    <w:rsid w:val="00DD3A13"/>
    <w:rsid w:val="00DD3BDC"/>
    <w:rsid w:val="00DD3CA5"/>
    <w:rsid w:val="00DD4D92"/>
    <w:rsid w:val="00DD552F"/>
    <w:rsid w:val="00DD5A48"/>
    <w:rsid w:val="00DD5A72"/>
    <w:rsid w:val="00DD5BF3"/>
    <w:rsid w:val="00DD6621"/>
    <w:rsid w:val="00DD6705"/>
    <w:rsid w:val="00DD6B1E"/>
    <w:rsid w:val="00DD6D1F"/>
    <w:rsid w:val="00DD6E06"/>
    <w:rsid w:val="00DD6E9C"/>
    <w:rsid w:val="00DD742C"/>
    <w:rsid w:val="00DD75C0"/>
    <w:rsid w:val="00DD75EF"/>
    <w:rsid w:val="00DD7CB3"/>
    <w:rsid w:val="00DE03A0"/>
    <w:rsid w:val="00DE077F"/>
    <w:rsid w:val="00DE0B17"/>
    <w:rsid w:val="00DE1255"/>
    <w:rsid w:val="00DE1376"/>
    <w:rsid w:val="00DE1C0E"/>
    <w:rsid w:val="00DE1CF4"/>
    <w:rsid w:val="00DE1E36"/>
    <w:rsid w:val="00DE2193"/>
    <w:rsid w:val="00DE228D"/>
    <w:rsid w:val="00DE2293"/>
    <w:rsid w:val="00DE2417"/>
    <w:rsid w:val="00DE246B"/>
    <w:rsid w:val="00DE2953"/>
    <w:rsid w:val="00DE2D56"/>
    <w:rsid w:val="00DE2DB1"/>
    <w:rsid w:val="00DE2E9D"/>
    <w:rsid w:val="00DE2F4A"/>
    <w:rsid w:val="00DE3440"/>
    <w:rsid w:val="00DE36A9"/>
    <w:rsid w:val="00DE374E"/>
    <w:rsid w:val="00DE37BE"/>
    <w:rsid w:val="00DE4103"/>
    <w:rsid w:val="00DE4210"/>
    <w:rsid w:val="00DE42F6"/>
    <w:rsid w:val="00DE4578"/>
    <w:rsid w:val="00DE4812"/>
    <w:rsid w:val="00DE4C5E"/>
    <w:rsid w:val="00DE4CD1"/>
    <w:rsid w:val="00DE4DA8"/>
    <w:rsid w:val="00DE51B4"/>
    <w:rsid w:val="00DE5403"/>
    <w:rsid w:val="00DE55CB"/>
    <w:rsid w:val="00DE57C5"/>
    <w:rsid w:val="00DE58E6"/>
    <w:rsid w:val="00DE591A"/>
    <w:rsid w:val="00DE5E6A"/>
    <w:rsid w:val="00DE70FC"/>
    <w:rsid w:val="00DE7B41"/>
    <w:rsid w:val="00DF005A"/>
    <w:rsid w:val="00DF010F"/>
    <w:rsid w:val="00DF0155"/>
    <w:rsid w:val="00DF04EE"/>
    <w:rsid w:val="00DF08AE"/>
    <w:rsid w:val="00DF0D8B"/>
    <w:rsid w:val="00DF1423"/>
    <w:rsid w:val="00DF1879"/>
    <w:rsid w:val="00DF198F"/>
    <w:rsid w:val="00DF1E48"/>
    <w:rsid w:val="00DF1E89"/>
    <w:rsid w:val="00DF1F1E"/>
    <w:rsid w:val="00DF2549"/>
    <w:rsid w:val="00DF26FF"/>
    <w:rsid w:val="00DF2741"/>
    <w:rsid w:val="00DF2BD1"/>
    <w:rsid w:val="00DF3038"/>
    <w:rsid w:val="00DF32E7"/>
    <w:rsid w:val="00DF33DD"/>
    <w:rsid w:val="00DF3467"/>
    <w:rsid w:val="00DF34EF"/>
    <w:rsid w:val="00DF3743"/>
    <w:rsid w:val="00DF3757"/>
    <w:rsid w:val="00DF3E35"/>
    <w:rsid w:val="00DF40FE"/>
    <w:rsid w:val="00DF42E0"/>
    <w:rsid w:val="00DF441A"/>
    <w:rsid w:val="00DF4742"/>
    <w:rsid w:val="00DF53A0"/>
    <w:rsid w:val="00DF5B56"/>
    <w:rsid w:val="00DF6076"/>
    <w:rsid w:val="00DF620E"/>
    <w:rsid w:val="00DF6326"/>
    <w:rsid w:val="00DF66E4"/>
    <w:rsid w:val="00DF6C13"/>
    <w:rsid w:val="00DF718E"/>
    <w:rsid w:val="00DF7249"/>
    <w:rsid w:val="00DF784C"/>
    <w:rsid w:val="00DF7D84"/>
    <w:rsid w:val="00DF7FC3"/>
    <w:rsid w:val="00E00460"/>
    <w:rsid w:val="00E004BA"/>
    <w:rsid w:val="00E006E9"/>
    <w:rsid w:val="00E00844"/>
    <w:rsid w:val="00E00C71"/>
    <w:rsid w:val="00E00EAA"/>
    <w:rsid w:val="00E01034"/>
    <w:rsid w:val="00E0103C"/>
    <w:rsid w:val="00E01934"/>
    <w:rsid w:val="00E01ECD"/>
    <w:rsid w:val="00E0220F"/>
    <w:rsid w:val="00E02399"/>
    <w:rsid w:val="00E0240A"/>
    <w:rsid w:val="00E0274F"/>
    <w:rsid w:val="00E02814"/>
    <w:rsid w:val="00E02D97"/>
    <w:rsid w:val="00E02FD4"/>
    <w:rsid w:val="00E0338D"/>
    <w:rsid w:val="00E0339C"/>
    <w:rsid w:val="00E038DC"/>
    <w:rsid w:val="00E03ED5"/>
    <w:rsid w:val="00E03F68"/>
    <w:rsid w:val="00E04119"/>
    <w:rsid w:val="00E0443B"/>
    <w:rsid w:val="00E04491"/>
    <w:rsid w:val="00E044AB"/>
    <w:rsid w:val="00E047E5"/>
    <w:rsid w:val="00E04AE7"/>
    <w:rsid w:val="00E04C97"/>
    <w:rsid w:val="00E05241"/>
    <w:rsid w:val="00E05508"/>
    <w:rsid w:val="00E05A10"/>
    <w:rsid w:val="00E0623D"/>
    <w:rsid w:val="00E06243"/>
    <w:rsid w:val="00E062B6"/>
    <w:rsid w:val="00E0632A"/>
    <w:rsid w:val="00E065DF"/>
    <w:rsid w:val="00E06853"/>
    <w:rsid w:val="00E068D6"/>
    <w:rsid w:val="00E068ED"/>
    <w:rsid w:val="00E06E3E"/>
    <w:rsid w:val="00E07169"/>
    <w:rsid w:val="00E071D5"/>
    <w:rsid w:val="00E0722D"/>
    <w:rsid w:val="00E07358"/>
    <w:rsid w:val="00E07828"/>
    <w:rsid w:val="00E0783F"/>
    <w:rsid w:val="00E07ABA"/>
    <w:rsid w:val="00E109C1"/>
    <w:rsid w:val="00E10F9C"/>
    <w:rsid w:val="00E1114D"/>
    <w:rsid w:val="00E11277"/>
    <w:rsid w:val="00E11282"/>
    <w:rsid w:val="00E1144B"/>
    <w:rsid w:val="00E11807"/>
    <w:rsid w:val="00E11863"/>
    <w:rsid w:val="00E11BA4"/>
    <w:rsid w:val="00E11D0F"/>
    <w:rsid w:val="00E11DF4"/>
    <w:rsid w:val="00E12185"/>
    <w:rsid w:val="00E12378"/>
    <w:rsid w:val="00E124AF"/>
    <w:rsid w:val="00E128FF"/>
    <w:rsid w:val="00E12AE2"/>
    <w:rsid w:val="00E12F0C"/>
    <w:rsid w:val="00E130AD"/>
    <w:rsid w:val="00E13601"/>
    <w:rsid w:val="00E136BF"/>
    <w:rsid w:val="00E13C52"/>
    <w:rsid w:val="00E13FCA"/>
    <w:rsid w:val="00E14E5F"/>
    <w:rsid w:val="00E15026"/>
    <w:rsid w:val="00E157D3"/>
    <w:rsid w:val="00E15A4F"/>
    <w:rsid w:val="00E15D54"/>
    <w:rsid w:val="00E15E7A"/>
    <w:rsid w:val="00E15FCB"/>
    <w:rsid w:val="00E162A4"/>
    <w:rsid w:val="00E162D7"/>
    <w:rsid w:val="00E16569"/>
    <w:rsid w:val="00E16717"/>
    <w:rsid w:val="00E16869"/>
    <w:rsid w:val="00E16888"/>
    <w:rsid w:val="00E1688C"/>
    <w:rsid w:val="00E1725C"/>
    <w:rsid w:val="00E172C5"/>
    <w:rsid w:val="00E17CFF"/>
    <w:rsid w:val="00E17E8E"/>
    <w:rsid w:val="00E2006F"/>
    <w:rsid w:val="00E20955"/>
    <w:rsid w:val="00E20995"/>
    <w:rsid w:val="00E20DCA"/>
    <w:rsid w:val="00E20E33"/>
    <w:rsid w:val="00E21877"/>
    <w:rsid w:val="00E219B4"/>
    <w:rsid w:val="00E21AD0"/>
    <w:rsid w:val="00E21F91"/>
    <w:rsid w:val="00E220C6"/>
    <w:rsid w:val="00E22665"/>
    <w:rsid w:val="00E227AE"/>
    <w:rsid w:val="00E22E0D"/>
    <w:rsid w:val="00E22F85"/>
    <w:rsid w:val="00E23185"/>
    <w:rsid w:val="00E233E7"/>
    <w:rsid w:val="00E23526"/>
    <w:rsid w:val="00E23845"/>
    <w:rsid w:val="00E23D56"/>
    <w:rsid w:val="00E23F4E"/>
    <w:rsid w:val="00E24469"/>
    <w:rsid w:val="00E24799"/>
    <w:rsid w:val="00E2482D"/>
    <w:rsid w:val="00E2486C"/>
    <w:rsid w:val="00E24906"/>
    <w:rsid w:val="00E24AF1"/>
    <w:rsid w:val="00E24B28"/>
    <w:rsid w:val="00E24C10"/>
    <w:rsid w:val="00E24C6A"/>
    <w:rsid w:val="00E24FB5"/>
    <w:rsid w:val="00E25365"/>
    <w:rsid w:val="00E25E05"/>
    <w:rsid w:val="00E26810"/>
    <w:rsid w:val="00E2682C"/>
    <w:rsid w:val="00E269D9"/>
    <w:rsid w:val="00E276A9"/>
    <w:rsid w:val="00E27BB1"/>
    <w:rsid w:val="00E30029"/>
    <w:rsid w:val="00E30037"/>
    <w:rsid w:val="00E30499"/>
    <w:rsid w:val="00E30875"/>
    <w:rsid w:val="00E30B51"/>
    <w:rsid w:val="00E30B8E"/>
    <w:rsid w:val="00E3102A"/>
    <w:rsid w:val="00E31116"/>
    <w:rsid w:val="00E31290"/>
    <w:rsid w:val="00E31767"/>
    <w:rsid w:val="00E31BF4"/>
    <w:rsid w:val="00E324BB"/>
    <w:rsid w:val="00E32A7A"/>
    <w:rsid w:val="00E32BBD"/>
    <w:rsid w:val="00E32ECD"/>
    <w:rsid w:val="00E338C4"/>
    <w:rsid w:val="00E339F0"/>
    <w:rsid w:val="00E341F5"/>
    <w:rsid w:val="00E34287"/>
    <w:rsid w:val="00E34324"/>
    <w:rsid w:val="00E344CB"/>
    <w:rsid w:val="00E345EC"/>
    <w:rsid w:val="00E34796"/>
    <w:rsid w:val="00E347A0"/>
    <w:rsid w:val="00E34884"/>
    <w:rsid w:val="00E34B1D"/>
    <w:rsid w:val="00E34D8C"/>
    <w:rsid w:val="00E35427"/>
    <w:rsid w:val="00E35718"/>
    <w:rsid w:val="00E35E8B"/>
    <w:rsid w:val="00E36CE6"/>
    <w:rsid w:val="00E37017"/>
    <w:rsid w:val="00E373AC"/>
    <w:rsid w:val="00E37424"/>
    <w:rsid w:val="00E375C1"/>
    <w:rsid w:val="00E377E8"/>
    <w:rsid w:val="00E37821"/>
    <w:rsid w:val="00E37B7F"/>
    <w:rsid w:val="00E37C98"/>
    <w:rsid w:val="00E37E42"/>
    <w:rsid w:val="00E37E88"/>
    <w:rsid w:val="00E40283"/>
    <w:rsid w:val="00E40444"/>
    <w:rsid w:val="00E40986"/>
    <w:rsid w:val="00E40F22"/>
    <w:rsid w:val="00E415B1"/>
    <w:rsid w:val="00E416FC"/>
    <w:rsid w:val="00E41711"/>
    <w:rsid w:val="00E41C77"/>
    <w:rsid w:val="00E41CA3"/>
    <w:rsid w:val="00E41E0A"/>
    <w:rsid w:val="00E41FB9"/>
    <w:rsid w:val="00E427F0"/>
    <w:rsid w:val="00E42BE9"/>
    <w:rsid w:val="00E42C72"/>
    <w:rsid w:val="00E42EDF"/>
    <w:rsid w:val="00E43055"/>
    <w:rsid w:val="00E43464"/>
    <w:rsid w:val="00E43542"/>
    <w:rsid w:val="00E4394A"/>
    <w:rsid w:val="00E43A9B"/>
    <w:rsid w:val="00E43AED"/>
    <w:rsid w:val="00E43C11"/>
    <w:rsid w:val="00E43D44"/>
    <w:rsid w:val="00E44270"/>
    <w:rsid w:val="00E44414"/>
    <w:rsid w:val="00E44472"/>
    <w:rsid w:val="00E44AD2"/>
    <w:rsid w:val="00E451BE"/>
    <w:rsid w:val="00E4564D"/>
    <w:rsid w:val="00E456B4"/>
    <w:rsid w:val="00E45D80"/>
    <w:rsid w:val="00E45EF9"/>
    <w:rsid w:val="00E46181"/>
    <w:rsid w:val="00E471D4"/>
    <w:rsid w:val="00E4767B"/>
    <w:rsid w:val="00E477EE"/>
    <w:rsid w:val="00E47A69"/>
    <w:rsid w:val="00E47C85"/>
    <w:rsid w:val="00E501F9"/>
    <w:rsid w:val="00E50A52"/>
    <w:rsid w:val="00E50B87"/>
    <w:rsid w:val="00E50C35"/>
    <w:rsid w:val="00E51472"/>
    <w:rsid w:val="00E518D2"/>
    <w:rsid w:val="00E51919"/>
    <w:rsid w:val="00E51AB6"/>
    <w:rsid w:val="00E51E3A"/>
    <w:rsid w:val="00E51EAD"/>
    <w:rsid w:val="00E521A6"/>
    <w:rsid w:val="00E523E2"/>
    <w:rsid w:val="00E52CF0"/>
    <w:rsid w:val="00E532C7"/>
    <w:rsid w:val="00E5330C"/>
    <w:rsid w:val="00E534C6"/>
    <w:rsid w:val="00E53967"/>
    <w:rsid w:val="00E53F73"/>
    <w:rsid w:val="00E546DA"/>
    <w:rsid w:val="00E5545A"/>
    <w:rsid w:val="00E55696"/>
    <w:rsid w:val="00E556F7"/>
    <w:rsid w:val="00E5578F"/>
    <w:rsid w:val="00E55D5A"/>
    <w:rsid w:val="00E561DE"/>
    <w:rsid w:val="00E56347"/>
    <w:rsid w:val="00E56410"/>
    <w:rsid w:val="00E564DD"/>
    <w:rsid w:val="00E5650C"/>
    <w:rsid w:val="00E56DAC"/>
    <w:rsid w:val="00E571BB"/>
    <w:rsid w:val="00E577C9"/>
    <w:rsid w:val="00E60147"/>
    <w:rsid w:val="00E603B9"/>
    <w:rsid w:val="00E60430"/>
    <w:rsid w:val="00E60774"/>
    <w:rsid w:val="00E6086D"/>
    <w:rsid w:val="00E6092E"/>
    <w:rsid w:val="00E60A84"/>
    <w:rsid w:val="00E60B92"/>
    <w:rsid w:val="00E61404"/>
    <w:rsid w:val="00E615CB"/>
    <w:rsid w:val="00E61990"/>
    <w:rsid w:val="00E61F08"/>
    <w:rsid w:val="00E61F92"/>
    <w:rsid w:val="00E620F9"/>
    <w:rsid w:val="00E62740"/>
    <w:rsid w:val="00E62C15"/>
    <w:rsid w:val="00E62DFB"/>
    <w:rsid w:val="00E631AB"/>
    <w:rsid w:val="00E63760"/>
    <w:rsid w:val="00E637D7"/>
    <w:rsid w:val="00E6383D"/>
    <w:rsid w:val="00E638A3"/>
    <w:rsid w:val="00E63E86"/>
    <w:rsid w:val="00E64207"/>
    <w:rsid w:val="00E6435E"/>
    <w:rsid w:val="00E643C6"/>
    <w:rsid w:val="00E64B24"/>
    <w:rsid w:val="00E64D19"/>
    <w:rsid w:val="00E64DF4"/>
    <w:rsid w:val="00E65145"/>
    <w:rsid w:val="00E652D3"/>
    <w:rsid w:val="00E65370"/>
    <w:rsid w:val="00E655E8"/>
    <w:rsid w:val="00E6657E"/>
    <w:rsid w:val="00E665F9"/>
    <w:rsid w:val="00E666B9"/>
    <w:rsid w:val="00E6695B"/>
    <w:rsid w:val="00E6697E"/>
    <w:rsid w:val="00E66F79"/>
    <w:rsid w:val="00E670C0"/>
    <w:rsid w:val="00E67128"/>
    <w:rsid w:val="00E675E0"/>
    <w:rsid w:val="00E67A21"/>
    <w:rsid w:val="00E706CF"/>
    <w:rsid w:val="00E70957"/>
    <w:rsid w:val="00E70BF2"/>
    <w:rsid w:val="00E71C50"/>
    <w:rsid w:val="00E71DDF"/>
    <w:rsid w:val="00E7229E"/>
    <w:rsid w:val="00E72A82"/>
    <w:rsid w:val="00E73434"/>
    <w:rsid w:val="00E73B44"/>
    <w:rsid w:val="00E73BE1"/>
    <w:rsid w:val="00E742D4"/>
    <w:rsid w:val="00E742F5"/>
    <w:rsid w:val="00E74435"/>
    <w:rsid w:val="00E7444B"/>
    <w:rsid w:val="00E74860"/>
    <w:rsid w:val="00E74A0E"/>
    <w:rsid w:val="00E74B5D"/>
    <w:rsid w:val="00E74E72"/>
    <w:rsid w:val="00E74F46"/>
    <w:rsid w:val="00E74F92"/>
    <w:rsid w:val="00E75236"/>
    <w:rsid w:val="00E7566E"/>
    <w:rsid w:val="00E75866"/>
    <w:rsid w:val="00E758AD"/>
    <w:rsid w:val="00E75F53"/>
    <w:rsid w:val="00E76430"/>
    <w:rsid w:val="00E7691E"/>
    <w:rsid w:val="00E76A19"/>
    <w:rsid w:val="00E76A86"/>
    <w:rsid w:val="00E76DAC"/>
    <w:rsid w:val="00E76E17"/>
    <w:rsid w:val="00E774A2"/>
    <w:rsid w:val="00E77A79"/>
    <w:rsid w:val="00E77D4E"/>
    <w:rsid w:val="00E801BC"/>
    <w:rsid w:val="00E80898"/>
    <w:rsid w:val="00E80AF8"/>
    <w:rsid w:val="00E80FE6"/>
    <w:rsid w:val="00E81119"/>
    <w:rsid w:val="00E816B3"/>
    <w:rsid w:val="00E817E4"/>
    <w:rsid w:val="00E81B1A"/>
    <w:rsid w:val="00E82880"/>
    <w:rsid w:val="00E82958"/>
    <w:rsid w:val="00E829CA"/>
    <w:rsid w:val="00E82B73"/>
    <w:rsid w:val="00E831E5"/>
    <w:rsid w:val="00E83650"/>
    <w:rsid w:val="00E848C5"/>
    <w:rsid w:val="00E84B9A"/>
    <w:rsid w:val="00E8509A"/>
    <w:rsid w:val="00E8529E"/>
    <w:rsid w:val="00E85A5D"/>
    <w:rsid w:val="00E85EF5"/>
    <w:rsid w:val="00E860BF"/>
    <w:rsid w:val="00E864A7"/>
    <w:rsid w:val="00E86B7B"/>
    <w:rsid w:val="00E86C1B"/>
    <w:rsid w:val="00E86C6A"/>
    <w:rsid w:val="00E874B0"/>
    <w:rsid w:val="00E874FA"/>
    <w:rsid w:val="00E87908"/>
    <w:rsid w:val="00E900F1"/>
    <w:rsid w:val="00E90457"/>
    <w:rsid w:val="00E90533"/>
    <w:rsid w:val="00E90685"/>
    <w:rsid w:val="00E90B49"/>
    <w:rsid w:val="00E90B9C"/>
    <w:rsid w:val="00E90D4C"/>
    <w:rsid w:val="00E91860"/>
    <w:rsid w:val="00E91C12"/>
    <w:rsid w:val="00E91E5B"/>
    <w:rsid w:val="00E92395"/>
    <w:rsid w:val="00E9256D"/>
    <w:rsid w:val="00E9283C"/>
    <w:rsid w:val="00E92AC9"/>
    <w:rsid w:val="00E92B67"/>
    <w:rsid w:val="00E92C15"/>
    <w:rsid w:val="00E932AE"/>
    <w:rsid w:val="00E937DD"/>
    <w:rsid w:val="00E93D55"/>
    <w:rsid w:val="00E9431A"/>
    <w:rsid w:val="00E9460B"/>
    <w:rsid w:val="00E9498C"/>
    <w:rsid w:val="00E9505D"/>
    <w:rsid w:val="00E954B7"/>
    <w:rsid w:val="00E95CEB"/>
    <w:rsid w:val="00E9627C"/>
    <w:rsid w:val="00E96768"/>
    <w:rsid w:val="00E96CCA"/>
    <w:rsid w:val="00E96E58"/>
    <w:rsid w:val="00E96FDB"/>
    <w:rsid w:val="00E976AC"/>
    <w:rsid w:val="00E9794E"/>
    <w:rsid w:val="00E97C3D"/>
    <w:rsid w:val="00E97CF8"/>
    <w:rsid w:val="00E97E43"/>
    <w:rsid w:val="00EA0075"/>
    <w:rsid w:val="00EA00F9"/>
    <w:rsid w:val="00EA031F"/>
    <w:rsid w:val="00EA032A"/>
    <w:rsid w:val="00EA059C"/>
    <w:rsid w:val="00EA074A"/>
    <w:rsid w:val="00EA0D29"/>
    <w:rsid w:val="00EA107B"/>
    <w:rsid w:val="00EA1186"/>
    <w:rsid w:val="00EA1902"/>
    <w:rsid w:val="00EA2328"/>
    <w:rsid w:val="00EA23F6"/>
    <w:rsid w:val="00EA2A96"/>
    <w:rsid w:val="00EA2E80"/>
    <w:rsid w:val="00EA34D0"/>
    <w:rsid w:val="00EA3575"/>
    <w:rsid w:val="00EA3CF7"/>
    <w:rsid w:val="00EA3ED8"/>
    <w:rsid w:val="00EA40A6"/>
    <w:rsid w:val="00EA4232"/>
    <w:rsid w:val="00EA43AA"/>
    <w:rsid w:val="00EA43EE"/>
    <w:rsid w:val="00EA44D4"/>
    <w:rsid w:val="00EA4645"/>
    <w:rsid w:val="00EA478E"/>
    <w:rsid w:val="00EA4D40"/>
    <w:rsid w:val="00EA4E56"/>
    <w:rsid w:val="00EA59C6"/>
    <w:rsid w:val="00EA63C3"/>
    <w:rsid w:val="00EA64A8"/>
    <w:rsid w:val="00EA6BA8"/>
    <w:rsid w:val="00EA6D62"/>
    <w:rsid w:val="00EA75E0"/>
    <w:rsid w:val="00EA76EE"/>
    <w:rsid w:val="00EA79F7"/>
    <w:rsid w:val="00EA7AD0"/>
    <w:rsid w:val="00EA7AEE"/>
    <w:rsid w:val="00EA7F09"/>
    <w:rsid w:val="00EB0BE2"/>
    <w:rsid w:val="00EB0E5A"/>
    <w:rsid w:val="00EB1029"/>
    <w:rsid w:val="00EB106C"/>
    <w:rsid w:val="00EB1098"/>
    <w:rsid w:val="00EB10AC"/>
    <w:rsid w:val="00EB13D5"/>
    <w:rsid w:val="00EB196D"/>
    <w:rsid w:val="00EB196F"/>
    <w:rsid w:val="00EB2100"/>
    <w:rsid w:val="00EB2A88"/>
    <w:rsid w:val="00EB3295"/>
    <w:rsid w:val="00EB356D"/>
    <w:rsid w:val="00EB3897"/>
    <w:rsid w:val="00EB3CE5"/>
    <w:rsid w:val="00EB3D5C"/>
    <w:rsid w:val="00EB3F40"/>
    <w:rsid w:val="00EB47C0"/>
    <w:rsid w:val="00EB4A21"/>
    <w:rsid w:val="00EB4A93"/>
    <w:rsid w:val="00EB4C29"/>
    <w:rsid w:val="00EB506B"/>
    <w:rsid w:val="00EB50A1"/>
    <w:rsid w:val="00EB5A97"/>
    <w:rsid w:val="00EB5C8A"/>
    <w:rsid w:val="00EB641F"/>
    <w:rsid w:val="00EB6750"/>
    <w:rsid w:val="00EB67A9"/>
    <w:rsid w:val="00EB6889"/>
    <w:rsid w:val="00EB69A1"/>
    <w:rsid w:val="00EB6AB9"/>
    <w:rsid w:val="00EB6D31"/>
    <w:rsid w:val="00EB745E"/>
    <w:rsid w:val="00EB7678"/>
    <w:rsid w:val="00EB784E"/>
    <w:rsid w:val="00EB7A93"/>
    <w:rsid w:val="00EC06CC"/>
    <w:rsid w:val="00EC0B17"/>
    <w:rsid w:val="00EC0DFD"/>
    <w:rsid w:val="00EC10A0"/>
    <w:rsid w:val="00EC1195"/>
    <w:rsid w:val="00EC1383"/>
    <w:rsid w:val="00EC13D0"/>
    <w:rsid w:val="00EC1591"/>
    <w:rsid w:val="00EC16C6"/>
    <w:rsid w:val="00EC16F1"/>
    <w:rsid w:val="00EC1C8A"/>
    <w:rsid w:val="00EC1DFD"/>
    <w:rsid w:val="00EC20D8"/>
    <w:rsid w:val="00EC282D"/>
    <w:rsid w:val="00EC2840"/>
    <w:rsid w:val="00EC2B0D"/>
    <w:rsid w:val="00EC2BBF"/>
    <w:rsid w:val="00EC3573"/>
    <w:rsid w:val="00EC419F"/>
    <w:rsid w:val="00EC5054"/>
    <w:rsid w:val="00EC50A2"/>
    <w:rsid w:val="00EC518D"/>
    <w:rsid w:val="00EC52B8"/>
    <w:rsid w:val="00EC54F8"/>
    <w:rsid w:val="00EC5791"/>
    <w:rsid w:val="00EC57C6"/>
    <w:rsid w:val="00EC5FB8"/>
    <w:rsid w:val="00EC628D"/>
    <w:rsid w:val="00EC6763"/>
    <w:rsid w:val="00EC6C28"/>
    <w:rsid w:val="00EC6D0E"/>
    <w:rsid w:val="00EC6DFD"/>
    <w:rsid w:val="00EC6EF3"/>
    <w:rsid w:val="00EC7048"/>
    <w:rsid w:val="00EC71CB"/>
    <w:rsid w:val="00EC71D1"/>
    <w:rsid w:val="00EC769C"/>
    <w:rsid w:val="00EC76F3"/>
    <w:rsid w:val="00EC7797"/>
    <w:rsid w:val="00EC78BC"/>
    <w:rsid w:val="00EC7D87"/>
    <w:rsid w:val="00EC7E17"/>
    <w:rsid w:val="00ED05D6"/>
    <w:rsid w:val="00ED060E"/>
    <w:rsid w:val="00ED0C6F"/>
    <w:rsid w:val="00ED0D88"/>
    <w:rsid w:val="00ED13D1"/>
    <w:rsid w:val="00ED1AA8"/>
    <w:rsid w:val="00ED233E"/>
    <w:rsid w:val="00ED29F2"/>
    <w:rsid w:val="00ED2D3B"/>
    <w:rsid w:val="00ED2FB5"/>
    <w:rsid w:val="00ED2FCC"/>
    <w:rsid w:val="00ED3028"/>
    <w:rsid w:val="00ED3A81"/>
    <w:rsid w:val="00ED3F32"/>
    <w:rsid w:val="00ED4967"/>
    <w:rsid w:val="00ED4C12"/>
    <w:rsid w:val="00ED4E12"/>
    <w:rsid w:val="00ED50D8"/>
    <w:rsid w:val="00ED53B0"/>
    <w:rsid w:val="00ED5646"/>
    <w:rsid w:val="00ED5FE3"/>
    <w:rsid w:val="00ED67CE"/>
    <w:rsid w:val="00ED7559"/>
    <w:rsid w:val="00ED7637"/>
    <w:rsid w:val="00ED7A84"/>
    <w:rsid w:val="00EE0279"/>
    <w:rsid w:val="00EE0538"/>
    <w:rsid w:val="00EE05EC"/>
    <w:rsid w:val="00EE0625"/>
    <w:rsid w:val="00EE0A4C"/>
    <w:rsid w:val="00EE0B6E"/>
    <w:rsid w:val="00EE0F57"/>
    <w:rsid w:val="00EE0F97"/>
    <w:rsid w:val="00EE1046"/>
    <w:rsid w:val="00EE1B10"/>
    <w:rsid w:val="00EE1F65"/>
    <w:rsid w:val="00EE2371"/>
    <w:rsid w:val="00EE28A4"/>
    <w:rsid w:val="00EE28CE"/>
    <w:rsid w:val="00EE28F4"/>
    <w:rsid w:val="00EE2D19"/>
    <w:rsid w:val="00EE3728"/>
    <w:rsid w:val="00EE38B6"/>
    <w:rsid w:val="00EE3E7B"/>
    <w:rsid w:val="00EE3E83"/>
    <w:rsid w:val="00EE4261"/>
    <w:rsid w:val="00EE4493"/>
    <w:rsid w:val="00EE45C5"/>
    <w:rsid w:val="00EE4ADF"/>
    <w:rsid w:val="00EE4B3E"/>
    <w:rsid w:val="00EE5A6B"/>
    <w:rsid w:val="00EE5B3C"/>
    <w:rsid w:val="00EE5F75"/>
    <w:rsid w:val="00EE63BE"/>
    <w:rsid w:val="00EE6972"/>
    <w:rsid w:val="00EE6A2B"/>
    <w:rsid w:val="00EE6B04"/>
    <w:rsid w:val="00EE6B89"/>
    <w:rsid w:val="00EE712F"/>
    <w:rsid w:val="00EE73B5"/>
    <w:rsid w:val="00EE79AF"/>
    <w:rsid w:val="00EF0024"/>
    <w:rsid w:val="00EF0799"/>
    <w:rsid w:val="00EF09CD"/>
    <w:rsid w:val="00EF10CC"/>
    <w:rsid w:val="00EF12C5"/>
    <w:rsid w:val="00EF15F5"/>
    <w:rsid w:val="00EF1C75"/>
    <w:rsid w:val="00EF1EB2"/>
    <w:rsid w:val="00EF2006"/>
    <w:rsid w:val="00EF21AF"/>
    <w:rsid w:val="00EF24F7"/>
    <w:rsid w:val="00EF2722"/>
    <w:rsid w:val="00EF2A35"/>
    <w:rsid w:val="00EF2B93"/>
    <w:rsid w:val="00EF2DB3"/>
    <w:rsid w:val="00EF341A"/>
    <w:rsid w:val="00EF363D"/>
    <w:rsid w:val="00EF3850"/>
    <w:rsid w:val="00EF40A5"/>
    <w:rsid w:val="00EF40BE"/>
    <w:rsid w:val="00EF416B"/>
    <w:rsid w:val="00EF41D3"/>
    <w:rsid w:val="00EF4469"/>
    <w:rsid w:val="00EF4AE4"/>
    <w:rsid w:val="00EF5107"/>
    <w:rsid w:val="00EF5B55"/>
    <w:rsid w:val="00EF5CE4"/>
    <w:rsid w:val="00EF5E9A"/>
    <w:rsid w:val="00EF5EEA"/>
    <w:rsid w:val="00EF625D"/>
    <w:rsid w:val="00EF6294"/>
    <w:rsid w:val="00EF6601"/>
    <w:rsid w:val="00EF6805"/>
    <w:rsid w:val="00EF696D"/>
    <w:rsid w:val="00EF6AED"/>
    <w:rsid w:val="00EF6D9B"/>
    <w:rsid w:val="00EF6EAE"/>
    <w:rsid w:val="00EF711F"/>
    <w:rsid w:val="00EF730B"/>
    <w:rsid w:val="00EF768F"/>
    <w:rsid w:val="00EF78A0"/>
    <w:rsid w:val="00EF7BD7"/>
    <w:rsid w:val="00EF7CF2"/>
    <w:rsid w:val="00EF7D85"/>
    <w:rsid w:val="00EF7F31"/>
    <w:rsid w:val="00F00508"/>
    <w:rsid w:val="00F00B2E"/>
    <w:rsid w:val="00F012C9"/>
    <w:rsid w:val="00F01490"/>
    <w:rsid w:val="00F01820"/>
    <w:rsid w:val="00F0193F"/>
    <w:rsid w:val="00F01C5B"/>
    <w:rsid w:val="00F01E52"/>
    <w:rsid w:val="00F02473"/>
    <w:rsid w:val="00F0256E"/>
    <w:rsid w:val="00F02DCB"/>
    <w:rsid w:val="00F0319D"/>
    <w:rsid w:val="00F0389E"/>
    <w:rsid w:val="00F04286"/>
    <w:rsid w:val="00F042DC"/>
    <w:rsid w:val="00F04309"/>
    <w:rsid w:val="00F0448B"/>
    <w:rsid w:val="00F0463B"/>
    <w:rsid w:val="00F046BD"/>
    <w:rsid w:val="00F04D63"/>
    <w:rsid w:val="00F04E40"/>
    <w:rsid w:val="00F04E72"/>
    <w:rsid w:val="00F0526B"/>
    <w:rsid w:val="00F0576E"/>
    <w:rsid w:val="00F057C2"/>
    <w:rsid w:val="00F0584D"/>
    <w:rsid w:val="00F05999"/>
    <w:rsid w:val="00F059AB"/>
    <w:rsid w:val="00F05B05"/>
    <w:rsid w:val="00F06322"/>
    <w:rsid w:val="00F06894"/>
    <w:rsid w:val="00F06906"/>
    <w:rsid w:val="00F06C35"/>
    <w:rsid w:val="00F06DDD"/>
    <w:rsid w:val="00F07099"/>
    <w:rsid w:val="00F074FA"/>
    <w:rsid w:val="00F07A90"/>
    <w:rsid w:val="00F07B75"/>
    <w:rsid w:val="00F102A7"/>
    <w:rsid w:val="00F105EA"/>
    <w:rsid w:val="00F107E1"/>
    <w:rsid w:val="00F10B8A"/>
    <w:rsid w:val="00F10F10"/>
    <w:rsid w:val="00F1106A"/>
    <w:rsid w:val="00F1109A"/>
    <w:rsid w:val="00F11117"/>
    <w:rsid w:val="00F111B8"/>
    <w:rsid w:val="00F112B0"/>
    <w:rsid w:val="00F11304"/>
    <w:rsid w:val="00F11768"/>
    <w:rsid w:val="00F11D55"/>
    <w:rsid w:val="00F11DC7"/>
    <w:rsid w:val="00F11FA7"/>
    <w:rsid w:val="00F12541"/>
    <w:rsid w:val="00F12AB3"/>
    <w:rsid w:val="00F12C14"/>
    <w:rsid w:val="00F13580"/>
    <w:rsid w:val="00F13586"/>
    <w:rsid w:val="00F143EE"/>
    <w:rsid w:val="00F14435"/>
    <w:rsid w:val="00F14C45"/>
    <w:rsid w:val="00F1510D"/>
    <w:rsid w:val="00F15233"/>
    <w:rsid w:val="00F15618"/>
    <w:rsid w:val="00F15E91"/>
    <w:rsid w:val="00F164D2"/>
    <w:rsid w:val="00F16E72"/>
    <w:rsid w:val="00F16F98"/>
    <w:rsid w:val="00F1735C"/>
    <w:rsid w:val="00F17473"/>
    <w:rsid w:val="00F178FF"/>
    <w:rsid w:val="00F1792A"/>
    <w:rsid w:val="00F17C97"/>
    <w:rsid w:val="00F17F93"/>
    <w:rsid w:val="00F2064C"/>
    <w:rsid w:val="00F20B53"/>
    <w:rsid w:val="00F20B5F"/>
    <w:rsid w:val="00F21056"/>
    <w:rsid w:val="00F21961"/>
    <w:rsid w:val="00F21A42"/>
    <w:rsid w:val="00F21BA6"/>
    <w:rsid w:val="00F21C71"/>
    <w:rsid w:val="00F21D12"/>
    <w:rsid w:val="00F21FB3"/>
    <w:rsid w:val="00F22035"/>
    <w:rsid w:val="00F2291C"/>
    <w:rsid w:val="00F22A18"/>
    <w:rsid w:val="00F22C19"/>
    <w:rsid w:val="00F22D18"/>
    <w:rsid w:val="00F22FD6"/>
    <w:rsid w:val="00F2300F"/>
    <w:rsid w:val="00F23350"/>
    <w:rsid w:val="00F23434"/>
    <w:rsid w:val="00F235FB"/>
    <w:rsid w:val="00F23664"/>
    <w:rsid w:val="00F2367A"/>
    <w:rsid w:val="00F23880"/>
    <w:rsid w:val="00F23F3C"/>
    <w:rsid w:val="00F24450"/>
    <w:rsid w:val="00F24B44"/>
    <w:rsid w:val="00F2521E"/>
    <w:rsid w:val="00F25B50"/>
    <w:rsid w:val="00F25D28"/>
    <w:rsid w:val="00F26073"/>
    <w:rsid w:val="00F26137"/>
    <w:rsid w:val="00F26270"/>
    <w:rsid w:val="00F26385"/>
    <w:rsid w:val="00F2678A"/>
    <w:rsid w:val="00F267AE"/>
    <w:rsid w:val="00F26AA8"/>
    <w:rsid w:val="00F26AF2"/>
    <w:rsid w:val="00F26B6B"/>
    <w:rsid w:val="00F27D48"/>
    <w:rsid w:val="00F3026A"/>
    <w:rsid w:val="00F3039A"/>
    <w:rsid w:val="00F307B3"/>
    <w:rsid w:val="00F30A58"/>
    <w:rsid w:val="00F30A91"/>
    <w:rsid w:val="00F30BB4"/>
    <w:rsid w:val="00F30F8A"/>
    <w:rsid w:val="00F312B5"/>
    <w:rsid w:val="00F313C9"/>
    <w:rsid w:val="00F3174C"/>
    <w:rsid w:val="00F31837"/>
    <w:rsid w:val="00F31DD9"/>
    <w:rsid w:val="00F31E7F"/>
    <w:rsid w:val="00F31EC4"/>
    <w:rsid w:val="00F327CC"/>
    <w:rsid w:val="00F32A89"/>
    <w:rsid w:val="00F32CAB"/>
    <w:rsid w:val="00F32F13"/>
    <w:rsid w:val="00F33F9F"/>
    <w:rsid w:val="00F34042"/>
    <w:rsid w:val="00F34429"/>
    <w:rsid w:val="00F34FC3"/>
    <w:rsid w:val="00F35795"/>
    <w:rsid w:val="00F357BC"/>
    <w:rsid w:val="00F35B9F"/>
    <w:rsid w:val="00F361D0"/>
    <w:rsid w:val="00F368E6"/>
    <w:rsid w:val="00F369C2"/>
    <w:rsid w:val="00F36C87"/>
    <w:rsid w:val="00F36E5C"/>
    <w:rsid w:val="00F376F4"/>
    <w:rsid w:val="00F37AAC"/>
    <w:rsid w:val="00F37C04"/>
    <w:rsid w:val="00F37D6F"/>
    <w:rsid w:val="00F40460"/>
    <w:rsid w:val="00F40485"/>
    <w:rsid w:val="00F4165C"/>
    <w:rsid w:val="00F41869"/>
    <w:rsid w:val="00F41A52"/>
    <w:rsid w:val="00F41E2A"/>
    <w:rsid w:val="00F420C8"/>
    <w:rsid w:val="00F4256F"/>
    <w:rsid w:val="00F427F0"/>
    <w:rsid w:val="00F42C4B"/>
    <w:rsid w:val="00F4325B"/>
    <w:rsid w:val="00F4348E"/>
    <w:rsid w:val="00F439C9"/>
    <w:rsid w:val="00F43DE0"/>
    <w:rsid w:val="00F44339"/>
    <w:rsid w:val="00F4433B"/>
    <w:rsid w:val="00F44A07"/>
    <w:rsid w:val="00F44EC9"/>
    <w:rsid w:val="00F45218"/>
    <w:rsid w:val="00F468D3"/>
    <w:rsid w:val="00F46927"/>
    <w:rsid w:val="00F47062"/>
    <w:rsid w:val="00F475F6"/>
    <w:rsid w:val="00F4771A"/>
    <w:rsid w:val="00F504F3"/>
    <w:rsid w:val="00F50999"/>
    <w:rsid w:val="00F50ADA"/>
    <w:rsid w:val="00F51129"/>
    <w:rsid w:val="00F51302"/>
    <w:rsid w:val="00F51396"/>
    <w:rsid w:val="00F516DA"/>
    <w:rsid w:val="00F51AA5"/>
    <w:rsid w:val="00F51C6A"/>
    <w:rsid w:val="00F51C8A"/>
    <w:rsid w:val="00F51C95"/>
    <w:rsid w:val="00F51D13"/>
    <w:rsid w:val="00F52406"/>
    <w:rsid w:val="00F53237"/>
    <w:rsid w:val="00F5385F"/>
    <w:rsid w:val="00F538BE"/>
    <w:rsid w:val="00F53CC4"/>
    <w:rsid w:val="00F543CC"/>
    <w:rsid w:val="00F54498"/>
    <w:rsid w:val="00F5467F"/>
    <w:rsid w:val="00F5493B"/>
    <w:rsid w:val="00F55097"/>
    <w:rsid w:val="00F55854"/>
    <w:rsid w:val="00F55A50"/>
    <w:rsid w:val="00F55A97"/>
    <w:rsid w:val="00F55CEC"/>
    <w:rsid w:val="00F5609A"/>
    <w:rsid w:val="00F5634E"/>
    <w:rsid w:val="00F56813"/>
    <w:rsid w:val="00F5686F"/>
    <w:rsid w:val="00F56FAE"/>
    <w:rsid w:val="00F5702A"/>
    <w:rsid w:val="00F57BEC"/>
    <w:rsid w:val="00F57F4B"/>
    <w:rsid w:val="00F600BC"/>
    <w:rsid w:val="00F60257"/>
    <w:rsid w:val="00F60524"/>
    <w:rsid w:val="00F60B8D"/>
    <w:rsid w:val="00F60CA1"/>
    <w:rsid w:val="00F60F15"/>
    <w:rsid w:val="00F61664"/>
    <w:rsid w:val="00F6180A"/>
    <w:rsid w:val="00F627EF"/>
    <w:rsid w:val="00F62D42"/>
    <w:rsid w:val="00F62DDB"/>
    <w:rsid w:val="00F62EDF"/>
    <w:rsid w:val="00F63515"/>
    <w:rsid w:val="00F63565"/>
    <w:rsid w:val="00F636AC"/>
    <w:rsid w:val="00F63B8F"/>
    <w:rsid w:val="00F63DC4"/>
    <w:rsid w:val="00F63F59"/>
    <w:rsid w:val="00F6422C"/>
    <w:rsid w:val="00F64584"/>
    <w:rsid w:val="00F64A79"/>
    <w:rsid w:val="00F64B3B"/>
    <w:rsid w:val="00F64FA9"/>
    <w:rsid w:val="00F6534F"/>
    <w:rsid w:val="00F65413"/>
    <w:rsid w:val="00F656A6"/>
    <w:rsid w:val="00F656E3"/>
    <w:rsid w:val="00F65A32"/>
    <w:rsid w:val="00F65CFF"/>
    <w:rsid w:val="00F66298"/>
    <w:rsid w:val="00F663EB"/>
    <w:rsid w:val="00F66617"/>
    <w:rsid w:val="00F67053"/>
    <w:rsid w:val="00F70110"/>
    <w:rsid w:val="00F7011F"/>
    <w:rsid w:val="00F707C2"/>
    <w:rsid w:val="00F711DA"/>
    <w:rsid w:val="00F718A1"/>
    <w:rsid w:val="00F71A2D"/>
    <w:rsid w:val="00F71B9E"/>
    <w:rsid w:val="00F71E9A"/>
    <w:rsid w:val="00F721A0"/>
    <w:rsid w:val="00F72587"/>
    <w:rsid w:val="00F72A80"/>
    <w:rsid w:val="00F72C93"/>
    <w:rsid w:val="00F731F4"/>
    <w:rsid w:val="00F732F8"/>
    <w:rsid w:val="00F733EB"/>
    <w:rsid w:val="00F73671"/>
    <w:rsid w:val="00F736F7"/>
    <w:rsid w:val="00F73AAB"/>
    <w:rsid w:val="00F74288"/>
    <w:rsid w:val="00F746B3"/>
    <w:rsid w:val="00F74A58"/>
    <w:rsid w:val="00F74B4B"/>
    <w:rsid w:val="00F74CB4"/>
    <w:rsid w:val="00F754C2"/>
    <w:rsid w:val="00F75843"/>
    <w:rsid w:val="00F75A5A"/>
    <w:rsid w:val="00F75ABD"/>
    <w:rsid w:val="00F76B34"/>
    <w:rsid w:val="00F77498"/>
    <w:rsid w:val="00F800B8"/>
    <w:rsid w:val="00F80131"/>
    <w:rsid w:val="00F8031E"/>
    <w:rsid w:val="00F80496"/>
    <w:rsid w:val="00F80662"/>
    <w:rsid w:val="00F80866"/>
    <w:rsid w:val="00F80A88"/>
    <w:rsid w:val="00F80B4E"/>
    <w:rsid w:val="00F80F5A"/>
    <w:rsid w:val="00F80F6B"/>
    <w:rsid w:val="00F81498"/>
    <w:rsid w:val="00F81858"/>
    <w:rsid w:val="00F81DCC"/>
    <w:rsid w:val="00F81F72"/>
    <w:rsid w:val="00F823F5"/>
    <w:rsid w:val="00F824BE"/>
    <w:rsid w:val="00F826A2"/>
    <w:rsid w:val="00F82D98"/>
    <w:rsid w:val="00F82EE9"/>
    <w:rsid w:val="00F837A3"/>
    <w:rsid w:val="00F8386F"/>
    <w:rsid w:val="00F8399B"/>
    <w:rsid w:val="00F83B2A"/>
    <w:rsid w:val="00F83D29"/>
    <w:rsid w:val="00F83D92"/>
    <w:rsid w:val="00F83EB1"/>
    <w:rsid w:val="00F840E9"/>
    <w:rsid w:val="00F84207"/>
    <w:rsid w:val="00F848F9"/>
    <w:rsid w:val="00F85721"/>
    <w:rsid w:val="00F85B1B"/>
    <w:rsid w:val="00F85EB7"/>
    <w:rsid w:val="00F85F5C"/>
    <w:rsid w:val="00F85F71"/>
    <w:rsid w:val="00F86028"/>
    <w:rsid w:val="00F860DC"/>
    <w:rsid w:val="00F8626D"/>
    <w:rsid w:val="00F863A8"/>
    <w:rsid w:val="00F86519"/>
    <w:rsid w:val="00F86799"/>
    <w:rsid w:val="00F86903"/>
    <w:rsid w:val="00F86B66"/>
    <w:rsid w:val="00F86F78"/>
    <w:rsid w:val="00F877FF"/>
    <w:rsid w:val="00F879DA"/>
    <w:rsid w:val="00F87CCC"/>
    <w:rsid w:val="00F902DB"/>
    <w:rsid w:val="00F90311"/>
    <w:rsid w:val="00F91011"/>
    <w:rsid w:val="00F9170D"/>
    <w:rsid w:val="00F91AD1"/>
    <w:rsid w:val="00F920C9"/>
    <w:rsid w:val="00F926E2"/>
    <w:rsid w:val="00F92734"/>
    <w:rsid w:val="00F92E0A"/>
    <w:rsid w:val="00F932D3"/>
    <w:rsid w:val="00F9351C"/>
    <w:rsid w:val="00F935A7"/>
    <w:rsid w:val="00F93824"/>
    <w:rsid w:val="00F93B52"/>
    <w:rsid w:val="00F93D18"/>
    <w:rsid w:val="00F93D8D"/>
    <w:rsid w:val="00F93F47"/>
    <w:rsid w:val="00F94368"/>
    <w:rsid w:val="00F94423"/>
    <w:rsid w:val="00F945EB"/>
    <w:rsid w:val="00F9472E"/>
    <w:rsid w:val="00F94807"/>
    <w:rsid w:val="00F9494C"/>
    <w:rsid w:val="00F94A0E"/>
    <w:rsid w:val="00F94C8B"/>
    <w:rsid w:val="00F94EC4"/>
    <w:rsid w:val="00F958D7"/>
    <w:rsid w:val="00F95A03"/>
    <w:rsid w:val="00F962C0"/>
    <w:rsid w:val="00F965D3"/>
    <w:rsid w:val="00F968AE"/>
    <w:rsid w:val="00F96E89"/>
    <w:rsid w:val="00F971B0"/>
    <w:rsid w:val="00F9733D"/>
    <w:rsid w:val="00F97691"/>
    <w:rsid w:val="00F97A46"/>
    <w:rsid w:val="00F97A61"/>
    <w:rsid w:val="00F97CB8"/>
    <w:rsid w:val="00FA0597"/>
    <w:rsid w:val="00FA0840"/>
    <w:rsid w:val="00FA15C8"/>
    <w:rsid w:val="00FA1640"/>
    <w:rsid w:val="00FA1ECD"/>
    <w:rsid w:val="00FA21D5"/>
    <w:rsid w:val="00FA2C5D"/>
    <w:rsid w:val="00FA2D86"/>
    <w:rsid w:val="00FA348C"/>
    <w:rsid w:val="00FA39D5"/>
    <w:rsid w:val="00FA3D87"/>
    <w:rsid w:val="00FA3EBD"/>
    <w:rsid w:val="00FA463F"/>
    <w:rsid w:val="00FA4AED"/>
    <w:rsid w:val="00FA4C57"/>
    <w:rsid w:val="00FA4F25"/>
    <w:rsid w:val="00FA515B"/>
    <w:rsid w:val="00FA53D8"/>
    <w:rsid w:val="00FA5721"/>
    <w:rsid w:val="00FA61D7"/>
    <w:rsid w:val="00FA6201"/>
    <w:rsid w:val="00FA645E"/>
    <w:rsid w:val="00FA6674"/>
    <w:rsid w:val="00FA6792"/>
    <w:rsid w:val="00FA679E"/>
    <w:rsid w:val="00FA6961"/>
    <w:rsid w:val="00FA6A7C"/>
    <w:rsid w:val="00FA76C0"/>
    <w:rsid w:val="00FA7EB1"/>
    <w:rsid w:val="00FB0185"/>
    <w:rsid w:val="00FB027A"/>
    <w:rsid w:val="00FB045F"/>
    <w:rsid w:val="00FB0A85"/>
    <w:rsid w:val="00FB0AD8"/>
    <w:rsid w:val="00FB0C38"/>
    <w:rsid w:val="00FB0E05"/>
    <w:rsid w:val="00FB12DE"/>
    <w:rsid w:val="00FB16A9"/>
    <w:rsid w:val="00FB1A3B"/>
    <w:rsid w:val="00FB20E7"/>
    <w:rsid w:val="00FB24D9"/>
    <w:rsid w:val="00FB2AC3"/>
    <w:rsid w:val="00FB2E17"/>
    <w:rsid w:val="00FB2E47"/>
    <w:rsid w:val="00FB363C"/>
    <w:rsid w:val="00FB3802"/>
    <w:rsid w:val="00FB39F1"/>
    <w:rsid w:val="00FB3D71"/>
    <w:rsid w:val="00FB404B"/>
    <w:rsid w:val="00FB45E7"/>
    <w:rsid w:val="00FB4A29"/>
    <w:rsid w:val="00FB4C1F"/>
    <w:rsid w:val="00FB4C99"/>
    <w:rsid w:val="00FB4D6C"/>
    <w:rsid w:val="00FB4DBB"/>
    <w:rsid w:val="00FB5526"/>
    <w:rsid w:val="00FB552F"/>
    <w:rsid w:val="00FB5753"/>
    <w:rsid w:val="00FB586C"/>
    <w:rsid w:val="00FB58C0"/>
    <w:rsid w:val="00FB59C2"/>
    <w:rsid w:val="00FB5E1E"/>
    <w:rsid w:val="00FB5F97"/>
    <w:rsid w:val="00FB64FC"/>
    <w:rsid w:val="00FB66E4"/>
    <w:rsid w:val="00FB6C5B"/>
    <w:rsid w:val="00FB6E68"/>
    <w:rsid w:val="00FB7337"/>
    <w:rsid w:val="00FB748F"/>
    <w:rsid w:val="00FB7622"/>
    <w:rsid w:val="00FB792A"/>
    <w:rsid w:val="00FB7A57"/>
    <w:rsid w:val="00FB7B0F"/>
    <w:rsid w:val="00FB7D3F"/>
    <w:rsid w:val="00FC023D"/>
    <w:rsid w:val="00FC0BFA"/>
    <w:rsid w:val="00FC1090"/>
    <w:rsid w:val="00FC13AD"/>
    <w:rsid w:val="00FC13BC"/>
    <w:rsid w:val="00FC13E5"/>
    <w:rsid w:val="00FC1510"/>
    <w:rsid w:val="00FC1717"/>
    <w:rsid w:val="00FC195C"/>
    <w:rsid w:val="00FC1A06"/>
    <w:rsid w:val="00FC1B68"/>
    <w:rsid w:val="00FC1B86"/>
    <w:rsid w:val="00FC1D33"/>
    <w:rsid w:val="00FC1FFE"/>
    <w:rsid w:val="00FC2007"/>
    <w:rsid w:val="00FC20DE"/>
    <w:rsid w:val="00FC21E3"/>
    <w:rsid w:val="00FC244B"/>
    <w:rsid w:val="00FC28B1"/>
    <w:rsid w:val="00FC2974"/>
    <w:rsid w:val="00FC2B8F"/>
    <w:rsid w:val="00FC3557"/>
    <w:rsid w:val="00FC36EE"/>
    <w:rsid w:val="00FC3A39"/>
    <w:rsid w:val="00FC3BED"/>
    <w:rsid w:val="00FC43D1"/>
    <w:rsid w:val="00FC45A5"/>
    <w:rsid w:val="00FC46CA"/>
    <w:rsid w:val="00FC4CF8"/>
    <w:rsid w:val="00FC531B"/>
    <w:rsid w:val="00FC5701"/>
    <w:rsid w:val="00FC5757"/>
    <w:rsid w:val="00FC59AD"/>
    <w:rsid w:val="00FC7206"/>
    <w:rsid w:val="00FC7356"/>
    <w:rsid w:val="00FC7740"/>
    <w:rsid w:val="00FC7AF8"/>
    <w:rsid w:val="00FC7D7A"/>
    <w:rsid w:val="00FD00AA"/>
    <w:rsid w:val="00FD0147"/>
    <w:rsid w:val="00FD019D"/>
    <w:rsid w:val="00FD0423"/>
    <w:rsid w:val="00FD05BA"/>
    <w:rsid w:val="00FD08D4"/>
    <w:rsid w:val="00FD0C68"/>
    <w:rsid w:val="00FD1065"/>
    <w:rsid w:val="00FD10FE"/>
    <w:rsid w:val="00FD1749"/>
    <w:rsid w:val="00FD1954"/>
    <w:rsid w:val="00FD1C2B"/>
    <w:rsid w:val="00FD2050"/>
    <w:rsid w:val="00FD2393"/>
    <w:rsid w:val="00FD24DE"/>
    <w:rsid w:val="00FD260F"/>
    <w:rsid w:val="00FD45BD"/>
    <w:rsid w:val="00FD4E2E"/>
    <w:rsid w:val="00FD51F3"/>
    <w:rsid w:val="00FD5907"/>
    <w:rsid w:val="00FD592E"/>
    <w:rsid w:val="00FD6AEB"/>
    <w:rsid w:val="00FD6B8A"/>
    <w:rsid w:val="00FD6C12"/>
    <w:rsid w:val="00FD717A"/>
    <w:rsid w:val="00FD7374"/>
    <w:rsid w:val="00FD74B9"/>
    <w:rsid w:val="00FD7546"/>
    <w:rsid w:val="00FD795A"/>
    <w:rsid w:val="00FD79E4"/>
    <w:rsid w:val="00FD7DAB"/>
    <w:rsid w:val="00FE0020"/>
    <w:rsid w:val="00FE0249"/>
    <w:rsid w:val="00FE030E"/>
    <w:rsid w:val="00FE032C"/>
    <w:rsid w:val="00FE040A"/>
    <w:rsid w:val="00FE0471"/>
    <w:rsid w:val="00FE0A07"/>
    <w:rsid w:val="00FE0C45"/>
    <w:rsid w:val="00FE0C87"/>
    <w:rsid w:val="00FE0D40"/>
    <w:rsid w:val="00FE0DAB"/>
    <w:rsid w:val="00FE136C"/>
    <w:rsid w:val="00FE1406"/>
    <w:rsid w:val="00FE1539"/>
    <w:rsid w:val="00FE1AC3"/>
    <w:rsid w:val="00FE1EC3"/>
    <w:rsid w:val="00FE21B4"/>
    <w:rsid w:val="00FE23E4"/>
    <w:rsid w:val="00FE2459"/>
    <w:rsid w:val="00FE24FF"/>
    <w:rsid w:val="00FE253B"/>
    <w:rsid w:val="00FE2C17"/>
    <w:rsid w:val="00FE3496"/>
    <w:rsid w:val="00FE39C8"/>
    <w:rsid w:val="00FE3A19"/>
    <w:rsid w:val="00FE3E6C"/>
    <w:rsid w:val="00FE434D"/>
    <w:rsid w:val="00FE47AE"/>
    <w:rsid w:val="00FE48E8"/>
    <w:rsid w:val="00FE4B98"/>
    <w:rsid w:val="00FE4D0B"/>
    <w:rsid w:val="00FE5131"/>
    <w:rsid w:val="00FE518B"/>
    <w:rsid w:val="00FE5C60"/>
    <w:rsid w:val="00FE699F"/>
    <w:rsid w:val="00FE69B9"/>
    <w:rsid w:val="00FE6DFE"/>
    <w:rsid w:val="00FE71D5"/>
    <w:rsid w:val="00FE736A"/>
    <w:rsid w:val="00FE7446"/>
    <w:rsid w:val="00FE7E05"/>
    <w:rsid w:val="00FE7E4E"/>
    <w:rsid w:val="00FE7FAF"/>
    <w:rsid w:val="00FF01D7"/>
    <w:rsid w:val="00FF02CF"/>
    <w:rsid w:val="00FF0402"/>
    <w:rsid w:val="00FF0406"/>
    <w:rsid w:val="00FF050E"/>
    <w:rsid w:val="00FF072F"/>
    <w:rsid w:val="00FF0841"/>
    <w:rsid w:val="00FF09C7"/>
    <w:rsid w:val="00FF0A81"/>
    <w:rsid w:val="00FF0DA3"/>
    <w:rsid w:val="00FF0DF0"/>
    <w:rsid w:val="00FF1027"/>
    <w:rsid w:val="00FF1589"/>
    <w:rsid w:val="00FF15AE"/>
    <w:rsid w:val="00FF15B5"/>
    <w:rsid w:val="00FF1A4E"/>
    <w:rsid w:val="00FF1CBE"/>
    <w:rsid w:val="00FF1D48"/>
    <w:rsid w:val="00FF1F04"/>
    <w:rsid w:val="00FF20D7"/>
    <w:rsid w:val="00FF246E"/>
    <w:rsid w:val="00FF2B14"/>
    <w:rsid w:val="00FF2D85"/>
    <w:rsid w:val="00FF33FC"/>
    <w:rsid w:val="00FF35B8"/>
    <w:rsid w:val="00FF3733"/>
    <w:rsid w:val="00FF3ED1"/>
    <w:rsid w:val="00FF3FF2"/>
    <w:rsid w:val="00FF4613"/>
    <w:rsid w:val="00FF477B"/>
    <w:rsid w:val="00FF489E"/>
    <w:rsid w:val="00FF534A"/>
    <w:rsid w:val="00FF5373"/>
    <w:rsid w:val="00FF55B1"/>
    <w:rsid w:val="00FF5937"/>
    <w:rsid w:val="00FF6658"/>
    <w:rsid w:val="00FF7707"/>
    <w:rsid w:val="00FF7F6A"/>
    <w:rsid w:val="01042E10"/>
    <w:rsid w:val="09B8C5CE"/>
    <w:rsid w:val="0ABB79E3"/>
    <w:rsid w:val="0BBC2BBF"/>
    <w:rsid w:val="0CA3AE72"/>
    <w:rsid w:val="0DE2B118"/>
    <w:rsid w:val="12B6223B"/>
    <w:rsid w:val="16E185F0"/>
    <w:rsid w:val="18B9C39F"/>
    <w:rsid w:val="1A10DA79"/>
    <w:rsid w:val="23B22024"/>
    <w:rsid w:val="24F50054"/>
    <w:rsid w:val="2A6DE07B"/>
    <w:rsid w:val="2AC61D13"/>
    <w:rsid w:val="2C8CF271"/>
    <w:rsid w:val="2CFC9453"/>
    <w:rsid w:val="31BA9522"/>
    <w:rsid w:val="32082CDF"/>
    <w:rsid w:val="32768711"/>
    <w:rsid w:val="3495AE98"/>
    <w:rsid w:val="350C03F4"/>
    <w:rsid w:val="35A2B5B6"/>
    <w:rsid w:val="396B101E"/>
    <w:rsid w:val="3CE6ABB0"/>
    <w:rsid w:val="3D52ABD4"/>
    <w:rsid w:val="3EEEC718"/>
    <w:rsid w:val="3F7E27C5"/>
    <w:rsid w:val="4175B754"/>
    <w:rsid w:val="4311F264"/>
    <w:rsid w:val="456E2746"/>
    <w:rsid w:val="460D8C84"/>
    <w:rsid w:val="46F25864"/>
    <w:rsid w:val="477855AB"/>
    <w:rsid w:val="4917E216"/>
    <w:rsid w:val="4989216E"/>
    <w:rsid w:val="49BC46E6"/>
    <w:rsid w:val="4CC0C230"/>
    <w:rsid w:val="4E940D90"/>
    <w:rsid w:val="4FA0265A"/>
    <w:rsid w:val="4FDF3A95"/>
    <w:rsid w:val="50274945"/>
    <w:rsid w:val="5074E797"/>
    <w:rsid w:val="512A003F"/>
    <w:rsid w:val="517B0AF6"/>
    <w:rsid w:val="5280316E"/>
    <w:rsid w:val="53A7A6C3"/>
    <w:rsid w:val="55972A96"/>
    <w:rsid w:val="58353FC6"/>
    <w:rsid w:val="590B4D12"/>
    <w:rsid w:val="59F70394"/>
    <w:rsid w:val="5B5760B0"/>
    <w:rsid w:val="5B788B4C"/>
    <w:rsid w:val="5D3C852E"/>
    <w:rsid w:val="62993DC3"/>
    <w:rsid w:val="63365415"/>
    <w:rsid w:val="63F84288"/>
    <w:rsid w:val="66AFCFA2"/>
    <w:rsid w:val="6805A8FD"/>
    <w:rsid w:val="6B23A496"/>
    <w:rsid w:val="6B31D7A2"/>
    <w:rsid w:val="6C2A7269"/>
    <w:rsid w:val="6D757224"/>
    <w:rsid w:val="707E9E70"/>
    <w:rsid w:val="734B1071"/>
    <w:rsid w:val="73B22ADA"/>
    <w:rsid w:val="75D948AC"/>
    <w:rsid w:val="7682B133"/>
    <w:rsid w:val="78394C23"/>
    <w:rsid w:val="7EF362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FB76D"/>
  <w15:docId w15:val="{A310872F-626B-4B00-870A-4348EC776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695B"/>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2B274C"/>
    <w:pPr>
      <w:tabs>
        <w:tab w:val="clear" w:pos="567"/>
      </w:tabs>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7C4D64"/>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9A2C92"/>
    <w:pPr>
      <w:tabs>
        <w:tab w:val="clear" w:pos="567"/>
      </w:tabs>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BD6EEE"/>
    <w:pPr>
      <w:keepNext/>
      <w:widowControl w:val="0"/>
      <w:spacing w:before="24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BD13E7"/>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782EC4"/>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6226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6"/>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65BA8"/>
    <w:pPr>
      <w:numPr>
        <w:ilvl w:val="8"/>
        <w:numId w:val="6"/>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F74B4B"/>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qFormat/>
    <w:rsid w:val="00485F13"/>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rsid w:val="00C21EF9"/>
    <w:pPr>
      <w:numPr>
        <w:numId w:val="7"/>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641D96"/>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FE5C6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65BA8"/>
    <w:pPr>
      <w:shd w:val="clear" w:color="auto" w:fill="000080"/>
    </w:pPr>
    <w:rPr>
      <w:rFonts w:ascii="Tahoma" w:hAnsi="Tahoma" w:cs="Tahoma"/>
      <w:szCs w:val="20"/>
    </w:rPr>
  </w:style>
  <w:style w:type="paragraph" w:styleId="Footer">
    <w:name w:val="footer"/>
    <w:basedOn w:val="Normal"/>
    <w:link w:val="FooterChar"/>
    <w:uiPriority w:val="99"/>
    <w:unhideWhenUsed/>
    <w:rsid w:val="007A178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qFormat/>
    <w:rsid w:val="0026115B"/>
    <w:rPr>
      <w:rFonts w:ascii="Work Sans" w:hAnsi="Work Sans"/>
      <w:sz w:val="20"/>
      <w:szCs w:val="20"/>
      <w:vertAlign w:val="superscript"/>
    </w:rPr>
  </w:style>
  <w:style w:type="paragraph" w:styleId="FootnoteText">
    <w:name w:val="footnote text"/>
    <w:basedOn w:val="Normal"/>
    <w:link w:val="FootnoteTextChar"/>
    <w:autoRedefine/>
    <w:qFormat/>
    <w:rsid w:val="009B2020"/>
    <w:pPr>
      <w:spacing w:before="40" w:line="240" w:lineRule="auto"/>
      <w:ind w:left="142" w:hanging="142"/>
    </w:pPr>
    <w:rPr>
      <w:rFonts w:ascii="Work Sans" w:hAnsi="Work Sans"/>
      <w:sz w:val="14"/>
      <w:szCs w:val="16"/>
    </w:rPr>
  </w:style>
  <w:style w:type="paragraph" w:styleId="Header">
    <w:name w:val="header"/>
    <w:basedOn w:val="Footer"/>
    <w:link w:val="HeaderChar"/>
    <w:uiPriority w:val="99"/>
    <w:unhideWhenUsed/>
    <w:rsid w:val="007A1785"/>
  </w:style>
  <w:style w:type="character" w:styleId="Hyperlink">
    <w:name w:val="Hyperlink"/>
    <w:basedOn w:val="DefaultParagraphFont"/>
    <w:uiPriority w:val="99"/>
    <w:unhideWhenUsed/>
    <w:qFormat/>
    <w:rsid w:val="00782EC4"/>
    <w:rPr>
      <w:color w:val="006991"/>
      <w:u w:val="single"/>
    </w:rPr>
  </w:style>
  <w:style w:type="character" w:styleId="PageNumber">
    <w:name w:val="page number"/>
    <w:basedOn w:val="DefaultParagraphFont"/>
    <w:rsid w:val="00765BA8"/>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85F13"/>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EB6889"/>
    <w:pPr>
      <w:spacing w:before="120"/>
    </w:pPr>
    <w:rPr>
      <w:rFonts w:ascii="Work Sans" w:hAnsi="Work Sans"/>
      <w:b w:val="0"/>
    </w:rPr>
  </w:style>
  <w:style w:type="paragraph" w:styleId="TOC3">
    <w:name w:val="toc 3"/>
    <w:basedOn w:val="TOC2"/>
    <w:next w:val="Normal"/>
    <w:uiPriority w:val="39"/>
    <w:rsid w:val="00485F13"/>
    <w:pPr>
      <w:ind w:left="397"/>
    </w:pPr>
    <w:rPr>
      <w:rFonts w:ascii="Open Sans Light" w:hAnsi="Open Sans Light"/>
      <w:iCs/>
    </w:rPr>
  </w:style>
  <w:style w:type="paragraph" w:styleId="TOC4">
    <w:name w:val="toc 4"/>
    <w:basedOn w:val="TOC3"/>
    <w:next w:val="Normal"/>
    <w:uiPriority w:val="39"/>
    <w:rsid w:val="00FE5C60"/>
    <w:pPr>
      <w:ind w:left="680"/>
    </w:pPr>
    <w:rPr>
      <w:i/>
    </w:rPr>
  </w:style>
  <w:style w:type="paragraph" w:styleId="TOC5">
    <w:name w:val="toc 5"/>
    <w:basedOn w:val="TOC3"/>
    <w:next w:val="Normal"/>
    <w:uiPriority w:val="39"/>
    <w:rsid w:val="007A1785"/>
    <w:pPr>
      <w:spacing w:before="0"/>
      <w:ind w:left="964"/>
    </w:pPr>
    <w:rPr>
      <w:szCs w:val="18"/>
    </w:rPr>
  </w:style>
  <w:style w:type="paragraph" w:styleId="TOC6">
    <w:name w:val="toc 6"/>
    <w:basedOn w:val="TOC5"/>
    <w:next w:val="Normal"/>
    <w:uiPriority w:val="39"/>
    <w:rsid w:val="007A1785"/>
    <w:rPr>
      <w:i/>
    </w:rPr>
  </w:style>
  <w:style w:type="paragraph" w:styleId="TOC7">
    <w:name w:val="toc 7"/>
    <w:basedOn w:val="Normal"/>
    <w:next w:val="Normal"/>
    <w:rsid w:val="00765BA8"/>
    <w:pPr>
      <w:tabs>
        <w:tab w:val="clear" w:pos="567"/>
      </w:tabs>
      <w:ind w:left="1320"/>
    </w:pPr>
    <w:rPr>
      <w:sz w:val="18"/>
      <w:szCs w:val="18"/>
    </w:rPr>
  </w:style>
  <w:style w:type="paragraph" w:styleId="TOC8">
    <w:name w:val="toc 8"/>
    <w:basedOn w:val="Normal"/>
    <w:next w:val="Normal"/>
    <w:rsid w:val="00765BA8"/>
    <w:pPr>
      <w:tabs>
        <w:tab w:val="clear" w:pos="567"/>
      </w:tabs>
      <w:ind w:left="1540"/>
    </w:pPr>
    <w:rPr>
      <w:sz w:val="18"/>
      <w:szCs w:val="18"/>
    </w:rPr>
  </w:style>
  <w:style w:type="paragraph" w:styleId="TOC9">
    <w:name w:val="toc 9"/>
    <w:basedOn w:val="Normal"/>
    <w:next w:val="Normal"/>
    <w:rsid w:val="00765BA8"/>
    <w:pPr>
      <w:tabs>
        <w:tab w:val="clear" w:pos="567"/>
      </w:tabs>
      <w:ind w:left="1760"/>
    </w:pPr>
    <w:rPr>
      <w:sz w:val="18"/>
      <w:szCs w:val="18"/>
    </w:rPr>
  </w:style>
  <w:style w:type="character" w:customStyle="1" w:styleId="Heading1Char">
    <w:name w:val="Heading 1 Char"/>
    <w:basedOn w:val="DefaultParagraphFont"/>
    <w:link w:val="Heading1"/>
    <w:uiPriority w:val="9"/>
    <w:rsid w:val="002B274C"/>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7C4D64"/>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9A2C92"/>
    <w:rPr>
      <w:rFonts w:ascii="Work Sans" w:eastAsia="Times New Roman" w:hAnsi="Work Sans" w:cs="Open Sans"/>
      <w:b/>
      <w:bCs/>
      <w:color w:val="006991"/>
      <w:sz w:val="28"/>
      <w:szCs w:val="28"/>
    </w:rPr>
  </w:style>
  <w:style w:type="character" w:customStyle="1" w:styleId="Heading4Char">
    <w:name w:val="Heading 4 Char"/>
    <w:aliases w:val="CGC 2025 Heading 4 Char"/>
    <w:basedOn w:val="DefaultParagraphFont"/>
    <w:link w:val="Heading4"/>
    <w:uiPriority w:val="9"/>
    <w:rsid w:val="00BD6EEE"/>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BD13E7"/>
    <w:rPr>
      <w:rFonts w:ascii="Montserrat Semi Bold" w:eastAsiaTheme="majorEastAsia" w:hAnsi="Montserrat Semi Bold" w:cstheme="majorBidi"/>
      <w:color w:val="636466"/>
      <w:sz w:val="20"/>
    </w:rPr>
  </w:style>
  <w:style w:type="paragraph" w:styleId="NoSpacing">
    <w:name w:val="No Spacing"/>
    <w:link w:val="NoSpacingChar"/>
    <w:uiPriority w:val="1"/>
    <w:qFormat/>
    <w:rsid w:val="00782EC4"/>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782EC4"/>
    <w:rPr>
      <w:sz w:val="24"/>
    </w:rPr>
  </w:style>
  <w:style w:type="paragraph" w:styleId="ListParagraph">
    <w:name w:val="List Paragraph"/>
    <w:basedOn w:val="Normal"/>
    <w:link w:val="ListParagraphChar"/>
    <w:uiPriority w:val="34"/>
    <w:qFormat/>
    <w:rsid w:val="00622669"/>
    <w:pPr>
      <w:ind w:left="720"/>
      <w:contextualSpacing/>
    </w:pPr>
  </w:style>
  <w:style w:type="paragraph" w:styleId="TOCHeading">
    <w:name w:val="TOC Heading"/>
    <w:aliases w:val="CGC 2025 TOC Heading"/>
    <w:basedOn w:val="Heading1"/>
    <w:next w:val="Normal"/>
    <w:uiPriority w:val="39"/>
    <w:unhideWhenUsed/>
    <w:qFormat/>
    <w:rsid w:val="00032318"/>
    <w:pPr>
      <w:keepLines/>
      <w:spacing w:before="480" w:line="320" w:lineRule="atLeast"/>
      <w:outlineLvl w:val="9"/>
    </w:pPr>
    <w:rPr>
      <w:caps/>
      <w:color w:val="365F91" w:themeColor="accent1" w:themeShade="BF"/>
      <w:sz w:val="28"/>
    </w:rPr>
  </w:style>
  <w:style w:type="character" w:customStyle="1" w:styleId="FooterChar">
    <w:name w:val="Footer Char"/>
    <w:basedOn w:val="DefaultParagraphFont"/>
    <w:link w:val="Footer"/>
    <w:uiPriority w:val="99"/>
    <w:rsid w:val="007A1785"/>
    <w:rPr>
      <w:rFonts w:ascii="Montserrat Ultra Light" w:hAnsi="Montserrat Ultra Light"/>
      <w:b/>
      <w:color w:val="004563"/>
      <w:sz w:val="20"/>
    </w:rPr>
  </w:style>
  <w:style w:type="character" w:customStyle="1" w:styleId="HeaderChar">
    <w:name w:val="Header Char"/>
    <w:basedOn w:val="DefaultParagraphFont"/>
    <w:link w:val="Header"/>
    <w:uiPriority w:val="99"/>
    <w:rsid w:val="007A1785"/>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622669"/>
  </w:style>
  <w:style w:type="character" w:customStyle="1" w:styleId="CaptionChar">
    <w:name w:val="Caption Char"/>
    <w:basedOn w:val="DefaultParagraphFont"/>
    <w:link w:val="Caption"/>
    <w:rsid w:val="00485F13"/>
    <w:rPr>
      <w:rFonts w:ascii="Montserrat Ultra Light" w:hAnsi="Montserrat Ultra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rsid w:val="009B2020"/>
    <w:rPr>
      <w:rFonts w:ascii="Work Sans" w:hAnsi="Work Sans"/>
      <w:sz w:val="14"/>
      <w:szCs w:val="16"/>
    </w:rPr>
  </w:style>
  <w:style w:type="character" w:customStyle="1" w:styleId="Heading6Char">
    <w:name w:val="Heading 6 Char"/>
    <w:basedOn w:val="DefaultParagraphFont"/>
    <w:link w:val="Heading6"/>
    <w:uiPriority w:val="9"/>
    <w:rsid w:val="00782EC4"/>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paragraph" w:customStyle="1" w:styleId="CGCParaNumber">
    <w:name w:val="CGC Para Number"/>
    <w:basedOn w:val="Normal"/>
    <w:qFormat/>
    <w:rsid w:val="00956C4E"/>
    <w:pPr>
      <w:numPr>
        <w:numId w:val="12"/>
      </w:numPr>
      <w:ind w:left="567" w:hanging="567"/>
    </w:pPr>
    <w:rPr>
      <w:rFonts w:ascii="Work Sans" w:hAnsi="Work Sans"/>
      <w:szCs w:val="20"/>
    </w:rPr>
  </w:style>
  <w:style w:type="paragraph" w:customStyle="1" w:styleId="CGC2025Bullet1">
    <w:name w:val="CGC 2025 Bullet 1"/>
    <w:basedOn w:val="Normal"/>
    <w:qFormat/>
    <w:rsid w:val="00956C4E"/>
    <w:pPr>
      <w:numPr>
        <w:numId w:val="8"/>
      </w:numPr>
    </w:pPr>
    <w:rPr>
      <w:rFonts w:ascii="Work Sans" w:hAnsi="Work Sans"/>
      <w:szCs w:val="20"/>
    </w:rPr>
  </w:style>
  <w:style w:type="paragraph" w:customStyle="1" w:styleId="CGCBullet2">
    <w:name w:val="CGC Bullet 2"/>
    <w:basedOn w:val="Normal"/>
    <w:qFormat/>
    <w:rsid w:val="00DA7A60"/>
    <w:pPr>
      <w:numPr>
        <w:numId w:val="9"/>
      </w:numPr>
    </w:pPr>
  </w:style>
  <w:style w:type="paragraph" w:customStyle="1" w:styleId="CGCBullet3">
    <w:name w:val="CGC Bullet 3"/>
    <w:basedOn w:val="Normal"/>
    <w:qFormat/>
    <w:rsid w:val="007A1785"/>
    <w:pPr>
      <w:numPr>
        <w:numId w:val="10"/>
      </w:numPr>
      <w:ind w:left="1491" w:hanging="357"/>
    </w:pPr>
  </w:style>
  <w:style w:type="paragraph" w:customStyle="1" w:styleId="CGCQuoteText">
    <w:name w:val="CGC Quote Text"/>
    <w:basedOn w:val="Normal"/>
    <w:next w:val="Normal"/>
    <w:rsid w:val="00782EC4"/>
    <w:pPr>
      <w:spacing w:after="120"/>
      <w:ind w:left="1418" w:right="1134"/>
    </w:pPr>
  </w:style>
  <w:style w:type="paragraph" w:customStyle="1" w:styleId="CGCQuoteBullet">
    <w:name w:val="CGC Quote Bullet"/>
    <w:basedOn w:val="CGCQuoteText"/>
    <w:next w:val="Normal"/>
    <w:rsid w:val="00782EC4"/>
    <w:pPr>
      <w:numPr>
        <w:numId w:val="11"/>
      </w:numPr>
      <w:ind w:right="1418"/>
    </w:pPr>
  </w:style>
  <w:style w:type="paragraph" w:customStyle="1" w:styleId="CGCTablerow">
    <w:name w:val="CGC Table row"/>
    <w:basedOn w:val="Normal"/>
    <w:qFormat/>
    <w:rsid w:val="00782EC4"/>
    <w:pPr>
      <w:spacing w:before="0" w:line="240" w:lineRule="auto"/>
    </w:pPr>
    <w:rPr>
      <w:sz w:val="16"/>
    </w:rPr>
  </w:style>
  <w:style w:type="paragraph" w:customStyle="1" w:styleId="CGCTablenote">
    <w:name w:val="CGC Table note"/>
    <w:basedOn w:val="Normal"/>
    <w:next w:val="Normal"/>
    <w:link w:val="CGCTablenoteChar"/>
    <w:qFormat/>
    <w:rsid w:val="00FE5C60"/>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FE5C60"/>
    <w:rPr>
      <w:rFonts w:ascii="Montserrat Ultra Light" w:hAnsi="Montserrat Ultra Light"/>
      <w:b/>
      <w:sz w:val="20"/>
      <w:szCs w:val="20"/>
    </w:rPr>
  </w:style>
  <w:style w:type="paragraph" w:customStyle="1" w:styleId="TOCtitle">
    <w:name w:val="TOC title"/>
    <w:basedOn w:val="Normal"/>
    <w:next w:val="Normal"/>
    <w:rsid w:val="001C1121"/>
    <w:rPr>
      <w:rFonts w:ascii="Montserrat Semi Bold" w:hAnsi="Montserrat Semi Bold"/>
      <w:color w:val="004563"/>
      <w:sz w:val="36"/>
      <w:lang w:val="en-US"/>
    </w:rPr>
  </w:style>
  <w:style w:type="character" w:styleId="CommentReference">
    <w:name w:val="annotation reference"/>
    <w:basedOn w:val="DefaultParagraphFont"/>
    <w:semiHidden/>
    <w:unhideWhenUsed/>
    <w:rsid w:val="00CA7A75"/>
    <w:rPr>
      <w:sz w:val="16"/>
      <w:szCs w:val="16"/>
    </w:rPr>
  </w:style>
  <w:style w:type="paragraph" w:styleId="CommentText">
    <w:name w:val="annotation text"/>
    <w:basedOn w:val="Normal"/>
    <w:link w:val="CommentTextChar"/>
    <w:unhideWhenUsed/>
    <w:rsid w:val="00CA7A75"/>
    <w:pPr>
      <w:spacing w:line="240" w:lineRule="auto"/>
    </w:pPr>
    <w:rPr>
      <w:szCs w:val="20"/>
    </w:rPr>
  </w:style>
  <w:style w:type="character" w:customStyle="1" w:styleId="CommentTextChar">
    <w:name w:val="Comment Text Char"/>
    <w:basedOn w:val="DefaultParagraphFont"/>
    <w:link w:val="CommentText"/>
    <w:rsid w:val="00CA7A75"/>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CA7A75"/>
    <w:rPr>
      <w:b/>
      <w:bCs/>
    </w:rPr>
  </w:style>
  <w:style w:type="character" w:customStyle="1" w:styleId="CommentSubjectChar">
    <w:name w:val="Comment Subject Char"/>
    <w:basedOn w:val="CommentTextChar"/>
    <w:link w:val="CommentSubject"/>
    <w:semiHidden/>
    <w:rsid w:val="00CA7A75"/>
    <w:rPr>
      <w:rFonts w:ascii="Open Sans Light" w:hAnsi="Open Sans Light"/>
      <w:b/>
      <w:bCs/>
      <w:sz w:val="20"/>
      <w:szCs w:val="20"/>
    </w:rPr>
  </w:style>
  <w:style w:type="paragraph" w:customStyle="1" w:styleId="CGCTablesubhead1">
    <w:name w:val="CGC Table subhead1"/>
    <w:basedOn w:val="Normal"/>
    <w:rsid w:val="00BF20E8"/>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4F4A13"/>
    <w:rPr>
      <w:color w:val="605E5C"/>
      <w:shd w:val="clear" w:color="auto" w:fill="E1DFDD"/>
    </w:rPr>
  </w:style>
  <w:style w:type="character" w:styleId="Mention">
    <w:name w:val="Mention"/>
    <w:basedOn w:val="DefaultParagraphFont"/>
    <w:uiPriority w:val="99"/>
    <w:unhideWhenUsed/>
    <w:rsid w:val="004F4A13"/>
    <w:rPr>
      <w:color w:val="2B579A"/>
      <w:shd w:val="clear" w:color="auto" w:fill="E1DFDD"/>
    </w:rPr>
  </w:style>
  <w:style w:type="paragraph" w:customStyle="1" w:styleId="Bulletpoint">
    <w:name w:val="Bullet point"/>
    <w:basedOn w:val="ListParagraph"/>
    <w:link w:val="BulletpointChar"/>
    <w:qFormat/>
    <w:rsid w:val="00A5102B"/>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A5102B"/>
    <w:rPr>
      <w:rFonts w:ascii="Open Sans Light" w:hAnsi="Open Sans Light"/>
      <w:sz w:val="20"/>
    </w:rPr>
  </w:style>
  <w:style w:type="character" w:customStyle="1" w:styleId="BulletpointChar">
    <w:name w:val="Bullet point Char"/>
    <w:basedOn w:val="ListParagraphChar"/>
    <w:link w:val="Bulletpoint"/>
    <w:rsid w:val="00A5102B"/>
    <w:rPr>
      <w:rFonts w:ascii="Open Sans Light" w:hAnsi="Open Sans Light"/>
      <w:sz w:val="20"/>
    </w:rPr>
  </w:style>
  <w:style w:type="paragraph" w:styleId="Revision">
    <w:name w:val="Revision"/>
    <w:hidden/>
    <w:uiPriority w:val="99"/>
    <w:semiHidden/>
    <w:rsid w:val="001B76A8"/>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1307A8"/>
    <w:pPr>
      <w:numPr>
        <w:numId w:val="13"/>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rsid w:val="001307A8"/>
    <w:pPr>
      <w:numPr>
        <w:ilvl w:val="1"/>
        <w:numId w:val="14"/>
      </w:numPr>
      <w:tabs>
        <w:tab w:val="clear" w:pos="567"/>
      </w:tabs>
      <w:spacing w:after="80" w:line="320" w:lineRule="atLeast"/>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1307A8"/>
    <w:rPr>
      <w:sz w:val="24"/>
      <w:szCs w:val="20"/>
    </w:rPr>
  </w:style>
  <w:style w:type="character" w:customStyle="1" w:styleId="cf01">
    <w:name w:val="cf01"/>
    <w:basedOn w:val="DefaultParagraphFont"/>
    <w:rsid w:val="002F0D1B"/>
    <w:rPr>
      <w:rFonts w:ascii="Segoe UI" w:hAnsi="Segoe UI" w:cs="Segoe UI" w:hint="default"/>
      <w:sz w:val="18"/>
      <w:szCs w:val="18"/>
    </w:rPr>
  </w:style>
  <w:style w:type="table" w:customStyle="1" w:styleId="TableGrid1">
    <w:name w:val="Table Grid1"/>
    <w:basedOn w:val="TableNormal"/>
    <w:next w:val="TableGrid"/>
    <w:uiPriority w:val="39"/>
    <w:rsid w:val="002F08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6E3848"/>
    <w:rPr>
      <w:color w:val="800080" w:themeColor="followedHyperlink"/>
      <w:u w:val="single"/>
    </w:rPr>
  </w:style>
  <w:style w:type="paragraph" w:customStyle="1" w:styleId="CGC2025QuestionNumbers">
    <w:name w:val="CGC 2025 Question Numbers"/>
    <w:basedOn w:val="Normal"/>
    <w:qFormat/>
    <w:rsid w:val="00084EE0"/>
    <w:pPr>
      <w:numPr>
        <w:numId w:val="45"/>
      </w:numPr>
      <w:spacing w:after="120"/>
    </w:pPr>
    <w:rPr>
      <w:rFonts w:ascii="Work Sans" w:hAnsi="Work Sans" w:cs="Open Sans Light"/>
      <w:szCs w:val="20"/>
    </w:rPr>
  </w:style>
  <w:style w:type="numbering" w:customStyle="1" w:styleId="CGCConsultQuestion">
    <w:name w:val="CGC Consult Question"/>
    <w:basedOn w:val="NoList"/>
    <w:uiPriority w:val="99"/>
    <w:rsid w:val="00084EE0"/>
    <w:pPr>
      <w:numPr>
        <w:numId w:val="42"/>
      </w:numPr>
    </w:pPr>
  </w:style>
  <w:style w:type="paragraph" w:customStyle="1" w:styleId="CGC2025ParaNumbers">
    <w:name w:val="CGC 2025 Para Numbers"/>
    <w:basedOn w:val="CGCNumberedPara"/>
    <w:rsid w:val="004477FF"/>
    <w:rPr>
      <w:rFonts w:ascii="Work Sans" w:hAnsi="Work Sans"/>
      <w:sz w:val="20"/>
    </w:rPr>
  </w:style>
  <w:style w:type="paragraph" w:customStyle="1" w:styleId="CGC2025Bullet2">
    <w:name w:val="CGC 2025 Bullet 2"/>
    <w:basedOn w:val="CGCBullet2"/>
    <w:rsid w:val="00294D2F"/>
    <w:rPr>
      <w:rFonts w:ascii="Work Sans" w:hAnsi="Work Sans"/>
    </w:rPr>
  </w:style>
  <w:style w:type="paragraph" w:customStyle="1" w:styleId="CGC2025Heading2AttachmentFollower">
    <w:name w:val="CGC 2025 Heading 2 Attachment Follower"/>
    <w:basedOn w:val="Heading2"/>
    <w:rsid w:val="00294D2F"/>
    <w:rPr>
      <w:b w:val="0"/>
      <w:bCs w:val="0"/>
    </w:rPr>
  </w:style>
  <w:style w:type="paragraph" w:customStyle="1" w:styleId="CGC2025Caption">
    <w:name w:val="CGC 2025 Caption"/>
    <w:basedOn w:val="Normal"/>
    <w:qFormat/>
    <w:rsid w:val="0036695B"/>
    <w:pPr>
      <w:spacing w:before="240" w:after="120" w:line="240" w:lineRule="auto"/>
    </w:pPr>
    <w:rPr>
      <w:rFonts w:ascii="Work Sans" w:hAnsi="Work Sans"/>
      <w:b/>
    </w:rPr>
  </w:style>
  <w:style w:type="paragraph" w:customStyle="1" w:styleId="CGC2025Questionsnumbers2">
    <w:name w:val="CGC 2025 Questions numbers 2"/>
    <w:basedOn w:val="Normal"/>
    <w:next w:val="CGC2025ParaNumbers"/>
    <w:qFormat/>
    <w:rsid w:val="004824F0"/>
    <w:pPr>
      <w:numPr>
        <w:numId w:val="47"/>
      </w:numPr>
      <w:ind w:left="454" w:hanging="454"/>
    </w:pPr>
    <w:rPr>
      <w:rFonts w:ascii="Work Sans" w:hAnsi="Work Sans" w:cs="Open Sans"/>
      <w:bCs/>
      <w:szCs w:val="56"/>
    </w:rPr>
  </w:style>
  <w:style w:type="paragraph" w:customStyle="1" w:styleId="CGC2025TableNote">
    <w:name w:val="CGC 2025 Table Note"/>
    <w:basedOn w:val="CGCTablenote"/>
    <w:link w:val="CGC2025TableNoteChar"/>
    <w:qFormat/>
    <w:rsid w:val="00FB59C2"/>
    <w:rPr>
      <w:rFonts w:ascii="Work Sans" w:hAnsi="Work Sans"/>
    </w:rPr>
  </w:style>
  <w:style w:type="character" w:customStyle="1" w:styleId="CGCTablenoteChar">
    <w:name w:val="CGC Table note Char"/>
    <w:basedOn w:val="DefaultParagraphFont"/>
    <w:link w:val="CGCTablenote"/>
    <w:rsid w:val="00FB59C2"/>
    <w:rPr>
      <w:rFonts w:ascii="Open Sans Light" w:hAnsi="Open Sans Light"/>
      <w:sz w:val="14"/>
    </w:rPr>
  </w:style>
  <w:style w:type="character" w:customStyle="1" w:styleId="CGC2025TableNoteChar">
    <w:name w:val="CGC 2025 Table Note Char"/>
    <w:basedOn w:val="CGCTablenoteChar"/>
    <w:link w:val="CGC2025TableNote"/>
    <w:rsid w:val="00FB59C2"/>
    <w:rPr>
      <w:rFonts w:ascii="Work Sans" w:hAnsi="Work Sans"/>
      <w:sz w:val="14"/>
    </w:rPr>
  </w:style>
  <w:style w:type="paragraph" w:customStyle="1" w:styleId="CGCBullet1">
    <w:name w:val="CGC Bullet 1"/>
    <w:basedOn w:val="Normal"/>
    <w:qFormat/>
    <w:rsid w:val="003D71FB"/>
    <w:pPr>
      <w:ind w:left="924" w:hanging="357"/>
    </w:pPr>
    <w:rPr>
      <w:rFonts w:ascii="Work Sans" w:hAnsi="Work Sans"/>
      <w:szCs w:val="20"/>
    </w:rPr>
  </w:style>
  <w:style w:type="paragraph" w:customStyle="1" w:styleId="BodyCopyWorkSans10">
    <w:name w:val="Body Copy Work Sans 10"/>
    <w:basedOn w:val="Normal"/>
    <w:link w:val="BodyCopyWorkSans10Char"/>
    <w:qFormat/>
    <w:rsid w:val="006E3E96"/>
    <w:pPr>
      <w:numPr>
        <w:numId w:val="48"/>
      </w:numPr>
    </w:pPr>
    <w:rPr>
      <w:rFonts w:ascii="Work Sans" w:hAnsi="Work Sans"/>
    </w:rPr>
  </w:style>
  <w:style w:type="character" w:customStyle="1" w:styleId="BodyCopyWorkSans10Char">
    <w:name w:val="Body Copy Work Sans 10 Char"/>
    <w:basedOn w:val="DefaultParagraphFont"/>
    <w:link w:val="BodyCopyWorkSans10"/>
    <w:rsid w:val="006E3E96"/>
    <w:rPr>
      <w:rFonts w:ascii="Work Sans" w:hAnsi="Work 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02">
      <w:bodyDiv w:val="1"/>
      <w:marLeft w:val="0"/>
      <w:marRight w:val="0"/>
      <w:marTop w:val="0"/>
      <w:marBottom w:val="0"/>
      <w:divBdr>
        <w:top w:val="none" w:sz="0" w:space="0" w:color="auto"/>
        <w:left w:val="none" w:sz="0" w:space="0" w:color="auto"/>
        <w:bottom w:val="none" w:sz="0" w:space="0" w:color="auto"/>
        <w:right w:val="none" w:sz="0" w:space="0" w:color="auto"/>
      </w:divBdr>
    </w:div>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894314632">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855532205">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gc.gov.au/reports-for-government/2020-review"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cgc.gov.au/sites/default/files/2021-11/r2020_report_-_volume_2_-_part_b_ch5-18.pdf" TargetMode="External"/><Relationship Id="rId1" Type="http://schemas.openxmlformats.org/officeDocument/2006/relationships/hyperlink" Target="https://www.aihw.gov.au/mental-health/resources/data-tab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60229631F80714C9595CC742C6B48E8" ma:contentTypeVersion="16" ma:contentTypeDescription="Create a new document." ma:contentTypeScope="" ma:versionID="587377675d66a617c05529d80887533c">
  <xsd:schema xmlns:xsd="http://www.w3.org/2001/XMLSchema" xmlns:xs="http://www.w3.org/2001/XMLSchema" xmlns:p="http://schemas.microsoft.com/office/2006/metadata/properties" xmlns:ns2="b947e97b-0e0d-4a37-b7a7-c36958e104ca" xmlns:ns3="cde6150a-2887-4330-9d33-41179dba62e9" targetNamespace="http://schemas.microsoft.com/office/2006/metadata/properties" ma:root="true" ma:fieldsID="6ef3d4c26885e350e4ca4a1c7d57392c" ns2:_="" ns3:_="">
    <xsd:import namespace="b947e97b-0e0d-4a37-b7a7-c36958e104ca"/>
    <xsd:import namespace="cde6150a-2887-4330-9d33-41179dba62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7e97b-0e0d-4a37-b7a7-c36958e10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6150a-2887-4330-9d33-41179dba62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a1c902-3ee1-4304-9c6c-5526e8376569}" ma:internalName="TaxCatchAll" ma:showField="CatchAllData" ma:web="cde6150a-2887-4330-9d33-41179dba62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de6150a-2887-4330-9d33-41179dba62e9">
      <UserInfo>
        <DisplayName>SharingLinks.e162209a-1436-410d-b1f7-c80446ffb735.OrganizationView.4b099220-6800-4869-a52a-eed6607d0cab</DisplayName>
        <AccountId>45</AccountId>
        <AccountType/>
      </UserInfo>
      <UserInfo>
        <DisplayName>Dermot Doherty</DisplayName>
        <AccountId>30</AccountId>
        <AccountType/>
      </UserInfo>
      <UserInfo>
        <DisplayName>Katrina Baldock</DisplayName>
        <AccountId>209</AccountId>
        <AccountType/>
      </UserInfo>
      <UserInfo>
        <DisplayName>Ben Crabb</DisplayName>
        <AccountId>48</AccountId>
        <AccountType/>
      </UserInfo>
      <UserInfo>
        <DisplayName>Annie Abello</DisplayName>
        <AccountId>13</AccountId>
        <AccountType/>
      </UserInfo>
      <UserInfo>
        <DisplayName>Rose Verspaandonk</DisplayName>
        <AccountId>62</AccountId>
        <AccountType/>
      </UserInfo>
      <UserInfo>
        <DisplayName>Jeffrey Evans</DisplayName>
        <AccountId>15</AccountId>
        <AccountType/>
      </UserInfo>
    </SharedWithUsers>
    <TaxCatchAll xmlns="cde6150a-2887-4330-9d33-41179dba62e9" xsi:nil="true"/>
    <lcf76f155ced4ddcb4097134ff3c332f xmlns="b947e97b-0e0d-4a37-b7a7-c36958e104c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2.xml><?xml version="1.0" encoding="utf-8"?>
<ds:datastoreItem xmlns:ds="http://schemas.openxmlformats.org/officeDocument/2006/customXml" ds:itemID="{DE7C10E9-A66A-4801-BA8A-FC9548140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7e97b-0e0d-4a37-b7a7-c36958e104ca"/>
    <ds:schemaRef ds:uri="cde6150a-2887-4330-9d33-41179dba6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2A4F8F-140F-4856-8B9E-31DCD427886D}">
  <ds:schemaRefs>
    <ds:schemaRef ds:uri="http://schemas.microsoft.com/office/2006/metadata/properties"/>
    <ds:schemaRef ds:uri="http://schemas.microsoft.com/office/infopath/2007/PartnerControls"/>
    <ds:schemaRef ds:uri="cde6150a-2887-4330-9d33-41179dba62e9"/>
    <ds:schemaRef ds:uri="b947e97b-0e0d-4a37-b7a7-c36958e104ca"/>
  </ds:schemaRefs>
</ds:datastoreItem>
</file>

<file path=customXml/itemProps4.xml><?xml version="1.0" encoding="utf-8"?>
<ds:datastoreItem xmlns:ds="http://schemas.openxmlformats.org/officeDocument/2006/customXml" ds:itemID="{0DF9C94A-53B2-4B40-BB19-46D4024B1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32</Pages>
  <Words>8829</Words>
  <Characters>49884</Characters>
  <Application>Microsoft Office Word</Application>
  <DocSecurity>0</DocSecurity>
  <Lines>1720</Lines>
  <Paragraphs>1067</Paragraphs>
  <ScaleCrop>false</ScaleCrop>
  <Company>Hewlett-Packard Company</Company>
  <LinksUpToDate>false</LinksUpToDate>
  <CharactersWithSpaces>57646</CharactersWithSpaces>
  <SharedDoc>false</SharedDoc>
  <HLinks>
    <vt:vector size="162" baseType="variant">
      <vt:variant>
        <vt:i4>786522</vt:i4>
      </vt:variant>
      <vt:variant>
        <vt:i4>159</vt:i4>
      </vt:variant>
      <vt:variant>
        <vt:i4>0</vt:i4>
      </vt:variant>
      <vt:variant>
        <vt:i4>5</vt:i4>
      </vt:variant>
      <vt:variant>
        <vt:lpwstr>https://www.cgc.gov.au/reports-for-government/2020-review</vt:lpwstr>
      </vt:variant>
      <vt:variant>
        <vt:lpwstr/>
      </vt:variant>
      <vt:variant>
        <vt:i4>1245236</vt:i4>
      </vt:variant>
      <vt:variant>
        <vt:i4>128</vt:i4>
      </vt:variant>
      <vt:variant>
        <vt:i4>0</vt:i4>
      </vt:variant>
      <vt:variant>
        <vt:i4>5</vt:i4>
      </vt:variant>
      <vt:variant>
        <vt:lpwstr/>
      </vt:variant>
      <vt:variant>
        <vt:lpwstr>_Toc137725052</vt:lpwstr>
      </vt:variant>
      <vt:variant>
        <vt:i4>1245236</vt:i4>
      </vt:variant>
      <vt:variant>
        <vt:i4>122</vt:i4>
      </vt:variant>
      <vt:variant>
        <vt:i4>0</vt:i4>
      </vt:variant>
      <vt:variant>
        <vt:i4>5</vt:i4>
      </vt:variant>
      <vt:variant>
        <vt:lpwstr/>
      </vt:variant>
      <vt:variant>
        <vt:lpwstr>_Toc137725051</vt:lpwstr>
      </vt:variant>
      <vt:variant>
        <vt:i4>1245236</vt:i4>
      </vt:variant>
      <vt:variant>
        <vt:i4>116</vt:i4>
      </vt:variant>
      <vt:variant>
        <vt:i4>0</vt:i4>
      </vt:variant>
      <vt:variant>
        <vt:i4>5</vt:i4>
      </vt:variant>
      <vt:variant>
        <vt:lpwstr/>
      </vt:variant>
      <vt:variant>
        <vt:lpwstr>_Toc137725050</vt:lpwstr>
      </vt:variant>
      <vt:variant>
        <vt:i4>1179700</vt:i4>
      </vt:variant>
      <vt:variant>
        <vt:i4>110</vt:i4>
      </vt:variant>
      <vt:variant>
        <vt:i4>0</vt:i4>
      </vt:variant>
      <vt:variant>
        <vt:i4>5</vt:i4>
      </vt:variant>
      <vt:variant>
        <vt:lpwstr/>
      </vt:variant>
      <vt:variant>
        <vt:lpwstr>_Toc137725049</vt:lpwstr>
      </vt:variant>
      <vt:variant>
        <vt:i4>1179700</vt:i4>
      </vt:variant>
      <vt:variant>
        <vt:i4>104</vt:i4>
      </vt:variant>
      <vt:variant>
        <vt:i4>0</vt:i4>
      </vt:variant>
      <vt:variant>
        <vt:i4>5</vt:i4>
      </vt:variant>
      <vt:variant>
        <vt:lpwstr/>
      </vt:variant>
      <vt:variant>
        <vt:lpwstr>_Toc137725048</vt:lpwstr>
      </vt:variant>
      <vt:variant>
        <vt:i4>1179700</vt:i4>
      </vt:variant>
      <vt:variant>
        <vt:i4>98</vt:i4>
      </vt:variant>
      <vt:variant>
        <vt:i4>0</vt:i4>
      </vt:variant>
      <vt:variant>
        <vt:i4>5</vt:i4>
      </vt:variant>
      <vt:variant>
        <vt:lpwstr/>
      </vt:variant>
      <vt:variant>
        <vt:lpwstr>_Toc137725047</vt:lpwstr>
      </vt:variant>
      <vt:variant>
        <vt:i4>1179700</vt:i4>
      </vt:variant>
      <vt:variant>
        <vt:i4>92</vt:i4>
      </vt:variant>
      <vt:variant>
        <vt:i4>0</vt:i4>
      </vt:variant>
      <vt:variant>
        <vt:i4>5</vt:i4>
      </vt:variant>
      <vt:variant>
        <vt:lpwstr/>
      </vt:variant>
      <vt:variant>
        <vt:lpwstr>_Toc137725046</vt:lpwstr>
      </vt:variant>
      <vt:variant>
        <vt:i4>1179700</vt:i4>
      </vt:variant>
      <vt:variant>
        <vt:i4>86</vt:i4>
      </vt:variant>
      <vt:variant>
        <vt:i4>0</vt:i4>
      </vt:variant>
      <vt:variant>
        <vt:i4>5</vt:i4>
      </vt:variant>
      <vt:variant>
        <vt:lpwstr/>
      </vt:variant>
      <vt:variant>
        <vt:lpwstr>_Toc137725045</vt:lpwstr>
      </vt:variant>
      <vt:variant>
        <vt:i4>1179700</vt:i4>
      </vt:variant>
      <vt:variant>
        <vt:i4>80</vt:i4>
      </vt:variant>
      <vt:variant>
        <vt:i4>0</vt:i4>
      </vt:variant>
      <vt:variant>
        <vt:i4>5</vt:i4>
      </vt:variant>
      <vt:variant>
        <vt:lpwstr/>
      </vt:variant>
      <vt:variant>
        <vt:lpwstr>_Toc137725044</vt:lpwstr>
      </vt:variant>
      <vt:variant>
        <vt:i4>1179700</vt:i4>
      </vt:variant>
      <vt:variant>
        <vt:i4>74</vt:i4>
      </vt:variant>
      <vt:variant>
        <vt:i4>0</vt:i4>
      </vt:variant>
      <vt:variant>
        <vt:i4>5</vt:i4>
      </vt:variant>
      <vt:variant>
        <vt:lpwstr/>
      </vt:variant>
      <vt:variant>
        <vt:lpwstr>_Toc137725043</vt:lpwstr>
      </vt:variant>
      <vt:variant>
        <vt:i4>1179700</vt:i4>
      </vt:variant>
      <vt:variant>
        <vt:i4>68</vt:i4>
      </vt:variant>
      <vt:variant>
        <vt:i4>0</vt:i4>
      </vt:variant>
      <vt:variant>
        <vt:i4>5</vt:i4>
      </vt:variant>
      <vt:variant>
        <vt:lpwstr/>
      </vt:variant>
      <vt:variant>
        <vt:lpwstr>_Toc137725042</vt:lpwstr>
      </vt:variant>
      <vt:variant>
        <vt:i4>1179700</vt:i4>
      </vt:variant>
      <vt:variant>
        <vt:i4>62</vt:i4>
      </vt:variant>
      <vt:variant>
        <vt:i4>0</vt:i4>
      </vt:variant>
      <vt:variant>
        <vt:i4>5</vt:i4>
      </vt:variant>
      <vt:variant>
        <vt:lpwstr/>
      </vt:variant>
      <vt:variant>
        <vt:lpwstr>_Toc137725041</vt:lpwstr>
      </vt:variant>
      <vt:variant>
        <vt:i4>1179700</vt:i4>
      </vt:variant>
      <vt:variant>
        <vt:i4>56</vt:i4>
      </vt:variant>
      <vt:variant>
        <vt:i4>0</vt:i4>
      </vt:variant>
      <vt:variant>
        <vt:i4>5</vt:i4>
      </vt:variant>
      <vt:variant>
        <vt:lpwstr/>
      </vt:variant>
      <vt:variant>
        <vt:lpwstr>_Toc137725040</vt:lpwstr>
      </vt:variant>
      <vt:variant>
        <vt:i4>1376308</vt:i4>
      </vt:variant>
      <vt:variant>
        <vt:i4>50</vt:i4>
      </vt:variant>
      <vt:variant>
        <vt:i4>0</vt:i4>
      </vt:variant>
      <vt:variant>
        <vt:i4>5</vt:i4>
      </vt:variant>
      <vt:variant>
        <vt:lpwstr/>
      </vt:variant>
      <vt:variant>
        <vt:lpwstr>_Toc137725039</vt:lpwstr>
      </vt:variant>
      <vt:variant>
        <vt:i4>1376308</vt:i4>
      </vt:variant>
      <vt:variant>
        <vt:i4>44</vt:i4>
      </vt:variant>
      <vt:variant>
        <vt:i4>0</vt:i4>
      </vt:variant>
      <vt:variant>
        <vt:i4>5</vt:i4>
      </vt:variant>
      <vt:variant>
        <vt:lpwstr/>
      </vt:variant>
      <vt:variant>
        <vt:lpwstr>_Toc137725038</vt:lpwstr>
      </vt:variant>
      <vt:variant>
        <vt:i4>1376308</vt:i4>
      </vt:variant>
      <vt:variant>
        <vt:i4>38</vt:i4>
      </vt:variant>
      <vt:variant>
        <vt:i4>0</vt:i4>
      </vt:variant>
      <vt:variant>
        <vt:i4>5</vt:i4>
      </vt:variant>
      <vt:variant>
        <vt:lpwstr/>
      </vt:variant>
      <vt:variant>
        <vt:lpwstr>_Toc137725037</vt:lpwstr>
      </vt:variant>
      <vt:variant>
        <vt:i4>1376308</vt:i4>
      </vt:variant>
      <vt:variant>
        <vt:i4>32</vt:i4>
      </vt:variant>
      <vt:variant>
        <vt:i4>0</vt:i4>
      </vt:variant>
      <vt:variant>
        <vt:i4>5</vt:i4>
      </vt:variant>
      <vt:variant>
        <vt:lpwstr/>
      </vt:variant>
      <vt:variant>
        <vt:lpwstr>_Toc137725036</vt:lpwstr>
      </vt:variant>
      <vt:variant>
        <vt:i4>1376308</vt:i4>
      </vt:variant>
      <vt:variant>
        <vt:i4>26</vt:i4>
      </vt:variant>
      <vt:variant>
        <vt:i4>0</vt:i4>
      </vt:variant>
      <vt:variant>
        <vt:i4>5</vt:i4>
      </vt:variant>
      <vt:variant>
        <vt:lpwstr/>
      </vt:variant>
      <vt:variant>
        <vt:lpwstr>_Toc137725035</vt:lpwstr>
      </vt:variant>
      <vt:variant>
        <vt:i4>1376308</vt:i4>
      </vt:variant>
      <vt:variant>
        <vt:i4>20</vt:i4>
      </vt:variant>
      <vt:variant>
        <vt:i4>0</vt:i4>
      </vt:variant>
      <vt:variant>
        <vt:i4>5</vt:i4>
      </vt:variant>
      <vt:variant>
        <vt:lpwstr/>
      </vt:variant>
      <vt:variant>
        <vt:lpwstr>_Toc137725034</vt:lpwstr>
      </vt:variant>
      <vt:variant>
        <vt:i4>1376308</vt:i4>
      </vt:variant>
      <vt:variant>
        <vt:i4>14</vt:i4>
      </vt:variant>
      <vt:variant>
        <vt:i4>0</vt:i4>
      </vt:variant>
      <vt:variant>
        <vt:i4>5</vt:i4>
      </vt:variant>
      <vt:variant>
        <vt:lpwstr/>
      </vt:variant>
      <vt:variant>
        <vt:lpwstr>_Toc137725033</vt:lpwstr>
      </vt:variant>
      <vt:variant>
        <vt:i4>1376308</vt:i4>
      </vt:variant>
      <vt:variant>
        <vt:i4>8</vt:i4>
      </vt:variant>
      <vt:variant>
        <vt:i4>0</vt:i4>
      </vt:variant>
      <vt:variant>
        <vt:i4>5</vt:i4>
      </vt:variant>
      <vt:variant>
        <vt:lpwstr/>
      </vt:variant>
      <vt:variant>
        <vt:lpwstr>_Toc137725032</vt:lpwstr>
      </vt:variant>
      <vt:variant>
        <vt:i4>1376308</vt:i4>
      </vt:variant>
      <vt:variant>
        <vt:i4>2</vt:i4>
      </vt:variant>
      <vt:variant>
        <vt:i4>0</vt:i4>
      </vt:variant>
      <vt:variant>
        <vt:i4>5</vt:i4>
      </vt:variant>
      <vt:variant>
        <vt:lpwstr/>
      </vt:variant>
      <vt:variant>
        <vt:lpwstr>_Toc137725031</vt:lpwstr>
      </vt:variant>
      <vt:variant>
        <vt:i4>2883641</vt:i4>
      </vt:variant>
      <vt:variant>
        <vt:i4>3</vt:i4>
      </vt:variant>
      <vt:variant>
        <vt:i4>0</vt:i4>
      </vt:variant>
      <vt:variant>
        <vt:i4>5</vt:i4>
      </vt:variant>
      <vt:variant>
        <vt:lpwstr>https://www.cgc.gov.au/sites/default/files/2021-11/r2020_report_-_volume_2_-_part_b_ch5-18.pdf</vt:lpwstr>
      </vt:variant>
      <vt:variant>
        <vt:lpwstr/>
      </vt:variant>
      <vt:variant>
        <vt:i4>6750249</vt:i4>
      </vt:variant>
      <vt:variant>
        <vt:i4>0</vt:i4>
      </vt:variant>
      <vt:variant>
        <vt:i4>0</vt:i4>
      </vt:variant>
      <vt:variant>
        <vt:i4>5</vt:i4>
      </vt:variant>
      <vt:variant>
        <vt:lpwstr>https://www.aihw.gov.au/mental-health/resources/data-tables</vt:lpwstr>
      </vt:variant>
      <vt:variant>
        <vt:lpwstr/>
      </vt:variant>
      <vt:variant>
        <vt:i4>4259851</vt:i4>
      </vt:variant>
      <vt:variant>
        <vt:i4>3</vt:i4>
      </vt:variant>
      <vt:variant>
        <vt:i4>0</vt:i4>
      </vt:variant>
      <vt:variant>
        <vt:i4>5</vt:i4>
      </vt:variant>
      <vt:variant>
        <vt:lpwstr>https://www.stylemanual.gov.au/structuring-content/lists</vt:lpwstr>
      </vt:variant>
      <vt:variant>
        <vt:lpwstr/>
      </vt:variant>
      <vt:variant>
        <vt:i4>983095</vt:i4>
      </vt:variant>
      <vt:variant>
        <vt:i4>0</vt:i4>
      </vt:variant>
      <vt:variant>
        <vt:i4>0</vt:i4>
      </vt:variant>
      <vt:variant>
        <vt:i4>5</vt:i4>
      </vt:variant>
      <vt:variant>
        <vt:lpwstr>mailto:Katrina.Baldock@cgc.gov.au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Jeffrey Evans</dc:creator>
  <cp:keywords/>
  <cp:lastModifiedBy>Katrina Baldock</cp:lastModifiedBy>
  <cp:revision>416</cp:revision>
  <cp:lastPrinted>2023-06-27T00:31:00Z</cp:lastPrinted>
  <dcterms:created xsi:type="dcterms:W3CDTF">2023-06-14T18:56:00Z</dcterms:created>
  <dcterms:modified xsi:type="dcterms:W3CDTF">2023-06-27T01:17:00Z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0x010100E60229631F80714C9595CC742C6B48E8</vt:lpwstr>
  </property>
  <property fmtid="{D5CDD505-2E9C-101B-9397-08002B2CF9AE}" pid="3" name="MediaServiceImageTags">
    <vt:lpwstr/>
  </property>
  <property fmtid="{D5CDD505-2E9C-101B-9397-08002B2CF9AE}" pid="4" name="Order">
    <vt:r8>86000600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ColorTag">
    <vt:lpwstr/>
  </property>
  <property fmtid="{D5CDD505-2E9C-101B-9397-08002B2CF9AE}" pid="12" name="_ColorHex">
    <vt:lpwstr/>
  </property>
  <property fmtid="{D5CDD505-2E9C-101B-9397-08002B2CF9AE}" pid="13" name="_Emoji">
    <vt:lpwstr/>
  </property>
</Properties>
</file>