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6660" w14:textId="6A4F35D8" w:rsidR="00A5102B" w:rsidRPr="0040294B" w:rsidRDefault="00C76AAF" w:rsidP="00A5102B">
      <w:pPr>
        <w:rPr>
          <w:rFonts w:ascii="Work Sans" w:hAnsi="Work Sans"/>
          <w:sz w:val="24"/>
          <w:szCs w:val="24"/>
        </w:rPr>
      </w:pPr>
      <w:r>
        <w:rPr>
          <w:noProof/>
        </w:rPr>
        <w:drawing>
          <wp:anchor distT="0" distB="0" distL="114300" distR="114300" simplePos="0" relativeHeight="251658240" behindDoc="1" locked="0" layoutInCell="1" allowOverlap="1" wp14:anchorId="2326957D" wp14:editId="5368CBC6">
            <wp:simplePos x="0" y="0"/>
            <wp:positionH relativeFrom="margin">
              <wp:align>center</wp:align>
            </wp:positionH>
            <wp:positionV relativeFrom="paragraph">
              <wp:posOffset>-908698</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778710B9" wp14:editId="583FA244">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235F573B" w14:textId="18549160" w:rsidR="00A5102B" w:rsidRPr="00F0686F" w:rsidRDefault="00A5102B" w:rsidP="00A5102B">
      <w:pPr>
        <w:rPr>
          <w:rFonts w:ascii="Work Sans" w:hAnsi="Work Sans"/>
          <w:sz w:val="24"/>
          <w:szCs w:val="24"/>
        </w:rPr>
      </w:pPr>
    </w:p>
    <w:p w14:paraId="1BA22AB5" w14:textId="0851CD77" w:rsidR="00A5102B" w:rsidRPr="00F0686F" w:rsidRDefault="00A5102B" w:rsidP="00A5102B">
      <w:pPr>
        <w:rPr>
          <w:rFonts w:ascii="Work Sans" w:hAnsi="Work Sans"/>
          <w:sz w:val="24"/>
          <w:szCs w:val="24"/>
        </w:rPr>
      </w:pPr>
    </w:p>
    <w:p w14:paraId="374D250A" w14:textId="653C00DC" w:rsidR="00A5102B" w:rsidRDefault="00A5102B" w:rsidP="004477FF">
      <w:pPr>
        <w:pStyle w:val="CGCNumberedPara"/>
        <w:numPr>
          <w:ilvl w:val="0"/>
          <w:numId w:val="0"/>
        </w:numPr>
        <w:ind w:left="567" w:hanging="567"/>
      </w:pPr>
    </w:p>
    <w:p w14:paraId="269F61E6" w14:textId="1710E8D3" w:rsidR="00246686" w:rsidRDefault="00246686" w:rsidP="00AB13AF">
      <w:pPr>
        <w:tabs>
          <w:tab w:val="clear" w:pos="567"/>
          <w:tab w:val="left" w:pos="2515"/>
        </w:tabs>
        <w:rPr>
          <w:rFonts w:ascii="Work Sans" w:hAnsi="Work Sans"/>
          <w:sz w:val="24"/>
          <w:szCs w:val="24"/>
        </w:rPr>
      </w:pPr>
    </w:p>
    <w:p w14:paraId="064369F7" w14:textId="2CD50AD4"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2" behindDoc="0" locked="0" layoutInCell="1" allowOverlap="1" wp14:anchorId="2A12564A" wp14:editId="19A38971">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41C4D45C"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3713A6AA"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2564A"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41C4D45C"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3713A6AA"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1ECBD88A" w14:textId="0E6D6E7B" w:rsidR="00A5102B" w:rsidRPr="00F0686F" w:rsidRDefault="00A5102B" w:rsidP="00545F2D">
      <w:pPr>
        <w:rPr>
          <w:rFonts w:ascii="Work Sans" w:hAnsi="Work Sans"/>
          <w:sz w:val="24"/>
          <w:szCs w:val="24"/>
        </w:rPr>
      </w:pPr>
    </w:p>
    <w:p w14:paraId="0D3EE3BA" w14:textId="07CDAAA3" w:rsidR="00A5102B" w:rsidRDefault="00A5102B" w:rsidP="00A5102B">
      <w:pPr>
        <w:rPr>
          <w:rFonts w:ascii="Work Sans" w:hAnsi="Work Sans"/>
          <w:sz w:val="24"/>
          <w:szCs w:val="24"/>
        </w:rPr>
      </w:pPr>
    </w:p>
    <w:p w14:paraId="40B315E3" w14:textId="4E4D0A70" w:rsidR="00A5102B" w:rsidRDefault="00A5102B" w:rsidP="00A5102B">
      <w:pPr>
        <w:rPr>
          <w:rFonts w:ascii="Work Sans" w:hAnsi="Work Sans"/>
          <w:sz w:val="24"/>
          <w:szCs w:val="24"/>
        </w:rPr>
      </w:pPr>
    </w:p>
    <w:p w14:paraId="315B6B99" w14:textId="5526D785" w:rsidR="00A5102B" w:rsidRDefault="00A5102B" w:rsidP="00A5102B">
      <w:pPr>
        <w:rPr>
          <w:rFonts w:ascii="Work Sans" w:hAnsi="Work Sans"/>
          <w:sz w:val="24"/>
          <w:szCs w:val="24"/>
        </w:rPr>
      </w:pPr>
    </w:p>
    <w:p w14:paraId="5A834DDF" w14:textId="104375ED" w:rsidR="00A5102B" w:rsidRDefault="00A5102B" w:rsidP="00A5102B">
      <w:pPr>
        <w:rPr>
          <w:rFonts w:ascii="Work Sans" w:hAnsi="Work Sans"/>
          <w:sz w:val="24"/>
          <w:szCs w:val="24"/>
        </w:rPr>
      </w:pPr>
    </w:p>
    <w:p w14:paraId="7A4F42CB" w14:textId="007B85F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7AFE5877" wp14:editId="28304550">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22E476B0" w14:textId="61C0A778" w:rsidR="0036633A" w:rsidRPr="000E3598" w:rsidRDefault="00817AE6" w:rsidP="0036633A">
                            <w:pPr>
                              <w:jc w:val="center"/>
                              <w:rPr>
                                <w:rFonts w:ascii="Work Sans" w:hAnsi="Work Sans" w:cs="Open Sans"/>
                                <w:color w:val="FFFFFF"/>
                                <w:sz w:val="52"/>
                                <w:szCs w:val="52"/>
                              </w:rPr>
                            </w:pPr>
                            <w:r w:rsidRPr="000E3598">
                              <w:rPr>
                                <w:rFonts w:ascii="Work Sans" w:hAnsi="Work Sans" w:cs="Open Sans"/>
                                <w:color w:val="FFFFFF"/>
                                <w:sz w:val="52"/>
                                <w:szCs w:val="52"/>
                              </w:rPr>
                              <w:t xml:space="preserve">Insurance tax </w:t>
                            </w:r>
                            <w:r w:rsidR="00D61A0A" w:rsidRPr="000E3598">
                              <w:rPr>
                                <w:rFonts w:ascii="Work Sans" w:hAnsi="Work Sans" w:cs="Open Sans"/>
                                <w:color w:val="FFFFFF"/>
                                <w:sz w:val="52"/>
                                <w:szCs w:val="52"/>
                              </w:rPr>
                              <w:t>c</w:t>
                            </w:r>
                            <w:r w:rsidR="00097D78" w:rsidRPr="000E3598">
                              <w:rPr>
                                <w:rFonts w:ascii="Work Sans" w:hAnsi="Work Sans" w:cs="Open Sans"/>
                                <w:color w:val="FFFFFF"/>
                                <w:sz w:val="52"/>
                                <w:szCs w:val="52"/>
                              </w:rPr>
                              <w:t>onsultation</w:t>
                            </w:r>
                            <w:r w:rsidR="00A358C4" w:rsidRPr="000E3598">
                              <w:rPr>
                                <w:rFonts w:ascii="Work Sans" w:hAnsi="Work Sans" w:cs="Open Sans"/>
                                <w:color w:val="FFFFFF"/>
                                <w:sz w:val="52"/>
                                <w:szCs w:val="52"/>
                              </w:rPr>
                              <w:t xml:space="preserve"> </w:t>
                            </w:r>
                            <w:r w:rsidR="00097D78" w:rsidRPr="000E3598">
                              <w:rPr>
                                <w:rFonts w:ascii="Work Sans" w:hAnsi="Work Sans" w:cs="Open Sans"/>
                                <w:color w:val="FFFFFF"/>
                                <w:sz w:val="52"/>
                                <w:szCs w:val="52"/>
                              </w:rPr>
                              <w:t>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5877" id="Text Box 29" o:spid="_x0000_s1027" type="#_x0000_t202" style="position:absolute;margin-left:0;margin-top:330.95pt;width:472.5pt;height:15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22E476B0" w14:textId="61C0A778" w:rsidR="0036633A" w:rsidRPr="000E3598" w:rsidRDefault="00817AE6" w:rsidP="0036633A">
                      <w:pPr>
                        <w:jc w:val="center"/>
                        <w:rPr>
                          <w:rFonts w:ascii="Work Sans" w:hAnsi="Work Sans" w:cs="Open Sans"/>
                          <w:color w:val="FFFFFF"/>
                          <w:sz w:val="52"/>
                          <w:szCs w:val="52"/>
                        </w:rPr>
                      </w:pPr>
                      <w:r w:rsidRPr="000E3598">
                        <w:rPr>
                          <w:rFonts w:ascii="Work Sans" w:hAnsi="Work Sans" w:cs="Open Sans"/>
                          <w:color w:val="FFFFFF"/>
                          <w:sz w:val="52"/>
                          <w:szCs w:val="52"/>
                        </w:rPr>
                        <w:t xml:space="preserve">Insurance tax </w:t>
                      </w:r>
                      <w:r w:rsidR="00D61A0A" w:rsidRPr="000E3598">
                        <w:rPr>
                          <w:rFonts w:ascii="Work Sans" w:hAnsi="Work Sans" w:cs="Open Sans"/>
                          <w:color w:val="FFFFFF"/>
                          <w:sz w:val="52"/>
                          <w:szCs w:val="52"/>
                        </w:rPr>
                        <w:t>c</w:t>
                      </w:r>
                      <w:r w:rsidR="00097D78" w:rsidRPr="000E3598">
                        <w:rPr>
                          <w:rFonts w:ascii="Work Sans" w:hAnsi="Work Sans" w:cs="Open Sans"/>
                          <w:color w:val="FFFFFF"/>
                          <w:sz w:val="52"/>
                          <w:szCs w:val="52"/>
                        </w:rPr>
                        <w:t>onsultation</w:t>
                      </w:r>
                      <w:r w:rsidR="00A358C4" w:rsidRPr="000E3598">
                        <w:rPr>
                          <w:rFonts w:ascii="Work Sans" w:hAnsi="Work Sans" w:cs="Open Sans"/>
                          <w:color w:val="FFFFFF"/>
                          <w:sz w:val="52"/>
                          <w:szCs w:val="52"/>
                        </w:rPr>
                        <w:t xml:space="preserve"> </w:t>
                      </w:r>
                      <w:r w:rsidR="00097D78" w:rsidRPr="000E3598">
                        <w:rPr>
                          <w:rFonts w:ascii="Work Sans" w:hAnsi="Work Sans" w:cs="Open Sans"/>
                          <w:color w:val="FFFFFF"/>
                          <w:sz w:val="52"/>
                          <w:szCs w:val="52"/>
                        </w:rPr>
                        <w:t>paper</w:t>
                      </w:r>
                    </w:p>
                  </w:txbxContent>
                </v:textbox>
                <w10:wrap anchorx="margin" anchory="page"/>
              </v:shape>
            </w:pict>
          </mc:Fallback>
        </mc:AlternateContent>
      </w:r>
    </w:p>
    <w:p w14:paraId="4DC25D55" w14:textId="7189B55F" w:rsidR="00A5102B" w:rsidRDefault="00A5102B" w:rsidP="002A45B1">
      <w:pPr>
        <w:jc w:val="center"/>
        <w:rPr>
          <w:rFonts w:ascii="Work Sans" w:hAnsi="Work Sans"/>
          <w:sz w:val="24"/>
          <w:szCs w:val="24"/>
        </w:rPr>
      </w:pPr>
    </w:p>
    <w:p w14:paraId="64CDD92E" w14:textId="12B56322" w:rsidR="00A5102B" w:rsidRDefault="00A5102B" w:rsidP="00704788">
      <w:pPr>
        <w:rPr>
          <w:rFonts w:ascii="Work Sans" w:hAnsi="Work Sans" w:cs="Open Sans"/>
          <w:color w:val="FFFFFF"/>
          <w:sz w:val="28"/>
          <w:szCs w:val="28"/>
        </w:rPr>
      </w:pPr>
    </w:p>
    <w:p w14:paraId="7E59A079" w14:textId="7903B41B" w:rsidR="00704788" w:rsidRDefault="00704788" w:rsidP="00704788">
      <w:pPr>
        <w:rPr>
          <w:rFonts w:ascii="Work Sans" w:hAnsi="Work Sans" w:cs="Open Sans"/>
          <w:color w:val="FFFFFF"/>
          <w:sz w:val="28"/>
          <w:szCs w:val="28"/>
        </w:rPr>
      </w:pPr>
    </w:p>
    <w:p w14:paraId="55A4BCC7" w14:textId="107DB04E" w:rsidR="00704788" w:rsidRDefault="00704788" w:rsidP="00704788">
      <w:pPr>
        <w:rPr>
          <w:rFonts w:ascii="Work Sans" w:hAnsi="Work Sans" w:cs="Open Sans"/>
          <w:color w:val="FFFFFF"/>
          <w:sz w:val="28"/>
          <w:szCs w:val="28"/>
        </w:rPr>
      </w:pPr>
    </w:p>
    <w:p w14:paraId="736B7D6C" w14:textId="77777777" w:rsidR="00704788" w:rsidRDefault="00704788" w:rsidP="00704788">
      <w:pPr>
        <w:rPr>
          <w:rFonts w:ascii="Work Sans" w:hAnsi="Work Sans" w:cs="Open Sans"/>
          <w:color w:val="FFFFFF"/>
          <w:sz w:val="28"/>
          <w:szCs w:val="28"/>
        </w:rPr>
      </w:pPr>
    </w:p>
    <w:p w14:paraId="05014DA7" w14:textId="406BB4F7" w:rsidR="00704788" w:rsidRDefault="00704788" w:rsidP="00704788">
      <w:pPr>
        <w:rPr>
          <w:rFonts w:ascii="Work Sans" w:hAnsi="Work Sans" w:cs="Open Sans"/>
          <w:color w:val="FFFFFF"/>
          <w:sz w:val="28"/>
          <w:szCs w:val="28"/>
        </w:rPr>
      </w:pPr>
    </w:p>
    <w:p w14:paraId="66477ADF" w14:textId="25FF837F" w:rsidR="00704788" w:rsidRDefault="00704788" w:rsidP="00704788">
      <w:pPr>
        <w:rPr>
          <w:rFonts w:ascii="Work Sans" w:hAnsi="Work Sans" w:cs="Open Sans"/>
          <w:color w:val="FFFFFF"/>
          <w:sz w:val="28"/>
          <w:szCs w:val="28"/>
        </w:rPr>
      </w:pPr>
    </w:p>
    <w:p w14:paraId="77697FA2" w14:textId="7BD18D29"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3" behindDoc="0" locked="0" layoutInCell="1" allowOverlap="1" wp14:anchorId="17E2D963" wp14:editId="31215B1A">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548B99E5" w14:textId="504C3481" w:rsidR="00BA4C59" w:rsidRPr="00BA4C59" w:rsidRDefault="00165AD0" w:rsidP="00BA4C59">
                            <w:pPr>
                              <w:jc w:val="center"/>
                              <w:rPr>
                                <w:rFonts w:ascii="Work Sans" w:hAnsi="Work Sans" w:cs="Open Sans"/>
                                <w:color w:val="FFFFFF"/>
                                <w:sz w:val="28"/>
                                <w:szCs w:val="28"/>
                              </w:rPr>
                            </w:pPr>
                            <w:r>
                              <w:rPr>
                                <w:rFonts w:ascii="Work Sans" w:hAnsi="Work Sans" w:cs="Open Sans"/>
                                <w:color w:val="FFFFFF"/>
                                <w:sz w:val="28"/>
                                <w:szCs w:val="28"/>
                              </w:rPr>
                              <w:t>June</w:t>
                            </w:r>
                            <w:r w:rsidR="00BA4C59" w:rsidRPr="00BA4C59">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D963" id="Text Box 30" o:spid="_x0000_s1028" type="#_x0000_t202" style="position:absolute;left:0;text-align:left;margin-left:0;margin-top:514pt;width:134.25pt;height:34.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548B99E5" w14:textId="504C3481" w:rsidR="00BA4C59" w:rsidRPr="00BA4C59" w:rsidRDefault="00165AD0" w:rsidP="00BA4C59">
                      <w:pPr>
                        <w:jc w:val="center"/>
                        <w:rPr>
                          <w:rFonts w:ascii="Work Sans" w:hAnsi="Work Sans" w:cs="Open Sans"/>
                          <w:color w:val="FFFFFF"/>
                          <w:sz w:val="28"/>
                          <w:szCs w:val="28"/>
                        </w:rPr>
                      </w:pPr>
                      <w:r>
                        <w:rPr>
                          <w:rFonts w:ascii="Work Sans" w:hAnsi="Work Sans" w:cs="Open Sans"/>
                          <w:color w:val="FFFFFF"/>
                          <w:sz w:val="28"/>
                          <w:szCs w:val="28"/>
                        </w:rPr>
                        <w:t>June</w:t>
                      </w:r>
                      <w:r w:rsidR="00BA4C59" w:rsidRPr="00BA4C59">
                        <w:rPr>
                          <w:rFonts w:ascii="Work Sans" w:hAnsi="Work Sans" w:cs="Open Sans"/>
                          <w:color w:val="FFFFFF"/>
                          <w:sz w:val="28"/>
                          <w:szCs w:val="28"/>
                        </w:rPr>
                        <w:t xml:space="preserve"> 2023</w:t>
                      </w:r>
                    </w:p>
                  </w:txbxContent>
                </v:textbox>
                <w10:wrap anchorx="margin" anchory="page"/>
              </v:shape>
            </w:pict>
          </mc:Fallback>
        </mc:AlternateContent>
      </w:r>
    </w:p>
    <w:p w14:paraId="6484FACC" w14:textId="43661E3A" w:rsidR="00704788" w:rsidRDefault="00704788" w:rsidP="00DB5889">
      <w:pPr>
        <w:rPr>
          <w:rFonts w:ascii="Work Sans" w:hAnsi="Work Sans" w:cs="Open Sans"/>
          <w:color w:val="FFFFFF"/>
          <w:sz w:val="28"/>
          <w:szCs w:val="28"/>
        </w:rPr>
      </w:pPr>
    </w:p>
    <w:p w14:paraId="7D74C04A" w14:textId="46F132F8" w:rsidR="00DB5889" w:rsidRPr="00704788" w:rsidRDefault="00DB5889" w:rsidP="00DB5889">
      <w:pPr>
        <w:rPr>
          <w:rFonts w:ascii="Work Sans" w:hAnsi="Work Sans" w:cs="Open Sans"/>
          <w:color w:val="FFFFFF"/>
          <w:sz w:val="28"/>
          <w:szCs w:val="28"/>
        </w:rPr>
      </w:pPr>
    </w:p>
    <w:p w14:paraId="4811AF7F" w14:textId="57E305C6" w:rsidR="00A5102B" w:rsidRDefault="00A5102B" w:rsidP="00210D9C">
      <w:pPr>
        <w:pStyle w:val="Heading1"/>
        <w:jc w:val="center"/>
        <w:sectPr w:rsidR="00A5102B" w:rsidSect="003A0403">
          <w:footerReference w:type="default" r:id="rId13"/>
          <w:pgSz w:w="11906" w:h="16838"/>
          <w:pgMar w:top="1440" w:right="1440" w:bottom="1440" w:left="1440" w:header="708" w:footer="708" w:gutter="0"/>
          <w:cols w:space="708"/>
          <w:docGrid w:linePitch="360"/>
        </w:sectPr>
      </w:pPr>
    </w:p>
    <w:p w14:paraId="698689A7" w14:textId="7ACBF807" w:rsidR="00A5102B" w:rsidRPr="005B6B61" w:rsidRDefault="00A5102B" w:rsidP="005B6B61"/>
    <w:p w14:paraId="695BC8CC" w14:textId="77777777" w:rsidR="00A5102B" w:rsidRPr="005B6B61" w:rsidRDefault="00A5102B" w:rsidP="005B6B61"/>
    <w:p w14:paraId="013320FD" w14:textId="77777777" w:rsidR="00A5102B" w:rsidRPr="005B6B61" w:rsidRDefault="00A5102B" w:rsidP="005B6B61"/>
    <w:p w14:paraId="21854C73" w14:textId="77777777" w:rsidR="00A5102B" w:rsidRPr="005B6B61" w:rsidRDefault="00A5102B" w:rsidP="005B6B61"/>
    <w:p w14:paraId="11D296A6" w14:textId="77777777" w:rsidR="00A5102B" w:rsidRPr="005B6B61" w:rsidRDefault="00A5102B" w:rsidP="005B6B61"/>
    <w:p w14:paraId="56EA0621" w14:textId="77777777" w:rsidR="00A5102B" w:rsidRPr="005B6B61" w:rsidRDefault="00A5102B" w:rsidP="005B6B61"/>
    <w:p w14:paraId="6AF9FB70" w14:textId="77777777" w:rsidR="00A5102B" w:rsidRPr="005B6B61" w:rsidRDefault="00A5102B" w:rsidP="005B6B61"/>
    <w:p w14:paraId="308B9AFA" w14:textId="42485454" w:rsidR="003119A7" w:rsidRDefault="003119A7" w:rsidP="005B6B61"/>
    <w:p w14:paraId="6BD7ED02" w14:textId="10166582" w:rsidR="004F0684" w:rsidRDefault="004F0684" w:rsidP="005B6B61"/>
    <w:p w14:paraId="4640F7D4" w14:textId="4570646B" w:rsidR="004F0684" w:rsidRDefault="004F0684" w:rsidP="005B6B61"/>
    <w:p w14:paraId="03C94600" w14:textId="5B8F1B68" w:rsidR="004F0684" w:rsidRDefault="004F0684" w:rsidP="005B6B61"/>
    <w:p w14:paraId="1C1B4178" w14:textId="5CAB6685" w:rsidR="004F0684" w:rsidRDefault="004F0684" w:rsidP="005B6B61"/>
    <w:p w14:paraId="10045F88" w14:textId="0F0CDBA5" w:rsidR="004F0684" w:rsidRPr="005B6B61" w:rsidRDefault="004F0684" w:rsidP="005B6B61"/>
    <w:p w14:paraId="07C94883" w14:textId="4FEF769F" w:rsidR="003119A7" w:rsidRPr="005B6B61" w:rsidRDefault="003119A7" w:rsidP="005B6B61"/>
    <w:p w14:paraId="30A691F9" w14:textId="77777777" w:rsidR="003119A7" w:rsidRPr="005B6B61" w:rsidRDefault="003119A7" w:rsidP="005B6B61"/>
    <w:p w14:paraId="2DA28D10" w14:textId="51E92A66" w:rsidR="00A5102B" w:rsidRPr="005B6B61" w:rsidRDefault="00A5102B" w:rsidP="005B6B61"/>
    <w:p w14:paraId="3B22A318"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7EB20388" w14:textId="77777777" w:rsidTr="003A0403">
        <w:tc>
          <w:tcPr>
            <w:tcW w:w="2972" w:type="dxa"/>
          </w:tcPr>
          <w:p w14:paraId="3AD798D9"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7C0FA175" w14:textId="18941A89" w:rsidR="00A5102B" w:rsidRPr="003119A7" w:rsidRDefault="00A74BEB" w:rsidP="003A0403">
            <w:pPr>
              <w:rPr>
                <w:rFonts w:ascii="Work Sans" w:hAnsi="Work Sans"/>
                <w:szCs w:val="20"/>
              </w:rPr>
            </w:pPr>
            <w:r>
              <w:rPr>
                <w:rFonts w:ascii="Work Sans" w:hAnsi="Work Sans"/>
                <w:szCs w:val="20"/>
              </w:rPr>
              <w:t>13 June 2023</w:t>
            </w:r>
          </w:p>
        </w:tc>
      </w:tr>
      <w:tr w:rsidR="00A5102B" w14:paraId="11365DE9" w14:textId="77777777" w:rsidTr="003A0403">
        <w:tc>
          <w:tcPr>
            <w:tcW w:w="2972" w:type="dxa"/>
          </w:tcPr>
          <w:p w14:paraId="0E3E6654"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0AE869FA" w14:textId="0FA7FED4" w:rsidR="00A5102B" w:rsidRPr="003119A7" w:rsidRDefault="00E54B12" w:rsidP="003A0403">
            <w:pPr>
              <w:rPr>
                <w:rFonts w:ascii="Work Sans" w:hAnsi="Work Sans"/>
                <w:szCs w:val="20"/>
              </w:rPr>
            </w:pPr>
            <w:r w:rsidRPr="00056F6C">
              <w:rPr>
                <w:rFonts w:ascii="Work Sans" w:hAnsi="Work Sans"/>
                <w:szCs w:val="20"/>
              </w:rPr>
              <w:t>Maddie Vuyyuru</w:t>
            </w:r>
            <w:r w:rsidR="00A5102B" w:rsidRPr="00056F6C">
              <w:rPr>
                <w:rFonts w:ascii="Work Sans" w:hAnsi="Work Sans"/>
                <w:szCs w:val="20"/>
              </w:rPr>
              <w:t xml:space="preserve">, </w:t>
            </w:r>
            <w:r w:rsidR="00166C94" w:rsidRPr="00056F6C">
              <w:rPr>
                <w:rFonts w:ascii="Work Sans" w:hAnsi="Work Sans"/>
                <w:szCs w:val="20"/>
              </w:rPr>
              <w:t>02 6218 5733</w:t>
            </w:r>
            <w:r w:rsidR="00A5102B" w:rsidRPr="00056F6C">
              <w:rPr>
                <w:rFonts w:ascii="Work Sans" w:hAnsi="Work Sans"/>
                <w:szCs w:val="20"/>
              </w:rPr>
              <w:t>,</w:t>
            </w:r>
            <w:r w:rsidR="007439CC" w:rsidRPr="00056F6C">
              <w:rPr>
                <w:rFonts w:ascii="Work Sans" w:hAnsi="Work Sans"/>
                <w:szCs w:val="20"/>
              </w:rPr>
              <w:t xml:space="preserve"> </w:t>
            </w:r>
            <w:r w:rsidR="00056F6C">
              <w:rPr>
                <w:rFonts w:ascii="Work Sans" w:hAnsi="Work Sans"/>
                <w:szCs w:val="20"/>
              </w:rPr>
              <w:t>Maddie</w:t>
            </w:r>
            <w:r w:rsidR="002A28D4">
              <w:rPr>
                <w:rFonts w:ascii="Work Sans" w:hAnsi="Work Sans"/>
                <w:szCs w:val="20"/>
              </w:rPr>
              <w:t>.</w:t>
            </w:r>
            <w:r w:rsidR="00056F6C">
              <w:rPr>
                <w:rFonts w:ascii="Work Sans" w:hAnsi="Work Sans"/>
                <w:szCs w:val="20"/>
              </w:rPr>
              <w:t>vuyyuru@cgc.gov.au</w:t>
            </w:r>
            <w:r w:rsidR="00A5102B" w:rsidRPr="003119A7">
              <w:rPr>
                <w:rFonts w:ascii="Work Sans" w:hAnsi="Work Sans"/>
                <w:szCs w:val="20"/>
              </w:rPr>
              <w:t xml:space="preserve"> </w:t>
            </w:r>
          </w:p>
        </w:tc>
      </w:tr>
      <w:tr w:rsidR="00A5102B" w14:paraId="066C2520" w14:textId="77777777" w:rsidTr="003A0403">
        <w:tc>
          <w:tcPr>
            <w:tcW w:w="2972" w:type="dxa"/>
          </w:tcPr>
          <w:p w14:paraId="6DBD6F0F"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0E76D454" w14:textId="4FBD4F83" w:rsidR="00D76AB5" w:rsidRDefault="00A74BEB" w:rsidP="003A0403">
            <w:pPr>
              <w:rPr>
                <w:rFonts w:ascii="Work Sans" w:hAnsi="Work Sans"/>
                <w:szCs w:val="20"/>
              </w:rPr>
            </w:pPr>
            <w:r>
              <w:rPr>
                <w:rFonts w:ascii="Work Sans" w:hAnsi="Work Sans"/>
                <w:szCs w:val="20"/>
              </w:rPr>
              <w:t>13 October 2023</w:t>
            </w:r>
          </w:p>
          <w:p w14:paraId="08F53FA1" w14:textId="09222BCB"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w:t>
            </w:r>
            <w:r w:rsidR="00ED1835">
              <w:rPr>
                <w:rFonts w:ascii="Work Sans" w:hAnsi="Work Sans"/>
                <w:szCs w:val="20"/>
              </w:rPr>
              <w:t xml:space="preserve">or territory </w:t>
            </w:r>
            <w:r w:rsidRPr="003119A7">
              <w:rPr>
                <w:rFonts w:ascii="Work Sans" w:hAnsi="Work Sans"/>
                <w:szCs w:val="20"/>
              </w:rPr>
              <w:t xml:space="preserve">channel in CGC Engagement Teams, with a post notifying </w:t>
            </w:r>
            <w:r w:rsidR="00A74BEB">
              <w:rPr>
                <w:rFonts w:ascii="Work Sans" w:hAnsi="Work Sans"/>
                <w:szCs w:val="20"/>
              </w:rPr>
              <w:t>Katrina Baldock</w:t>
            </w:r>
            <w:r w:rsidR="000C53E9" w:rsidRPr="003119A7">
              <w:rPr>
                <w:rFonts w:ascii="Work Sans" w:hAnsi="Work Sans"/>
                <w:szCs w:val="20"/>
              </w:rPr>
              <w:t>.</w:t>
            </w:r>
          </w:p>
          <w:p w14:paraId="4396ACB3" w14:textId="3853E1B4"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4A2C2E7B" w14:textId="77777777" w:rsidTr="003A0403">
        <w:tc>
          <w:tcPr>
            <w:tcW w:w="2972" w:type="dxa"/>
          </w:tcPr>
          <w:p w14:paraId="7DD8E4C8"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04CDDAA6" w14:textId="463DA92D"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6849CDDF"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007C1E09" wp14:editId="3498F777">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726BCD5C"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2CB22B19" w14:textId="13515C32"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5B36DCBD" w14:textId="77777777" w:rsidR="005B6B61" w:rsidRDefault="005B6B61" w:rsidP="00DF1879">
      <w:pPr>
        <w:sectPr w:rsidR="005B6B61" w:rsidSect="004F0684">
          <w:headerReference w:type="default" r:id="rId15"/>
          <w:footerReference w:type="first" r:id="rId16"/>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62BF2D2D" w14:textId="74E6270F" w:rsidR="005B6B61" w:rsidRDefault="005B6B61">
          <w:pPr>
            <w:pStyle w:val="TOCHeading"/>
          </w:pPr>
          <w:r>
            <w:t>Contents</w:t>
          </w:r>
        </w:p>
        <w:p w14:paraId="576945C0" w14:textId="2FFE3590" w:rsidR="00195A6C" w:rsidRDefault="005B6B61">
          <w:pPr>
            <w:pStyle w:val="TOC2"/>
            <w:rPr>
              <w:rFonts w:asciiTheme="minorHAnsi" w:eastAsiaTheme="minorEastAsia" w:hAnsiTheme="minorHAnsi"/>
              <w:bCs w:val="0"/>
              <w:noProof/>
              <w:color w:val="auto"/>
              <w:sz w:val="22"/>
              <w:szCs w:val="22"/>
              <w:lang w:eastAsia="en-AU"/>
            </w:rPr>
          </w:pPr>
          <w:r>
            <w:fldChar w:fldCharType="begin"/>
          </w:r>
          <w:r>
            <w:instrText xml:space="preserve"> TOC \o "1-3" \h \z \u </w:instrText>
          </w:r>
          <w:r>
            <w:fldChar w:fldCharType="separate"/>
          </w:r>
          <w:hyperlink w:anchor="_Toc136856943" w:history="1">
            <w:r w:rsidR="00195A6C" w:rsidRPr="00461C2E">
              <w:rPr>
                <w:rStyle w:val="Hyperlink"/>
                <w:noProof/>
              </w:rPr>
              <w:t>Overview of category</w:t>
            </w:r>
            <w:r w:rsidR="00195A6C">
              <w:rPr>
                <w:noProof/>
                <w:webHidden/>
              </w:rPr>
              <w:tab/>
            </w:r>
            <w:r w:rsidR="00195A6C">
              <w:rPr>
                <w:noProof/>
                <w:webHidden/>
              </w:rPr>
              <w:fldChar w:fldCharType="begin"/>
            </w:r>
            <w:r w:rsidR="00195A6C">
              <w:rPr>
                <w:noProof/>
                <w:webHidden/>
              </w:rPr>
              <w:instrText xml:space="preserve"> PAGEREF _Toc136856943 \h </w:instrText>
            </w:r>
            <w:r w:rsidR="00195A6C">
              <w:rPr>
                <w:noProof/>
                <w:webHidden/>
              </w:rPr>
            </w:r>
            <w:r w:rsidR="00195A6C">
              <w:rPr>
                <w:noProof/>
                <w:webHidden/>
              </w:rPr>
              <w:fldChar w:fldCharType="separate"/>
            </w:r>
            <w:r w:rsidR="006F33F6">
              <w:rPr>
                <w:noProof/>
                <w:webHidden/>
              </w:rPr>
              <w:t>4</w:t>
            </w:r>
            <w:r w:rsidR="00195A6C">
              <w:rPr>
                <w:noProof/>
                <w:webHidden/>
              </w:rPr>
              <w:fldChar w:fldCharType="end"/>
            </w:r>
          </w:hyperlink>
        </w:p>
        <w:p w14:paraId="7CA5C1F8" w14:textId="11F61126" w:rsidR="00195A6C" w:rsidRDefault="00F21C8D">
          <w:pPr>
            <w:pStyle w:val="TOC2"/>
            <w:rPr>
              <w:rFonts w:asciiTheme="minorHAnsi" w:eastAsiaTheme="minorEastAsia" w:hAnsiTheme="minorHAnsi"/>
              <w:bCs w:val="0"/>
              <w:noProof/>
              <w:color w:val="auto"/>
              <w:sz w:val="22"/>
              <w:szCs w:val="22"/>
              <w:lang w:eastAsia="en-AU"/>
            </w:rPr>
          </w:pPr>
          <w:hyperlink w:anchor="_Toc136856944" w:history="1">
            <w:r w:rsidR="00195A6C" w:rsidRPr="00461C2E">
              <w:rPr>
                <w:rStyle w:val="Hyperlink"/>
                <w:noProof/>
              </w:rPr>
              <w:t>Current assessment method – 2020 Review</w:t>
            </w:r>
            <w:r w:rsidR="00195A6C">
              <w:rPr>
                <w:noProof/>
                <w:webHidden/>
              </w:rPr>
              <w:tab/>
            </w:r>
            <w:r w:rsidR="00195A6C">
              <w:rPr>
                <w:noProof/>
                <w:webHidden/>
              </w:rPr>
              <w:fldChar w:fldCharType="begin"/>
            </w:r>
            <w:r w:rsidR="00195A6C">
              <w:rPr>
                <w:noProof/>
                <w:webHidden/>
              </w:rPr>
              <w:instrText xml:space="preserve"> PAGEREF _Toc136856944 \h </w:instrText>
            </w:r>
            <w:r w:rsidR="00195A6C">
              <w:rPr>
                <w:noProof/>
                <w:webHidden/>
              </w:rPr>
            </w:r>
            <w:r w:rsidR="00195A6C">
              <w:rPr>
                <w:noProof/>
                <w:webHidden/>
              </w:rPr>
              <w:fldChar w:fldCharType="separate"/>
            </w:r>
            <w:r w:rsidR="006F33F6">
              <w:rPr>
                <w:noProof/>
                <w:webHidden/>
              </w:rPr>
              <w:t>4</w:t>
            </w:r>
            <w:r w:rsidR="00195A6C">
              <w:rPr>
                <w:noProof/>
                <w:webHidden/>
              </w:rPr>
              <w:fldChar w:fldCharType="end"/>
            </w:r>
          </w:hyperlink>
        </w:p>
        <w:p w14:paraId="7E0F4485" w14:textId="1F902550" w:rsidR="00195A6C" w:rsidRDefault="00F21C8D">
          <w:pPr>
            <w:pStyle w:val="TOC3"/>
            <w:rPr>
              <w:rFonts w:asciiTheme="minorHAnsi" w:eastAsiaTheme="minorEastAsia" w:hAnsiTheme="minorHAnsi"/>
              <w:bCs w:val="0"/>
              <w:iCs w:val="0"/>
              <w:noProof/>
              <w:color w:val="auto"/>
              <w:sz w:val="22"/>
              <w:szCs w:val="22"/>
              <w:lang w:eastAsia="en-AU"/>
            </w:rPr>
          </w:pPr>
          <w:hyperlink w:anchor="_Toc136856945" w:history="1">
            <w:r w:rsidR="00195A6C" w:rsidRPr="00461C2E">
              <w:rPr>
                <w:rStyle w:val="Hyperlink"/>
                <w:noProof/>
              </w:rPr>
              <w:t>Data used in the assessment</w:t>
            </w:r>
            <w:r w:rsidR="00195A6C">
              <w:rPr>
                <w:noProof/>
                <w:webHidden/>
              </w:rPr>
              <w:tab/>
            </w:r>
            <w:r w:rsidR="00195A6C">
              <w:rPr>
                <w:noProof/>
                <w:webHidden/>
              </w:rPr>
              <w:fldChar w:fldCharType="begin"/>
            </w:r>
            <w:r w:rsidR="00195A6C">
              <w:rPr>
                <w:noProof/>
                <w:webHidden/>
              </w:rPr>
              <w:instrText xml:space="preserve"> PAGEREF _Toc136856945 \h </w:instrText>
            </w:r>
            <w:r w:rsidR="00195A6C">
              <w:rPr>
                <w:noProof/>
                <w:webHidden/>
              </w:rPr>
            </w:r>
            <w:r w:rsidR="00195A6C">
              <w:rPr>
                <w:noProof/>
                <w:webHidden/>
              </w:rPr>
              <w:fldChar w:fldCharType="separate"/>
            </w:r>
            <w:r w:rsidR="006F33F6">
              <w:rPr>
                <w:noProof/>
                <w:webHidden/>
              </w:rPr>
              <w:t>5</w:t>
            </w:r>
            <w:r w:rsidR="00195A6C">
              <w:rPr>
                <w:noProof/>
                <w:webHidden/>
              </w:rPr>
              <w:fldChar w:fldCharType="end"/>
            </w:r>
          </w:hyperlink>
        </w:p>
        <w:p w14:paraId="2AC4A538" w14:textId="6EED97D1" w:rsidR="00195A6C" w:rsidRDefault="00F21C8D">
          <w:pPr>
            <w:pStyle w:val="TOC3"/>
            <w:rPr>
              <w:rFonts w:asciiTheme="minorHAnsi" w:eastAsiaTheme="minorEastAsia" w:hAnsiTheme="minorHAnsi"/>
              <w:bCs w:val="0"/>
              <w:iCs w:val="0"/>
              <w:noProof/>
              <w:color w:val="auto"/>
              <w:sz w:val="22"/>
              <w:szCs w:val="22"/>
              <w:lang w:eastAsia="en-AU"/>
            </w:rPr>
          </w:pPr>
          <w:hyperlink w:anchor="_Toc136856946" w:history="1">
            <w:r w:rsidR="00195A6C" w:rsidRPr="00461C2E">
              <w:rPr>
                <w:rStyle w:val="Hyperlink"/>
                <w:noProof/>
              </w:rPr>
              <w:t>Category and component revenue</w:t>
            </w:r>
            <w:r w:rsidR="00195A6C">
              <w:rPr>
                <w:noProof/>
                <w:webHidden/>
              </w:rPr>
              <w:tab/>
            </w:r>
            <w:r w:rsidR="00195A6C">
              <w:rPr>
                <w:noProof/>
                <w:webHidden/>
              </w:rPr>
              <w:fldChar w:fldCharType="begin"/>
            </w:r>
            <w:r w:rsidR="00195A6C">
              <w:rPr>
                <w:noProof/>
                <w:webHidden/>
              </w:rPr>
              <w:instrText xml:space="preserve"> PAGEREF _Toc136856946 \h </w:instrText>
            </w:r>
            <w:r w:rsidR="00195A6C">
              <w:rPr>
                <w:noProof/>
                <w:webHidden/>
              </w:rPr>
            </w:r>
            <w:r w:rsidR="00195A6C">
              <w:rPr>
                <w:noProof/>
                <w:webHidden/>
              </w:rPr>
              <w:fldChar w:fldCharType="separate"/>
            </w:r>
            <w:r w:rsidR="006F33F6">
              <w:rPr>
                <w:noProof/>
                <w:webHidden/>
              </w:rPr>
              <w:t>5</w:t>
            </w:r>
            <w:r w:rsidR="00195A6C">
              <w:rPr>
                <w:noProof/>
                <w:webHidden/>
              </w:rPr>
              <w:fldChar w:fldCharType="end"/>
            </w:r>
          </w:hyperlink>
        </w:p>
        <w:p w14:paraId="55031568" w14:textId="34254D5D" w:rsidR="00195A6C" w:rsidRDefault="00F21C8D">
          <w:pPr>
            <w:pStyle w:val="TOC3"/>
            <w:rPr>
              <w:rFonts w:asciiTheme="minorHAnsi" w:eastAsiaTheme="minorEastAsia" w:hAnsiTheme="minorHAnsi"/>
              <w:bCs w:val="0"/>
              <w:iCs w:val="0"/>
              <w:noProof/>
              <w:color w:val="auto"/>
              <w:sz w:val="22"/>
              <w:szCs w:val="22"/>
              <w:lang w:eastAsia="en-AU"/>
            </w:rPr>
          </w:pPr>
          <w:hyperlink w:anchor="_Toc136856947" w:history="1">
            <w:r w:rsidR="00195A6C" w:rsidRPr="00461C2E">
              <w:rPr>
                <w:rStyle w:val="Hyperlink"/>
                <w:noProof/>
              </w:rPr>
              <w:t>GST distribution in the 2023 Update</w:t>
            </w:r>
            <w:r w:rsidR="00195A6C">
              <w:rPr>
                <w:noProof/>
                <w:webHidden/>
              </w:rPr>
              <w:tab/>
            </w:r>
            <w:r w:rsidR="00195A6C">
              <w:rPr>
                <w:noProof/>
                <w:webHidden/>
              </w:rPr>
              <w:fldChar w:fldCharType="begin"/>
            </w:r>
            <w:r w:rsidR="00195A6C">
              <w:rPr>
                <w:noProof/>
                <w:webHidden/>
              </w:rPr>
              <w:instrText xml:space="preserve"> PAGEREF _Toc136856947 \h </w:instrText>
            </w:r>
            <w:r w:rsidR="00195A6C">
              <w:rPr>
                <w:noProof/>
                <w:webHidden/>
              </w:rPr>
            </w:r>
            <w:r w:rsidR="00195A6C">
              <w:rPr>
                <w:noProof/>
                <w:webHidden/>
              </w:rPr>
              <w:fldChar w:fldCharType="separate"/>
            </w:r>
            <w:r w:rsidR="006F33F6">
              <w:rPr>
                <w:noProof/>
                <w:webHidden/>
              </w:rPr>
              <w:t>6</w:t>
            </w:r>
            <w:r w:rsidR="00195A6C">
              <w:rPr>
                <w:noProof/>
                <w:webHidden/>
              </w:rPr>
              <w:fldChar w:fldCharType="end"/>
            </w:r>
          </w:hyperlink>
        </w:p>
        <w:p w14:paraId="72591C3B" w14:textId="595182E5" w:rsidR="00195A6C" w:rsidRDefault="00F21C8D">
          <w:pPr>
            <w:pStyle w:val="TOC2"/>
            <w:rPr>
              <w:rFonts w:asciiTheme="minorHAnsi" w:eastAsiaTheme="minorEastAsia" w:hAnsiTheme="minorHAnsi"/>
              <w:bCs w:val="0"/>
              <w:noProof/>
              <w:color w:val="auto"/>
              <w:sz w:val="22"/>
              <w:szCs w:val="22"/>
              <w:lang w:eastAsia="en-AU"/>
            </w:rPr>
          </w:pPr>
          <w:hyperlink w:anchor="_Toc136856948" w:history="1">
            <w:r w:rsidR="00195A6C" w:rsidRPr="00461C2E">
              <w:rPr>
                <w:rStyle w:val="Hyperlink"/>
                <w:noProof/>
              </w:rPr>
              <w:t>What has changed since the 2020 Review?</w:t>
            </w:r>
            <w:r w:rsidR="00195A6C">
              <w:rPr>
                <w:noProof/>
                <w:webHidden/>
              </w:rPr>
              <w:tab/>
            </w:r>
            <w:r w:rsidR="00195A6C">
              <w:rPr>
                <w:noProof/>
                <w:webHidden/>
              </w:rPr>
              <w:fldChar w:fldCharType="begin"/>
            </w:r>
            <w:r w:rsidR="00195A6C">
              <w:rPr>
                <w:noProof/>
                <w:webHidden/>
              </w:rPr>
              <w:instrText xml:space="preserve"> PAGEREF _Toc136856948 \h </w:instrText>
            </w:r>
            <w:r w:rsidR="00195A6C">
              <w:rPr>
                <w:noProof/>
                <w:webHidden/>
              </w:rPr>
            </w:r>
            <w:r w:rsidR="00195A6C">
              <w:rPr>
                <w:noProof/>
                <w:webHidden/>
              </w:rPr>
              <w:fldChar w:fldCharType="separate"/>
            </w:r>
            <w:r w:rsidR="006F33F6">
              <w:rPr>
                <w:noProof/>
                <w:webHidden/>
              </w:rPr>
              <w:t>6</w:t>
            </w:r>
            <w:r w:rsidR="00195A6C">
              <w:rPr>
                <w:noProof/>
                <w:webHidden/>
              </w:rPr>
              <w:fldChar w:fldCharType="end"/>
            </w:r>
          </w:hyperlink>
        </w:p>
        <w:p w14:paraId="5F9D0163" w14:textId="48748B1A" w:rsidR="00195A6C" w:rsidRDefault="00F21C8D">
          <w:pPr>
            <w:pStyle w:val="TOC2"/>
            <w:rPr>
              <w:rFonts w:asciiTheme="minorHAnsi" w:eastAsiaTheme="minorEastAsia" w:hAnsiTheme="minorHAnsi"/>
              <w:bCs w:val="0"/>
              <w:noProof/>
              <w:color w:val="auto"/>
              <w:sz w:val="22"/>
              <w:szCs w:val="22"/>
              <w:lang w:eastAsia="en-AU"/>
            </w:rPr>
          </w:pPr>
          <w:hyperlink w:anchor="_Toc136856949" w:history="1">
            <w:r w:rsidR="00195A6C" w:rsidRPr="00461C2E">
              <w:rPr>
                <w:rStyle w:val="Hyperlink"/>
                <w:noProof/>
              </w:rPr>
              <w:t>Proposed assessment</w:t>
            </w:r>
            <w:r w:rsidR="00195A6C">
              <w:rPr>
                <w:noProof/>
                <w:webHidden/>
              </w:rPr>
              <w:tab/>
            </w:r>
            <w:r w:rsidR="00195A6C">
              <w:rPr>
                <w:noProof/>
                <w:webHidden/>
              </w:rPr>
              <w:fldChar w:fldCharType="begin"/>
            </w:r>
            <w:r w:rsidR="00195A6C">
              <w:rPr>
                <w:noProof/>
                <w:webHidden/>
              </w:rPr>
              <w:instrText xml:space="preserve"> PAGEREF _Toc136856949 \h </w:instrText>
            </w:r>
            <w:r w:rsidR="00195A6C">
              <w:rPr>
                <w:noProof/>
                <w:webHidden/>
              </w:rPr>
            </w:r>
            <w:r w:rsidR="00195A6C">
              <w:rPr>
                <w:noProof/>
                <w:webHidden/>
              </w:rPr>
              <w:fldChar w:fldCharType="separate"/>
            </w:r>
            <w:r w:rsidR="006F33F6">
              <w:rPr>
                <w:noProof/>
                <w:webHidden/>
              </w:rPr>
              <w:t>7</w:t>
            </w:r>
            <w:r w:rsidR="00195A6C">
              <w:rPr>
                <w:noProof/>
                <w:webHidden/>
              </w:rPr>
              <w:fldChar w:fldCharType="end"/>
            </w:r>
          </w:hyperlink>
        </w:p>
        <w:p w14:paraId="254B19D8" w14:textId="114DD52F" w:rsidR="00195A6C" w:rsidRDefault="00F21C8D">
          <w:pPr>
            <w:pStyle w:val="TOC3"/>
            <w:rPr>
              <w:rFonts w:asciiTheme="minorHAnsi" w:eastAsiaTheme="minorEastAsia" w:hAnsiTheme="minorHAnsi"/>
              <w:bCs w:val="0"/>
              <w:iCs w:val="0"/>
              <w:noProof/>
              <w:color w:val="auto"/>
              <w:sz w:val="22"/>
              <w:szCs w:val="22"/>
              <w:lang w:eastAsia="en-AU"/>
            </w:rPr>
          </w:pPr>
          <w:hyperlink w:anchor="_Toc136856950" w:history="1">
            <w:r w:rsidR="00195A6C" w:rsidRPr="00461C2E">
              <w:rPr>
                <w:rStyle w:val="Hyperlink"/>
                <w:noProof/>
              </w:rPr>
              <w:t>Differences from the 2020 Review approach</w:t>
            </w:r>
            <w:r w:rsidR="00195A6C">
              <w:rPr>
                <w:noProof/>
                <w:webHidden/>
              </w:rPr>
              <w:tab/>
            </w:r>
            <w:r w:rsidR="00195A6C">
              <w:rPr>
                <w:noProof/>
                <w:webHidden/>
              </w:rPr>
              <w:fldChar w:fldCharType="begin"/>
            </w:r>
            <w:r w:rsidR="00195A6C">
              <w:rPr>
                <w:noProof/>
                <w:webHidden/>
              </w:rPr>
              <w:instrText xml:space="preserve"> PAGEREF _Toc136856950 \h </w:instrText>
            </w:r>
            <w:r w:rsidR="00195A6C">
              <w:rPr>
                <w:noProof/>
                <w:webHidden/>
              </w:rPr>
            </w:r>
            <w:r w:rsidR="00195A6C">
              <w:rPr>
                <w:noProof/>
                <w:webHidden/>
              </w:rPr>
              <w:fldChar w:fldCharType="separate"/>
            </w:r>
            <w:r w:rsidR="006F33F6">
              <w:rPr>
                <w:noProof/>
                <w:webHidden/>
              </w:rPr>
              <w:t>7</w:t>
            </w:r>
            <w:r w:rsidR="00195A6C">
              <w:rPr>
                <w:noProof/>
                <w:webHidden/>
              </w:rPr>
              <w:fldChar w:fldCharType="end"/>
            </w:r>
          </w:hyperlink>
        </w:p>
        <w:p w14:paraId="4D2B3601" w14:textId="580188D5" w:rsidR="00195A6C" w:rsidRDefault="00F21C8D">
          <w:pPr>
            <w:pStyle w:val="TOC3"/>
            <w:rPr>
              <w:rFonts w:asciiTheme="minorHAnsi" w:eastAsiaTheme="minorEastAsia" w:hAnsiTheme="minorHAnsi"/>
              <w:bCs w:val="0"/>
              <w:iCs w:val="0"/>
              <w:noProof/>
              <w:color w:val="auto"/>
              <w:sz w:val="22"/>
              <w:szCs w:val="22"/>
              <w:lang w:eastAsia="en-AU"/>
            </w:rPr>
          </w:pPr>
          <w:hyperlink w:anchor="_Toc136856951" w:history="1">
            <w:r w:rsidR="00195A6C" w:rsidRPr="00461C2E">
              <w:rPr>
                <w:rStyle w:val="Hyperlink"/>
                <w:noProof/>
              </w:rPr>
              <w:t>Proposed assessment structure</w:t>
            </w:r>
            <w:r w:rsidR="00195A6C">
              <w:rPr>
                <w:noProof/>
                <w:webHidden/>
              </w:rPr>
              <w:tab/>
            </w:r>
            <w:r w:rsidR="00195A6C">
              <w:rPr>
                <w:noProof/>
                <w:webHidden/>
              </w:rPr>
              <w:fldChar w:fldCharType="begin"/>
            </w:r>
            <w:r w:rsidR="00195A6C">
              <w:rPr>
                <w:noProof/>
                <w:webHidden/>
              </w:rPr>
              <w:instrText xml:space="preserve"> PAGEREF _Toc136856951 \h </w:instrText>
            </w:r>
            <w:r w:rsidR="00195A6C">
              <w:rPr>
                <w:noProof/>
                <w:webHidden/>
              </w:rPr>
            </w:r>
            <w:r w:rsidR="00195A6C">
              <w:rPr>
                <w:noProof/>
                <w:webHidden/>
              </w:rPr>
              <w:fldChar w:fldCharType="separate"/>
            </w:r>
            <w:r w:rsidR="006F33F6">
              <w:rPr>
                <w:noProof/>
                <w:webHidden/>
              </w:rPr>
              <w:t>7</w:t>
            </w:r>
            <w:r w:rsidR="00195A6C">
              <w:rPr>
                <w:noProof/>
                <w:webHidden/>
              </w:rPr>
              <w:fldChar w:fldCharType="end"/>
            </w:r>
          </w:hyperlink>
        </w:p>
        <w:p w14:paraId="0DC3A998" w14:textId="530185B4" w:rsidR="00195A6C" w:rsidRDefault="00F21C8D">
          <w:pPr>
            <w:pStyle w:val="TOC2"/>
            <w:rPr>
              <w:rFonts w:asciiTheme="minorHAnsi" w:eastAsiaTheme="minorEastAsia" w:hAnsiTheme="minorHAnsi"/>
              <w:bCs w:val="0"/>
              <w:noProof/>
              <w:color w:val="auto"/>
              <w:sz w:val="22"/>
              <w:szCs w:val="22"/>
              <w:lang w:eastAsia="en-AU"/>
            </w:rPr>
          </w:pPr>
          <w:hyperlink w:anchor="_Toc136856952" w:history="1">
            <w:r w:rsidR="00195A6C" w:rsidRPr="00461C2E">
              <w:rPr>
                <w:rStyle w:val="Hyperlink"/>
                <w:noProof/>
              </w:rPr>
              <w:t>Consultation</w:t>
            </w:r>
            <w:r w:rsidR="00195A6C">
              <w:rPr>
                <w:noProof/>
                <w:webHidden/>
              </w:rPr>
              <w:tab/>
            </w:r>
            <w:r w:rsidR="00195A6C">
              <w:rPr>
                <w:noProof/>
                <w:webHidden/>
              </w:rPr>
              <w:fldChar w:fldCharType="begin"/>
            </w:r>
            <w:r w:rsidR="00195A6C">
              <w:rPr>
                <w:noProof/>
                <w:webHidden/>
              </w:rPr>
              <w:instrText xml:space="preserve"> PAGEREF _Toc136856952 \h </w:instrText>
            </w:r>
            <w:r w:rsidR="00195A6C">
              <w:rPr>
                <w:noProof/>
                <w:webHidden/>
              </w:rPr>
            </w:r>
            <w:r w:rsidR="00195A6C">
              <w:rPr>
                <w:noProof/>
                <w:webHidden/>
              </w:rPr>
              <w:fldChar w:fldCharType="separate"/>
            </w:r>
            <w:r w:rsidR="006F33F6">
              <w:rPr>
                <w:noProof/>
                <w:webHidden/>
              </w:rPr>
              <w:t>7</w:t>
            </w:r>
            <w:r w:rsidR="00195A6C">
              <w:rPr>
                <w:noProof/>
                <w:webHidden/>
              </w:rPr>
              <w:fldChar w:fldCharType="end"/>
            </w:r>
          </w:hyperlink>
        </w:p>
        <w:p w14:paraId="5B35147A" w14:textId="264DEEE8" w:rsidR="005B6B61" w:rsidRDefault="005B6B61">
          <w:r>
            <w:rPr>
              <w:b/>
              <w:bCs/>
              <w:noProof/>
            </w:rPr>
            <w:fldChar w:fldCharType="end"/>
          </w:r>
        </w:p>
      </w:sdtContent>
    </w:sdt>
    <w:p w14:paraId="76C19AF3" w14:textId="77F72EB5" w:rsidR="00693888" w:rsidRPr="00DF1879" w:rsidRDefault="00693888" w:rsidP="00DF1879">
      <w:r>
        <w:br w:type="page"/>
      </w:r>
    </w:p>
    <w:p w14:paraId="4943E9E0" w14:textId="012EAD79" w:rsidR="00A5102B" w:rsidRPr="007C4D64" w:rsidRDefault="00C53513" w:rsidP="007C4D64">
      <w:pPr>
        <w:pStyle w:val="Heading2"/>
      </w:pPr>
      <w:bookmarkStart w:id="0" w:name="_Toc133236145"/>
      <w:bookmarkStart w:id="1" w:name="_Toc133236171"/>
      <w:bookmarkStart w:id="2" w:name="_Toc136856943"/>
      <w:r>
        <w:t>Overview of category</w:t>
      </w:r>
      <w:bookmarkEnd w:id="0"/>
      <w:bookmarkEnd w:id="1"/>
      <w:bookmarkEnd w:id="2"/>
    </w:p>
    <w:p w14:paraId="541B1646" w14:textId="4D4167A4" w:rsidR="00D4183A" w:rsidRPr="00D4183A" w:rsidRDefault="00D4183A" w:rsidP="00D4183A">
      <w:pPr>
        <w:pStyle w:val="CGC2025ParaNumbers"/>
      </w:pPr>
      <w:bookmarkStart w:id="3" w:name="_Toc133236146"/>
      <w:bookmarkStart w:id="4" w:name="_Toc133236172"/>
      <w:r w:rsidRPr="00D4183A">
        <w:t xml:space="preserve">The category consists of revenue from </w:t>
      </w:r>
      <w:r w:rsidR="4B60C4C1">
        <w:t>dut</w:t>
      </w:r>
      <w:r w:rsidR="1ABF414E">
        <w:t>ies</w:t>
      </w:r>
      <w:r w:rsidRPr="00D4183A">
        <w:t xml:space="preserve"> levied on the premiums paid for a range of insurance products. Insurance tax is generally collected from insurance companies but passed onto consumers.</w:t>
      </w:r>
    </w:p>
    <w:p w14:paraId="2E3258DE" w14:textId="4AEE8C8D" w:rsidR="00D4183A" w:rsidRPr="00D4183A" w:rsidRDefault="00D4183A" w:rsidP="00D4183A">
      <w:pPr>
        <w:pStyle w:val="CGC2025ParaNumbers"/>
      </w:pPr>
      <w:r w:rsidRPr="00D4183A">
        <w:t xml:space="preserve">The category excludes revenue from insurance-based fire and emergency services levies, which are offset against expenses in the </w:t>
      </w:r>
      <w:r w:rsidR="1498C5AC">
        <w:t>o</w:t>
      </w:r>
      <w:r w:rsidR="4B60C4C1">
        <w:t>ther</w:t>
      </w:r>
      <w:r w:rsidRPr="00D4183A">
        <w:t xml:space="preserve"> expenses category.</w:t>
      </w:r>
    </w:p>
    <w:p w14:paraId="5C880387" w14:textId="03C69197" w:rsidR="00D4183A" w:rsidRPr="00D4183A" w:rsidRDefault="00D4183A" w:rsidP="00D4183A">
      <w:pPr>
        <w:pStyle w:val="CGC2025ParaNumbers"/>
      </w:pPr>
      <w:r w:rsidRPr="00D4183A">
        <w:t>For the revenue included in this category, state capacity is assessed using the total value of general insurance premiums paid in each state.</w:t>
      </w:r>
      <w:r>
        <w:rPr>
          <w:rStyle w:val="FootnoteReference"/>
        </w:rPr>
        <w:footnoteReference w:id="2"/>
      </w:r>
      <w:r w:rsidRPr="00D4183A">
        <w:t xml:space="preserve"> Premiums relating to workers’ compensation insurance and compulsory third</w:t>
      </w:r>
      <w:r w:rsidR="0635B332" w:rsidRPr="00D4183A">
        <w:t>-</w:t>
      </w:r>
      <w:r w:rsidRPr="00D4183A">
        <w:t xml:space="preserve">party motor vehicle insurance, as well as insurance-based fire and emergency levies are excluded. Premiums paid to </w:t>
      </w:r>
      <w:r w:rsidR="4114C5A9" w:rsidRPr="00D4183A">
        <w:t>public</w:t>
      </w:r>
      <w:r w:rsidR="65CAFE82" w:rsidRPr="00D4183A">
        <w:t>ly</w:t>
      </w:r>
      <w:r w:rsidRPr="00D4183A">
        <w:t xml:space="preserve"> </w:t>
      </w:r>
      <w:r w:rsidR="7842CE74" w:rsidRPr="00D4183A">
        <w:t>owned</w:t>
      </w:r>
      <w:r w:rsidRPr="00D4183A">
        <w:t xml:space="preserve"> insurers are also excluded.</w:t>
      </w:r>
    </w:p>
    <w:p w14:paraId="7CD41C7D" w14:textId="7B4FD0DF" w:rsidR="001D33AD" w:rsidRPr="001D33AD" w:rsidRDefault="001D33AD" w:rsidP="0093066B">
      <w:pPr>
        <w:pStyle w:val="Heading2"/>
      </w:pPr>
      <w:bookmarkStart w:id="5" w:name="_Toc136856944"/>
      <w:r>
        <w:t xml:space="preserve">Current </w:t>
      </w:r>
      <w:r w:rsidR="0093066B">
        <w:t>assessment method – 2020 Review</w:t>
      </w:r>
      <w:bookmarkEnd w:id="3"/>
      <w:bookmarkEnd w:id="4"/>
      <w:bookmarkEnd w:id="5"/>
    </w:p>
    <w:p w14:paraId="319DF372" w14:textId="2BCE8B74" w:rsidR="00D4183A" w:rsidRPr="00D4183A" w:rsidRDefault="00D4183A" w:rsidP="00D4183A">
      <w:pPr>
        <w:pStyle w:val="CGC2025ParaNumbers"/>
      </w:pPr>
      <w:bookmarkStart w:id="6" w:name="_Toc133236147"/>
      <w:bookmarkStart w:id="7" w:name="_Toc133236173"/>
      <w:r w:rsidRPr="00D4183A">
        <w:t>States’ capacities to raise insurance tax are assessed using the total value of premiums paid to general insurers (known as gross earned premiums) for insured risks in each state.</w:t>
      </w:r>
      <w:r w:rsidR="001A06C8">
        <w:rPr>
          <w:rStyle w:val="FootnoteReference"/>
        </w:rPr>
        <w:footnoteReference w:id="3"/>
      </w:r>
    </w:p>
    <w:p w14:paraId="13912818" w14:textId="77777777" w:rsidR="00D4183A" w:rsidRPr="00D4183A" w:rsidRDefault="00D4183A" w:rsidP="00D4183A">
      <w:pPr>
        <w:pStyle w:val="CGC2025ParaNumbers"/>
      </w:pPr>
      <w:r w:rsidRPr="00D4183A">
        <w:t xml:space="preserve">Under the 2020 Review assessment method, the Commission makes 3 adjustments to the total general insurance premiums data to remove premiums that are heavily policy influenced and to improve the comparability of the capacity measure across states. </w:t>
      </w:r>
    </w:p>
    <w:p w14:paraId="42BBE5BA" w14:textId="70FCE053" w:rsidR="00D4183A" w:rsidRPr="00990A02" w:rsidRDefault="00D4183A" w:rsidP="00990A02">
      <w:pPr>
        <w:pStyle w:val="CGC2025Bullet1"/>
      </w:pPr>
      <w:r w:rsidRPr="00990A02">
        <w:t>Workers’ compensation premiums are removed as they are only taxed by one state</w:t>
      </w:r>
      <w:r w:rsidR="4B60C4C1">
        <w:t xml:space="preserve"> </w:t>
      </w:r>
      <w:r w:rsidR="5E6694A4">
        <w:t>and</w:t>
      </w:r>
      <w:r w:rsidRPr="00990A02">
        <w:t xml:space="preserve"> represent a large proportion of total premiums across all states. Including these premiums would misrepresent states’ capacities to raise insurance tax.</w:t>
      </w:r>
    </w:p>
    <w:p w14:paraId="3D68F593" w14:textId="2A8F3F40" w:rsidR="00D4183A" w:rsidRPr="00990A02" w:rsidRDefault="00D4183A" w:rsidP="00990A02">
      <w:pPr>
        <w:pStyle w:val="CGC2025Bullet1"/>
      </w:pPr>
      <w:r w:rsidRPr="00990A02">
        <w:t>Compulsory third</w:t>
      </w:r>
      <w:r w:rsidR="79E09E4B" w:rsidRPr="00990A02">
        <w:t>-</w:t>
      </w:r>
      <w:r w:rsidRPr="00990A02">
        <w:t>party premiums are removed as they are significantly influenced by state policy choices, including whether schemes are publicly or privately underwritten.</w:t>
      </w:r>
      <w:r w:rsidR="00E2631F">
        <w:rPr>
          <w:rStyle w:val="FootnoteReference"/>
        </w:rPr>
        <w:footnoteReference w:id="4"/>
      </w:r>
      <w:r w:rsidRPr="00990A02">
        <w:t xml:space="preserve"> </w:t>
      </w:r>
    </w:p>
    <w:p w14:paraId="7EA1DC8B" w14:textId="26DE7F2A" w:rsidR="00D4183A" w:rsidRPr="00990A02" w:rsidRDefault="00D4183A" w:rsidP="00990A02">
      <w:pPr>
        <w:pStyle w:val="CGC2025Bullet1"/>
      </w:pPr>
      <w:r w:rsidRPr="00990A02">
        <w:t>Insurance-based fire and emergency services levies are removed, so as not to overstate the capacities of states that impose them.</w:t>
      </w:r>
      <w:r w:rsidR="009A5677">
        <w:rPr>
          <w:rStyle w:val="FootnoteReference"/>
        </w:rPr>
        <w:footnoteReference w:id="5"/>
      </w:r>
      <w:r w:rsidRPr="00990A02">
        <w:t xml:space="preserve"> Revenue from these levies is not assessed in the </w:t>
      </w:r>
      <w:r w:rsidR="464B0ACA" w:rsidRPr="00990A02">
        <w:t>i</w:t>
      </w:r>
      <w:r w:rsidR="0BB1D80A" w:rsidRPr="00990A02">
        <w:t>nsurance</w:t>
      </w:r>
      <w:r w:rsidRPr="00990A02">
        <w:t xml:space="preserve"> tax category and is instead offset against emergency services in the </w:t>
      </w:r>
      <w:r w:rsidR="671321C3">
        <w:t>o</w:t>
      </w:r>
      <w:r w:rsidR="4B60C4C1" w:rsidRPr="00990A02">
        <w:t>ther</w:t>
      </w:r>
      <w:r w:rsidRPr="00990A02">
        <w:t xml:space="preserve"> expenses category.</w:t>
      </w:r>
    </w:p>
    <w:p w14:paraId="2296C007" w14:textId="42C13451" w:rsidR="00D4183A" w:rsidRPr="00D4183A" w:rsidRDefault="00D4183A" w:rsidP="00D4183A">
      <w:pPr>
        <w:pStyle w:val="CGC2025ParaNumbers"/>
      </w:pPr>
      <w:r w:rsidRPr="00D4183A">
        <w:t>Insurance duty is imposed on life insurance in 4 states.</w:t>
      </w:r>
      <w:r w:rsidR="007F046D" w:rsidRPr="006065F1">
        <w:rPr>
          <w:rFonts w:eastAsiaTheme="minorEastAsia"/>
          <w:szCs w:val="20"/>
          <w:vertAlign w:val="superscript"/>
        </w:rPr>
        <w:footnoteReference w:id="6"/>
      </w:r>
      <w:r w:rsidRPr="006065F1">
        <w:rPr>
          <w:rFonts w:eastAsiaTheme="minorEastAsia"/>
          <w:szCs w:val="20"/>
          <w:vertAlign w:val="superscript"/>
        </w:rPr>
        <w:t xml:space="preserve"> </w:t>
      </w:r>
      <w:r w:rsidRPr="29C31000">
        <w:rPr>
          <w:rFonts w:eastAsiaTheme="minorEastAsia"/>
          <w:szCs w:val="20"/>
        </w:rPr>
        <w:t>Revenue from life insurance duty is not easily removed from the category</w:t>
      </w:r>
      <w:r w:rsidR="3016CEDB" w:rsidRPr="29C31000">
        <w:rPr>
          <w:rFonts w:eastAsiaTheme="minorEastAsia"/>
          <w:szCs w:val="20"/>
        </w:rPr>
        <w:t>.</w:t>
      </w:r>
      <w:r w:rsidR="4B60C4C1" w:rsidRPr="29C31000">
        <w:rPr>
          <w:rFonts w:eastAsiaTheme="minorEastAsia"/>
          <w:szCs w:val="20"/>
        </w:rPr>
        <w:t xml:space="preserve"> </w:t>
      </w:r>
      <w:r w:rsidR="540948AD" w:rsidRPr="29C31000">
        <w:rPr>
          <w:rFonts w:eastAsiaTheme="minorEastAsia"/>
          <w:szCs w:val="20"/>
        </w:rPr>
        <w:t>In the 2020 Review the Commission concluded that this meant a separate assessment was not practical. Available</w:t>
      </w:r>
      <w:r w:rsidRPr="29C31000">
        <w:rPr>
          <w:rFonts w:eastAsiaTheme="minorEastAsia"/>
          <w:szCs w:val="20"/>
        </w:rPr>
        <w:t xml:space="preserve"> data </w:t>
      </w:r>
      <w:r w:rsidR="540948AD" w:rsidRPr="29C31000">
        <w:rPr>
          <w:rFonts w:eastAsiaTheme="minorEastAsia"/>
          <w:szCs w:val="20"/>
        </w:rPr>
        <w:t>suggested</w:t>
      </w:r>
      <w:r w:rsidRPr="29C31000">
        <w:rPr>
          <w:rFonts w:eastAsiaTheme="minorEastAsia"/>
          <w:szCs w:val="20"/>
        </w:rPr>
        <w:t xml:space="preserve"> it </w:t>
      </w:r>
      <w:r w:rsidR="540948AD" w:rsidRPr="29C31000">
        <w:rPr>
          <w:rFonts w:eastAsiaTheme="minorEastAsia"/>
          <w:szCs w:val="20"/>
        </w:rPr>
        <w:t>represented</w:t>
      </w:r>
      <w:r w:rsidRPr="29C31000">
        <w:rPr>
          <w:rFonts w:eastAsiaTheme="minorEastAsia"/>
          <w:szCs w:val="20"/>
        </w:rPr>
        <w:t xml:space="preserve"> less than 5% of insurance tax revenue. Further, data on life insurance premiums are not included in the Commission’s total premiums data and are not publicly available by state. On practicality grounds, the Commission </w:t>
      </w:r>
      <w:r w:rsidR="540948AD" w:rsidRPr="29C31000">
        <w:rPr>
          <w:rFonts w:eastAsiaTheme="minorEastAsia"/>
          <w:szCs w:val="20"/>
        </w:rPr>
        <w:t>left</w:t>
      </w:r>
      <w:r w:rsidRPr="29C31000">
        <w:rPr>
          <w:rFonts w:eastAsiaTheme="minorEastAsia"/>
          <w:szCs w:val="20"/>
        </w:rPr>
        <w:t xml:space="preserve"> life insurance tax revenue in the category and assesses it using the general insurance premiums revenue base.</w:t>
      </w:r>
      <w:r w:rsidR="00E26A70">
        <w:rPr>
          <w:rFonts w:eastAsiaTheme="minorEastAsia"/>
          <w:szCs w:val="20"/>
        </w:rPr>
        <w:t xml:space="preserve"> </w:t>
      </w:r>
    </w:p>
    <w:p w14:paraId="0C518604" w14:textId="6CEB513B" w:rsidR="00D4183A" w:rsidRPr="00D4183A" w:rsidRDefault="00D4183A" w:rsidP="00D4183A">
      <w:pPr>
        <w:pStyle w:val="CGC2025ParaNumbers"/>
      </w:pPr>
      <w:r w:rsidRPr="00D4183A">
        <w:t xml:space="preserve">On practicality grounds, revenue from duty on workers’ compensation (imposed by </w:t>
      </w:r>
      <w:r w:rsidR="234AF841">
        <w:t>one</w:t>
      </w:r>
      <w:r w:rsidR="00885FA0">
        <w:t> </w:t>
      </w:r>
      <w:r w:rsidRPr="00D4183A">
        <w:t>state) and compulsory third</w:t>
      </w:r>
      <w:r w:rsidR="00F06CE6">
        <w:t>-</w:t>
      </w:r>
      <w:r w:rsidRPr="00D4183A">
        <w:t xml:space="preserve">party insurance (imposed by 4 states) is also left in the general insurance category and assessed using </w:t>
      </w:r>
      <w:r w:rsidR="00D623DB">
        <w:t xml:space="preserve">the </w:t>
      </w:r>
      <w:r w:rsidRPr="00D4183A">
        <w:t>adjusted general insurance premiums r</w:t>
      </w:r>
      <w:r w:rsidRPr="29C31000">
        <w:rPr>
          <w:rFonts w:eastAsiaTheme="minorEastAsia"/>
          <w:szCs w:val="20"/>
        </w:rPr>
        <w:t>evenue base. These revenues are not reported consistently</w:t>
      </w:r>
      <w:r w:rsidR="68551DA8" w:rsidRPr="29C31000">
        <w:rPr>
          <w:rFonts w:eastAsiaTheme="minorEastAsia"/>
          <w:szCs w:val="20"/>
        </w:rPr>
        <w:t xml:space="preserve"> which means a separate assessment is not practical. Available</w:t>
      </w:r>
      <w:r w:rsidRPr="29C31000">
        <w:rPr>
          <w:rFonts w:eastAsiaTheme="minorEastAsia"/>
          <w:szCs w:val="20"/>
        </w:rPr>
        <w:t xml:space="preserve"> data </w:t>
      </w:r>
      <w:r w:rsidR="4B60C4C1" w:rsidRPr="29C31000">
        <w:rPr>
          <w:rFonts w:eastAsiaTheme="minorEastAsia"/>
          <w:szCs w:val="20"/>
        </w:rPr>
        <w:t>suggest</w:t>
      </w:r>
      <w:r w:rsidR="1E5A389D" w:rsidRPr="29C31000">
        <w:rPr>
          <w:rFonts w:eastAsiaTheme="minorEastAsia"/>
          <w:szCs w:val="20"/>
        </w:rPr>
        <w:t>s</w:t>
      </w:r>
      <w:r w:rsidRPr="29C31000">
        <w:rPr>
          <w:rFonts w:eastAsiaTheme="minorEastAsia"/>
          <w:szCs w:val="20"/>
        </w:rPr>
        <w:t xml:space="preserve"> they are small relative to total insurance tax re</w:t>
      </w:r>
      <w:r w:rsidRPr="00D4183A">
        <w:t>venue.</w:t>
      </w:r>
    </w:p>
    <w:p w14:paraId="6B787ADD" w14:textId="5DDD94AC" w:rsidR="007A0F3F" w:rsidRDefault="00D71528" w:rsidP="00E3102A">
      <w:pPr>
        <w:pStyle w:val="Heading3"/>
      </w:pPr>
      <w:bookmarkStart w:id="8" w:name="_Toc136856945"/>
      <w:r>
        <w:t xml:space="preserve">Data used in the </w:t>
      </w:r>
      <w:proofErr w:type="gramStart"/>
      <w:r>
        <w:t>assessment</w:t>
      </w:r>
      <w:bookmarkEnd w:id="6"/>
      <w:bookmarkEnd w:id="7"/>
      <w:bookmarkEnd w:id="8"/>
      <w:proofErr w:type="gramEnd"/>
    </w:p>
    <w:p w14:paraId="1C60F136" w14:textId="0A08B001" w:rsidR="00D4183A" w:rsidRPr="00D5402F" w:rsidRDefault="00D4183A" w:rsidP="00D4183A">
      <w:pPr>
        <w:pStyle w:val="CGC2025ParaNumbers"/>
      </w:pPr>
      <w:bookmarkStart w:id="9" w:name="_Toc132729100"/>
      <w:bookmarkStart w:id="10" w:name="_Toc133236148"/>
      <w:bookmarkStart w:id="11" w:name="_Toc133236174"/>
      <w:r w:rsidRPr="00A006D1">
        <w:t xml:space="preserve">Data on the revenue raised by states </w:t>
      </w:r>
      <w:r>
        <w:t>are</w:t>
      </w:r>
      <w:r w:rsidRPr="00A006D1">
        <w:t xml:space="preserve"> sourced from the Australian Bureau of Statistics Government Finance Statistics and, for the last assessment year, </w:t>
      </w:r>
      <w:r>
        <w:t xml:space="preserve">from </w:t>
      </w:r>
      <w:r w:rsidRPr="00A006D1">
        <w:t xml:space="preserve">State </w:t>
      </w:r>
      <w:r>
        <w:t>Revenue Offices.</w:t>
      </w:r>
      <w:r>
        <w:rPr>
          <w:rStyle w:val="FootnoteReference"/>
          <w:rFonts w:eastAsia="Calibri" w:cs="Arial"/>
        </w:rPr>
        <w:footnoteReference w:id="7"/>
      </w:r>
    </w:p>
    <w:p w14:paraId="4E126AD3" w14:textId="77777777" w:rsidR="00D4183A" w:rsidRDefault="00D4183A" w:rsidP="00D4183A">
      <w:pPr>
        <w:pStyle w:val="CGC2025ParaNumbers"/>
      </w:pPr>
      <w:r>
        <w:t>Data on the total premiums paid for general insurance in each state are sourced from the Australian Prudential Regulation Authority.</w:t>
      </w:r>
      <w:r>
        <w:rPr>
          <w:rStyle w:val="FootnoteReference"/>
        </w:rPr>
        <w:footnoteReference w:id="8"/>
      </w:r>
      <w:r>
        <w:t xml:space="preserve"> </w:t>
      </w:r>
    </w:p>
    <w:p w14:paraId="541A3048" w14:textId="050685F7" w:rsidR="00361D06" w:rsidRPr="00927945" w:rsidRDefault="00361D06" w:rsidP="00554A84">
      <w:pPr>
        <w:pStyle w:val="Heading3"/>
      </w:pPr>
      <w:bookmarkStart w:id="12" w:name="_Toc136856946"/>
      <w:r w:rsidRPr="00927945">
        <w:t xml:space="preserve">Category and component </w:t>
      </w:r>
      <w:bookmarkEnd w:id="9"/>
      <w:bookmarkEnd w:id="10"/>
      <w:bookmarkEnd w:id="11"/>
      <w:r w:rsidR="00497F63">
        <w:t>revenue</w:t>
      </w:r>
      <w:bookmarkEnd w:id="12"/>
    </w:p>
    <w:p w14:paraId="129E26CC" w14:textId="05D371A9" w:rsidR="00D60228" w:rsidRDefault="00EF2DBD" w:rsidP="00390A31">
      <w:pPr>
        <w:pStyle w:val="CGC2025ParaNumbers"/>
      </w:pPr>
      <w:bookmarkStart w:id="13" w:name="_Toc121741486"/>
      <w:bookmarkStart w:id="14" w:name="_Toc132729102"/>
      <w:bookmarkStart w:id="15" w:name="_Toc133236149"/>
      <w:bookmarkStart w:id="16" w:name="_Toc133236175"/>
      <w:bookmarkStart w:id="17" w:name="_Toc127428352"/>
      <w:r>
        <w:t>While i</w:t>
      </w:r>
      <w:r w:rsidRPr="004C59FB">
        <w:t xml:space="preserve">nsurance tax revenue </w:t>
      </w:r>
      <w:r>
        <w:t xml:space="preserve">increased between </w:t>
      </w:r>
      <w:r w:rsidRPr="004C59FB">
        <w:t>2018</w:t>
      </w:r>
      <w:r w:rsidR="7D417CD8">
        <w:t>–</w:t>
      </w:r>
      <w:r w:rsidRPr="004C59FB">
        <w:t>19 to 2021</w:t>
      </w:r>
      <w:r w:rsidR="265941AF">
        <w:t>–</w:t>
      </w:r>
      <w:r w:rsidRPr="004C59FB">
        <w:t>22</w:t>
      </w:r>
      <w:r>
        <w:t xml:space="preserve">, it remained relatively stable </w:t>
      </w:r>
      <w:r w:rsidRPr="004C59FB">
        <w:t xml:space="preserve">as a share of total own-source revenue </w:t>
      </w:r>
      <w:r>
        <w:t>(</w:t>
      </w:r>
      <w:r w:rsidR="000D3F98">
        <w:fldChar w:fldCharType="begin"/>
      </w:r>
      <w:r w:rsidR="000D3F98">
        <w:instrText xml:space="preserve"> REF _Ref134539601 \h </w:instrText>
      </w:r>
      <w:r w:rsidR="000D3F98">
        <w:fldChar w:fldCharType="separate"/>
      </w:r>
      <w:r w:rsidR="006F33F6" w:rsidRPr="00CF3E2C">
        <w:t xml:space="preserve">Table </w:t>
      </w:r>
      <w:r w:rsidR="006F33F6">
        <w:rPr>
          <w:noProof/>
        </w:rPr>
        <w:t>1</w:t>
      </w:r>
      <w:r w:rsidR="000D3F98">
        <w:fldChar w:fldCharType="end"/>
      </w:r>
      <w:r>
        <w:t>)</w:t>
      </w:r>
      <w:r w:rsidRPr="004C59FB">
        <w:t>.</w:t>
      </w:r>
    </w:p>
    <w:p w14:paraId="5FA96D10" w14:textId="25545332" w:rsidR="00CF3E2C" w:rsidRPr="00CF3E2C" w:rsidRDefault="00CF3E2C" w:rsidP="00CF3E2C">
      <w:pPr>
        <w:pStyle w:val="Caption"/>
        <w:rPr>
          <w:rFonts w:ascii="Work Sans" w:hAnsi="Work Sans"/>
        </w:rPr>
      </w:pPr>
      <w:bookmarkStart w:id="18" w:name="_Ref134539601"/>
      <w:r w:rsidRPr="00CF3E2C">
        <w:rPr>
          <w:rFonts w:ascii="Work Sans" w:hAnsi="Work Sans"/>
        </w:rPr>
        <w:t xml:space="preserve">Table </w:t>
      </w:r>
      <w:r w:rsidRPr="00CF3E2C">
        <w:rPr>
          <w:rFonts w:ascii="Work Sans" w:hAnsi="Work Sans"/>
        </w:rPr>
        <w:fldChar w:fldCharType="begin"/>
      </w:r>
      <w:r w:rsidRPr="00CF3E2C">
        <w:rPr>
          <w:rFonts w:ascii="Work Sans" w:hAnsi="Work Sans"/>
        </w:rPr>
        <w:instrText xml:space="preserve"> SEQ Table \* ARABIC </w:instrText>
      </w:r>
      <w:r w:rsidRPr="00CF3E2C">
        <w:rPr>
          <w:rFonts w:ascii="Work Sans" w:hAnsi="Work Sans"/>
        </w:rPr>
        <w:fldChar w:fldCharType="separate"/>
      </w:r>
      <w:r w:rsidR="006F33F6">
        <w:rPr>
          <w:rFonts w:ascii="Work Sans" w:hAnsi="Work Sans"/>
          <w:noProof/>
        </w:rPr>
        <w:t>1</w:t>
      </w:r>
      <w:r w:rsidRPr="00CF3E2C">
        <w:rPr>
          <w:rFonts w:ascii="Work Sans" w:hAnsi="Work Sans"/>
        </w:rPr>
        <w:fldChar w:fldCharType="end"/>
      </w:r>
      <w:bookmarkEnd w:id="18"/>
      <w:r>
        <w:tab/>
      </w:r>
      <w:r w:rsidRPr="00CF3E2C">
        <w:rPr>
          <w:rFonts w:ascii="Work Sans" w:hAnsi="Work Sans"/>
        </w:rPr>
        <w:t>Insurance tax revenue, 2018</w:t>
      </w:r>
      <w:r w:rsidR="5D8357DE" w:rsidRPr="29C31000">
        <w:rPr>
          <w:rFonts w:ascii="Work Sans" w:hAnsi="Work Sans"/>
        </w:rPr>
        <w:t>–</w:t>
      </w:r>
      <w:r w:rsidRPr="00CF3E2C">
        <w:rPr>
          <w:rFonts w:ascii="Work Sans" w:hAnsi="Work Sans"/>
        </w:rPr>
        <w:t>19 to 2021</w:t>
      </w:r>
      <w:r w:rsidR="1CE56E6E" w:rsidRPr="29C31000">
        <w:rPr>
          <w:rFonts w:ascii="Work Sans" w:hAnsi="Work Sans"/>
        </w:rPr>
        <w:t>–</w:t>
      </w:r>
      <w:r w:rsidRPr="00CF3E2C">
        <w:rPr>
          <w:rFonts w:ascii="Work Sans" w:hAnsi="Work Sans"/>
        </w:rPr>
        <w:t>22</w:t>
      </w:r>
    </w:p>
    <w:tbl>
      <w:tblPr>
        <w:tblW w:w="9400" w:type="dxa"/>
        <w:tblLook w:val="04A0" w:firstRow="1" w:lastRow="0" w:firstColumn="1" w:lastColumn="0" w:noHBand="0" w:noVBand="1"/>
      </w:tblPr>
      <w:tblGrid>
        <w:gridCol w:w="3080"/>
        <w:gridCol w:w="1580"/>
        <w:gridCol w:w="1580"/>
        <w:gridCol w:w="1580"/>
        <w:gridCol w:w="1580"/>
      </w:tblGrid>
      <w:tr w:rsidR="00840472" w:rsidRPr="00840472" w14:paraId="61754E43" w14:textId="77777777" w:rsidTr="34C2C035">
        <w:trPr>
          <w:trHeight w:val="375"/>
        </w:trPr>
        <w:tc>
          <w:tcPr>
            <w:tcW w:w="3080" w:type="dxa"/>
            <w:tcBorders>
              <w:top w:val="single" w:sz="4" w:space="0" w:color="auto"/>
              <w:left w:val="nil"/>
              <w:bottom w:val="nil"/>
              <w:right w:val="nil"/>
            </w:tcBorders>
            <w:shd w:val="clear" w:color="auto" w:fill="006991"/>
            <w:noWrap/>
            <w:vAlign w:val="center"/>
            <w:hideMark/>
          </w:tcPr>
          <w:p w14:paraId="7E768FF2" w14:textId="77777777" w:rsidR="00840472" w:rsidRPr="00840472" w:rsidRDefault="00840472" w:rsidP="00840472">
            <w:pPr>
              <w:tabs>
                <w:tab w:val="clear" w:pos="567"/>
              </w:tabs>
              <w:spacing w:before="0" w:line="240" w:lineRule="auto"/>
              <w:rPr>
                <w:rFonts w:ascii="Open Sans Semibold" w:eastAsia="Times New Roman" w:hAnsi="Open Sans Semibold" w:cs="Open Sans Semibold"/>
                <w:color w:val="FFFFFF"/>
                <w:sz w:val="16"/>
                <w:szCs w:val="16"/>
                <w:lang w:eastAsia="en-AU"/>
              </w:rPr>
            </w:pPr>
            <w:r w:rsidRPr="00840472">
              <w:rPr>
                <w:rFonts w:ascii="Open Sans Semibold" w:eastAsia="Times New Roman" w:hAnsi="Open Sans Semibold" w:cs="Open Sans Semibold"/>
                <w:color w:val="FFFFFF"/>
                <w:sz w:val="16"/>
                <w:szCs w:val="16"/>
                <w:lang w:eastAsia="en-AU"/>
              </w:rPr>
              <w:t> </w:t>
            </w:r>
          </w:p>
        </w:tc>
        <w:tc>
          <w:tcPr>
            <w:tcW w:w="1580" w:type="dxa"/>
            <w:tcBorders>
              <w:top w:val="single" w:sz="4" w:space="0" w:color="auto"/>
              <w:left w:val="nil"/>
              <w:bottom w:val="nil"/>
              <w:right w:val="nil"/>
            </w:tcBorders>
            <w:shd w:val="clear" w:color="auto" w:fill="006991"/>
            <w:noWrap/>
            <w:vAlign w:val="center"/>
            <w:hideMark/>
          </w:tcPr>
          <w:p w14:paraId="257D2A15" w14:textId="7ABFFBCB" w:rsidR="00840472" w:rsidRPr="00840472" w:rsidRDefault="00840472" w:rsidP="0084047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34C2C035">
              <w:rPr>
                <w:rFonts w:ascii="Open Sans Semibold" w:eastAsia="Times New Roman" w:hAnsi="Open Sans Semibold" w:cs="Open Sans Semibold"/>
                <w:color w:val="FFFFFF" w:themeColor="background1"/>
                <w:sz w:val="16"/>
                <w:szCs w:val="16"/>
                <w:lang w:eastAsia="en-AU"/>
              </w:rPr>
              <w:t>2018</w:t>
            </w:r>
            <w:r w:rsidR="6406E293" w:rsidRPr="29C31000">
              <w:rPr>
                <w:rFonts w:ascii="Open Sans Semibold" w:eastAsia="Times New Roman" w:hAnsi="Open Sans Semibold" w:cs="Open Sans Semibold"/>
                <w:color w:val="FFFFFF" w:themeColor="background1"/>
                <w:sz w:val="16"/>
                <w:szCs w:val="16"/>
                <w:lang w:eastAsia="en-AU"/>
              </w:rPr>
              <w:t>–</w:t>
            </w:r>
            <w:r w:rsidRPr="34C2C035">
              <w:rPr>
                <w:rFonts w:ascii="Open Sans Semibold" w:eastAsia="Times New Roman" w:hAnsi="Open Sans Semibold" w:cs="Open Sans Semibold"/>
                <w:color w:val="FFFFFF" w:themeColor="background1"/>
                <w:sz w:val="16"/>
                <w:szCs w:val="16"/>
                <w:lang w:eastAsia="en-AU"/>
              </w:rPr>
              <w:t>19</w:t>
            </w:r>
          </w:p>
        </w:tc>
        <w:tc>
          <w:tcPr>
            <w:tcW w:w="1580" w:type="dxa"/>
            <w:tcBorders>
              <w:top w:val="single" w:sz="4" w:space="0" w:color="auto"/>
              <w:left w:val="nil"/>
              <w:bottom w:val="nil"/>
              <w:right w:val="nil"/>
            </w:tcBorders>
            <w:shd w:val="clear" w:color="auto" w:fill="006991"/>
            <w:noWrap/>
            <w:vAlign w:val="center"/>
            <w:hideMark/>
          </w:tcPr>
          <w:p w14:paraId="4DC42226" w14:textId="539BED29" w:rsidR="00840472" w:rsidRPr="00840472" w:rsidRDefault="00840472" w:rsidP="0084047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34C2C035">
              <w:rPr>
                <w:rFonts w:ascii="Open Sans Semibold" w:eastAsia="Times New Roman" w:hAnsi="Open Sans Semibold" w:cs="Open Sans Semibold"/>
                <w:color w:val="FFFFFF" w:themeColor="background1"/>
                <w:sz w:val="16"/>
                <w:szCs w:val="16"/>
                <w:lang w:eastAsia="en-AU"/>
              </w:rPr>
              <w:t>2019</w:t>
            </w:r>
            <w:r w:rsidR="336323C1" w:rsidRPr="29C31000">
              <w:rPr>
                <w:rFonts w:ascii="Open Sans Semibold" w:eastAsia="Times New Roman" w:hAnsi="Open Sans Semibold" w:cs="Open Sans Semibold"/>
                <w:color w:val="FFFFFF" w:themeColor="background1"/>
                <w:sz w:val="16"/>
                <w:szCs w:val="16"/>
                <w:lang w:eastAsia="en-AU"/>
              </w:rPr>
              <w:t>–</w:t>
            </w:r>
            <w:r w:rsidRPr="34C2C035">
              <w:rPr>
                <w:rFonts w:ascii="Open Sans Semibold" w:eastAsia="Times New Roman" w:hAnsi="Open Sans Semibold" w:cs="Open Sans Semibold"/>
                <w:color w:val="FFFFFF" w:themeColor="background1"/>
                <w:sz w:val="16"/>
                <w:szCs w:val="16"/>
                <w:lang w:eastAsia="en-AU"/>
              </w:rPr>
              <w:t>20</w:t>
            </w:r>
          </w:p>
        </w:tc>
        <w:tc>
          <w:tcPr>
            <w:tcW w:w="1580" w:type="dxa"/>
            <w:tcBorders>
              <w:top w:val="single" w:sz="4" w:space="0" w:color="auto"/>
              <w:left w:val="nil"/>
              <w:bottom w:val="nil"/>
              <w:right w:val="nil"/>
            </w:tcBorders>
            <w:shd w:val="clear" w:color="auto" w:fill="006991"/>
            <w:noWrap/>
            <w:vAlign w:val="center"/>
            <w:hideMark/>
          </w:tcPr>
          <w:p w14:paraId="785EE052" w14:textId="752EBCE3" w:rsidR="00840472" w:rsidRPr="00840472" w:rsidRDefault="00840472" w:rsidP="0084047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34C2C035">
              <w:rPr>
                <w:rFonts w:ascii="Open Sans Semibold" w:eastAsia="Times New Roman" w:hAnsi="Open Sans Semibold" w:cs="Open Sans Semibold"/>
                <w:color w:val="FFFFFF" w:themeColor="background1"/>
                <w:sz w:val="16"/>
                <w:szCs w:val="16"/>
                <w:lang w:eastAsia="en-AU"/>
              </w:rPr>
              <w:t>2020</w:t>
            </w:r>
            <w:r w:rsidR="4A72F156" w:rsidRPr="29C31000">
              <w:rPr>
                <w:rFonts w:ascii="Open Sans Semibold" w:eastAsia="Times New Roman" w:hAnsi="Open Sans Semibold" w:cs="Open Sans Semibold"/>
                <w:color w:val="FFFFFF" w:themeColor="background1"/>
                <w:sz w:val="16"/>
                <w:szCs w:val="16"/>
                <w:lang w:eastAsia="en-AU"/>
              </w:rPr>
              <w:t>–</w:t>
            </w:r>
            <w:r w:rsidRPr="34C2C035">
              <w:rPr>
                <w:rFonts w:ascii="Open Sans Semibold" w:eastAsia="Times New Roman" w:hAnsi="Open Sans Semibold" w:cs="Open Sans Semibold"/>
                <w:color w:val="FFFFFF" w:themeColor="background1"/>
                <w:sz w:val="16"/>
                <w:szCs w:val="16"/>
                <w:lang w:eastAsia="en-AU"/>
              </w:rPr>
              <w:t>21</w:t>
            </w:r>
          </w:p>
        </w:tc>
        <w:tc>
          <w:tcPr>
            <w:tcW w:w="1580" w:type="dxa"/>
            <w:tcBorders>
              <w:top w:val="single" w:sz="4" w:space="0" w:color="auto"/>
              <w:left w:val="nil"/>
              <w:bottom w:val="nil"/>
              <w:right w:val="nil"/>
            </w:tcBorders>
            <w:shd w:val="clear" w:color="auto" w:fill="006991"/>
            <w:noWrap/>
            <w:vAlign w:val="center"/>
            <w:hideMark/>
          </w:tcPr>
          <w:p w14:paraId="6AD0A5CB" w14:textId="354A492C" w:rsidR="00840472" w:rsidRPr="00840472" w:rsidRDefault="00840472" w:rsidP="0084047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34C2C035">
              <w:rPr>
                <w:rFonts w:ascii="Open Sans Semibold" w:eastAsia="Times New Roman" w:hAnsi="Open Sans Semibold" w:cs="Open Sans Semibold"/>
                <w:color w:val="FFFFFF" w:themeColor="background1"/>
                <w:sz w:val="16"/>
                <w:szCs w:val="16"/>
                <w:lang w:eastAsia="en-AU"/>
              </w:rPr>
              <w:t>2021</w:t>
            </w:r>
            <w:r w:rsidR="3954B962" w:rsidRPr="29C31000">
              <w:rPr>
                <w:rFonts w:ascii="Open Sans Semibold" w:eastAsia="Times New Roman" w:hAnsi="Open Sans Semibold" w:cs="Open Sans Semibold"/>
                <w:color w:val="FFFFFF" w:themeColor="background1"/>
                <w:sz w:val="16"/>
                <w:szCs w:val="16"/>
                <w:lang w:eastAsia="en-AU"/>
              </w:rPr>
              <w:t>–</w:t>
            </w:r>
            <w:r w:rsidRPr="34C2C035">
              <w:rPr>
                <w:rFonts w:ascii="Open Sans Semibold" w:eastAsia="Times New Roman" w:hAnsi="Open Sans Semibold" w:cs="Open Sans Semibold"/>
                <w:color w:val="FFFFFF" w:themeColor="background1"/>
                <w:sz w:val="16"/>
                <w:szCs w:val="16"/>
                <w:lang w:eastAsia="en-AU"/>
              </w:rPr>
              <w:t>22</w:t>
            </w:r>
          </w:p>
        </w:tc>
      </w:tr>
      <w:tr w:rsidR="00840472" w:rsidRPr="00840472" w14:paraId="0D295105" w14:textId="77777777" w:rsidTr="00840472">
        <w:trPr>
          <w:trHeight w:val="315"/>
        </w:trPr>
        <w:tc>
          <w:tcPr>
            <w:tcW w:w="3080" w:type="dxa"/>
            <w:tcBorders>
              <w:top w:val="single" w:sz="4" w:space="0" w:color="ADD6EA"/>
              <w:left w:val="nil"/>
              <w:bottom w:val="single" w:sz="4" w:space="0" w:color="ADD6EA"/>
              <w:right w:val="nil"/>
            </w:tcBorders>
            <w:shd w:val="clear" w:color="auto" w:fill="auto"/>
            <w:noWrap/>
            <w:vAlign w:val="bottom"/>
            <w:hideMark/>
          </w:tcPr>
          <w:p w14:paraId="6C48415F" w14:textId="77777777" w:rsidR="00840472" w:rsidRPr="00840472" w:rsidRDefault="00840472" w:rsidP="00840472">
            <w:pPr>
              <w:tabs>
                <w:tab w:val="clear" w:pos="567"/>
              </w:tabs>
              <w:spacing w:before="0" w:line="240" w:lineRule="auto"/>
              <w:rPr>
                <w:rFonts w:eastAsia="Times New Roman" w:cs="Open Sans Light"/>
                <w:sz w:val="16"/>
                <w:szCs w:val="16"/>
                <w:lang w:eastAsia="en-AU"/>
              </w:rPr>
            </w:pPr>
            <w:r w:rsidRPr="00840472">
              <w:rPr>
                <w:rFonts w:eastAsia="Times New Roman" w:cs="Open Sans Light"/>
                <w:sz w:val="16"/>
                <w:szCs w:val="16"/>
                <w:lang w:eastAsia="en-AU"/>
              </w:rPr>
              <w:t>Total revenue ($m)</w:t>
            </w:r>
          </w:p>
        </w:tc>
        <w:tc>
          <w:tcPr>
            <w:tcW w:w="1580" w:type="dxa"/>
            <w:tcBorders>
              <w:top w:val="single" w:sz="4" w:space="0" w:color="ADD6EA"/>
              <w:left w:val="nil"/>
              <w:bottom w:val="single" w:sz="4" w:space="0" w:color="ADD6EA"/>
              <w:right w:val="nil"/>
            </w:tcBorders>
            <w:shd w:val="clear" w:color="auto" w:fill="auto"/>
            <w:noWrap/>
            <w:vAlign w:val="bottom"/>
            <w:hideMark/>
          </w:tcPr>
          <w:p w14:paraId="2B00BBF8" w14:textId="77777777" w:rsidR="00840472" w:rsidRPr="00840472" w:rsidRDefault="00840472" w:rsidP="00840472">
            <w:pPr>
              <w:tabs>
                <w:tab w:val="clear" w:pos="567"/>
              </w:tabs>
              <w:spacing w:before="0" w:line="240" w:lineRule="auto"/>
              <w:jc w:val="right"/>
              <w:rPr>
                <w:rFonts w:eastAsia="Times New Roman" w:cs="Open Sans Light"/>
                <w:sz w:val="16"/>
                <w:szCs w:val="16"/>
                <w:lang w:eastAsia="en-AU"/>
              </w:rPr>
            </w:pPr>
            <w:r w:rsidRPr="00840472">
              <w:rPr>
                <w:rFonts w:eastAsia="Times New Roman" w:cs="Open Sans Light"/>
                <w:sz w:val="16"/>
                <w:szCs w:val="16"/>
                <w:lang w:eastAsia="en-AU"/>
              </w:rPr>
              <w:t>5,542</w:t>
            </w:r>
          </w:p>
        </w:tc>
        <w:tc>
          <w:tcPr>
            <w:tcW w:w="1580" w:type="dxa"/>
            <w:tcBorders>
              <w:top w:val="single" w:sz="4" w:space="0" w:color="ADD6EA"/>
              <w:left w:val="nil"/>
              <w:bottom w:val="single" w:sz="4" w:space="0" w:color="ADD6EA"/>
              <w:right w:val="nil"/>
            </w:tcBorders>
            <w:shd w:val="clear" w:color="auto" w:fill="auto"/>
            <w:noWrap/>
            <w:vAlign w:val="bottom"/>
            <w:hideMark/>
          </w:tcPr>
          <w:p w14:paraId="5637E6A5" w14:textId="77777777" w:rsidR="00840472" w:rsidRPr="00840472" w:rsidRDefault="00840472" w:rsidP="00840472">
            <w:pPr>
              <w:tabs>
                <w:tab w:val="clear" w:pos="567"/>
              </w:tabs>
              <w:spacing w:before="0" w:line="240" w:lineRule="auto"/>
              <w:jc w:val="right"/>
              <w:rPr>
                <w:rFonts w:eastAsia="Times New Roman" w:cs="Open Sans Light"/>
                <w:sz w:val="16"/>
                <w:szCs w:val="16"/>
                <w:lang w:eastAsia="en-AU"/>
              </w:rPr>
            </w:pPr>
            <w:r w:rsidRPr="00840472">
              <w:rPr>
                <w:rFonts w:eastAsia="Times New Roman" w:cs="Open Sans Light"/>
                <w:sz w:val="16"/>
                <w:szCs w:val="16"/>
                <w:lang w:eastAsia="en-AU"/>
              </w:rPr>
              <w:t>5,802</w:t>
            </w:r>
          </w:p>
        </w:tc>
        <w:tc>
          <w:tcPr>
            <w:tcW w:w="1580" w:type="dxa"/>
            <w:tcBorders>
              <w:top w:val="single" w:sz="4" w:space="0" w:color="ADD6EA"/>
              <w:left w:val="nil"/>
              <w:bottom w:val="single" w:sz="4" w:space="0" w:color="ADD6EA"/>
              <w:right w:val="nil"/>
            </w:tcBorders>
            <w:shd w:val="clear" w:color="auto" w:fill="auto"/>
            <w:noWrap/>
            <w:vAlign w:val="bottom"/>
            <w:hideMark/>
          </w:tcPr>
          <w:p w14:paraId="399821B5" w14:textId="77777777" w:rsidR="00840472" w:rsidRPr="00840472" w:rsidRDefault="00840472" w:rsidP="00840472">
            <w:pPr>
              <w:tabs>
                <w:tab w:val="clear" w:pos="567"/>
              </w:tabs>
              <w:spacing w:before="0" w:line="240" w:lineRule="auto"/>
              <w:jc w:val="right"/>
              <w:rPr>
                <w:rFonts w:eastAsia="Times New Roman" w:cs="Open Sans Light"/>
                <w:sz w:val="16"/>
                <w:szCs w:val="16"/>
                <w:lang w:eastAsia="en-AU"/>
              </w:rPr>
            </w:pPr>
            <w:r w:rsidRPr="00840472">
              <w:rPr>
                <w:rFonts w:eastAsia="Times New Roman" w:cs="Open Sans Light"/>
                <w:sz w:val="16"/>
                <w:szCs w:val="16"/>
                <w:lang w:eastAsia="en-AU"/>
              </w:rPr>
              <w:t>6,137</w:t>
            </w:r>
          </w:p>
        </w:tc>
        <w:tc>
          <w:tcPr>
            <w:tcW w:w="1580" w:type="dxa"/>
            <w:tcBorders>
              <w:top w:val="single" w:sz="4" w:space="0" w:color="ADD6EA"/>
              <w:left w:val="nil"/>
              <w:bottom w:val="single" w:sz="4" w:space="0" w:color="ADD6EA"/>
              <w:right w:val="nil"/>
            </w:tcBorders>
            <w:shd w:val="clear" w:color="auto" w:fill="auto"/>
            <w:noWrap/>
            <w:vAlign w:val="bottom"/>
            <w:hideMark/>
          </w:tcPr>
          <w:p w14:paraId="1C51E776" w14:textId="77777777" w:rsidR="00840472" w:rsidRPr="00840472" w:rsidRDefault="00840472" w:rsidP="00840472">
            <w:pPr>
              <w:tabs>
                <w:tab w:val="clear" w:pos="567"/>
              </w:tabs>
              <w:spacing w:before="0" w:line="240" w:lineRule="auto"/>
              <w:jc w:val="right"/>
              <w:rPr>
                <w:rFonts w:eastAsia="Times New Roman" w:cs="Open Sans Light"/>
                <w:sz w:val="16"/>
                <w:szCs w:val="16"/>
                <w:lang w:eastAsia="en-AU"/>
              </w:rPr>
            </w:pPr>
            <w:r w:rsidRPr="00840472">
              <w:rPr>
                <w:rFonts w:eastAsia="Times New Roman" w:cs="Open Sans Light"/>
                <w:sz w:val="16"/>
                <w:szCs w:val="16"/>
                <w:lang w:eastAsia="en-AU"/>
              </w:rPr>
              <w:t>6,728</w:t>
            </w:r>
          </w:p>
        </w:tc>
      </w:tr>
      <w:tr w:rsidR="00840472" w:rsidRPr="00840472" w14:paraId="6163DD68" w14:textId="77777777" w:rsidTr="00840472">
        <w:trPr>
          <w:trHeight w:val="315"/>
        </w:trPr>
        <w:tc>
          <w:tcPr>
            <w:tcW w:w="3080" w:type="dxa"/>
            <w:tcBorders>
              <w:top w:val="nil"/>
              <w:left w:val="nil"/>
              <w:bottom w:val="single" w:sz="4" w:space="0" w:color="ADD6EA"/>
              <w:right w:val="nil"/>
            </w:tcBorders>
            <w:shd w:val="clear" w:color="auto" w:fill="auto"/>
            <w:vAlign w:val="bottom"/>
            <w:hideMark/>
          </w:tcPr>
          <w:p w14:paraId="0515D44F" w14:textId="77777777" w:rsidR="00840472" w:rsidRPr="00840472" w:rsidRDefault="00840472" w:rsidP="00840472">
            <w:pPr>
              <w:tabs>
                <w:tab w:val="clear" w:pos="567"/>
              </w:tabs>
              <w:spacing w:before="0" w:line="240" w:lineRule="auto"/>
              <w:rPr>
                <w:rFonts w:eastAsia="Times New Roman" w:cs="Open Sans Light"/>
                <w:sz w:val="16"/>
                <w:szCs w:val="16"/>
                <w:lang w:eastAsia="en-AU"/>
              </w:rPr>
            </w:pPr>
            <w:r w:rsidRPr="00840472">
              <w:rPr>
                <w:rFonts w:eastAsia="Times New Roman" w:cs="Open Sans Light"/>
                <w:sz w:val="16"/>
                <w:szCs w:val="16"/>
                <w:lang w:eastAsia="en-AU"/>
              </w:rPr>
              <w:t>Share of total own-source revenue (%)</w:t>
            </w:r>
          </w:p>
        </w:tc>
        <w:tc>
          <w:tcPr>
            <w:tcW w:w="1580" w:type="dxa"/>
            <w:tcBorders>
              <w:top w:val="nil"/>
              <w:left w:val="nil"/>
              <w:bottom w:val="single" w:sz="4" w:space="0" w:color="ADD6EA"/>
              <w:right w:val="nil"/>
            </w:tcBorders>
            <w:shd w:val="clear" w:color="auto" w:fill="auto"/>
            <w:noWrap/>
            <w:vAlign w:val="bottom"/>
            <w:hideMark/>
          </w:tcPr>
          <w:p w14:paraId="317E839C" w14:textId="77777777" w:rsidR="00840472" w:rsidRPr="00840472" w:rsidRDefault="00840472" w:rsidP="00840472">
            <w:pPr>
              <w:tabs>
                <w:tab w:val="clear" w:pos="567"/>
              </w:tabs>
              <w:spacing w:before="0" w:line="240" w:lineRule="auto"/>
              <w:jc w:val="right"/>
              <w:rPr>
                <w:rFonts w:eastAsia="Times New Roman" w:cs="Open Sans Light"/>
                <w:sz w:val="16"/>
                <w:szCs w:val="16"/>
                <w:lang w:eastAsia="en-AU"/>
              </w:rPr>
            </w:pPr>
            <w:r w:rsidRPr="00840472">
              <w:rPr>
                <w:rFonts w:eastAsia="Times New Roman" w:cs="Open Sans Light"/>
                <w:sz w:val="16"/>
                <w:szCs w:val="16"/>
                <w:lang w:eastAsia="en-AU"/>
              </w:rPr>
              <w:t>4.2</w:t>
            </w:r>
          </w:p>
        </w:tc>
        <w:tc>
          <w:tcPr>
            <w:tcW w:w="1580" w:type="dxa"/>
            <w:tcBorders>
              <w:top w:val="nil"/>
              <w:left w:val="nil"/>
              <w:bottom w:val="single" w:sz="4" w:space="0" w:color="ADD6EA"/>
              <w:right w:val="nil"/>
            </w:tcBorders>
            <w:shd w:val="clear" w:color="auto" w:fill="auto"/>
            <w:noWrap/>
            <w:vAlign w:val="bottom"/>
            <w:hideMark/>
          </w:tcPr>
          <w:p w14:paraId="5D8BD841" w14:textId="77777777" w:rsidR="00840472" w:rsidRPr="00840472" w:rsidRDefault="00840472" w:rsidP="00840472">
            <w:pPr>
              <w:tabs>
                <w:tab w:val="clear" w:pos="567"/>
              </w:tabs>
              <w:spacing w:before="0" w:line="240" w:lineRule="auto"/>
              <w:jc w:val="right"/>
              <w:rPr>
                <w:rFonts w:eastAsia="Times New Roman" w:cs="Open Sans Light"/>
                <w:sz w:val="16"/>
                <w:szCs w:val="16"/>
                <w:lang w:eastAsia="en-AU"/>
              </w:rPr>
            </w:pPr>
            <w:r w:rsidRPr="00840472">
              <w:rPr>
                <w:rFonts w:eastAsia="Times New Roman" w:cs="Open Sans Light"/>
                <w:sz w:val="16"/>
                <w:szCs w:val="16"/>
                <w:lang w:eastAsia="en-AU"/>
              </w:rPr>
              <w:t>4.6</w:t>
            </w:r>
          </w:p>
        </w:tc>
        <w:tc>
          <w:tcPr>
            <w:tcW w:w="1580" w:type="dxa"/>
            <w:tcBorders>
              <w:top w:val="nil"/>
              <w:left w:val="nil"/>
              <w:bottom w:val="single" w:sz="4" w:space="0" w:color="ADD6EA"/>
              <w:right w:val="nil"/>
            </w:tcBorders>
            <w:shd w:val="clear" w:color="auto" w:fill="auto"/>
            <w:noWrap/>
            <w:vAlign w:val="bottom"/>
            <w:hideMark/>
          </w:tcPr>
          <w:p w14:paraId="58F4149F" w14:textId="77777777" w:rsidR="00840472" w:rsidRPr="00840472" w:rsidRDefault="00840472" w:rsidP="00840472">
            <w:pPr>
              <w:tabs>
                <w:tab w:val="clear" w:pos="567"/>
              </w:tabs>
              <w:spacing w:before="0" w:line="240" w:lineRule="auto"/>
              <w:jc w:val="right"/>
              <w:rPr>
                <w:rFonts w:eastAsia="Times New Roman" w:cs="Open Sans Light"/>
                <w:sz w:val="16"/>
                <w:szCs w:val="16"/>
                <w:lang w:eastAsia="en-AU"/>
              </w:rPr>
            </w:pPr>
            <w:r w:rsidRPr="00840472">
              <w:rPr>
                <w:rFonts w:eastAsia="Times New Roman" w:cs="Open Sans Light"/>
                <w:sz w:val="16"/>
                <w:szCs w:val="16"/>
                <w:lang w:eastAsia="en-AU"/>
              </w:rPr>
              <w:t>4.4</w:t>
            </w:r>
          </w:p>
        </w:tc>
        <w:tc>
          <w:tcPr>
            <w:tcW w:w="1580" w:type="dxa"/>
            <w:tcBorders>
              <w:top w:val="nil"/>
              <w:left w:val="nil"/>
              <w:bottom w:val="single" w:sz="4" w:space="0" w:color="ADD6EA"/>
              <w:right w:val="nil"/>
            </w:tcBorders>
            <w:shd w:val="clear" w:color="auto" w:fill="auto"/>
            <w:noWrap/>
            <w:vAlign w:val="bottom"/>
            <w:hideMark/>
          </w:tcPr>
          <w:p w14:paraId="26C7FDE4" w14:textId="77777777" w:rsidR="00840472" w:rsidRPr="00840472" w:rsidRDefault="00840472" w:rsidP="00B57A57">
            <w:pPr>
              <w:keepNext/>
              <w:tabs>
                <w:tab w:val="clear" w:pos="567"/>
              </w:tabs>
              <w:spacing w:before="0" w:line="240" w:lineRule="auto"/>
              <w:jc w:val="right"/>
              <w:rPr>
                <w:rFonts w:eastAsia="Times New Roman" w:cs="Open Sans Light"/>
                <w:sz w:val="16"/>
                <w:szCs w:val="16"/>
                <w:lang w:eastAsia="en-AU"/>
              </w:rPr>
            </w:pPr>
            <w:r w:rsidRPr="00840472">
              <w:rPr>
                <w:rFonts w:eastAsia="Times New Roman" w:cs="Open Sans Light"/>
                <w:sz w:val="16"/>
                <w:szCs w:val="16"/>
                <w:lang w:eastAsia="en-AU"/>
              </w:rPr>
              <w:t>4.1</w:t>
            </w:r>
          </w:p>
        </w:tc>
      </w:tr>
    </w:tbl>
    <w:p w14:paraId="7DE747C9" w14:textId="31CB8A8C" w:rsidR="00B57A57" w:rsidRPr="0025486C" w:rsidRDefault="00B57A57" w:rsidP="29C31000">
      <w:pPr>
        <w:pStyle w:val="CGCTablenote"/>
        <w:ind w:left="0" w:firstLine="0"/>
        <w:rPr>
          <w:rFonts w:ascii="Work Sans" w:hAnsi="Work Sans"/>
        </w:rPr>
      </w:pPr>
      <w:r w:rsidRPr="0025486C">
        <w:rPr>
          <w:rFonts w:ascii="Work Sans" w:hAnsi="Work Sans"/>
        </w:rPr>
        <w:t>Source: Commission calculation</w:t>
      </w:r>
      <w:r w:rsidR="0007284E" w:rsidRPr="0025486C">
        <w:rPr>
          <w:rFonts w:ascii="Work Sans" w:hAnsi="Work Sans"/>
        </w:rPr>
        <w:t>.</w:t>
      </w:r>
      <w:r w:rsidRPr="0025486C">
        <w:rPr>
          <w:rFonts w:ascii="Work Sans" w:hAnsi="Work Sans"/>
        </w:rPr>
        <w:t xml:space="preserve"> </w:t>
      </w:r>
    </w:p>
    <w:p w14:paraId="5E632E14" w14:textId="65C0468D" w:rsidR="00140C20" w:rsidRDefault="00FE1EE7" w:rsidP="00515BF2">
      <w:pPr>
        <w:pStyle w:val="CGC2025ParaNumbers"/>
      </w:pPr>
      <w:r>
        <w:t>States raised $6,728 million from insurance tax in 2021</w:t>
      </w:r>
      <w:r w:rsidR="75032EDC">
        <w:t>–</w:t>
      </w:r>
      <w:r>
        <w:t>22, representing 4.1% of total own-source revenue (</w:t>
      </w:r>
      <w:r w:rsidR="00D2706F" w:rsidRPr="009F3E23">
        <w:fldChar w:fldCharType="begin"/>
      </w:r>
      <w:r w:rsidR="00D2706F" w:rsidRPr="009F3E23">
        <w:instrText xml:space="preserve"> REF _Ref134539697 \h </w:instrText>
      </w:r>
      <w:r w:rsidR="009F3E23">
        <w:instrText xml:space="preserve"> \* MERGEFORMAT </w:instrText>
      </w:r>
      <w:r w:rsidR="00D2706F" w:rsidRPr="009F3E23">
        <w:fldChar w:fldCharType="separate"/>
      </w:r>
      <w:r w:rsidR="006F33F6" w:rsidRPr="000D3F98">
        <w:t xml:space="preserve">Table </w:t>
      </w:r>
      <w:r w:rsidR="006F33F6">
        <w:t>2</w:t>
      </w:r>
      <w:r w:rsidR="00D2706F" w:rsidRPr="009F3E23">
        <w:fldChar w:fldCharType="end"/>
      </w:r>
      <w:r>
        <w:t>).</w:t>
      </w:r>
    </w:p>
    <w:p w14:paraId="085FCA73" w14:textId="7EAB86F2" w:rsidR="000D3F98" w:rsidRPr="000D3F98" w:rsidRDefault="000D3F98" w:rsidP="000D3F98">
      <w:pPr>
        <w:pStyle w:val="Caption"/>
        <w:rPr>
          <w:rFonts w:ascii="Work Sans" w:hAnsi="Work Sans"/>
        </w:rPr>
      </w:pPr>
      <w:bookmarkStart w:id="19" w:name="_Ref134539697"/>
      <w:r w:rsidRPr="000D3F98">
        <w:rPr>
          <w:rFonts w:ascii="Work Sans" w:hAnsi="Work Sans"/>
        </w:rPr>
        <w:t xml:space="preserve">Table </w:t>
      </w:r>
      <w:r w:rsidRPr="000D3F98">
        <w:rPr>
          <w:rFonts w:ascii="Work Sans" w:hAnsi="Work Sans"/>
        </w:rPr>
        <w:fldChar w:fldCharType="begin"/>
      </w:r>
      <w:r w:rsidRPr="000D3F98">
        <w:rPr>
          <w:rFonts w:ascii="Work Sans" w:hAnsi="Work Sans"/>
        </w:rPr>
        <w:instrText xml:space="preserve"> SEQ Table \* ARABIC </w:instrText>
      </w:r>
      <w:r w:rsidRPr="000D3F98">
        <w:rPr>
          <w:rFonts w:ascii="Work Sans" w:hAnsi="Work Sans"/>
        </w:rPr>
        <w:fldChar w:fldCharType="separate"/>
      </w:r>
      <w:r w:rsidR="006F33F6">
        <w:rPr>
          <w:rFonts w:ascii="Work Sans" w:hAnsi="Work Sans"/>
          <w:noProof/>
        </w:rPr>
        <w:t>2</w:t>
      </w:r>
      <w:r w:rsidRPr="000D3F98">
        <w:rPr>
          <w:rFonts w:ascii="Work Sans" w:hAnsi="Work Sans"/>
        </w:rPr>
        <w:fldChar w:fldCharType="end"/>
      </w:r>
      <w:bookmarkEnd w:id="19"/>
      <w:r>
        <w:tab/>
      </w:r>
      <w:r w:rsidRPr="000D3F98">
        <w:rPr>
          <w:rFonts w:ascii="Work Sans" w:hAnsi="Work Sans"/>
        </w:rPr>
        <w:t>Insurance tax revenue, by state, 2021</w:t>
      </w:r>
      <w:r w:rsidR="77EB2D36" w:rsidRPr="29C31000">
        <w:rPr>
          <w:rFonts w:ascii="Work Sans" w:hAnsi="Work Sans"/>
        </w:rPr>
        <w:t>–</w:t>
      </w:r>
      <w:r w:rsidRPr="000D3F98">
        <w:rPr>
          <w:rFonts w:ascii="Work Sans" w:hAnsi="Work Sans"/>
        </w:rPr>
        <w:t>22</w:t>
      </w:r>
    </w:p>
    <w:tbl>
      <w:tblPr>
        <w:tblW w:w="9500" w:type="dxa"/>
        <w:tblLook w:val="04A0" w:firstRow="1" w:lastRow="0" w:firstColumn="1" w:lastColumn="0" w:noHBand="0" w:noVBand="1"/>
      </w:tblPr>
      <w:tblGrid>
        <w:gridCol w:w="2300"/>
        <w:gridCol w:w="800"/>
        <w:gridCol w:w="800"/>
        <w:gridCol w:w="800"/>
        <w:gridCol w:w="800"/>
        <w:gridCol w:w="800"/>
        <w:gridCol w:w="800"/>
        <w:gridCol w:w="800"/>
        <w:gridCol w:w="800"/>
        <w:gridCol w:w="800"/>
      </w:tblGrid>
      <w:tr w:rsidR="005C1DE5" w:rsidRPr="005C1DE5" w14:paraId="09A6D040" w14:textId="77777777" w:rsidTr="005C1DE5">
        <w:trPr>
          <w:trHeight w:val="375"/>
        </w:trPr>
        <w:tc>
          <w:tcPr>
            <w:tcW w:w="2300" w:type="dxa"/>
            <w:tcBorders>
              <w:top w:val="single" w:sz="4" w:space="0" w:color="auto"/>
              <w:left w:val="nil"/>
              <w:bottom w:val="nil"/>
              <w:right w:val="nil"/>
            </w:tcBorders>
            <w:shd w:val="clear" w:color="000000" w:fill="006991"/>
            <w:noWrap/>
            <w:vAlign w:val="center"/>
            <w:hideMark/>
          </w:tcPr>
          <w:p w14:paraId="1116D6F4" w14:textId="77777777" w:rsidR="005C1DE5" w:rsidRPr="005C1DE5" w:rsidRDefault="005C1DE5" w:rsidP="005C1DE5">
            <w:pPr>
              <w:tabs>
                <w:tab w:val="clear" w:pos="567"/>
              </w:tabs>
              <w:spacing w:before="0" w:line="240" w:lineRule="auto"/>
              <w:rPr>
                <w:rFonts w:ascii="Open Sans Semibold" w:eastAsia="Times New Roman" w:hAnsi="Open Sans Semibold" w:cs="Open Sans Semibold"/>
                <w:color w:val="FFFFFF"/>
                <w:sz w:val="16"/>
                <w:szCs w:val="16"/>
                <w:lang w:eastAsia="en-AU"/>
              </w:rPr>
            </w:pPr>
            <w:r w:rsidRPr="005C1DE5">
              <w:rPr>
                <w:rFonts w:ascii="Open Sans Semibold" w:eastAsia="Times New Roman" w:hAnsi="Open Sans Semibold" w:cs="Open Sans Semibold"/>
                <w:color w:val="FFFFFF"/>
                <w:sz w:val="16"/>
                <w:szCs w:val="16"/>
                <w:lang w:eastAsia="en-AU"/>
              </w:rPr>
              <w:t> </w:t>
            </w:r>
          </w:p>
        </w:tc>
        <w:tc>
          <w:tcPr>
            <w:tcW w:w="800" w:type="dxa"/>
            <w:tcBorders>
              <w:top w:val="single" w:sz="4" w:space="0" w:color="auto"/>
              <w:left w:val="nil"/>
              <w:bottom w:val="nil"/>
              <w:right w:val="nil"/>
            </w:tcBorders>
            <w:shd w:val="clear" w:color="000000" w:fill="006991"/>
            <w:noWrap/>
            <w:vAlign w:val="center"/>
            <w:hideMark/>
          </w:tcPr>
          <w:p w14:paraId="34410078" w14:textId="77777777" w:rsidR="005C1DE5" w:rsidRPr="005C1DE5" w:rsidRDefault="005C1DE5" w:rsidP="005C1DE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C1DE5">
              <w:rPr>
                <w:rFonts w:ascii="Open Sans Semibold" w:eastAsia="Times New Roman" w:hAnsi="Open Sans Semibold" w:cs="Open Sans Semibold"/>
                <w:color w:val="FFFFFF"/>
                <w:sz w:val="16"/>
                <w:szCs w:val="16"/>
                <w:lang w:eastAsia="en-AU"/>
              </w:rPr>
              <w:t>NSW</w:t>
            </w:r>
          </w:p>
        </w:tc>
        <w:tc>
          <w:tcPr>
            <w:tcW w:w="800" w:type="dxa"/>
            <w:tcBorders>
              <w:top w:val="single" w:sz="4" w:space="0" w:color="auto"/>
              <w:left w:val="nil"/>
              <w:bottom w:val="nil"/>
              <w:right w:val="nil"/>
            </w:tcBorders>
            <w:shd w:val="clear" w:color="000000" w:fill="006991"/>
            <w:noWrap/>
            <w:vAlign w:val="center"/>
            <w:hideMark/>
          </w:tcPr>
          <w:p w14:paraId="3CBBCD6A" w14:textId="77777777" w:rsidR="005C1DE5" w:rsidRPr="005C1DE5" w:rsidRDefault="005C1DE5" w:rsidP="005C1DE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C1DE5">
              <w:rPr>
                <w:rFonts w:ascii="Open Sans Semibold" w:eastAsia="Times New Roman" w:hAnsi="Open Sans Semibold" w:cs="Open Sans Semibold"/>
                <w:color w:val="FFFFFF"/>
                <w:sz w:val="16"/>
                <w:szCs w:val="16"/>
                <w:lang w:eastAsia="en-AU"/>
              </w:rPr>
              <w:t>Vic</w:t>
            </w:r>
          </w:p>
        </w:tc>
        <w:tc>
          <w:tcPr>
            <w:tcW w:w="800" w:type="dxa"/>
            <w:tcBorders>
              <w:top w:val="single" w:sz="4" w:space="0" w:color="auto"/>
              <w:left w:val="nil"/>
              <w:bottom w:val="nil"/>
              <w:right w:val="nil"/>
            </w:tcBorders>
            <w:shd w:val="clear" w:color="000000" w:fill="006991"/>
            <w:noWrap/>
            <w:vAlign w:val="center"/>
            <w:hideMark/>
          </w:tcPr>
          <w:p w14:paraId="0BC442D6" w14:textId="77777777" w:rsidR="005C1DE5" w:rsidRPr="005C1DE5" w:rsidRDefault="005C1DE5" w:rsidP="005C1DE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C1DE5">
              <w:rPr>
                <w:rFonts w:ascii="Open Sans Semibold" w:eastAsia="Times New Roman" w:hAnsi="Open Sans Semibold" w:cs="Open Sans Semibold"/>
                <w:color w:val="FFFFFF"/>
                <w:sz w:val="16"/>
                <w:szCs w:val="16"/>
                <w:lang w:eastAsia="en-AU"/>
              </w:rPr>
              <w:t>Qld</w:t>
            </w:r>
          </w:p>
        </w:tc>
        <w:tc>
          <w:tcPr>
            <w:tcW w:w="800" w:type="dxa"/>
            <w:tcBorders>
              <w:top w:val="single" w:sz="4" w:space="0" w:color="auto"/>
              <w:left w:val="nil"/>
              <w:bottom w:val="nil"/>
              <w:right w:val="nil"/>
            </w:tcBorders>
            <w:shd w:val="clear" w:color="000000" w:fill="006991"/>
            <w:noWrap/>
            <w:vAlign w:val="center"/>
            <w:hideMark/>
          </w:tcPr>
          <w:p w14:paraId="0344D1BB" w14:textId="77777777" w:rsidR="005C1DE5" w:rsidRPr="005C1DE5" w:rsidRDefault="005C1DE5" w:rsidP="005C1DE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C1DE5">
              <w:rPr>
                <w:rFonts w:ascii="Open Sans Semibold" w:eastAsia="Times New Roman" w:hAnsi="Open Sans Semibold" w:cs="Open Sans Semibold"/>
                <w:color w:val="FFFFFF"/>
                <w:sz w:val="16"/>
                <w:szCs w:val="16"/>
                <w:lang w:eastAsia="en-AU"/>
              </w:rPr>
              <w:t>WA</w:t>
            </w:r>
          </w:p>
        </w:tc>
        <w:tc>
          <w:tcPr>
            <w:tcW w:w="800" w:type="dxa"/>
            <w:tcBorders>
              <w:top w:val="single" w:sz="4" w:space="0" w:color="auto"/>
              <w:left w:val="nil"/>
              <w:bottom w:val="nil"/>
              <w:right w:val="nil"/>
            </w:tcBorders>
            <w:shd w:val="clear" w:color="000000" w:fill="006991"/>
            <w:noWrap/>
            <w:vAlign w:val="center"/>
            <w:hideMark/>
          </w:tcPr>
          <w:p w14:paraId="022E9914" w14:textId="77777777" w:rsidR="005C1DE5" w:rsidRPr="005C1DE5" w:rsidRDefault="005C1DE5" w:rsidP="005C1DE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C1DE5">
              <w:rPr>
                <w:rFonts w:ascii="Open Sans Semibold" w:eastAsia="Times New Roman" w:hAnsi="Open Sans Semibold" w:cs="Open Sans Semibold"/>
                <w:color w:val="FFFFFF"/>
                <w:sz w:val="16"/>
                <w:szCs w:val="16"/>
                <w:lang w:eastAsia="en-AU"/>
              </w:rPr>
              <w:t>SA</w:t>
            </w:r>
          </w:p>
        </w:tc>
        <w:tc>
          <w:tcPr>
            <w:tcW w:w="800" w:type="dxa"/>
            <w:tcBorders>
              <w:top w:val="single" w:sz="4" w:space="0" w:color="auto"/>
              <w:left w:val="nil"/>
              <w:bottom w:val="nil"/>
              <w:right w:val="nil"/>
            </w:tcBorders>
            <w:shd w:val="clear" w:color="000000" w:fill="006991"/>
            <w:noWrap/>
            <w:vAlign w:val="center"/>
            <w:hideMark/>
          </w:tcPr>
          <w:p w14:paraId="50B332D7" w14:textId="77777777" w:rsidR="005C1DE5" w:rsidRPr="005C1DE5" w:rsidRDefault="005C1DE5" w:rsidP="005C1DE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C1DE5">
              <w:rPr>
                <w:rFonts w:ascii="Open Sans Semibold" w:eastAsia="Times New Roman" w:hAnsi="Open Sans Semibold" w:cs="Open Sans Semibold"/>
                <w:color w:val="FFFFFF"/>
                <w:sz w:val="16"/>
                <w:szCs w:val="16"/>
                <w:lang w:eastAsia="en-AU"/>
              </w:rPr>
              <w:t>Tas</w:t>
            </w:r>
          </w:p>
        </w:tc>
        <w:tc>
          <w:tcPr>
            <w:tcW w:w="800" w:type="dxa"/>
            <w:tcBorders>
              <w:top w:val="single" w:sz="4" w:space="0" w:color="auto"/>
              <w:left w:val="nil"/>
              <w:bottom w:val="nil"/>
              <w:right w:val="nil"/>
            </w:tcBorders>
            <w:shd w:val="clear" w:color="000000" w:fill="006991"/>
            <w:noWrap/>
            <w:vAlign w:val="center"/>
            <w:hideMark/>
          </w:tcPr>
          <w:p w14:paraId="05B230C8" w14:textId="77777777" w:rsidR="005C1DE5" w:rsidRPr="005C1DE5" w:rsidRDefault="005C1DE5" w:rsidP="005C1DE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C1DE5">
              <w:rPr>
                <w:rFonts w:ascii="Open Sans Semibold" w:eastAsia="Times New Roman" w:hAnsi="Open Sans Semibold" w:cs="Open Sans Semibold"/>
                <w:color w:val="FFFFFF"/>
                <w:sz w:val="16"/>
                <w:szCs w:val="16"/>
                <w:lang w:eastAsia="en-AU"/>
              </w:rPr>
              <w:t>ACT</w:t>
            </w:r>
          </w:p>
        </w:tc>
        <w:tc>
          <w:tcPr>
            <w:tcW w:w="800" w:type="dxa"/>
            <w:tcBorders>
              <w:top w:val="single" w:sz="4" w:space="0" w:color="auto"/>
              <w:left w:val="nil"/>
              <w:bottom w:val="nil"/>
              <w:right w:val="nil"/>
            </w:tcBorders>
            <w:shd w:val="clear" w:color="000000" w:fill="006991"/>
            <w:noWrap/>
            <w:vAlign w:val="center"/>
            <w:hideMark/>
          </w:tcPr>
          <w:p w14:paraId="200609DA" w14:textId="77777777" w:rsidR="005C1DE5" w:rsidRPr="005C1DE5" w:rsidRDefault="005C1DE5" w:rsidP="005C1DE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C1DE5">
              <w:rPr>
                <w:rFonts w:ascii="Open Sans Semibold" w:eastAsia="Times New Roman" w:hAnsi="Open Sans Semibold" w:cs="Open Sans Semibold"/>
                <w:color w:val="FFFFFF"/>
                <w:sz w:val="16"/>
                <w:szCs w:val="16"/>
                <w:lang w:eastAsia="en-AU"/>
              </w:rPr>
              <w:t>NT</w:t>
            </w:r>
          </w:p>
        </w:tc>
        <w:tc>
          <w:tcPr>
            <w:tcW w:w="800" w:type="dxa"/>
            <w:tcBorders>
              <w:top w:val="single" w:sz="4" w:space="0" w:color="auto"/>
              <w:left w:val="nil"/>
              <w:bottom w:val="nil"/>
              <w:right w:val="nil"/>
            </w:tcBorders>
            <w:shd w:val="clear" w:color="000000" w:fill="006991"/>
            <w:noWrap/>
            <w:vAlign w:val="center"/>
            <w:hideMark/>
          </w:tcPr>
          <w:p w14:paraId="22B4B595" w14:textId="77777777" w:rsidR="005C1DE5" w:rsidRPr="005C1DE5" w:rsidRDefault="005C1DE5" w:rsidP="005C1DE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C1DE5">
              <w:rPr>
                <w:rFonts w:ascii="Open Sans Semibold" w:eastAsia="Times New Roman" w:hAnsi="Open Sans Semibold" w:cs="Open Sans Semibold"/>
                <w:color w:val="FFFFFF"/>
                <w:sz w:val="16"/>
                <w:szCs w:val="16"/>
                <w:lang w:eastAsia="en-AU"/>
              </w:rPr>
              <w:t>Total</w:t>
            </w:r>
          </w:p>
        </w:tc>
      </w:tr>
      <w:tr w:rsidR="005C1DE5" w:rsidRPr="005C1DE5" w14:paraId="16FD891E" w14:textId="77777777" w:rsidTr="005C1DE5">
        <w:trPr>
          <w:trHeight w:val="315"/>
        </w:trPr>
        <w:tc>
          <w:tcPr>
            <w:tcW w:w="2300" w:type="dxa"/>
            <w:tcBorders>
              <w:top w:val="single" w:sz="4" w:space="0" w:color="ADD6EA"/>
              <w:left w:val="nil"/>
              <w:bottom w:val="single" w:sz="4" w:space="0" w:color="ADD6EA"/>
              <w:right w:val="nil"/>
            </w:tcBorders>
            <w:shd w:val="clear" w:color="auto" w:fill="auto"/>
            <w:noWrap/>
            <w:vAlign w:val="bottom"/>
            <w:hideMark/>
          </w:tcPr>
          <w:p w14:paraId="5F8FE6CA" w14:textId="77777777" w:rsidR="005C1DE5" w:rsidRPr="005C1DE5" w:rsidRDefault="005C1DE5" w:rsidP="005C1DE5">
            <w:pPr>
              <w:tabs>
                <w:tab w:val="clear" w:pos="567"/>
              </w:tabs>
              <w:spacing w:before="0" w:line="240" w:lineRule="auto"/>
              <w:rPr>
                <w:rFonts w:eastAsia="Times New Roman" w:cs="Open Sans Light"/>
                <w:sz w:val="16"/>
                <w:szCs w:val="16"/>
                <w:lang w:eastAsia="en-AU"/>
              </w:rPr>
            </w:pPr>
            <w:r w:rsidRPr="005C1DE5">
              <w:rPr>
                <w:rFonts w:eastAsia="Times New Roman" w:cs="Open Sans Light"/>
                <w:sz w:val="16"/>
                <w:szCs w:val="16"/>
                <w:lang w:eastAsia="en-AU"/>
              </w:rPr>
              <w:t>Total revenue ($m)</w:t>
            </w:r>
          </w:p>
        </w:tc>
        <w:tc>
          <w:tcPr>
            <w:tcW w:w="800" w:type="dxa"/>
            <w:tcBorders>
              <w:top w:val="single" w:sz="4" w:space="0" w:color="ADD6EA"/>
              <w:left w:val="nil"/>
              <w:bottom w:val="single" w:sz="4" w:space="0" w:color="ADD6EA"/>
              <w:right w:val="nil"/>
            </w:tcBorders>
            <w:shd w:val="clear" w:color="auto" w:fill="auto"/>
            <w:noWrap/>
            <w:vAlign w:val="bottom"/>
            <w:hideMark/>
          </w:tcPr>
          <w:p w14:paraId="2E95AE6C"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2,120</w:t>
            </w:r>
          </w:p>
        </w:tc>
        <w:tc>
          <w:tcPr>
            <w:tcW w:w="800" w:type="dxa"/>
            <w:tcBorders>
              <w:top w:val="single" w:sz="4" w:space="0" w:color="ADD6EA"/>
              <w:left w:val="nil"/>
              <w:bottom w:val="single" w:sz="4" w:space="0" w:color="ADD6EA"/>
              <w:right w:val="nil"/>
            </w:tcBorders>
            <w:shd w:val="clear" w:color="auto" w:fill="auto"/>
            <w:noWrap/>
            <w:vAlign w:val="bottom"/>
            <w:hideMark/>
          </w:tcPr>
          <w:p w14:paraId="3F51334F"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1,724</w:t>
            </w:r>
          </w:p>
        </w:tc>
        <w:tc>
          <w:tcPr>
            <w:tcW w:w="800" w:type="dxa"/>
            <w:tcBorders>
              <w:top w:val="single" w:sz="4" w:space="0" w:color="ADD6EA"/>
              <w:left w:val="nil"/>
              <w:bottom w:val="single" w:sz="4" w:space="0" w:color="ADD6EA"/>
              <w:right w:val="nil"/>
            </w:tcBorders>
            <w:shd w:val="clear" w:color="auto" w:fill="auto"/>
            <w:noWrap/>
            <w:vAlign w:val="bottom"/>
            <w:hideMark/>
          </w:tcPr>
          <w:p w14:paraId="292A41E1"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1,263</w:t>
            </w:r>
          </w:p>
        </w:tc>
        <w:tc>
          <w:tcPr>
            <w:tcW w:w="800" w:type="dxa"/>
            <w:tcBorders>
              <w:top w:val="single" w:sz="4" w:space="0" w:color="ADD6EA"/>
              <w:left w:val="nil"/>
              <w:bottom w:val="single" w:sz="4" w:space="0" w:color="ADD6EA"/>
              <w:right w:val="nil"/>
            </w:tcBorders>
            <w:shd w:val="clear" w:color="auto" w:fill="auto"/>
            <w:noWrap/>
            <w:vAlign w:val="bottom"/>
            <w:hideMark/>
          </w:tcPr>
          <w:p w14:paraId="552E28F5"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845</w:t>
            </w:r>
          </w:p>
        </w:tc>
        <w:tc>
          <w:tcPr>
            <w:tcW w:w="800" w:type="dxa"/>
            <w:tcBorders>
              <w:top w:val="single" w:sz="4" w:space="0" w:color="ADD6EA"/>
              <w:left w:val="nil"/>
              <w:bottom w:val="single" w:sz="4" w:space="0" w:color="ADD6EA"/>
              <w:right w:val="nil"/>
            </w:tcBorders>
            <w:shd w:val="clear" w:color="auto" w:fill="auto"/>
            <w:noWrap/>
            <w:vAlign w:val="bottom"/>
            <w:hideMark/>
          </w:tcPr>
          <w:p w14:paraId="66E61F23"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564</w:t>
            </w:r>
          </w:p>
        </w:tc>
        <w:tc>
          <w:tcPr>
            <w:tcW w:w="800" w:type="dxa"/>
            <w:tcBorders>
              <w:top w:val="single" w:sz="4" w:space="0" w:color="ADD6EA"/>
              <w:left w:val="nil"/>
              <w:bottom w:val="single" w:sz="4" w:space="0" w:color="ADD6EA"/>
              <w:right w:val="nil"/>
            </w:tcBorders>
            <w:shd w:val="clear" w:color="auto" w:fill="auto"/>
            <w:noWrap/>
            <w:vAlign w:val="bottom"/>
            <w:hideMark/>
          </w:tcPr>
          <w:p w14:paraId="25455D47"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120</w:t>
            </w:r>
          </w:p>
        </w:tc>
        <w:tc>
          <w:tcPr>
            <w:tcW w:w="800" w:type="dxa"/>
            <w:tcBorders>
              <w:top w:val="single" w:sz="4" w:space="0" w:color="ADD6EA"/>
              <w:left w:val="nil"/>
              <w:bottom w:val="single" w:sz="4" w:space="0" w:color="ADD6EA"/>
              <w:right w:val="nil"/>
            </w:tcBorders>
            <w:shd w:val="clear" w:color="auto" w:fill="auto"/>
            <w:noWrap/>
            <w:vAlign w:val="bottom"/>
            <w:hideMark/>
          </w:tcPr>
          <w:p w14:paraId="71184548"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27</w:t>
            </w:r>
          </w:p>
        </w:tc>
        <w:tc>
          <w:tcPr>
            <w:tcW w:w="800" w:type="dxa"/>
            <w:tcBorders>
              <w:top w:val="single" w:sz="4" w:space="0" w:color="ADD6EA"/>
              <w:left w:val="nil"/>
              <w:bottom w:val="single" w:sz="4" w:space="0" w:color="ADD6EA"/>
              <w:right w:val="nil"/>
            </w:tcBorders>
            <w:shd w:val="clear" w:color="auto" w:fill="auto"/>
            <w:noWrap/>
            <w:vAlign w:val="bottom"/>
            <w:hideMark/>
          </w:tcPr>
          <w:p w14:paraId="4B26C8DA"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65</w:t>
            </w:r>
          </w:p>
        </w:tc>
        <w:tc>
          <w:tcPr>
            <w:tcW w:w="800" w:type="dxa"/>
            <w:tcBorders>
              <w:top w:val="single" w:sz="4" w:space="0" w:color="ADD6EA"/>
              <w:left w:val="nil"/>
              <w:bottom w:val="single" w:sz="4" w:space="0" w:color="ADD6EA"/>
              <w:right w:val="nil"/>
            </w:tcBorders>
            <w:shd w:val="clear" w:color="auto" w:fill="auto"/>
            <w:noWrap/>
            <w:vAlign w:val="bottom"/>
            <w:hideMark/>
          </w:tcPr>
          <w:p w14:paraId="29F42A0A"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6,728</w:t>
            </w:r>
          </w:p>
        </w:tc>
      </w:tr>
      <w:tr w:rsidR="005C1DE5" w:rsidRPr="005C1DE5" w14:paraId="0CBB2867" w14:textId="77777777" w:rsidTr="005C1DE5">
        <w:trPr>
          <w:trHeight w:val="315"/>
        </w:trPr>
        <w:tc>
          <w:tcPr>
            <w:tcW w:w="2300" w:type="dxa"/>
            <w:tcBorders>
              <w:top w:val="nil"/>
              <w:left w:val="nil"/>
              <w:bottom w:val="single" w:sz="4" w:space="0" w:color="ADD6EA"/>
              <w:right w:val="nil"/>
            </w:tcBorders>
            <w:shd w:val="clear" w:color="auto" w:fill="auto"/>
            <w:noWrap/>
            <w:vAlign w:val="bottom"/>
            <w:hideMark/>
          </w:tcPr>
          <w:p w14:paraId="17820251" w14:textId="77777777" w:rsidR="005C1DE5" w:rsidRPr="005C1DE5" w:rsidRDefault="005C1DE5" w:rsidP="005C1DE5">
            <w:pPr>
              <w:tabs>
                <w:tab w:val="clear" w:pos="567"/>
              </w:tabs>
              <w:spacing w:before="0" w:line="240" w:lineRule="auto"/>
              <w:rPr>
                <w:rFonts w:eastAsia="Times New Roman" w:cs="Open Sans Light"/>
                <w:sz w:val="16"/>
                <w:szCs w:val="16"/>
                <w:lang w:eastAsia="en-AU"/>
              </w:rPr>
            </w:pPr>
            <w:r w:rsidRPr="005C1DE5">
              <w:rPr>
                <w:rFonts w:eastAsia="Times New Roman" w:cs="Open Sans Light"/>
                <w:sz w:val="16"/>
                <w:szCs w:val="16"/>
                <w:lang w:eastAsia="en-AU"/>
              </w:rPr>
              <w:t>Total revenue ($pc)</w:t>
            </w:r>
          </w:p>
        </w:tc>
        <w:tc>
          <w:tcPr>
            <w:tcW w:w="800" w:type="dxa"/>
            <w:tcBorders>
              <w:top w:val="nil"/>
              <w:left w:val="nil"/>
              <w:bottom w:val="single" w:sz="4" w:space="0" w:color="ADD6EA"/>
              <w:right w:val="nil"/>
            </w:tcBorders>
            <w:shd w:val="clear" w:color="auto" w:fill="auto"/>
            <w:noWrap/>
            <w:vAlign w:val="bottom"/>
            <w:hideMark/>
          </w:tcPr>
          <w:p w14:paraId="719F9CAA"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262</w:t>
            </w:r>
          </w:p>
        </w:tc>
        <w:tc>
          <w:tcPr>
            <w:tcW w:w="800" w:type="dxa"/>
            <w:tcBorders>
              <w:top w:val="nil"/>
              <w:left w:val="nil"/>
              <w:bottom w:val="single" w:sz="4" w:space="0" w:color="ADD6EA"/>
              <w:right w:val="nil"/>
            </w:tcBorders>
            <w:shd w:val="clear" w:color="auto" w:fill="auto"/>
            <w:noWrap/>
            <w:vAlign w:val="bottom"/>
            <w:hideMark/>
          </w:tcPr>
          <w:p w14:paraId="134A0B4A"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263</w:t>
            </w:r>
          </w:p>
        </w:tc>
        <w:tc>
          <w:tcPr>
            <w:tcW w:w="800" w:type="dxa"/>
            <w:tcBorders>
              <w:top w:val="nil"/>
              <w:left w:val="nil"/>
              <w:bottom w:val="single" w:sz="4" w:space="0" w:color="ADD6EA"/>
              <w:right w:val="nil"/>
            </w:tcBorders>
            <w:shd w:val="clear" w:color="auto" w:fill="auto"/>
            <w:noWrap/>
            <w:vAlign w:val="bottom"/>
            <w:hideMark/>
          </w:tcPr>
          <w:p w14:paraId="1A9FCE28"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240</w:t>
            </w:r>
          </w:p>
        </w:tc>
        <w:tc>
          <w:tcPr>
            <w:tcW w:w="800" w:type="dxa"/>
            <w:tcBorders>
              <w:top w:val="nil"/>
              <w:left w:val="nil"/>
              <w:bottom w:val="single" w:sz="4" w:space="0" w:color="ADD6EA"/>
              <w:right w:val="nil"/>
            </w:tcBorders>
            <w:shd w:val="clear" w:color="auto" w:fill="auto"/>
            <w:noWrap/>
            <w:vAlign w:val="bottom"/>
            <w:hideMark/>
          </w:tcPr>
          <w:p w14:paraId="7FB497D0"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306</w:t>
            </w:r>
          </w:p>
        </w:tc>
        <w:tc>
          <w:tcPr>
            <w:tcW w:w="800" w:type="dxa"/>
            <w:tcBorders>
              <w:top w:val="nil"/>
              <w:left w:val="nil"/>
              <w:bottom w:val="single" w:sz="4" w:space="0" w:color="ADD6EA"/>
              <w:right w:val="nil"/>
            </w:tcBorders>
            <w:shd w:val="clear" w:color="auto" w:fill="auto"/>
            <w:noWrap/>
            <w:vAlign w:val="bottom"/>
            <w:hideMark/>
          </w:tcPr>
          <w:p w14:paraId="4E310B1C"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312</w:t>
            </w:r>
          </w:p>
        </w:tc>
        <w:tc>
          <w:tcPr>
            <w:tcW w:w="800" w:type="dxa"/>
            <w:tcBorders>
              <w:top w:val="nil"/>
              <w:left w:val="nil"/>
              <w:bottom w:val="single" w:sz="4" w:space="0" w:color="ADD6EA"/>
              <w:right w:val="nil"/>
            </w:tcBorders>
            <w:shd w:val="clear" w:color="auto" w:fill="auto"/>
            <w:noWrap/>
            <w:vAlign w:val="bottom"/>
            <w:hideMark/>
          </w:tcPr>
          <w:p w14:paraId="4A841773"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210</w:t>
            </w:r>
          </w:p>
        </w:tc>
        <w:tc>
          <w:tcPr>
            <w:tcW w:w="800" w:type="dxa"/>
            <w:tcBorders>
              <w:top w:val="nil"/>
              <w:left w:val="nil"/>
              <w:bottom w:val="single" w:sz="4" w:space="0" w:color="ADD6EA"/>
              <w:right w:val="nil"/>
            </w:tcBorders>
            <w:shd w:val="clear" w:color="auto" w:fill="auto"/>
            <w:noWrap/>
            <w:vAlign w:val="bottom"/>
            <w:hideMark/>
          </w:tcPr>
          <w:p w14:paraId="48846E4B"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59</w:t>
            </w:r>
          </w:p>
        </w:tc>
        <w:tc>
          <w:tcPr>
            <w:tcW w:w="800" w:type="dxa"/>
            <w:tcBorders>
              <w:top w:val="nil"/>
              <w:left w:val="nil"/>
              <w:bottom w:val="single" w:sz="4" w:space="0" w:color="ADD6EA"/>
              <w:right w:val="nil"/>
            </w:tcBorders>
            <w:shd w:val="clear" w:color="auto" w:fill="auto"/>
            <w:noWrap/>
            <w:vAlign w:val="bottom"/>
            <w:hideMark/>
          </w:tcPr>
          <w:p w14:paraId="1B881315"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260</w:t>
            </w:r>
          </w:p>
        </w:tc>
        <w:tc>
          <w:tcPr>
            <w:tcW w:w="800" w:type="dxa"/>
            <w:tcBorders>
              <w:top w:val="nil"/>
              <w:left w:val="nil"/>
              <w:bottom w:val="single" w:sz="4" w:space="0" w:color="ADD6EA"/>
              <w:right w:val="nil"/>
            </w:tcBorders>
            <w:shd w:val="clear" w:color="auto" w:fill="auto"/>
            <w:noWrap/>
            <w:vAlign w:val="bottom"/>
            <w:hideMark/>
          </w:tcPr>
          <w:p w14:paraId="4E50CC51"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261</w:t>
            </w:r>
          </w:p>
        </w:tc>
      </w:tr>
      <w:tr w:rsidR="005C1DE5" w:rsidRPr="005C1DE5" w14:paraId="7BBD2F87" w14:textId="77777777" w:rsidTr="005C1DE5">
        <w:trPr>
          <w:trHeight w:val="480"/>
        </w:trPr>
        <w:tc>
          <w:tcPr>
            <w:tcW w:w="2300" w:type="dxa"/>
            <w:tcBorders>
              <w:top w:val="nil"/>
              <w:left w:val="nil"/>
              <w:bottom w:val="single" w:sz="4" w:space="0" w:color="ADD6EA"/>
              <w:right w:val="nil"/>
            </w:tcBorders>
            <w:shd w:val="clear" w:color="auto" w:fill="auto"/>
            <w:vAlign w:val="bottom"/>
            <w:hideMark/>
          </w:tcPr>
          <w:p w14:paraId="0309BD41" w14:textId="77777777" w:rsidR="005C1DE5" w:rsidRPr="005C1DE5" w:rsidRDefault="005C1DE5" w:rsidP="005C1DE5">
            <w:pPr>
              <w:tabs>
                <w:tab w:val="clear" w:pos="567"/>
              </w:tabs>
              <w:spacing w:before="0" w:line="240" w:lineRule="auto"/>
              <w:rPr>
                <w:rFonts w:eastAsia="Times New Roman" w:cs="Open Sans Light"/>
                <w:sz w:val="16"/>
                <w:szCs w:val="16"/>
                <w:lang w:eastAsia="en-AU"/>
              </w:rPr>
            </w:pPr>
            <w:r w:rsidRPr="005C1DE5">
              <w:rPr>
                <w:rFonts w:eastAsia="Times New Roman" w:cs="Open Sans Light"/>
                <w:sz w:val="16"/>
                <w:szCs w:val="16"/>
                <w:lang w:eastAsia="en-AU"/>
              </w:rPr>
              <w:t xml:space="preserve">Share of state </w:t>
            </w:r>
            <w:r w:rsidRPr="005C1DE5">
              <w:rPr>
                <w:rFonts w:eastAsia="Times New Roman" w:cs="Open Sans Light"/>
                <w:sz w:val="16"/>
                <w:szCs w:val="16"/>
                <w:lang w:eastAsia="en-AU"/>
              </w:rPr>
              <w:br/>
              <w:t>own-source revenue (%)</w:t>
            </w:r>
          </w:p>
        </w:tc>
        <w:tc>
          <w:tcPr>
            <w:tcW w:w="800" w:type="dxa"/>
            <w:tcBorders>
              <w:top w:val="nil"/>
              <w:left w:val="nil"/>
              <w:bottom w:val="single" w:sz="4" w:space="0" w:color="ADD6EA"/>
              <w:right w:val="nil"/>
            </w:tcBorders>
            <w:shd w:val="clear" w:color="auto" w:fill="auto"/>
            <w:noWrap/>
            <w:vAlign w:val="bottom"/>
            <w:hideMark/>
          </w:tcPr>
          <w:p w14:paraId="27AE252E"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4.2</w:t>
            </w:r>
          </w:p>
        </w:tc>
        <w:tc>
          <w:tcPr>
            <w:tcW w:w="800" w:type="dxa"/>
            <w:tcBorders>
              <w:top w:val="nil"/>
              <w:left w:val="nil"/>
              <w:bottom w:val="single" w:sz="4" w:space="0" w:color="ADD6EA"/>
              <w:right w:val="nil"/>
            </w:tcBorders>
            <w:shd w:val="clear" w:color="auto" w:fill="auto"/>
            <w:noWrap/>
            <w:vAlign w:val="bottom"/>
            <w:hideMark/>
          </w:tcPr>
          <w:p w14:paraId="5ED522E3"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4.7</w:t>
            </w:r>
          </w:p>
        </w:tc>
        <w:tc>
          <w:tcPr>
            <w:tcW w:w="800" w:type="dxa"/>
            <w:tcBorders>
              <w:top w:val="nil"/>
              <w:left w:val="nil"/>
              <w:bottom w:val="single" w:sz="4" w:space="0" w:color="ADD6EA"/>
              <w:right w:val="nil"/>
            </w:tcBorders>
            <w:shd w:val="clear" w:color="auto" w:fill="auto"/>
            <w:noWrap/>
            <w:vAlign w:val="bottom"/>
            <w:hideMark/>
          </w:tcPr>
          <w:p w14:paraId="31A852C1"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3.7</w:t>
            </w:r>
          </w:p>
        </w:tc>
        <w:tc>
          <w:tcPr>
            <w:tcW w:w="800" w:type="dxa"/>
            <w:tcBorders>
              <w:top w:val="nil"/>
              <w:left w:val="nil"/>
              <w:bottom w:val="single" w:sz="4" w:space="0" w:color="ADD6EA"/>
              <w:right w:val="nil"/>
            </w:tcBorders>
            <w:shd w:val="clear" w:color="auto" w:fill="auto"/>
            <w:noWrap/>
            <w:vAlign w:val="bottom"/>
            <w:hideMark/>
          </w:tcPr>
          <w:p w14:paraId="217B8C5C"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3.1</w:t>
            </w:r>
          </w:p>
        </w:tc>
        <w:tc>
          <w:tcPr>
            <w:tcW w:w="800" w:type="dxa"/>
            <w:tcBorders>
              <w:top w:val="nil"/>
              <w:left w:val="nil"/>
              <w:bottom w:val="single" w:sz="4" w:space="0" w:color="ADD6EA"/>
              <w:right w:val="nil"/>
            </w:tcBorders>
            <w:shd w:val="clear" w:color="auto" w:fill="auto"/>
            <w:noWrap/>
            <w:vAlign w:val="bottom"/>
            <w:hideMark/>
          </w:tcPr>
          <w:p w14:paraId="1BC45B86"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6.3</w:t>
            </w:r>
          </w:p>
        </w:tc>
        <w:tc>
          <w:tcPr>
            <w:tcW w:w="800" w:type="dxa"/>
            <w:tcBorders>
              <w:top w:val="nil"/>
              <w:left w:val="nil"/>
              <w:bottom w:val="single" w:sz="4" w:space="0" w:color="ADD6EA"/>
              <w:right w:val="nil"/>
            </w:tcBorders>
            <w:shd w:val="clear" w:color="auto" w:fill="auto"/>
            <w:noWrap/>
            <w:vAlign w:val="bottom"/>
            <w:hideMark/>
          </w:tcPr>
          <w:p w14:paraId="56F7DCB3"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4.2</w:t>
            </w:r>
          </w:p>
        </w:tc>
        <w:tc>
          <w:tcPr>
            <w:tcW w:w="800" w:type="dxa"/>
            <w:tcBorders>
              <w:top w:val="nil"/>
              <w:left w:val="nil"/>
              <w:bottom w:val="single" w:sz="4" w:space="0" w:color="ADD6EA"/>
              <w:right w:val="nil"/>
            </w:tcBorders>
            <w:shd w:val="clear" w:color="auto" w:fill="auto"/>
            <w:noWrap/>
            <w:vAlign w:val="bottom"/>
            <w:hideMark/>
          </w:tcPr>
          <w:p w14:paraId="7DDAA1A1"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0.8</w:t>
            </w:r>
          </w:p>
        </w:tc>
        <w:tc>
          <w:tcPr>
            <w:tcW w:w="800" w:type="dxa"/>
            <w:tcBorders>
              <w:top w:val="nil"/>
              <w:left w:val="nil"/>
              <w:bottom w:val="single" w:sz="4" w:space="0" w:color="ADD6EA"/>
              <w:right w:val="nil"/>
            </w:tcBorders>
            <w:shd w:val="clear" w:color="auto" w:fill="auto"/>
            <w:noWrap/>
            <w:vAlign w:val="bottom"/>
            <w:hideMark/>
          </w:tcPr>
          <w:p w14:paraId="47779F30" w14:textId="77777777" w:rsidR="005C1DE5" w:rsidRPr="005C1DE5" w:rsidRDefault="005C1DE5" w:rsidP="005C1DE5">
            <w:pPr>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3.9</w:t>
            </w:r>
          </w:p>
        </w:tc>
        <w:tc>
          <w:tcPr>
            <w:tcW w:w="800" w:type="dxa"/>
            <w:tcBorders>
              <w:top w:val="nil"/>
              <w:left w:val="nil"/>
              <w:bottom w:val="single" w:sz="4" w:space="0" w:color="ADD6EA"/>
              <w:right w:val="nil"/>
            </w:tcBorders>
            <w:shd w:val="clear" w:color="auto" w:fill="auto"/>
            <w:noWrap/>
            <w:vAlign w:val="bottom"/>
            <w:hideMark/>
          </w:tcPr>
          <w:p w14:paraId="5322DE76" w14:textId="77777777" w:rsidR="005C1DE5" w:rsidRPr="005C1DE5" w:rsidRDefault="005C1DE5" w:rsidP="00032CC8">
            <w:pPr>
              <w:keepNext/>
              <w:tabs>
                <w:tab w:val="clear" w:pos="567"/>
              </w:tabs>
              <w:spacing w:before="0" w:line="240" w:lineRule="auto"/>
              <w:jc w:val="right"/>
              <w:rPr>
                <w:rFonts w:eastAsia="Times New Roman" w:cs="Open Sans Light"/>
                <w:sz w:val="16"/>
                <w:szCs w:val="16"/>
                <w:lang w:eastAsia="en-AU"/>
              </w:rPr>
            </w:pPr>
            <w:r w:rsidRPr="005C1DE5">
              <w:rPr>
                <w:rFonts w:eastAsia="Times New Roman" w:cs="Open Sans Light"/>
                <w:sz w:val="16"/>
                <w:szCs w:val="16"/>
                <w:lang w:eastAsia="en-AU"/>
              </w:rPr>
              <w:t>4.1</w:t>
            </w:r>
          </w:p>
        </w:tc>
      </w:tr>
    </w:tbl>
    <w:p w14:paraId="29D9B3F8" w14:textId="77777777" w:rsidR="0007284E" w:rsidRPr="0025486C" w:rsidRDefault="00032CC8" w:rsidP="00243956">
      <w:pPr>
        <w:pStyle w:val="CGCTablenote"/>
        <w:ind w:left="0" w:firstLine="0"/>
        <w:rPr>
          <w:rFonts w:ascii="Work Sans" w:hAnsi="Work Sans"/>
        </w:rPr>
      </w:pPr>
      <w:r w:rsidRPr="0025486C">
        <w:rPr>
          <w:rFonts w:ascii="Work Sans" w:hAnsi="Work Sans"/>
        </w:rPr>
        <w:t xml:space="preserve">Note: The ACT does not impose insurance </w:t>
      </w:r>
      <w:r w:rsidR="0048397D" w:rsidRPr="0025486C">
        <w:rPr>
          <w:rFonts w:ascii="Work Sans" w:hAnsi="Work Sans"/>
        </w:rPr>
        <w:t>tax. Its</w:t>
      </w:r>
      <w:r w:rsidR="00D974B2" w:rsidRPr="0025486C">
        <w:rPr>
          <w:rFonts w:ascii="Work Sans" w:hAnsi="Work Sans"/>
        </w:rPr>
        <w:t xml:space="preserve"> insurance-related revenue is from its Ambulance Levy and Safer Families Levy</w:t>
      </w:r>
      <w:r w:rsidR="0007284E" w:rsidRPr="0025486C">
        <w:rPr>
          <w:rFonts w:ascii="Work Sans" w:hAnsi="Work Sans"/>
        </w:rPr>
        <w:t>.</w:t>
      </w:r>
    </w:p>
    <w:p w14:paraId="6E3FB2E9" w14:textId="19A032DA" w:rsidR="00032CC8" w:rsidRPr="0025486C" w:rsidRDefault="0007284E" w:rsidP="00243956">
      <w:pPr>
        <w:pStyle w:val="CGCTablenote"/>
        <w:ind w:left="0" w:firstLine="0"/>
        <w:rPr>
          <w:rFonts w:ascii="Work Sans" w:hAnsi="Work Sans"/>
        </w:rPr>
      </w:pPr>
      <w:r w:rsidRPr="0025486C">
        <w:rPr>
          <w:rFonts w:ascii="Work Sans" w:hAnsi="Work Sans"/>
        </w:rPr>
        <w:t>Source: Commission calculation.</w:t>
      </w:r>
      <w:r w:rsidR="00032CC8" w:rsidRPr="0025486C">
        <w:rPr>
          <w:rFonts w:ascii="Work Sans" w:hAnsi="Work Sans"/>
        </w:rPr>
        <w:t xml:space="preserve"> </w:t>
      </w:r>
    </w:p>
    <w:p w14:paraId="70CA1746" w14:textId="28204143" w:rsidR="006063CB" w:rsidRDefault="00E87174" w:rsidP="00885FA0">
      <w:pPr>
        <w:pStyle w:val="CGC2025ParaNumbers"/>
      </w:pPr>
      <w:r w:rsidRPr="00996B63">
        <w:fldChar w:fldCharType="begin"/>
      </w:r>
      <w:r w:rsidRPr="00996B63">
        <w:instrText xml:space="preserve"> REF _Ref134539799 \h </w:instrText>
      </w:r>
      <w:r w:rsidR="005F37DB" w:rsidRPr="00996B63">
        <w:instrText xml:space="preserve"> \* MERGEFORMAT </w:instrText>
      </w:r>
      <w:r w:rsidRPr="00996B63">
        <w:fldChar w:fldCharType="separate"/>
      </w:r>
      <w:r w:rsidR="006F33F6" w:rsidRPr="00D2706F">
        <w:t xml:space="preserve">Table </w:t>
      </w:r>
      <w:r w:rsidR="006F33F6">
        <w:t>3</w:t>
      </w:r>
      <w:r w:rsidRPr="00996B63">
        <w:fldChar w:fldCharType="end"/>
      </w:r>
      <w:r w:rsidRPr="00996B63">
        <w:t xml:space="preserve"> </w:t>
      </w:r>
      <w:r w:rsidR="00312C08" w:rsidRPr="00996B63">
        <w:t>shows the capacity measure that applies to the insurance tax asse</w:t>
      </w:r>
      <w:r w:rsidR="00996B63">
        <w:t>ss</w:t>
      </w:r>
      <w:r w:rsidR="00312C08" w:rsidRPr="00996B63">
        <w:t>ment.</w:t>
      </w:r>
    </w:p>
    <w:p w14:paraId="07123ECD" w14:textId="45A3BFFC" w:rsidR="00D2706F" w:rsidRPr="00D2706F" w:rsidRDefault="00D2706F" w:rsidP="00D2706F">
      <w:pPr>
        <w:pStyle w:val="Caption"/>
        <w:rPr>
          <w:rFonts w:ascii="Work Sans" w:hAnsi="Work Sans"/>
        </w:rPr>
      </w:pPr>
      <w:bookmarkStart w:id="20" w:name="_Ref134539799"/>
      <w:r w:rsidRPr="00D2706F">
        <w:rPr>
          <w:rFonts w:ascii="Work Sans" w:hAnsi="Work Sans"/>
        </w:rPr>
        <w:t xml:space="preserve">Table </w:t>
      </w:r>
      <w:r w:rsidRPr="00D2706F">
        <w:rPr>
          <w:rFonts w:ascii="Work Sans" w:hAnsi="Work Sans"/>
        </w:rPr>
        <w:fldChar w:fldCharType="begin"/>
      </w:r>
      <w:r w:rsidRPr="00D2706F">
        <w:rPr>
          <w:rFonts w:ascii="Work Sans" w:hAnsi="Work Sans"/>
        </w:rPr>
        <w:instrText xml:space="preserve"> SEQ Table \* ARABIC </w:instrText>
      </w:r>
      <w:r w:rsidRPr="00D2706F">
        <w:rPr>
          <w:rFonts w:ascii="Work Sans" w:hAnsi="Work Sans"/>
        </w:rPr>
        <w:fldChar w:fldCharType="separate"/>
      </w:r>
      <w:r w:rsidR="006F33F6">
        <w:rPr>
          <w:rFonts w:ascii="Work Sans" w:hAnsi="Work Sans"/>
          <w:noProof/>
        </w:rPr>
        <w:t>3</w:t>
      </w:r>
      <w:r w:rsidRPr="00D2706F">
        <w:rPr>
          <w:rFonts w:ascii="Work Sans" w:hAnsi="Work Sans"/>
        </w:rPr>
        <w:fldChar w:fldCharType="end"/>
      </w:r>
      <w:bookmarkEnd w:id="20"/>
      <w:r>
        <w:tab/>
      </w:r>
      <w:r w:rsidRPr="00D2706F">
        <w:rPr>
          <w:rFonts w:ascii="Work Sans" w:hAnsi="Work Sans"/>
        </w:rPr>
        <w:t xml:space="preserve">Structure of </w:t>
      </w:r>
      <w:r w:rsidR="1B9A9AFB" w:rsidRPr="29C31000">
        <w:rPr>
          <w:rFonts w:ascii="Work Sans" w:hAnsi="Work Sans"/>
        </w:rPr>
        <w:t>i</w:t>
      </w:r>
      <w:r w:rsidR="333EF846" w:rsidRPr="29C31000">
        <w:rPr>
          <w:rFonts w:ascii="Work Sans" w:hAnsi="Work Sans"/>
        </w:rPr>
        <w:t>nsurance</w:t>
      </w:r>
      <w:r w:rsidRPr="00D2706F">
        <w:rPr>
          <w:rFonts w:ascii="Work Sans" w:hAnsi="Work Sans"/>
        </w:rPr>
        <w:t xml:space="preserve"> tax assessment, 2021</w:t>
      </w:r>
      <w:r w:rsidR="6A615F80" w:rsidRPr="29C31000">
        <w:rPr>
          <w:rFonts w:ascii="Work Sans" w:hAnsi="Work Sans"/>
        </w:rPr>
        <w:t>–</w:t>
      </w:r>
      <w:r w:rsidRPr="00D2706F">
        <w:rPr>
          <w:rFonts w:ascii="Work Sans" w:hAnsi="Work Sans"/>
        </w:rPr>
        <w:t>22</w:t>
      </w:r>
    </w:p>
    <w:tbl>
      <w:tblPr>
        <w:tblW w:w="9578" w:type="dxa"/>
        <w:tblLook w:val="04A0" w:firstRow="1" w:lastRow="0" w:firstColumn="1" w:lastColumn="0" w:noHBand="0" w:noVBand="1"/>
      </w:tblPr>
      <w:tblGrid>
        <w:gridCol w:w="1660"/>
        <w:gridCol w:w="1260"/>
        <w:gridCol w:w="260"/>
        <w:gridCol w:w="1900"/>
        <w:gridCol w:w="4500"/>
      </w:tblGrid>
      <w:tr w:rsidR="006063CB" w:rsidRPr="006063CB" w14:paraId="3AC437D1" w14:textId="77777777" w:rsidTr="00D2706F">
        <w:trPr>
          <w:trHeight w:val="480"/>
        </w:trPr>
        <w:tc>
          <w:tcPr>
            <w:tcW w:w="1660" w:type="dxa"/>
            <w:tcBorders>
              <w:top w:val="single" w:sz="4" w:space="0" w:color="auto"/>
              <w:left w:val="nil"/>
              <w:bottom w:val="nil"/>
              <w:right w:val="nil"/>
            </w:tcBorders>
            <w:shd w:val="clear" w:color="000000" w:fill="006991"/>
            <w:vAlign w:val="center"/>
            <w:hideMark/>
          </w:tcPr>
          <w:p w14:paraId="1A9B8E2B" w14:textId="77777777" w:rsidR="006063CB" w:rsidRPr="006063CB" w:rsidRDefault="006063CB" w:rsidP="006063CB">
            <w:pPr>
              <w:tabs>
                <w:tab w:val="clear" w:pos="567"/>
              </w:tabs>
              <w:spacing w:before="0" w:line="240" w:lineRule="auto"/>
              <w:rPr>
                <w:rFonts w:ascii="Open Sans Semibold" w:eastAsia="Times New Roman" w:hAnsi="Open Sans Semibold" w:cs="Open Sans Semibold"/>
                <w:color w:val="FFFFFF"/>
                <w:sz w:val="16"/>
                <w:szCs w:val="16"/>
                <w:lang w:eastAsia="en-AU"/>
              </w:rPr>
            </w:pPr>
            <w:r w:rsidRPr="006063CB">
              <w:rPr>
                <w:rFonts w:ascii="Open Sans Semibold" w:eastAsia="Times New Roman" w:hAnsi="Open Sans Semibold" w:cs="Open Sans Semibold"/>
                <w:color w:val="FFFFFF"/>
                <w:sz w:val="16"/>
                <w:szCs w:val="16"/>
                <w:lang w:eastAsia="en-AU"/>
              </w:rPr>
              <w:t>Component</w:t>
            </w:r>
          </w:p>
        </w:tc>
        <w:tc>
          <w:tcPr>
            <w:tcW w:w="1260" w:type="dxa"/>
            <w:tcBorders>
              <w:top w:val="single" w:sz="4" w:space="0" w:color="auto"/>
              <w:left w:val="nil"/>
              <w:bottom w:val="nil"/>
              <w:right w:val="nil"/>
            </w:tcBorders>
            <w:shd w:val="clear" w:color="000000" w:fill="006991"/>
            <w:vAlign w:val="center"/>
            <w:hideMark/>
          </w:tcPr>
          <w:p w14:paraId="5CA9D924" w14:textId="77777777" w:rsidR="006063CB" w:rsidRPr="006063CB" w:rsidRDefault="006063CB" w:rsidP="006063C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63CB">
              <w:rPr>
                <w:rFonts w:ascii="Open Sans Semibold" w:eastAsia="Times New Roman" w:hAnsi="Open Sans Semibold" w:cs="Open Sans Semibold"/>
                <w:color w:val="FFFFFF"/>
                <w:sz w:val="16"/>
                <w:szCs w:val="16"/>
                <w:lang w:eastAsia="en-AU"/>
              </w:rPr>
              <w:t>Component revenue</w:t>
            </w:r>
          </w:p>
        </w:tc>
        <w:tc>
          <w:tcPr>
            <w:tcW w:w="258" w:type="dxa"/>
            <w:tcBorders>
              <w:top w:val="single" w:sz="4" w:space="0" w:color="auto"/>
              <w:left w:val="nil"/>
              <w:bottom w:val="nil"/>
              <w:right w:val="nil"/>
            </w:tcBorders>
            <w:shd w:val="clear" w:color="000000" w:fill="006991"/>
            <w:vAlign w:val="center"/>
            <w:hideMark/>
          </w:tcPr>
          <w:p w14:paraId="7AFC2BE4" w14:textId="77777777" w:rsidR="006063CB" w:rsidRPr="006063CB" w:rsidRDefault="006063CB" w:rsidP="006063C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63CB">
              <w:rPr>
                <w:rFonts w:ascii="Open Sans Semibold" w:eastAsia="Times New Roman" w:hAnsi="Open Sans Semibold" w:cs="Open Sans Semibold"/>
                <w:color w:val="FFFFFF"/>
                <w:sz w:val="16"/>
                <w:szCs w:val="16"/>
                <w:lang w:eastAsia="en-AU"/>
              </w:rPr>
              <w:t> </w:t>
            </w:r>
          </w:p>
        </w:tc>
        <w:tc>
          <w:tcPr>
            <w:tcW w:w="1900" w:type="dxa"/>
            <w:tcBorders>
              <w:top w:val="single" w:sz="4" w:space="0" w:color="auto"/>
              <w:left w:val="nil"/>
              <w:bottom w:val="nil"/>
              <w:right w:val="nil"/>
            </w:tcBorders>
            <w:shd w:val="clear" w:color="000000" w:fill="006991"/>
            <w:vAlign w:val="center"/>
            <w:hideMark/>
          </w:tcPr>
          <w:p w14:paraId="372CC6A9" w14:textId="77777777" w:rsidR="006063CB" w:rsidRPr="006063CB" w:rsidRDefault="006063CB" w:rsidP="006063CB">
            <w:pPr>
              <w:tabs>
                <w:tab w:val="clear" w:pos="567"/>
              </w:tabs>
              <w:spacing w:before="0" w:line="240" w:lineRule="auto"/>
              <w:rPr>
                <w:rFonts w:ascii="Open Sans Semibold" w:eastAsia="Times New Roman" w:hAnsi="Open Sans Semibold" w:cs="Open Sans Semibold"/>
                <w:color w:val="FFFFFF"/>
                <w:sz w:val="16"/>
                <w:szCs w:val="16"/>
                <w:lang w:eastAsia="en-AU"/>
              </w:rPr>
            </w:pPr>
            <w:r w:rsidRPr="006063CB">
              <w:rPr>
                <w:rFonts w:ascii="Open Sans Semibold" w:eastAsia="Times New Roman" w:hAnsi="Open Sans Semibold" w:cs="Open Sans Semibold"/>
                <w:color w:val="FFFFFF"/>
                <w:sz w:val="16"/>
                <w:szCs w:val="16"/>
                <w:lang w:eastAsia="en-AU"/>
              </w:rPr>
              <w:t>Driver</w:t>
            </w:r>
          </w:p>
        </w:tc>
        <w:tc>
          <w:tcPr>
            <w:tcW w:w="4500" w:type="dxa"/>
            <w:tcBorders>
              <w:top w:val="single" w:sz="4" w:space="0" w:color="auto"/>
              <w:left w:val="nil"/>
              <w:bottom w:val="nil"/>
              <w:right w:val="nil"/>
            </w:tcBorders>
            <w:shd w:val="clear" w:color="000000" w:fill="006991"/>
            <w:vAlign w:val="center"/>
            <w:hideMark/>
          </w:tcPr>
          <w:p w14:paraId="4BCE0C8C" w14:textId="77777777" w:rsidR="006063CB" w:rsidRPr="006063CB" w:rsidRDefault="006063CB" w:rsidP="006063CB">
            <w:pPr>
              <w:tabs>
                <w:tab w:val="clear" w:pos="567"/>
              </w:tabs>
              <w:spacing w:before="0" w:line="240" w:lineRule="auto"/>
              <w:rPr>
                <w:rFonts w:ascii="Open Sans Semibold" w:eastAsia="Times New Roman" w:hAnsi="Open Sans Semibold" w:cs="Open Sans Semibold"/>
                <w:color w:val="FFFFFF"/>
                <w:sz w:val="16"/>
                <w:szCs w:val="16"/>
                <w:lang w:eastAsia="en-AU"/>
              </w:rPr>
            </w:pPr>
            <w:r w:rsidRPr="006063CB">
              <w:rPr>
                <w:rFonts w:ascii="Open Sans Semibold" w:eastAsia="Times New Roman" w:hAnsi="Open Sans Semibold" w:cs="Open Sans Semibold"/>
                <w:color w:val="FFFFFF"/>
                <w:sz w:val="16"/>
                <w:szCs w:val="16"/>
                <w:lang w:eastAsia="en-AU"/>
              </w:rPr>
              <w:t>Influence measured by driver</w:t>
            </w:r>
          </w:p>
        </w:tc>
      </w:tr>
      <w:tr w:rsidR="006063CB" w:rsidRPr="006063CB" w14:paraId="6E3F9F66" w14:textId="77777777" w:rsidTr="00D2706F">
        <w:trPr>
          <w:trHeight w:val="240"/>
        </w:trPr>
        <w:tc>
          <w:tcPr>
            <w:tcW w:w="1660" w:type="dxa"/>
            <w:tcBorders>
              <w:top w:val="nil"/>
              <w:left w:val="nil"/>
              <w:bottom w:val="nil"/>
              <w:right w:val="nil"/>
            </w:tcBorders>
            <w:shd w:val="clear" w:color="000000" w:fill="B6D5E4"/>
            <w:noWrap/>
            <w:vAlign w:val="center"/>
            <w:hideMark/>
          </w:tcPr>
          <w:p w14:paraId="149E286B" w14:textId="77777777" w:rsidR="006063CB" w:rsidRPr="006063CB" w:rsidRDefault="006063CB" w:rsidP="006063CB">
            <w:pPr>
              <w:tabs>
                <w:tab w:val="clear" w:pos="567"/>
              </w:tabs>
              <w:spacing w:before="0" w:line="240" w:lineRule="auto"/>
              <w:jc w:val="right"/>
              <w:rPr>
                <w:rFonts w:ascii="Open Sans Semibold" w:eastAsia="Times New Roman" w:hAnsi="Open Sans Semibold" w:cs="Open Sans Semibold"/>
                <w:sz w:val="16"/>
                <w:szCs w:val="16"/>
                <w:lang w:eastAsia="en-AU"/>
              </w:rPr>
            </w:pPr>
            <w:r w:rsidRPr="006063CB">
              <w:rPr>
                <w:rFonts w:ascii="Open Sans Semibold" w:eastAsia="Times New Roman" w:hAnsi="Open Sans Semibold" w:cs="Open Sans Semibold"/>
                <w:sz w:val="16"/>
                <w:szCs w:val="16"/>
                <w:lang w:eastAsia="en-AU"/>
              </w:rPr>
              <w:t> </w:t>
            </w:r>
          </w:p>
        </w:tc>
        <w:tc>
          <w:tcPr>
            <w:tcW w:w="1260" w:type="dxa"/>
            <w:tcBorders>
              <w:top w:val="nil"/>
              <w:left w:val="nil"/>
              <w:bottom w:val="nil"/>
              <w:right w:val="nil"/>
            </w:tcBorders>
            <w:shd w:val="clear" w:color="000000" w:fill="B6D5E4"/>
            <w:noWrap/>
            <w:vAlign w:val="center"/>
            <w:hideMark/>
          </w:tcPr>
          <w:p w14:paraId="12813C08" w14:textId="77777777" w:rsidR="006063CB" w:rsidRPr="006063CB" w:rsidRDefault="006063CB" w:rsidP="006063CB">
            <w:pPr>
              <w:tabs>
                <w:tab w:val="clear" w:pos="567"/>
              </w:tabs>
              <w:spacing w:before="0" w:line="240" w:lineRule="auto"/>
              <w:jc w:val="right"/>
              <w:rPr>
                <w:rFonts w:ascii="Open Sans Semibold" w:eastAsia="Times New Roman" w:hAnsi="Open Sans Semibold" w:cs="Open Sans Semibold"/>
                <w:sz w:val="16"/>
                <w:szCs w:val="16"/>
                <w:lang w:eastAsia="en-AU"/>
              </w:rPr>
            </w:pPr>
            <w:r w:rsidRPr="006063CB">
              <w:rPr>
                <w:rFonts w:ascii="Open Sans Semibold" w:eastAsia="Times New Roman" w:hAnsi="Open Sans Semibold" w:cs="Open Sans Semibold"/>
                <w:sz w:val="16"/>
                <w:szCs w:val="16"/>
                <w:lang w:eastAsia="en-AU"/>
              </w:rPr>
              <w:t>$m</w:t>
            </w:r>
          </w:p>
        </w:tc>
        <w:tc>
          <w:tcPr>
            <w:tcW w:w="258" w:type="dxa"/>
            <w:tcBorders>
              <w:top w:val="nil"/>
              <w:left w:val="nil"/>
              <w:bottom w:val="nil"/>
              <w:right w:val="nil"/>
            </w:tcBorders>
            <w:shd w:val="clear" w:color="000000" w:fill="B6D5E4"/>
            <w:noWrap/>
            <w:vAlign w:val="center"/>
            <w:hideMark/>
          </w:tcPr>
          <w:p w14:paraId="02E8CA5D" w14:textId="77777777" w:rsidR="006063CB" w:rsidRPr="006063CB" w:rsidRDefault="006063CB" w:rsidP="006063CB">
            <w:pPr>
              <w:tabs>
                <w:tab w:val="clear" w:pos="567"/>
              </w:tabs>
              <w:spacing w:before="0" w:line="240" w:lineRule="auto"/>
              <w:jc w:val="right"/>
              <w:rPr>
                <w:rFonts w:ascii="Open Sans Semibold" w:eastAsia="Times New Roman" w:hAnsi="Open Sans Semibold" w:cs="Open Sans Semibold"/>
                <w:sz w:val="16"/>
                <w:szCs w:val="16"/>
                <w:lang w:eastAsia="en-AU"/>
              </w:rPr>
            </w:pPr>
            <w:r w:rsidRPr="006063CB">
              <w:rPr>
                <w:rFonts w:ascii="Open Sans Semibold" w:eastAsia="Times New Roman" w:hAnsi="Open Sans Semibold" w:cs="Open Sans Semibold"/>
                <w:sz w:val="16"/>
                <w:szCs w:val="16"/>
                <w:lang w:eastAsia="en-AU"/>
              </w:rPr>
              <w:t> </w:t>
            </w:r>
          </w:p>
        </w:tc>
        <w:tc>
          <w:tcPr>
            <w:tcW w:w="1900" w:type="dxa"/>
            <w:tcBorders>
              <w:top w:val="nil"/>
              <w:left w:val="nil"/>
              <w:bottom w:val="nil"/>
              <w:right w:val="nil"/>
            </w:tcBorders>
            <w:shd w:val="clear" w:color="000000" w:fill="B6D5E4"/>
            <w:noWrap/>
            <w:vAlign w:val="center"/>
            <w:hideMark/>
          </w:tcPr>
          <w:p w14:paraId="37A801E4" w14:textId="77777777" w:rsidR="006063CB" w:rsidRPr="006063CB" w:rsidRDefault="006063CB" w:rsidP="006063CB">
            <w:pPr>
              <w:tabs>
                <w:tab w:val="clear" w:pos="567"/>
              </w:tabs>
              <w:spacing w:before="0" w:line="240" w:lineRule="auto"/>
              <w:jc w:val="right"/>
              <w:rPr>
                <w:rFonts w:ascii="Open Sans Semibold" w:eastAsia="Times New Roman" w:hAnsi="Open Sans Semibold" w:cs="Open Sans Semibold"/>
                <w:sz w:val="16"/>
                <w:szCs w:val="16"/>
                <w:lang w:eastAsia="en-AU"/>
              </w:rPr>
            </w:pPr>
            <w:r w:rsidRPr="006063CB">
              <w:rPr>
                <w:rFonts w:ascii="Open Sans Semibold" w:eastAsia="Times New Roman" w:hAnsi="Open Sans Semibold" w:cs="Open Sans Semibold"/>
                <w:sz w:val="16"/>
                <w:szCs w:val="16"/>
                <w:lang w:eastAsia="en-AU"/>
              </w:rPr>
              <w:t> </w:t>
            </w:r>
          </w:p>
        </w:tc>
        <w:tc>
          <w:tcPr>
            <w:tcW w:w="4500" w:type="dxa"/>
            <w:tcBorders>
              <w:top w:val="nil"/>
              <w:left w:val="nil"/>
              <w:bottom w:val="nil"/>
              <w:right w:val="nil"/>
            </w:tcBorders>
            <w:shd w:val="clear" w:color="000000" w:fill="B6D5E4"/>
            <w:noWrap/>
            <w:vAlign w:val="center"/>
            <w:hideMark/>
          </w:tcPr>
          <w:p w14:paraId="435D52D5" w14:textId="77777777" w:rsidR="006063CB" w:rsidRPr="006063CB" w:rsidRDefault="006063CB" w:rsidP="006063CB">
            <w:pPr>
              <w:tabs>
                <w:tab w:val="clear" w:pos="567"/>
              </w:tabs>
              <w:spacing w:before="0" w:line="240" w:lineRule="auto"/>
              <w:jc w:val="right"/>
              <w:rPr>
                <w:rFonts w:ascii="Open Sans Semibold" w:eastAsia="Times New Roman" w:hAnsi="Open Sans Semibold" w:cs="Open Sans Semibold"/>
                <w:sz w:val="16"/>
                <w:szCs w:val="16"/>
                <w:lang w:eastAsia="en-AU"/>
              </w:rPr>
            </w:pPr>
            <w:r w:rsidRPr="006063CB">
              <w:rPr>
                <w:rFonts w:ascii="Open Sans Semibold" w:eastAsia="Times New Roman" w:hAnsi="Open Sans Semibold" w:cs="Open Sans Semibold"/>
                <w:sz w:val="16"/>
                <w:szCs w:val="16"/>
                <w:lang w:eastAsia="en-AU"/>
              </w:rPr>
              <w:t> </w:t>
            </w:r>
          </w:p>
        </w:tc>
      </w:tr>
      <w:tr w:rsidR="006063CB" w:rsidRPr="006063CB" w14:paraId="034154D2" w14:textId="77777777" w:rsidTr="00D2706F">
        <w:trPr>
          <w:trHeight w:val="555"/>
        </w:trPr>
        <w:tc>
          <w:tcPr>
            <w:tcW w:w="1660" w:type="dxa"/>
            <w:tcBorders>
              <w:top w:val="single" w:sz="4" w:space="0" w:color="ADD6EA"/>
              <w:left w:val="nil"/>
              <w:bottom w:val="single" w:sz="4" w:space="0" w:color="ADD6EA"/>
              <w:right w:val="nil"/>
            </w:tcBorders>
            <w:shd w:val="clear" w:color="auto" w:fill="auto"/>
            <w:noWrap/>
            <w:hideMark/>
          </w:tcPr>
          <w:p w14:paraId="19D30D15" w14:textId="77777777" w:rsidR="006063CB" w:rsidRPr="006063CB" w:rsidRDefault="006063CB" w:rsidP="006063CB">
            <w:pPr>
              <w:tabs>
                <w:tab w:val="clear" w:pos="567"/>
              </w:tabs>
              <w:spacing w:before="0" w:line="240" w:lineRule="auto"/>
              <w:rPr>
                <w:rFonts w:eastAsia="Times New Roman" w:cs="Open Sans Light"/>
                <w:sz w:val="16"/>
                <w:szCs w:val="16"/>
                <w:lang w:eastAsia="en-AU"/>
              </w:rPr>
            </w:pPr>
            <w:r w:rsidRPr="006063CB">
              <w:rPr>
                <w:rFonts w:eastAsia="Times New Roman" w:cs="Open Sans Light"/>
                <w:sz w:val="16"/>
                <w:szCs w:val="16"/>
                <w:lang w:eastAsia="en-AU"/>
              </w:rPr>
              <w:t>Insurance tax</w:t>
            </w:r>
          </w:p>
        </w:tc>
        <w:tc>
          <w:tcPr>
            <w:tcW w:w="1260" w:type="dxa"/>
            <w:tcBorders>
              <w:top w:val="single" w:sz="4" w:space="0" w:color="ADD6EA"/>
              <w:left w:val="nil"/>
              <w:bottom w:val="single" w:sz="4" w:space="0" w:color="ADD6EA"/>
              <w:right w:val="nil"/>
            </w:tcBorders>
            <w:shd w:val="clear" w:color="auto" w:fill="auto"/>
            <w:noWrap/>
            <w:hideMark/>
          </w:tcPr>
          <w:p w14:paraId="50A9B060" w14:textId="77777777" w:rsidR="006063CB" w:rsidRPr="006063CB" w:rsidRDefault="006063CB" w:rsidP="006063CB">
            <w:pPr>
              <w:tabs>
                <w:tab w:val="clear" w:pos="567"/>
              </w:tabs>
              <w:spacing w:before="0" w:line="240" w:lineRule="auto"/>
              <w:jc w:val="right"/>
              <w:rPr>
                <w:rFonts w:eastAsia="Times New Roman" w:cs="Open Sans Light"/>
                <w:sz w:val="16"/>
                <w:szCs w:val="16"/>
                <w:lang w:eastAsia="en-AU"/>
              </w:rPr>
            </w:pPr>
            <w:r w:rsidRPr="006063CB">
              <w:rPr>
                <w:rFonts w:eastAsia="Times New Roman" w:cs="Open Sans Light"/>
                <w:sz w:val="16"/>
                <w:szCs w:val="16"/>
                <w:lang w:eastAsia="en-AU"/>
              </w:rPr>
              <w:t>6,728</w:t>
            </w:r>
          </w:p>
        </w:tc>
        <w:tc>
          <w:tcPr>
            <w:tcW w:w="258" w:type="dxa"/>
            <w:tcBorders>
              <w:top w:val="single" w:sz="4" w:space="0" w:color="ADD6EA"/>
              <w:left w:val="nil"/>
              <w:bottom w:val="single" w:sz="4" w:space="0" w:color="ADD6EA"/>
              <w:right w:val="nil"/>
            </w:tcBorders>
            <w:shd w:val="clear" w:color="auto" w:fill="auto"/>
            <w:noWrap/>
            <w:hideMark/>
          </w:tcPr>
          <w:p w14:paraId="18E0333C" w14:textId="77777777" w:rsidR="006063CB" w:rsidRPr="006063CB" w:rsidRDefault="006063CB" w:rsidP="006063CB">
            <w:pPr>
              <w:tabs>
                <w:tab w:val="clear" w:pos="567"/>
              </w:tabs>
              <w:spacing w:before="0" w:line="240" w:lineRule="auto"/>
              <w:rPr>
                <w:rFonts w:eastAsia="Times New Roman" w:cs="Open Sans Light"/>
                <w:sz w:val="16"/>
                <w:szCs w:val="16"/>
                <w:lang w:eastAsia="en-AU"/>
              </w:rPr>
            </w:pPr>
            <w:r w:rsidRPr="006063CB">
              <w:rPr>
                <w:rFonts w:eastAsia="Times New Roman" w:cs="Open Sans Light"/>
                <w:sz w:val="16"/>
                <w:szCs w:val="16"/>
                <w:lang w:eastAsia="en-AU"/>
              </w:rPr>
              <w:t> </w:t>
            </w:r>
          </w:p>
        </w:tc>
        <w:tc>
          <w:tcPr>
            <w:tcW w:w="1900" w:type="dxa"/>
            <w:tcBorders>
              <w:top w:val="single" w:sz="4" w:space="0" w:color="ADD6EA"/>
              <w:left w:val="nil"/>
              <w:bottom w:val="single" w:sz="4" w:space="0" w:color="ADD6EA"/>
              <w:right w:val="nil"/>
            </w:tcBorders>
            <w:shd w:val="clear" w:color="auto" w:fill="auto"/>
            <w:hideMark/>
          </w:tcPr>
          <w:p w14:paraId="6C1A4EE6" w14:textId="77777777" w:rsidR="006063CB" w:rsidRPr="006063CB" w:rsidRDefault="006063CB" w:rsidP="006063CB">
            <w:pPr>
              <w:tabs>
                <w:tab w:val="clear" w:pos="567"/>
              </w:tabs>
              <w:spacing w:before="0" w:line="240" w:lineRule="auto"/>
              <w:rPr>
                <w:rFonts w:eastAsia="Times New Roman" w:cs="Open Sans Light"/>
                <w:sz w:val="16"/>
                <w:szCs w:val="16"/>
                <w:lang w:eastAsia="en-AU"/>
              </w:rPr>
            </w:pPr>
            <w:r w:rsidRPr="006063CB">
              <w:rPr>
                <w:rFonts w:eastAsia="Times New Roman" w:cs="Open Sans Light"/>
                <w:sz w:val="16"/>
                <w:szCs w:val="16"/>
                <w:lang w:eastAsia="en-AU"/>
              </w:rPr>
              <w:t>Value of premiums</w:t>
            </w:r>
          </w:p>
        </w:tc>
        <w:tc>
          <w:tcPr>
            <w:tcW w:w="4500" w:type="dxa"/>
            <w:tcBorders>
              <w:top w:val="single" w:sz="4" w:space="0" w:color="ADD6EA"/>
              <w:left w:val="nil"/>
              <w:bottom w:val="single" w:sz="4" w:space="0" w:color="ADD6EA"/>
              <w:right w:val="nil"/>
            </w:tcBorders>
            <w:shd w:val="clear" w:color="auto" w:fill="auto"/>
            <w:hideMark/>
          </w:tcPr>
          <w:p w14:paraId="4851C00C" w14:textId="77777777" w:rsidR="006063CB" w:rsidRPr="006063CB" w:rsidRDefault="006063CB" w:rsidP="006063CB">
            <w:pPr>
              <w:tabs>
                <w:tab w:val="clear" w:pos="567"/>
              </w:tabs>
              <w:spacing w:before="0" w:line="240" w:lineRule="auto"/>
              <w:rPr>
                <w:rFonts w:eastAsia="Times New Roman" w:cs="Open Sans Light"/>
                <w:sz w:val="16"/>
                <w:szCs w:val="16"/>
                <w:lang w:eastAsia="en-AU"/>
              </w:rPr>
            </w:pPr>
            <w:r w:rsidRPr="006063CB">
              <w:rPr>
                <w:rFonts w:eastAsia="Times New Roman" w:cs="Open Sans Light"/>
                <w:sz w:val="16"/>
                <w:szCs w:val="16"/>
                <w:lang w:eastAsia="en-AU"/>
              </w:rPr>
              <w:t>Recognises states with greater value of property insured have a greater revenue capacity.</w:t>
            </w:r>
          </w:p>
        </w:tc>
      </w:tr>
    </w:tbl>
    <w:p w14:paraId="18E2E041" w14:textId="7CD9DE31" w:rsidR="00CA2461" w:rsidRPr="0025486C" w:rsidRDefault="007228D8" w:rsidP="0014544D">
      <w:pPr>
        <w:pStyle w:val="CGCTablenote"/>
        <w:ind w:left="0" w:firstLine="0"/>
        <w:rPr>
          <w:rFonts w:ascii="Work Sans" w:hAnsi="Work Sans"/>
          <w:noProof/>
        </w:rPr>
      </w:pPr>
      <w:r w:rsidRPr="0025486C">
        <w:rPr>
          <w:rFonts w:ascii="Work Sans" w:hAnsi="Work Sans"/>
          <w:noProof/>
        </w:rPr>
        <w:t>Source: Commission calculation</w:t>
      </w:r>
      <w:r w:rsidR="00A310BA" w:rsidRPr="0025486C">
        <w:rPr>
          <w:rFonts w:ascii="Work Sans" w:hAnsi="Work Sans"/>
          <w:noProof/>
        </w:rPr>
        <w:t>.</w:t>
      </w:r>
    </w:p>
    <w:p w14:paraId="32A94C8C" w14:textId="3DB16F50" w:rsidR="00CA2461" w:rsidRDefault="00894642" w:rsidP="00AA33C7">
      <w:pPr>
        <w:pStyle w:val="Heading3"/>
        <w:rPr>
          <w:noProof/>
        </w:rPr>
      </w:pPr>
      <w:bookmarkStart w:id="21" w:name="_Toc136856947"/>
      <w:r>
        <w:rPr>
          <w:noProof/>
        </w:rPr>
        <w:t>GST distribution in the 2023 Update</w:t>
      </w:r>
      <w:bookmarkEnd w:id="21"/>
    </w:p>
    <w:p w14:paraId="4D5D0FCC" w14:textId="5B67CF87" w:rsidR="003A1B03" w:rsidRPr="008F6000" w:rsidRDefault="00141A8E" w:rsidP="00EA1883">
      <w:pPr>
        <w:pStyle w:val="CGC2025ParaNumbers"/>
        <w:rPr>
          <w:rFonts w:eastAsia="Calibri" w:cs="Arial"/>
        </w:rPr>
      </w:pPr>
      <w:r>
        <w:fldChar w:fldCharType="begin"/>
      </w:r>
      <w:r>
        <w:instrText xml:space="preserve"> REF _Ref134539918 \h </w:instrText>
      </w:r>
      <w:r>
        <w:fldChar w:fldCharType="separate"/>
      </w:r>
      <w:r w:rsidR="006F33F6" w:rsidRPr="0066678C">
        <w:t xml:space="preserve">Table </w:t>
      </w:r>
      <w:r w:rsidR="006F33F6">
        <w:rPr>
          <w:noProof/>
        </w:rPr>
        <w:t>4</w:t>
      </w:r>
      <w:r>
        <w:fldChar w:fldCharType="end"/>
      </w:r>
      <w:r>
        <w:t xml:space="preserve"> </w:t>
      </w:r>
      <w:r w:rsidR="003A1B03">
        <w:t xml:space="preserve">shows the extent to which the assessment results in a different distribution of GST compared with an equal per capita distribution. In the 2023 Update, the </w:t>
      </w:r>
      <w:r w:rsidR="003A1B03" w:rsidRPr="3374507B">
        <w:rPr>
          <w:rFonts w:eastAsia="Calibri" w:cs="Arial"/>
        </w:rPr>
        <w:t xml:space="preserve">distribution of GST from the </w:t>
      </w:r>
      <w:r w:rsidR="358C9DD2" w:rsidRPr="29C31000">
        <w:rPr>
          <w:rFonts w:eastAsia="Calibri" w:cs="Arial"/>
        </w:rPr>
        <w:t>i</w:t>
      </w:r>
      <w:r w:rsidR="3EFCCCBA" w:rsidRPr="29C31000">
        <w:rPr>
          <w:rFonts w:eastAsia="Calibri" w:cs="Arial"/>
        </w:rPr>
        <w:t>nsurance</w:t>
      </w:r>
      <w:r w:rsidR="003A1B03" w:rsidRPr="3374507B">
        <w:rPr>
          <w:rFonts w:eastAsia="Calibri" w:cs="Arial"/>
        </w:rPr>
        <w:t xml:space="preserve"> tax assessment</w:t>
      </w:r>
      <w:r w:rsidR="003A1B03">
        <w:t xml:space="preserve"> differed by $300 million ($11 per capita) compared to an equal per capita assessment. States assessed to have above</w:t>
      </w:r>
      <w:r w:rsidR="00E7366C">
        <w:t>-</w:t>
      </w:r>
      <w:r w:rsidR="003A1B03">
        <w:t xml:space="preserve">average capacity to raise insurance tax (New South Wales and South Australia) had lower GST needs. </w:t>
      </w:r>
      <w:r w:rsidR="003A1B03" w:rsidRPr="3374507B">
        <w:rPr>
          <w:rFonts w:eastAsia="Calibri" w:cs="Arial"/>
        </w:rPr>
        <w:t>The remaining states were assessed to have below</w:t>
      </w:r>
      <w:r w:rsidR="00841523">
        <w:rPr>
          <w:rFonts w:eastAsia="Calibri" w:cs="Arial"/>
        </w:rPr>
        <w:t>-</w:t>
      </w:r>
      <w:r w:rsidR="003A1B03" w:rsidRPr="3374507B">
        <w:rPr>
          <w:rFonts w:eastAsia="Calibri" w:cs="Arial"/>
        </w:rPr>
        <w:t>average revenue capacity, and higher GST needs.</w:t>
      </w:r>
    </w:p>
    <w:p w14:paraId="3F2177B9" w14:textId="61A59D51" w:rsidR="0066678C" w:rsidRPr="0066678C" w:rsidRDefault="0066678C" w:rsidP="0066678C">
      <w:pPr>
        <w:pStyle w:val="Caption"/>
        <w:rPr>
          <w:rFonts w:ascii="Work Sans" w:hAnsi="Work Sans"/>
        </w:rPr>
      </w:pPr>
      <w:bookmarkStart w:id="22" w:name="_Ref134539918"/>
      <w:r w:rsidRPr="0066678C">
        <w:rPr>
          <w:rFonts w:ascii="Work Sans" w:hAnsi="Work Sans"/>
        </w:rPr>
        <w:t xml:space="preserve">Table </w:t>
      </w:r>
      <w:r w:rsidRPr="0066678C">
        <w:rPr>
          <w:rFonts w:ascii="Work Sans" w:hAnsi="Work Sans"/>
        </w:rPr>
        <w:fldChar w:fldCharType="begin"/>
      </w:r>
      <w:r w:rsidRPr="0066678C">
        <w:rPr>
          <w:rFonts w:ascii="Work Sans" w:hAnsi="Work Sans"/>
        </w:rPr>
        <w:instrText xml:space="preserve"> SEQ Table \* ARABIC </w:instrText>
      </w:r>
      <w:r w:rsidRPr="0066678C">
        <w:rPr>
          <w:rFonts w:ascii="Work Sans" w:hAnsi="Work Sans"/>
        </w:rPr>
        <w:fldChar w:fldCharType="separate"/>
      </w:r>
      <w:r w:rsidR="006F33F6">
        <w:rPr>
          <w:rFonts w:ascii="Work Sans" w:hAnsi="Work Sans"/>
          <w:noProof/>
        </w:rPr>
        <w:t>4</w:t>
      </w:r>
      <w:r w:rsidRPr="0066678C">
        <w:rPr>
          <w:rFonts w:ascii="Work Sans" w:hAnsi="Work Sans"/>
        </w:rPr>
        <w:fldChar w:fldCharType="end"/>
      </w:r>
      <w:bookmarkEnd w:id="22"/>
      <w:r>
        <w:tab/>
      </w:r>
      <w:r w:rsidRPr="0066678C">
        <w:rPr>
          <w:rFonts w:ascii="Work Sans" w:hAnsi="Work Sans"/>
        </w:rPr>
        <w:t xml:space="preserve">GST impact of </w:t>
      </w:r>
      <w:r w:rsidR="759BD086" w:rsidRPr="29C31000">
        <w:rPr>
          <w:rFonts w:ascii="Work Sans" w:hAnsi="Work Sans"/>
        </w:rPr>
        <w:t>i</w:t>
      </w:r>
      <w:r w:rsidR="47A471DB" w:rsidRPr="29C31000">
        <w:rPr>
          <w:rFonts w:ascii="Work Sans" w:hAnsi="Work Sans"/>
        </w:rPr>
        <w:t>nsurance</w:t>
      </w:r>
      <w:r w:rsidRPr="0066678C">
        <w:rPr>
          <w:rFonts w:ascii="Work Sans" w:hAnsi="Work Sans"/>
        </w:rPr>
        <w:t xml:space="preserve"> tax assessment, 2023</w:t>
      </w:r>
      <w:r w:rsidR="6B810E9B" w:rsidRPr="29C31000">
        <w:rPr>
          <w:rFonts w:ascii="Work Sans" w:hAnsi="Work Sans"/>
        </w:rPr>
        <w:t>–</w:t>
      </w:r>
      <w:r w:rsidRPr="0066678C">
        <w:rPr>
          <w:rFonts w:ascii="Work Sans" w:hAnsi="Work Sans"/>
        </w:rPr>
        <w:t>24</w:t>
      </w:r>
    </w:p>
    <w:tbl>
      <w:tblPr>
        <w:tblW w:w="9340" w:type="dxa"/>
        <w:tblLook w:val="04A0" w:firstRow="1" w:lastRow="0" w:firstColumn="1" w:lastColumn="0" w:noHBand="0" w:noVBand="1"/>
      </w:tblPr>
      <w:tblGrid>
        <w:gridCol w:w="1600"/>
        <w:gridCol w:w="860"/>
        <w:gridCol w:w="860"/>
        <w:gridCol w:w="860"/>
        <w:gridCol w:w="860"/>
        <w:gridCol w:w="860"/>
        <w:gridCol w:w="860"/>
        <w:gridCol w:w="860"/>
        <w:gridCol w:w="860"/>
        <w:gridCol w:w="860"/>
      </w:tblGrid>
      <w:tr w:rsidR="00B25632" w:rsidRPr="00B25632" w14:paraId="3DAB719B" w14:textId="77777777" w:rsidTr="00B25632">
        <w:trPr>
          <w:trHeight w:val="375"/>
        </w:trPr>
        <w:tc>
          <w:tcPr>
            <w:tcW w:w="1600" w:type="dxa"/>
            <w:tcBorders>
              <w:top w:val="single" w:sz="4" w:space="0" w:color="auto"/>
              <w:left w:val="nil"/>
              <w:bottom w:val="nil"/>
              <w:right w:val="nil"/>
            </w:tcBorders>
            <w:shd w:val="clear" w:color="000000" w:fill="006991"/>
            <w:noWrap/>
            <w:vAlign w:val="center"/>
            <w:hideMark/>
          </w:tcPr>
          <w:p w14:paraId="3AAB5F66" w14:textId="77777777" w:rsidR="00B25632" w:rsidRPr="00B25632" w:rsidRDefault="00B25632" w:rsidP="00B25632">
            <w:pPr>
              <w:tabs>
                <w:tab w:val="clear" w:pos="567"/>
              </w:tabs>
              <w:spacing w:before="0" w:line="240" w:lineRule="auto"/>
              <w:rPr>
                <w:rFonts w:ascii="Open Sans Semibold" w:eastAsia="Times New Roman" w:hAnsi="Open Sans Semibold" w:cs="Open Sans Semibold"/>
                <w:color w:val="FFFFFF"/>
                <w:sz w:val="16"/>
                <w:szCs w:val="16"/>
                <w:lang w:eastAsia="en-AU"/>
              </w:rPr>
            </w:pPr>
            <w:r w:rsidRPr="00B25632">
              <w:rPr>
                <w:rFonts w:ascii="Open Sans Semibold" w:eastAsia="Times New Roman" w:hAnsi="Open Sans Semibold" w:cs="Open Sans Semibold"/>
                <w:color w:val="FFFFFF"/>
                <w:sz w:val="16"/>
                <w:szCs w:val="16"/>
                <w:lang w:eastAsia="en-AU"/>
              </w:rPr>
              <w:t> </w:t>
            </w:r>
          </w:p>
        </w:tc>
        <w:tc>
          <w:tcPr>
            <w:tcW w:w="860" w:type="dxa"/>
            <w:tcBorders>
              <w:top w:val="single" w:sz="4" w:space="0" w:color="auto"/>
              <w:left w:val="nil"/>
              <w:bottom w:val="nil"/>
              <w:right w:val="nil"/>
            </w:tcBorders>
            <w:shd w:val="clear" w:color="000000" w:fill="006991"/>
            <w:noWrap/>
            <w:vAlign w:val="center"/>
            <w:hideMark/>
          </w:tcPr>
          <w:p w14:paraId="5B7791BD" w14:textId="77777777" w:rsidR="00B25632" w:rsidRPr="00B25632" w:rsidRDefault="00B25632" w:rsidP="00B2563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25632">
              <w:rPr>
                <w:rFonts w:ascii="Open Sans Semibold" w:eastAsia="Times New Roman" w:hAnsi="Open Sans Semibold" w:cs="Open Sans Semibold"/>
                <w:color w:val="FFFFFF"/>
                <w:sz w:val="16"/>
                <w:szCs w:val="16"/>
                <w:lang w:eastAsia="en-AU"/>
              </w:rPr>
              <w:t>NSW</w:t>
            </w:r>
          </w:p>
        </w:tc>
        <w:tc>
          <w:tcPr>
            <w:tcW w:w="860" w:type="dxa"/>
            <w:tcBorders>
              <w:top w:val="single" w:sz="4" w:space="0" w:color="auto"/>
              <w:left w:val="nil"/>
              <w:bottom w:val="nil"/>
              <w:right w:val="nil"/>
            </w:tcBorders>
            <w:shd w:val="clear" w:color="000000" w:fill="006991"/>
            <w:noWrap/>
            <w:vAlign w:val="center"/>
            <w:hideMark/>
          </w:tcPr>
          <w:p w14:paraId="151ED6A8" w14:textId="77777777" w:rsidR="00B25632" w:rsidRPr="00B25632" w:rsidRDefault="00B25632" w:rsidP="00B2563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25632">
              <w:rPr>
                <w:rFonts w:ascii="Open Sans Semibold" w:eastAsia="Times New Roman" w:hAnsi="Open Sans Semibold" w:cs="Open Sans Semibold"/>
                <w:color w:val="FFFFFF"/>
                <w:sz w:val="16"/>
                <w:szCs w:val="16"/>
                <w:lang w:eastAsia="en-AU"/>
              </w:rPr>
              <w:t>Vic</w:t>
            </w:r>
          </w:p>
        </w:tc>
        <w:tc>
          <w:tcPr>
            <w:tcW w:w="860" w:type="dxa"/>
            <w:tcBorders>
              <w:top w:val="single" w:sz="4" w:space="0" w:color="auto"/>
              <w:left w:val="nil"/>
              <w:bottom w:val="nil"/>
              <w:right w:val="nil"/>
            </w:tcBorders>
            <w:shd w:val="clear" w:color="000000" w:fill="006991"/>
            <w:noWrap/>
            <w:vAlign w:val="center"/>
            <w:hideMark/>
          </w:tcPr>
          <w:p w14:paraId="5B1D9A16" w14:textId="77777777" w:rsidR="00B25632" w:rsidRPr="00B25632" w:rsidRDefault="00B25632" w:rsidP="00B2563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25632">
              <w:rPr>
                <w:rFonts w:ascii="Open Sans Semibold" w:eastAsia="Times New Roman" w:hAnsi="Open Sans Semibold" w:cs="Open Sans Semibold"/>
                <w:color w:val="FFFFFF"/>
                <w:sz w:val="16"/>
                <w:szCs w:val="16"/>
                <w:lang w:eastAsia="en-AU"/>
              </w:rPr>
              <w:t>Qld</w:t>
            </w:r>
          </w:p>
        </w:tc>
        <w:tc>
          <w:tcPr>
            <w:tcW w:w="860" w:type="dxa"/>
            <w:tcBorders>
              <w:top w:val="single" w:sz="4" w:space="0" w:color="auto"/>
              <w:left w:val="nil"/>
              <w:bottom w:val="nil"/>
              <w:right w:val="nil"/>
            </w:tcBorders>
            <w:shd w:val="clear" w:color="000000" w:fill="006991"/>
            <w:noWrap/>
            <w:vAlign w:val="center"/>
            <w:hideMark/>
          </w:tcPr>
          <w:p w14:paraId="19AD1A88" w14:textId="77777777" w:rsidR="00B25632" w:rsidRPr="00B25632" w:rsidRDefault="00B25632" w:rsidP="00B2563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25632">
              <w:rPr>
                <w:rFonts w:ascii="Open Sans Semibold" w:eastAsia="Times New Roman" w:hAnsi="Open Sans Semibold" w:cs="Open Sans Semibold"/>
                <w:color w:val="FFFFFF"/>
                <w:sz w:val="16"/>
                <w:szCs w:val="16"/>
                <w:lang w:eastAsia="en-AU"/>
              </w:rPr>
              <w:t>WA</w:t>
            </w:r>
          </w:p>
        </w:tc>
        <w:tc>
          <w:tcPr>
            <w:tcW w:w="860" w:type="dxa"/>
            <w:tcBorders>
              <w:top w:val="single" w:sz="4" w:space="0" w:color="auto"/>
              <w:left w:val="nil"/>
              <w:bottom w:val="nil"/>
              <w:right w:val="nil"/>
            </w:tcBorders>
            <w:shd w:val="clear" w:color="000000" w:fill="006991"/>
            <w:noWrap/>
            <w:vAlign w:val="center"/>
            <w:hideMark/>
          </w:tcPr>
          <w:p w14:paraId="20DF9366" w14:textId="77777777" w:rsidR="00B25632" w:rsidRPr="00B25632" w:rsidRDefault="00B25632" w:rsidP="00B2563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25632">
              <w:rPr>
                <w:rFonts w:ascii="Open Sans Semibold" w:eastAsia="Times New Roman" w:hAnsi="Open Sans Semibold" w:cs="Open Sans Semibold"/>
                <w:color w:val="FFFFFF"/>
                <w:sz w:val="16"/>
                <w:szCs w:val="16"/>
                <w:lang w:eastAsia="en-AU"/>
              </w:rPr>
              <w:t>SA</w:t>
            </w:r>
          </w:p>
        </w:tc>
        <w:tc>
          <w:tcPr>
            <w:tcW w:w="860" w:type="dxa"/>
            <w:tcBorders>
              <w:top w:val="single" w:sz="4" w:space="0" w:color="auto"/>
              <w:left w:val="nil"/>
              <w:bottom w:val="nil"/>
              <w:right w:val="nil"/>
            </w:tcBorders>
            <w:shd w:val="clear" w:color="000000" w:fill="006991"/>
            <w:noWrap/>
            <w:vAlign w:val="center"/>
            <w:hideMark/>
          </w:tcPr>
          <w:p w14:paraId="3C26682D" w14:textId="77777777" w:rsidR="00B25632" w:rsidRPr="00B25632" w:rsidRDefault="00B25632" w:rsidP="00B2563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25632">
              <w:rPr>
                <w:rFonts w:ascii="Open Sans Semibold" w:eastAsia="Times New Roman" w:hAnsi="Open Sans Semibold" w:cs="Open Sans Semibold"/>
                <w:color w:val="FFFFFF"/>
                <w:sz w:val="16"/>
                <w:szCs w:val="16"/>
                <w:lang w:eastAsia="en-AU"/>
              </w:rPr>
              <w:t>Tas</w:t>
            </w:r>
          </w:p>
        </w:tc>
        <w:tc>
          <w:tcPr>
            <w:tcW w:w="860" w:type="dxa"/>
            <w:tcBorders>
              <w:top w:val="single" w:sz="4" w:space="0" w:color="auto"/>
              <w:left w:val="nil"/>
              <w:bottom w:val="nil"/>
              <w:right w:val="nil"/>
            </w:tcBorders>
            <w:shd w:val="clear" w:color="000000" w:fill="006991"/>
            <w:noWrap/>
            <w:vAlign w:val="center"/>
            <w:hideMark/>
          </w:tcPr>
          <w:p w14:paraId="28776210" w14:textId="77777777" w:rsidR="00B25632" w:rsidRPr="00B25632" w:rsidRDefault="00B25632" w:rsidP="00B2563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25632">
              <w:rPr>
                <w:rFonts w:ascii="Open Sans Semibold" w:eastAsia="Times New Roman" w:hAnsi="Open Sans Semibold" w:cs="Open Sans Semibold"/>
                <w:color w:val="FFFFFF"/>
                <w:sz w:val="16"/>
                <w:szCs w:val="16"/>
                <w:lang w:eastAsia="en-AU"/>
              </w:rPr>
              <w:t>ACT</w:t>
            </w:r>
          </w:p>
        </w:tc>
        <w:tc>
          <w:tcPr>
            <w:tcW w:w="860" w:type="dxa"/>
            <w:tcBorders>
              <w:top w:val="single" w:sz="4" w:space="0" w:color="auto"/>
              <w:left w:val="nil"/>
              <w:bottom w:val="nil"/>
              <w:right w:val="nil"/>
            </w:tcBorders>
            <w:shd w:val="clear" w:color="000000" w:fill="006991"/>
            <w:noWrap/>
            <w:vAlign w:val="center"/>
            <w:hideMark/>
          </w:tcPr>
          <w:p w14:paraId="06F9BFE1" w14:textId="77777777" w:rsidR="00B25632" w:rsidRPr="00B25632" w:rsidRDefault="00B25632" w:rsidP="00B2563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25632">
              <w:rPr>
                <w:rFonts w:ascii="Open Sans Semibold" w:eastAsia="Times New Roman" w:hAnsi="Open Sans Semibold" w:cs="Open Sans Semibold"/>
                <w:color w:val="FFFFFF"/>
                <w:sz w:val="16"/>
                <w:szCs w:val="16"/>
                <w:lang w:eastAsia="en-AU"/>
              </w:rPr>
              <w:t>NT</w:t>
            </w:r>
          </w:p>
        </w:tc>
        <w:tc>
          <w:tcPr>
            <w:tcW w:w="860" w:type="dxa"/>
            <w:tcBorders>
              <w:top w:val="single" w:sz="4" w:space="0" w:color="auto"/>
              <w:left w:val="nil"/>
              <w:bottom w:val="nil"/>
              <w:right w:val="nil"/>
            </w:tcBorders>
            <w:shd w:val="clear" w:color="000000" w:fill="006991"/>
            <w:noWrap/>
            <w:vAlign w:val="center"/>
            <w:hideMark/>
          </w:tcPr>
          <w:p w14:paraId="3642D9D4" w14:textId="77777777" w:rsidR="00B25632" w:rsidRPr="00B25632" w:rsidRDefault="00B25632" w:rsidP="00B2563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25632">
              <w:rPr>
                <w:rFonts w:ascii="Open Sans Semibold" w:eastAsia="Times New Roman" w:hAnsi="Open Sans Semibold" w:cs="Open Sans Semibold"/>
                <w:color w:val="FFFFFF"/>
                <w:sz w:val="16"/>
                <w:szCs w:val="16"/>
                <w:lang w:eastAsia="en-AU"/>
              </w:rPr>
              <w:t>Total</w:t>
            </w:r>
          </w:p>
        </w:tc>
      </w:tr>
      <w:tr w:rsidR="00B25632" w:rsidRPr="00B25632" w14:paraId="724A0148" w14:textId="77777777" w:rsidTr="00B25632">
        <w:trPr>
          <w:trHeight w:val="315"/>
        </w:trPr>
        <w:tc>
          <w:tcPr>
            <w:tcW w:w="1600" w:type="dxa"/>
            <w:tcBorders>
              <w:top w:val="single" w:sz="4" w:space="0" w:color="ADD6EA"/>
              <w:left w:val="nil"/>
              <w:bottom w:val="single" w:sz="4" w:space="0" w:color="ADD6EA"/>
              <w:right w:val="nil"/>
            </w:tcBorders>
            <w:shd w:val="clear" w:color="auto" w:fill="auto"/>
            <w:noWrap/>
            <w:vAlign w:val="bottom"/>
            <w:hideMark/>
          </w:tcPr>
          <w:p w14:paraId="75322E1B" w14:textId="77777777" w:rsidR="00B25632" w:rsidRPr="00B25632" w:rsidRDefault="00B25632" w:rsidP="00B25632">
            <w:pPr>
              <w:tabs>
                <w:tab w:val="clear" w:pos="567"/>
              </w:tabs>
              <w:spacing w:before="0" w:line="240" w:lineRule="auto"/>
              <w:rPr>
                <w:rFonts w:eastAsia="Times New Roman" w:cs="Open Sans Light"/>
                <w:sz w:val="16"/>
                <w:szCs w:val="16"/>
                <w:lang w:eastAsia="en-AU"/>
              </w:rPr>
            </w:pPr>
            <w:r w:rsidRPr="00B25632">
              <w:rPr>
                <w:rFonts w:eastAsia="Times New Roman" w:cs="Open Sans Light"/>
                <w:sz w:val="16"/>
                <w:szCs w:val="16"/>
                <w:lang w:eastAsia="en-AU"/>
              </w:rPr>
              <w:t>Total ($m)</w:t>
            </w:r>
          </w:p>
        </w:tc>
        <w:tc>
          <w:tcPr>
            <w:tcW w:w="860" w:type="dxa"/>
            <w:tcBorders>
              <w:top w:val="single" w:sz="4" w:space="0" w:color="ADD6EA"/>
              <w:left w:val="nil"/>
              <w:bottom w:val="single" w:sz="4" w:space="0" w:color="ADD6EA"/>
              <w:right w:val="nil"/>
            </w:tcBorders>
            <w:shd w:val="clear" w:color="auto" w:fill="auto"/>
            <w:noWrap/>
            <w:vAlign w:val="bottom"/>
            <w:hideMark/>
          </w:tcPr>
          <w:p w14:paraId="211FCA1B"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-186</w:t>
            </w:r>
          </w:p>
        </w:tc>
        <w:tc>
          <w:tcPr>
            <w:tcW w:w="860" w:type="dxa"/>
            <w:tcBorders>
              <w:top w:val="single" w:sz="4" w:space="0" w:color="ADD6EA"/>
              <w:left w:val="nil"/>
              <w:bottom w:val="single" w:sz="4" w:space="0" w:color="ADD6EA"/>
              <w:right w:val="nil"/>
            </w:tcBorders>
            <w:shd w:val="clear" w:color="auto" w:fill="auto"/>
            <w:noWrap/>
            <w:vAlign w:val="bottom"/>
            <w:hideMark/>
          </w:tcPr>
          <w:p w14:paraId="5B9930DE"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122</w:t>
            </w:r>
          </w:p>
        </w:tc>
        <w:tc>
          <w:tcPr>
            <w:tcW w:w="860" w:type="dxa"/>
            <w:tcBorders>
              <w:top w:val="single" w:sz="4" w:space="0" w:color="ADD6EA"/>
              <w:left w:val="nil"/>
              <w:bottom w:val="single" w:sz="4" w:space="0" w:color="ADD6EA"/>
              <w:right w:val="nil"/>
            </w:tcBorders>
            <w:shd w:val="clear" w:color="auto" w:fill="auto"/>
            <w:noWrap/>
            <w:vAlign w:val="bottom"/>
            <w:hideMark/>
          </w:tcPr>
          <w:p w14:paraId="1EF4A44B"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45</w:t>
            </w:r>
          </w:p>
        </w:tc>
        <w:tc>
          <w:tcPr>
            <w:tcW w:w="860" w:type="dxa"/>
            <w:tcBorders>
              <w:top w:val="single" w:sz="4" w:space="0" w:color="ADD6EA"/>
              <w:left w:val="nil"/>
              <w:bottom w:val="single" w:sz="4" w:space="0" w:color="ADD6EA"/>
              <w:right w:val="nil"/>
            </w:tcBorders>
            <w:shd w:val="clear" w:color="auto" w:fill="auto"/>
            <w:noWrap/>
            <w:vAlign w:val="bottom"/>
            <w:hideMark/>
          </w:tcPr>
          <w:p w14:paraId="2A4F9D73"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72</w:t>
            </w:r>
          </w:p>
        </w:tc>
        <w:tc>
          <w:tcPr>
            <w:tcW w:w="860" w:type="dxa"/>
            <w:tcBorders>
              <w:top w:val="single" w:sz="4" w:space="0" w:color="ADD6EA"/>
              <w:left w:val="nil"/>
              <w:bottom w:val="single" w:sz="4" w:space="0" w:color="ADD6EA"/>
              <w:right w:val="nil"/>
            </w:tcBorders>
            <w:shd w:val="clear" w:color="auto" w:fill="auto"/>
            <w:noWrap/>
            <w:vAlign w:val="bottom"/>
            <w:hideMark/>
          </w:tcPr>
          <w:p w14:paraId="4B581433"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-114</w:t>
            </w:r>
          </w:p>
        </w:tc>
        <w:tc>
          <w:tcPr>
            <w:tcW w:w="860" w:type="dxa"/>
            <w:tcBorders>
              <w:top w:val="single" w:sz="4" w:space="0" w:color="ADD6EA"/>
              <w:left w:val="nil"/>
              <w:bottom w:val="single" w:sz="4" w:space="0" w:color="ADD6EA"/>
              <w:right w:val="nil"/>
            </w:tcBorders>
            <w:shd w:val="clear" w:color="auto" w:fill="auto"/>
            <w:noWrap/>
            <w:vAlign w:val="bottom"/>
            <w:hideMark/>
          </w:tcPr>
          <w:p w14:paraId="0D0BD70D"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36</w:t>
            </w:r>
          </w:p>
        </w:tc>
        <w:tc>
          <w:tcPr>
            <w:tcW w:w="860" w:type="dxa"/>
            <w:tcBorders>
              <w:top w:val="single" w:sz="4" w:space="0" w:color="ADD6EA"/>
              <w:left w:val="nil"/>
              <w:bottom w:val="single" w:sz="4" w:space="0" w:color="ADD6EA"/>
              <w:right w:val="nil"/>
            </w:tcBorders>
            <w:shd w:val="clear" w:color="auto" w:fill="auto"/>
            <w:noWrap/>
            <w:vAlign w:val="bottom"/>
            <w:hideMark/>
          </w:tcPr>
          <w:p w14:paraId="1A45BE21"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21</w:t>
            </w:r>
          </w:p>
        </w:tc>
        <w:tc>
          <w:tcPr>
            <w:tcW w:w="860" w:type="dxa"/>
            <w:tcBorders>
              <w:top w:val="single" w:sz="4" w:space="0" w:color="ADD6EA"/>
              <w:left w:val="nil"/>
              <w:bottom w:val="single" w:sz="4" w:space="0" w:color="ADD6EA"/>
              <w:right w:val="nil"/>
            </w:tcBorders>
            <w:shd w:val="clear" w:color="auto" w:fill="auto"/>
            <w:noWrap/>
            <w:vAlign w:val="bottom"/>
            <w:hideMark/>
          </w:tcPr>
          <w:p w14:paraId="009BB881"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4</w:t>
            </w:r>
          </w:p>
        </w:tc>
        <w:tc>
          <w:tcPr>
            <w:tcW w:w="860" w:type="dxa"/>
            <w:tcBorders>
              <w:top w:val="single" w:sz="4" w:space="0" w:color="ADD6EA"/>
              <w:left w:val="nil"/>
              <w:bottom w:val="single" w:sz="4" w:space="0" w:color="ADD6EA"/>
              <w:right w:val="nil"/>
            </w:tcBorders>
            <w:shd w:val="clear" w:color="auto" w:fill="auto"/>
            <w:noWrap/>
            <w:vAlign w:val="bottom"/>
            <w:hideMark/>
          </w:tcPr>
          <w:p w14:paraId="7101EF66"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300</w:t>
            </w:r>
          </w:p>
        </w:tc>
      </w:tr>
      <w:tr w:rsidR="00B25632" w:rsidRPr="00B25632" w14:paraId="17DCC542" w14:textId="77777777" w:rsidTr="00B25632">
        <w:trPr>
          <w:trHeight w:val="315"/>
        </w:trPr>
        <w:tc>
          <w:tcPr>
            <w:tcW w:w="1600" w:type="dxa"/>
            <w:tcBorders>
              <w:top w:val="nil"/>
              <w:left w:val="nil"/>
              <w:bottom w:val="single" w:sz="4" w:space="0" w:color="ADD6EA"/>
              <w:right w:val="nil"/>
            </w:tcBorders>
            <w:shd w:val="clear" w:color="auto" w:fill="auto"/>
            <w:noWrap/>
            <w:vAlign w:val="bottom"/>
            <w:hideMark/>
          </w:tcPr>
          <w:p w14:paraId="1C201BD2" w14:textId="77777777" w:rsidR="00B25632" w:rsidRPr="00B25632" w:rsidRDefault="00B25632" w:rsidP="00B25632">
            <w:pPr>
              <w:tabs>
                <w:tab w:val="clear" w:pos="567"/>
              </w:tabs>
              <w:spacing w:before="0" w:line="240" w:lineRule="auto"/>
              <w:rPr>
                <w:rFonts w:eastAsia="Times New Roman" w:cs="Open Sans Light"/>
                <w:sz w:val="16"/>
                <w:szCs w:val="16"/>
                <w:lang w:eastAsia="en-AU"/>
              </w:rPr>
            </w:pPr>
            <w:r w:rsidRPr="00B25632">
              <w:rPr>
                <w:rFonts w:eastAsia="Times New Roman" w:cs="Open Sans Light"/>
                <w:sz w:val="16"/>
                <w:szCs w:val="16"/>
                <w:lang w:eastAsia="en-AU"/>
              </w:rPr>
              <w:t>Total ($pc)</w:t>
            </w:r>
          </w:p>
        </w:tc>
        <w:tc>
          <w:tcPr>
            <w:tcW w:w="860" w:type="dxa"/>
            <w:tcBorders>
              <w:top w:val="nil"/>
              <w:left w:val="nil"/>
              <w:bottom w:val="single" w:sz="4" w:space="0" w:color="ADD6EA"/>
              <w:right w:val="nil"/>
            </w:tcBorders>
            <w:shd w:val="clear" w:color="auto" w:fill="auto"/>
            <w:noWrap/>
            <w:vAlign w:val="bottom"/>
            <w:hideMark/>
          </w:tcPr>
          <w:p w14:paraId="16D81A16"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-23</w:t>
            </w:r>
          </w:p>
        </w:tc>
        <w:tc>
          <w:tcPr>
            <w:tcW w:w="860" w:type="dxa"/>
            <w:tcBorders>
              <w:top w:val="nil"/>
              <w:left w:val="nil"/>
              <w:bottom w:val="single" w:sz="4" w:space="0" w:color="ADD6EA"/>
              <w:right w:val="nil"/>
            </w:tcBorders>
            <w:shd w:val="clear" w:color="auto" w:fill="auto"/>
            <w:noWrap/>
            <w:vAlign w:val="bottom"/>
            <w:hideMark/>
          </w:tcPr>
          <w:p w14:paraId="7B6D8CD0"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18</w:t>
            </w:r>
          </w:p>
        </w:tc>
        <w:tc>
          <w:tcPr>
            <w:tcW w:w="860" w:type="dxa"/>
            <w:tcBorders>
              <w:top w:val="nil"/>
              <w:left w:val="nil"/>
              <w:bottom w:val="single" w:sz="4" w:space="0" w:color="ADD6EA"/>
              <w:right w:val="nil"/>
            </w:tcBorders>
            <w:shd w:val="clear" w:color="auto" w:fill="auto"/>
            <w:noWrap/>
            <w:vAlign w:val="bottom"/>
            <w:hideMark/>
          </w:tcPr>
          <w:p w14:paraId="34C00B10"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8</w:t>
            </w:r>
          </w:p>
        </w:tc>
        <w:tc>
          <w:tcPr>
            <w:tcW w:w="860" w:type="dxa"/>
            <w:tcBorders>
              <w:top w:val="nil"/>
              <w:left w:val="nil"/>
              <w:bottom w:val="single" w:sz="4" w:space="0" w:color="ADD6EA"/>
              <w:right w:val="nil"/>
            </w:tcBorders>
            <w:shd w:val="clear" w:color="auto" w:fill="auto"/>
            <w:noWrap/>
            <w:vAlign w:val="bottom"/>
            <w:hideMark/>
          </w:tcPr>
          <w:p w14:paraId="46753642"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25</w:t>
            </w:r>
          </w:p>
        </w:tc>
        <w:tc>
          <w:tcPr>
            <w:tcW w:w="860" w:type="dxa"/>
            <w:tcBorders>
              <w:top w:val="nil"/>
              <w:left w:val="nil"/>
              <w:bottom w:val="single" w:sz="4" w:space="0" w:color="ADD6EA"/>
              <w:right w:val="nil"/>
            </w:tcBorders>
            <w:shd w:val="clear" w:color="auto" w:fill="auto"/>
            <w:noWrap/>
            <w:vAlign w:val="bottom"/>
            <w:hideMark/>
          </w:tcPr>
          <w:p w14:paraId="19AF6CD4"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-61</w:t>
            </w:r>
          </w:p>
        </w:tc>
        <w:tc>
          <w:tcPr>
            <w:tcW w:w="860" w:type="dxa"/>
            <w:tcBorders>
              <w:top w:val="nil"/>
              <w:left w:val="nil"/>
              <w:bottom w:val="single" w:sz="4" w:space="0" w:color="ADD6EA"/>
              <w:right w:val="nil"/>
            </w:tcBorders>
            <w:shd w:val="clear" w:color="auto" w:fill="auto"/>
            <w:noWrap/>
            <w:vAlign w:val="bottom"/>
            <w:hideMark/>
          </w:tcPr>
          <w:p w14:paraId="79EEB53D"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61</w:t>
            </w:r>
          </w:p>
        </w:tc>
        <w:tc>
          <w:tcPr>
            <w:tcW w:w="860" w:type="dxa"/>
            <w:tcBorders>
              <w:top w:val="nil"/>
              <w:left w:val="nil"/>
              <w:bottom w:val="single" w:sz="4" w:space="0" w:color="ADD6EA"/>
              <w:right w:val="nil"/>
            </w:tcBorders>
            <w:shd w:val="clear" w:color="auto" w:fill="auto"/>
            <w:noWrap/>
            <w:vAlign w:val="bottom"/>
            <w:hideMark/>
          </w:tcPr>
          <w:p w14:paraId="55ABD627"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44</w:t>
            </w:r>
          </w:p>
        </w:tc>
        <w:tc>
          <w:tcPr>
            <w:tcW w:w="860" w:type="dxa"/>
            <w:tcBorders>
              <w:top w:val="nil"/>
              <w:left w:val="nil"/>
              <w:bottom w:val="single" w:sz="4" w:space="0" w:color="ADD6EA"/>
              <w:right w:val="nil"/>
            </w:tcBorders>
            <w:shd w:val="clear" w:color="auto" w:fill="auto"/>
            <w:noWrap/>
            <w:vAlign w:val="bottom"/>
            <w:hideMark/>
          </w:tcPr>
          <w:p w14:paraId="3C436CB6" w14:textId="77777777" w:rsidR="00B25632" w:rsidRPr="00B25632" w:rsidRDefault="00B25632" w:rsidP="00B25632">
            <w:pPr>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17</w:t>
            </w:r>
          </w:p>
        </w:tc>
        <w:tc>
          <w:tcPr>
            <w:tcW w:w="860" w:type="dxa"/>
            <w:tcBorders>
              <w:top w:val="nil"/>
              <w:left w:val="nil"/>
              <w:bottom w:val="single" w:sz="4" w:space="0" w:color="ADD6EA"/>
              <w:right w:val="nil"/>
            </w:tcBorders>
            <w:shd w:val="clear" w:color="auto" w:fill="auto"/>
            <w:noWrap/>
            <w:vAlign w:val="bottom"/>
            <w:hideMark/>
          </w:tcPr>
          <w:p w14:paraId="01AE5418" w14:textId="77777777" w:rsidR="00B25632" w:rsidRPr="00B25632" w:rsidRDefault="00B25632" w:rsidP="003E1C24">
            <w:pPr>
              <w:keepNext/>
              <w:tabs>
                <w:tab w:val="clear" w:pos="567"/>
              </w:tabs>
              <w:spacing w:before="0" w:line="240" w:lineRule="auto"/>
              <w:jc w:val="right"/>
              <w:rPr>
                <w:rFonts w:eastAsia="Times New Roman" w:cs="Open Sans Light"/>
                <w:sz w:val="16"/>
                <w:szCs w:val="16"/>
                <w:lang w:eastAsia="en-AU"/>
              </w:rPr>
            </w:pPr>
            <w:r w:rsidRPr="00B25632">
              <w:rPr>
                <w:rFonts w:eastAsia="Times New Roman" w:cs="Open Sans Light"/>
                <w:sz w:val="16"/>
                <w:szCs w:val="16"/>
                <w:lang w:eastAsia="en-AU"/>
              </w:rPr>
              <w:t>11</w:t>
            </w:r>
          </w:p>
        </w:tc>
      </w:tr>
    </w:tbl>
    <w:p w14:paraId="2048E3E4" w14:textId="59EB3BCE" w:rsidR="003E1C24" w:rsidRPr="0025486C" w:rsidRDefault="003E1C24" w:rsidP="003E1C24">
      <w:pPr>
        <w:pStyle w:val="CGCTablenote"/>
        <w:ind w:left="0" w:firstLine="0"/>
        <w:rPr>
          <w:rFonts w:ascii="Work Sans" w:hAnsi="Work Sans"/>
        </w:rPr>
      </w:pPr>
      <w:r w:rsidRPr="0025486C">
        <w:rPr>
          <w:rFonts w:ascii="Work Sans" w:hAnsi="Work Sans"/>
        </w:rPr>
        <w:t>Source: Commission calculation, 2023 Updat</w:t>
      </w:r>
      <w:r w:rsidR="00CC6BE0" w:rsidRPr="0025486C">
        <w:rPr>
          <w:rFonts w:ascii="Work Sans" w:hAnsi="Work Sans"/>
        </w:rPr>
        <w:t>e.</w:t>
      </w:r>
    </w:p>
    <w:p w14:paraId="6D98BE00" w14:textId="048A0A6B" w:rsidR="00CD74E5" w:rsidRPr="004C59FB" w:rsidRDefault="00154FF7" w:rsidP="00885FA0">
      <w:pPr>
        <w:pStyle w:val="CGC2025ParaNumbers"/>
      </w:pPr>
      <w:r w:rsidRPr="00B27383">
        <w:t>Further detail on the Insurance tax assessment, the scope of the adjusted budget and the underlying conceptual cases for assessment methods are explained in Volume 2 Chapter 9 – </w:t>
      </w:r>
      <w:hyperlink r:id="rId17">
        <w:r w:rsidR="00165B1D" w:rsidRPr="3374507B">
          <w:rPr>
            <w:rStyle w:val="Hyperlink"/>
          </w:rPr>
          <w:t>Report on GST Revenue Sharing Relativities, 2020 Review.</w:t>
        </w:r>
      </w:hyperlink>
    </w:p>
    <w:p w14:paraId="555B614F" w14:textId="5A5376BD" w:rsidR="00D45001" w:rsidRPr="00D45001" w:rsidRDefault="00D45001" w:rsidP="001F458A">
      <w:pPr>
        <w:pStyle w:val="Heading2"/>
      </w:pPr>
      <w:bookmarkStart w:id="23" w:name="_Toc136856948"/>
      <w:r w:rsidRPr="00D45001">
        <w:t>What has changed since the 2020 Review?</w:t>
      </w:r>
      <w:bookmarkEnd w:id="13"/>
      <w:bookmarkEnd w:id="14"/>
      <w:bookmarkEnd w:id="15"/>
      <w:bookmarkEnd w:id="16"/>
      <w:bookmarkEnd w:id="23"/>
      <w:r w:rsidRPr="00D45001">
        <w:t xml:space="preserve"> </w:t>
      </w:r>
      <w:bookmarkEnd w:id="17"/>
    </w:p>
    <w:p w14:paraId="0D11BA62" w14:textId="1E8FBC3D" w:rsidR="000C79BE" w:rsidRPr="000C79BE" w:rsidRDefault="00BC72DE" w:rsidP="00486551">
      <w:pPr>
        <w:pStyle w:val="CGC2025ParaNumbers"/>
      </w:pPr>
      <w:bookmarkStart w:id="24" w:name="_Toc132729103"/>
      <w:bookmarkStart w:id="25" w:name="_Toc133236150"/>
      <w:bookmarkStart w:id="26" w:name="_Toc133236176"/>
      <w:r>
        <w:t>The Commission’s preliminary view is that there have been no developments that warrant changing the method for the Insurance tax assessment.</w:t>
      </w:r>
    </w:p>
    <w:bookmarkEnd w:id="24"/>
    <w:bookmarkEnd w:id="25"/>
    <w:bookmarkEnd w:id="26"/>
    <w:p w14:paraId="142B4888" w14:textId="72B73B5A" w:rsidR="00F41E2A" w:rsidRDefault="00F41E2A" w:rsidP="00F41E2A">
      <w:pPr>
        <w:pStyle w:val="Heading4"/>
      </w:pPr>
      <w:r>
        <w:t>Consultation question</w:t>
      </w:r>
    </w:p>
    <w:p w14:paraId="7F3BAA2B" w14:textId="08D1FF69" w:rsidR="0049687E" w:rsidRPr="002F190D" w:rsidRDefault="001923ED" w:rsidP="0049687E">
      <w:r w:rsidRPr="001C4DF3">
        <w:rPr>
          <w:noProof/>
        </w:rPr>
        <mc:AlternateContent>
          <mc:Choice Requires="wps">
            <w:drawing>
              <wp:inline distT="0" distB="0" distL="0" distR="0" wp14:anchorId="7B4026B3" wp14:editId="30C879C5">
                <wp:extent cx="5648325" cy="588245"/>
                <wp:effectExtent l="0" t="0" r="9525" b="2540"/>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88245"/>
                        </a:xfrm>
                        <a:prstGeom prst="rect">
                          <a:avLst/>
                        </a:prstGeom>
                        <a:solidFill>
                          <a:srgbClr val="EBF3F5"/>
                        </a:solidFill>
                        <a:ln w="25400" cap="flat" cmpd="sng" algn="ctr">
                          <a:noFill/>
                          <a:prstDash val="solid"/>
                        </a:ln>
                        <a:effectLst/>
                      </wps:spPr>
                      <wps:txbx>
                        <w:txbxContent>
                          <w:p w14:paraId="7EF7D457" w14:textId="615C41C2" w:rsidR="007B4BCF" w:rsidRPr="0073378F" w:rsidRDefault="007B4BCF" w:rsidP="007B4BCF">
                            <w:pPr>
                              <w:pStyle w:val="CGC2025QuestionNumbers"/>
                            </w:pPr>
                            <w:r>
                              <w:t>Do states support the continuation of the insurance tax assessment in its current form?</w:t>
                            </w:r>
                          </w:p>
                          <w:p w14:paraId="1786E022" w14:textId="1FD66545" w:rsidR="00284B22" w:rsidRPr="00284B22" w:rsidRDefault="00284B22" w:rsidP="007B4BCF">
                            <w:pPr>
                              <w:pStyle w:val="CGC2025QuestionNumbers"/>
                              <w:numPr>
                                <w:ilvl w:val="0"/>
                                <w:numId w:val="0"/>
                              </w:numPr>
                              <w:ind w:left="45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4026B3" id="Rectangle 23" o:spid="_x0000_s1029" alt="&quot;&quot;" style="width:444.75pt;height:4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" fillcolor="#ebf3f5" stroked="f" strokeweight="2pt">
                <v:textbox>
                  <w:txbxContent>
                    <w:p w14:paraId="7EF7D457" w14:textId="615C41C2" w:rsidR="007B4BCF" w:rsidRPr="0073378F" w:rsidRDefault="007B4BCF" w:rsidP="007B4BCF">
                      <w:pPr>
                        <w:pStyle w:val="CGC2025QuestionNumbers"/>
                      </w:pPr>
                      <w:r>
                        <w:t>Do states support the continuation of the insurance tax assessment in its current form?</w:t>
                      </w:r>
                    </w:p>
                    <w:p w14:paraId="1786E022" w14:textId="1FD66545" w:rsidR="00284B22" w:rsidRPr="00284B22" w:rsidRDefault="00284B22" w:rsidP="007B4BCF">
                      <w:pPr>
                        <w:pStyle w:val="CGC2025QuestionNumbers"/>
                        <w:numPr>
                          <w:ilvl w:val="0"/>
                          <w:numId w:val="0"/>
                        </w:numPr>
                        <w:ind w:left="454"/>
                      </w:pPr>
                    </w:p>
                  </w:txbxContent>
                </v:textbox>
                <w10:anchorlock/>
              </v:rect>
            </w:pict>
          </mc:Fallback>
        </mc:AlternateContent>
      </w:r>
    </w:p>
    <w:p w14:paraId="6F815DE4" w14:textId="16DC8FA4" w:rsidR="007B4BCF" w:rsidRPr="007B4BCF" w:rsidRDefault="00F427F0" w:rsidP="004206B9">
      <w:pPr>
        <w:pStyle w:val="Heading2"/>
      </w:pPr>
      <w:bookmarkStart w:id="27" w:name="_Toc121741490"/>
      <w:bookmarkStart w:id="28" w:name="_Toc127428359"/>
      <w:bookmarkStart w:id="29" w:name="_Toc132729113"/>
      <w:bookmarkStart w:id="30" w:name="_Toc133236154"/>
      <w:bookmarkStart w:id="31" w:name="_Toc133236180"/>
      <w:bookmarkStart w:id="32" w:name="_Toc136856949"/>
      <w:r w:rsidRPr="00FE3C19">
        <w:t>Proposed assessment</w:t>
      </w:r>
      <w:bookmarkEnd w:id="27"/>
      <w:bookmarkEnd w:id="28"/>
      <w:bookmarkEnd w:id="29"/>
      <w:bookmarkEnd w:id="30"/>
      <w:bookmarkEnd w:id="31"/>
      <w:bookmarkEnd w:id="32"/>
    </w:p>
    <w:p w14:paraId="7E4F72A9" w14:textId="31A48C2F" w:rsidR="00F427F0" w:rsidRDefault="00F427F0" w:rsidP="001F4B1F">
      <w:pPr>
        <w:pStyle w:val="Heading3"/>
      </w:pPr>
      <w:bookmarkStart w:id="33" w:name="_Toc132729114"/>
      <w:bookmarkStart w:id="34" w:name="_Toc133236155"/>
      <w:bookmarkStart w:id="35" w:name="_Toc133236181"/>
      <w:bookmarkStart w:id="36" w:name="_Toc136856950"/>
      <w:r w:rsidRPr="00FE3C19">
        <w:t>Differences from the 2020 Review approach</w:t>
      </w:r>
      <w:bookmarkEnd w:id="33"/>
      <w:bookmarkEnd w:id="34"/>
      <w:bookmarkEnd w:id="35"/>
      <w:bookmarkEnd w:id="36"/>
    </w:p>
    <w:p w14:paraId="4EA1A4C0" w14:textId="42DBE6F6" w:rsidR="00C71A51" w:rsidRPr="00D612DD" w:rsidRDefault="00C71A51" w:rsidP="00C71A51">
      <w:pPr>
        <w:pStyle w:val="CGC2025ParaNumbers"/>
      </w:pPr>
      <w:r>
        <w:t xml:space="preserve">Subject </w:t>
      </w:r>
      <w:r w:rsidR="005A449D">
        <w:t>to state views</w:t>
      </w:r>
      <w:r>
        <w:t>, the Commission does not propose to make any changes to its 2020 Review approach.</w:t>
      </w:r>
    </w:p>
    <w:p w14:paraId="6B345D67" w14:textId="4A643D94" w:rsidR="00F427F0" w:rsidRDefault="00F427F0" w:rsidP="001F4B1F">
      <w:pPr>
        <w:pStyle w:val="Heading3"/>
      </w:pPr>
      <w:bookmarkStart w:id="37" w:name="_Toc132729115"/>
      <w:bookmarkStart w:id="38" w:name="_Toc133236156"/>
      <w:bookmarkStart w:id="39" w:name="_Toc133236182"/>
      <w:bookmarkStart w:id="40" w:name="_Toc136856951"/>
      <w:r w:rsidRPr="00FE3C19">
        <w:t>Proposed assessment structure</w:t>
      </w:r>
      <w:bookmarkEnd w:id="37"/>
      <w:bookmarkEnd w:id="38"/>
      <w:bookmarkEnd w:id="39"/>
      <w:bookmarkEnd w:id="40"/>
    </w:p>
    <w:p w14:paraId="42314E0A" w14:textId="5F2BC816" w:rsidR="00141A8E" w:rsidRDefault="00141A8E" w:rsidP="00820395">
      <w:pPr>
        <w:pStyle w:val="CGC2025ParaNumbers"/>
      </w:pPr>
      <w:r>
        <w:fldChar w:fldCharType="begin"/>
      </w:r>
      <w:r>
        <w:instrText xml:space="preserve"> REF _Ref134540039 \h </w:instrText>
      </w:r>
      <w:r>
        <w:fldChar w:fldCharType="separate"/>
      </w:r>
      <w:r w:rsidR="006F33F6" w:rsidRPr="00141A8E">
        <w:t xml:space="preserve">Table </w:t>
      </w:r>
      <w:r w:rsidR="006F33F6">
        <w:rPr>
          <w:noProof/>
        </w:rPr>
        <w:t>5</w:t>
      </w:r>
      <w:r>
        <w:fldChar w:fldCharType="end"/>
      </w:r>
      <w:r>
        <w:t xml:space="preserve"> </w:t>
      </w:r>
      <w:r w:rsidR="00A47AF5">
        <w:t>shows the proposed structure of the insurance tax assessment for the 2025 Review.</w:t>
      </w:r>
    </w:p>
    <w:p w14:paraId="18C02824" w14:textId="63D2FF3B" w:rsidR="00141A8E" w:rsidRPr="00141A8E" w:rsidRDefault="00141A8E" w:rsidP="00141A8E">
      <w:pPr>
        <w:pStyle w:val="Caption"/>
        <w:rPr>
          <w:rFonts w:ascii="Work Sans" w:hAnsi="Work Sans"/>
        </w:rPr>
      </w:pPr>
      <w:bookmarkStart w:id="41" w:name="_Ref134540039"/>
      <w:r w:rsidRPr="00141A8E">
        <w:rPr>
          <w:rFonts w:ascii="Work Sans" w:hAnsi="Work Sans"/>
        </w:rPr>
        <w:t xml:space="preserve">Table </w:t>
      </w:r>
      <w:r w:rsidRPr="00141A8E">
        <w:rPr>
          <w:rFonts w:ascii="Work Sans" w:hAnsi="Work Sans"/>
        </w:rPr>
        <w:fldChar w:fldCharType="begin"/>
      </w:r>
      <w:r w:rsidRPr="00141A8E">
        <w:rPr>
          <w:rFonts w:ascii="Work Sans" w:hAnsi="Work Sans"/>
        </w:rPr>
        <w:instrText xml:space="preserve"> SEQ Table \* ARABIC </w:instrText>
      </w:r>
      <w:r w:rsidRPr="00141A8E">
        <w:rPr>
          <w:rFonts w:ascii="Work Sans" w:hAnsi="Work Sans"/>
        </w:rPr>
        <w:fldChar w:fldCharType="separate"/>
      </w:r>
      <w:r w:rsidR="006F33F6">
        <w:rPr>
          <w:rFonts w:ascii="Work Sans" w:hAnsi="Work Sans"/>
          <w:noProof/>
        </w:rPr>
        <w:t>5</w:t>
      </w:r>
      <w:r w:rsidRPr="00141A8E">
        <w:rPr>
          <w:rFonts w:ascii="Work Sans" w:hAnsi="Work Sans"/>
        </w:rPr>
        <w:fldChar w:fldCharType="end"/>
      </w:r>
      <w:bookmarkEnd w:id="41"/>
      <w:r w:rsidRPr="00141A8E">
        <w:rPr>
          <w:rFonts w:ascii="Work Sans" w:hAnsi="Work Sans"/>
        </w:rPr>
        <w:tab/>
        <w:t xml:space="preserve">Proposed assessment structure for Insurance tax </w:t>
      </w:r>
      <w:proofErr w:type="gramStart"/>
      <w:r w:rsidRPr="00141A8E">
        <w:rPr>
          <w:rFonts w:ascii="Work Sans" w:hAnsi="Work Sans"/>
        </w:rPr>
        <w:t>assessment</w:t>
      </w:r>
      <w:proofErr w:type="gramEnd"/>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160"/>
        <w:gridCol w:w="1935"/>
        <w:gridCol w:w="3549"/>
        <w:gridCol w:w="258"/>
        <w:gridCol w:w="24"/>
        <w:gridCol w:w="1527"/>
        <w:gridCol w:w="134"/>
      </w:tblGrid>
      <w:tr w:rsidR="000F23A2" w:rsidRPr="00433DCB" w14:paraId="1E323FC9" w14:textId="77777777" w:rsidTr="00486551">
        <w:trPr>
          <w:trHeight w:val="375"/>
        </w:trPr>
        <w:tc>
          <w:tcPr>
            <w:tcW w:w="1315" w:type="dxa"/>
            <w:tcBorders>
              <w:top w:val="nil"/>
              <w:left w:val="nil"/>
              <w:bottom w:val="single" w:sz="6" w:space="0" w:color="ADD6EA"/>
              <w:right w:val="nil"/>
            </w:tcBorders>
            <w:shd w:val="clear" w:color="auto" w:fill="006991"/>
            <w:vAlign w:val="center"/>
            <w:hideMark/>
          </w:tcPr>
          <w:p w14:paraId="3254F5CE" w14:textId="77777777" w:rsidR="000F23A2" w:rsidRPr="00433DCB" w:rsidRDefault="000F23A2" w:rsidP="00486551">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w:t>
            </w:r>
          </w:p>
        </w:tc>
        <w:tc>
          <w:tcPr>
            <w:tcW w:w="160" w:type="dxa"/>
            <w:tcBorders>
              <w:top w:val="nil"/>
              <w:left w:val="nil"/>
              <w:bottom w:val="single" w:sz="6" w:space="0" w:color="ADD6EA"/>
              <w:right w:val="nil"/>
            </w:tcBorders>
            <w:shd w:val="clear" w:color="auto" w:fill="006991"/>
            <w:vAlign w:val="center"/>
            <w:hideMark/>
          </w:tcPr>
          <w:p w14:paraId="0066BDBA" w14:textId="77777777" w:rsidR="000F23A2" w:rsidRPr="00433DCB" w:rsidRDefault="000F23A2" w:rsidP="0048655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935" w:type="dxa"/>
            <w:tcBorders>
              <w:top w:val="nil"/>
              <w:left w:val="nil"/>
              <w:bottom w:val="single" w:sz="6" w:space="0" w:color="ADD6EA"/>
              <w:right w:val="nil"/>
            </w:tcBorders>
            <w:shd w:val="clear" w:color="auto" w:fill="006991"/>
            <w:vAlign w:val="center"/>
            <w:hideMark/>
          </w:tcPr>
          <w:p w14:paraId="00892C8A" w14:textId="77777777" w:rsidR="000F23A2" w:rsidRPr="00433DCB" w:rsidRDefault="000F23A2" w:rsidP="00486551">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p>
        </w:tc>
        <w:tc>
          <w:tcPr>
            <w:tcW w:w="3549" w:type="dxa"/>
            <w:tcBorders>
              <w:top w:val="nil"/>
              <w:left w:val="nil"/>
              <w:bottom w:val="single" w:sz="6" w:space="0" w:color="ADD6EA"/>
              <w:right w:val="nil"/>
            </w:tcBorders>
            <w:shd w:val="clear" w:color="auto" w:fill="006991"/>
            <w:vAlign w:val="center"/>
            <w:hideMark/>
          </w:tcPr>
          <w:p w14:paraId="297E64CE" w14:textId="77777777" w:rsidR="000F23A2" w:rsidRPr="00433DCB" w:rsidRDefault="000F23A2" w:rsidP="00486551">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258" w:type="dxa"/>
            <w:tcBorders>
              <w:top w:val="nil"/>
              <w:left w:val="nil"/>
              <w:bottom w:val="single" w:sz="6" w:space="0" w:color="ADD6EA"/>
              <w:right w:val="nil"/>
            </w:tcBorders>
            <w:shd w:val="clear" w:color="auto" w:fill="006991"/>
          </w:tcPr>
          <w:p w14:paraId="70EDFD4D" w14:textId="77777777" w:rsidR="000F23A2" w:rsidRPr="00433DCB" w:rsidRDefault="000F23A2" w:rsidP="00486551">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4" w:type="dxa"/>
            <w:tcBorders>
              <w:top w:val="nil"/>
              <w:left w:val="nil"/>
              <w:bottom w:val="single" w:sz="6" w:space="0" w:color="ADD6EA"/>
              <w:right w:val="nil"/>
            </w:tcBorders>
            <w:shd w:val="clear" w:color="auto" w:fill="006991"/>
          </w:tcPr>
          <w:p w14:paraId="751B568D" w14:textId="77777777" w:rsidR="000F23A2" w:rsidRPr="00433DCB" w:rsidRDefault="000F23A2" w:rsidP="00486551">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527" w:type="dxa"/>
            <w:tcBorders>
              <w:top w:val="nil"/>
              <w:left w:val="nil"/>
              <w:bottom w:val="single" w:sz="6" w:space="0" w:color="ADD6EA"/>
              <w:right w:val="nil"/>
            </w:tcBorders>
            <w:shd w:val="clear" w:color="auto" w:fill="006991"/>
          </w:tcPr>
          <w:p w14:paraId="34D4487F" w14:textId="77777777" w:rsidR="000F23A2" w:rsidRPr="00433DCB" w:rsidRDefault="000F23A2" w:rsidP="00486551">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 Review?</w:t>
            </w:r>
          </w:p>
        </w:tc>
        <w:tc>
          <w:tcPr>
            <w:tcW w:w="134" w:type="dxa"/>
            <w:tcBorders>
              <w:top w:val="nil"/>
              <w:left w:val="nil"/>
              <w:bottom w:val="single" w:sz="6" w:space="0" w:color="ADD6EA"/>
              <w:right w:val="nil"/>
            </w:tcBorders>
            <w:shd w:val="clear" w:color="auto" w:fill="006991"/>
          </w:tcPr>
          <w:p w14:paraId="4EEE11EB" w14:textId="77777777" w:rsidR="000F23A2" w:rsidRPr="00433DCB" w:rsidRDefault="000F23A2" w:rsidP="00486551">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0F23A2" w:rsidRPr="00433DCB" w14:paraId="10BCDB3C" w14:textId="77777777" w:rsidTr="00486551">
        <w:trPr>
          <w:trHeight w:val="255"/>
        </w:trPr>
        <w:tc>
          <w:tcPr>
            <w:tcW w:w="1315" w:type="dxa"/>
            <w:tcBorders>
              <w:top w:val="nil"/>
              <w:left w:val="nil"/>
              <w:bottom w:val="single" w:sz="6" w:space="0" w:color="ADD6EA"/>
              <w:right w:val="nil"/>
            </w:tcBorders>
            <w:shd w:val="clear" w:color="auto" w:fill="B6D5E4"/>
            <w:vAlign w:val="center"/>
            <w:hideMark/>
          </w:tcPr>
          <w:p w14:paraId="08C5CC94" w14:textId="77777777" w:rsidR="000F23A2" w:rsidRPr="00433DCB" w:rsidRDefault="000F23A2" w:rsidP="0048655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0" w:type="dxa"/>
            <w:tcBorders>
              <w:top w:val="nil"/>
              <w:left w:val="nil"/>
              <w:bottom w:val="single" w:sz="6" w:space="0" w:color="ADD6EA"/>
              <w:right w:val="nil"/>
            </w:tcBorders>
            <w:shd w:val="clear" w:color="auto" w:fill="B6D5E4"/>
            <w:vAlign w:val="center"/>
            <w:hideMark/>
          </w:tcPr>
          <w:p w14:paraId="2745F2FA" w14:textId="77777777" w:rsidR="000F23A2" w:rsidRPr="00433DCB" w:rsidRDefault="000F23A2" w:rsidP="0048655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935" w:type="dxa"/>
            <w:tcBorders>
              <w:top w:val="nil"/>
              <w:left w:val="nil"/>
              <w:bottom w:val="single" w:sz="6" w:space="0" w:color="ADD6EA"/>
              <w:right w:val="nil"/>
            </w:tcBorders>
            <w:shd w:val="clear" w:color="auto" w:fill="B6D5E4"/>
            <w:vAlign w:val="center"/>
            <w:hideMark/>
          </w:tcPr>
          <w:p w14:paraId="418736EA" w14:textId="77777777" w:rsidR="000F23A2" w:rsidRPr="00433DCB" w:rsidRDefault="000F23A2" w:rsidP="0048655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549" w:type="dxa"/>
            <w:tcBorders>
              <w:top w:val="nil"/>
              <w:left w:val="nil"/>
              <w:bottom w:val="single" w:sz="6" w:space="0" w:color="ADD6EA"/>
              <w:right w:val="nil"/>
            </w:tcBorders>
            <w:shd w:val="clear" w:color="auto" w:fill="B6D5E4"/>
            <w:vAlign w:val="center"/>
            <w:hideMark/>
          </w:tcPr>
          <w:p w14:paraId="7B527D88" w14:textId="77777777" w:rsidR="000F23A2" w:rsidRPr="00433DCB" w:rsidRDefault="000F23A2" w:rsidP="0048655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258" w:type="dxa"/>
            <w:tcBorders>
              <w:top w:val="nil"/>
              <w:left w:val="nil"/>
              <w:bottom w:val="single" w:sz="6" w:space="0" w:color="ADD6EA"/>
              <w:right w:val="nil"/>
            </w:tcBorders>
            <w:shd w:val="clear" w:color="auto" w:fill="B6D5E4"/>
          </w:tcPr>
          <w:p w14:paraId="26A6B209" w14:textId="77777777" w:rsidR="000F23A2" w:rsidRPr="00433DCB" w:rsidRDefault="000F23A2" w:rsidP="0048655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4" w:type="dxa"/>
            <w:tcBorders>
              <w:top w:val="nil"/>
              <w:left w:val="nil"/>
              <w:bottom w:val="single" w:sz="6" w:space="0" w:color="ADD6EA"/>
              <w:right w:val="nil"/>
            </w:tcBorders>
            <w:shd w:val="clear" w:color="auto" w:fill="B6D5E4"/>
          </w:tcPr>
          <w:p w14:paraId="6408BED6" w14:textId="77777777" w:rsidR="000F23A2" w:rsidRPr="00433DCB" w:rsidRDefault="000F23A2" w:rsidP="0048655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527" w:type="dxa"/>
            <w:tcBorders>
              <w:top w:val="nil"/>
              <w:left w:val="nil"/>
              <w:bottom w:val="single" w:sz="6" w:space="0" w:color="ADD6EA"/>
              <w:right w:val="nil"/>
            </w:tcBorders>
            <w:shd w:val="clear" w:color="auto" w:fill="B6D5E4"/>
          </w:tcPr>
          <w:p w14:paraId="3E8E0117" w14:textId="77777777" w:rsidR="000F23A2" w:rsidRPr="00433DCB" w:rsidRDefault="000F23A2" w:rsidP="0048655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34" w:type="dxa"/>
            <w:tcBorders>
              <w:top w:val="nil"/>
              <w:left w:val="nil"/>
              <w:bottom w:val="single" w:sz="6" w:space="0" w:color="ADD6EA"/>
              <w:right w:val="nil"/>
            </w:tcBorders>
            <w:shd w:val="clear" w:color="auto" w:fill="B6D5E4"/>
          </w:tcPr>
          <w:p w14:paraId="68CCB807" w14:textId="77777777" w:rsidR="000F23A2" w:rsidRPr="00433DCB" w:rsidRDefault="000F23A2" w:rsidP="0048655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0F23A2" w:rsidRPr="00433DCB" w14:paraId="2295FD90" w14:textId="77777777" w:rsidTr="00486551">
        <w:trPr>
          <w:trHeight w:val="528"/>
        </w:trPr>
        <w:tc>
          <w:tcPr>
            <w:tcW w:w="1315" w:type="dxa"/>
            <w:tcBorders>
              <w:top w:val="nil"/>
              <w:left w:val="nil"/>
              <w:bottom w:val="single" w:sz="4" w:space="0" w:color="4BACC6" w:themeColor="accent5"/>
              <w:right w:val="nil"/>
            </w:tcBorders>
            <w:shd w:val="clear" w:color="auto" w:fill="auto"/>
            <w:hideMark/>
          </w:tcPr>
          <w:p w14:paraId="3833357C" w14:textId="77777777" w:rsidR="000F23A2" w:rsidRPr="000C600F" w:rsidRDefault="000F23A2" w:rsidP="00486551">
            <w:pPr>
              <w:tabs>
                <w:tab w:val="clear" w:pos="567"/>
              </w:tabs>
              <w:spacing w:before="0" w:line="240" w:lineRule="auto"/>
              <w:rPr>
                <w:rFonts w:eastAsia="Times New Roman" w:cs="Open Sans Light"/>
                <w:sz w:val="16"/>
                <w:szCs w:val="16"/>
                <w:lang w:eastAsia="en-AU"/>
              </w:rPr>
            </w:pPr>
            <w:r w:rsidRPr="000C600F">
              <w:rPr>
                <w:rFonts w:eastAsia="Times New Roman" w:cs="Open Sans Light"/>
                <w:sz w:val="16"/>
                <w:szCs w:val="16"/>
                <w:lang w:eastAsia="en-AU"/>
              </w:rPr>
              <w:t>Insurance tax</w:t>
            </w:r>
          </w:p>
        </w:tc>
        <w:tc>
          <w:tcPr>
            <w:tcW w:w="160" w:type="dxa"/>
            <w:tcBorders>
              <w:top w:val="nil"/>
              <w:left w:val="nil"/>
              <w:bottom w:val="single" w:sz="4" w:space="0" w:color="4BACC6" w:themeColor="accent5"/>
              <w:right w:val="nil"/>
            </w:tcBorders>
            <w:shd w:val="clear" w:color="auto" w:fill="auto"/>
            <w:vAlign w:val="bottom"/>
            <w:hideMark/>
          </w:tcPr>
          <w:p w14:paraId="1F97A1BA" w14:textId="77777777" w:rsidR="000F23A2" w:rsidRPr="000C600F" w:rsidRDefault="000F23A2" w:rsidP="00486551">
            <w:pPr>
              <w:tabs>
                <w:tab w:val="clear" w:pos="567"/>
              </w:tabs>
              <w:spacing w:before="0" w:line="240" w:lineRule="auto"/>
              <w:rPr>
                <w:rFonts w:eastAsia="Times New Roman" w:cs="Open Sans Light"/>
                <w:sz w:val="16"/>
                <w:szCs w:val="16"/>
                <w:lang w:eastAsia="en-AU"/>
              </w:rPr>
            </w:pPr>
          </w:p>
        </w:tc>
        <w:tc>
          <w:tcPr>
            <w:tcW w:w="1935" w:type="dxa"/>
            <w:tcBorders>
              <w:top w:val="nil"/>
              <w:left w:val="nil"/>
              <w:bottom w:val="single" w:sz="4" w:space="0" w:color="4BACC6" w:themeColor="accent5"/>
              <w:right w:val="nil"/>
            </w:tcBorders>
            <w:shd w:val="clear" w:color="auto" w:fill="auto"/>
            <w:hideMark/>
          </w:tcPr>
          <w:p w14:paraId="17242195" w14:textId="77777777" w:rsidR="000F23A2" w:rsidRPr="000C600F" w:rsidRDefault="000F23A2" w:rsidP="00486551">
            <w:pPr>
              <w:tabs>
                <w:tab w:val="clear" w:pos="567"/>
              </w:tabs>
              <w:spacing w:before="0" w:line="240" w:lineRule="auto"/>
              <w:rPr>
                <w:rFonts w:eastAsia="Times New Roman" w:cs="Open Sans Light"/>
                <w:sz w:val="16"/>
                <w:szCs w:val="16"/>
                <w:lang w:eastAsia="en-AU"/>
              </w:rPr>
            </w:pPr>
            <w:r w:rsidRPr="000C600F">
              <w:rPr>
                <w:rFonts w:eastAsia="Times New Roman" w:cs="Open Sans Light"/>
                <w:sz w:val="16"/>
                <w:szCs w:val="16"/>
                <w:lang w:eastAsia="en-AU"/>
              </w:rPr>
              <w:t>Value of premiums</w:t>
            </w:r>
          </w:p>
        </w:tc>
        <w:tc>
          <w:tcPr>
            <w:tcW w:w="3549" w:type="dxa"/>
            <w:tcBorders>
              <w:top w:val="nil"/>
              <w:left w:val="nil"/>
              <w:bottom w:val="single" w:sz="4" w:space="0" w:color="4BACC6" w:themeColor="accent5"/>
              <w:right w:val="nil"/>
            </w:tcBorders>
            <w:shd w:val="clear" w:color="auto" w:fill="auto"/>
            <w:hideMark/>
          </w:tcPr>
          <w:p w14:paraId="60290FC4" w14:textId="77777777" w:rsidR="000F23A2" w:rsidRPr="000C600F" w:rsidRDefault="000F23A2" w:rsidP="00486551">
            <w:pPr>
              <w:tabs>
                <w:tab w:val="clear" w:pos="567"/>
              </w:tabs>
              <w:spacing w:before="0" w:line="240" w:lineRule="auto"/>
              <w:rPr>
                <w:rFonts w:eastAsia="Times New Roman" w:cs="Open Sans Light"/>
                <w:sz w:val="16"/>
                <w:szCs w:val="16"/>
                <w:lang w:eastAsia="en-AU"/>
              </w:rPr>
            </w:pPr>
            <w:r w:rsidRPr="000C600F">
              <w:rPr>
                <w:rFonts w:eastAsia="Times New Roman" w:cs="Open Sans Light"/>
                <w:sz w:val="16"/>
                <w:szCs w:val="16"/>
                <w:lang w:eastAsia="en-AU"/>
              </w:rPr>
              <w:t xml:space="preserve">Recognises states with greater value of </w:t>
            </w:r>
            <w:r>
              <w:rPr>
                <w:rFonts w:eastAsia="Times New Roman" w:cs="Open Sans Light"/>
                <w:sz w:val="16"/>
                <w:szCs w:val="16"/>
                <w:lang w:eastAsia="en-AU"/>
              </w:rPr>
              <w:t>insurance premiums</w:t>
            </w:r>
            <w:r w:rsidRPr="000C600F">
              <w:rPr>
                <w:rFonts w:eastAsia="Times New Roman" w:cs="Open Sans Light"/>
                <w:sz w:val="16"/>
                <w:szCs w:val="16"/>
                <w:lang w:eastAsia="en-AU"/>
              </w:rPr>
              <w:t xml:space="preserve"> have a greater revenue capacity</w:t>
            </w:r>
          </w:p>
        </w:tc>
        <w:tc>
          <w:tcPr>
            <w:tcW w:w="258" w:type="dxa"/>
            <w:tcBorders>
              <w:top w:val="nil"/>
              <w:left w:val="nil"/>
              <w:bottom w:val="single" w:sz="4" w:space="0" w:color="4BACC6" w:themeColor="accent5"/>
              <w:right w:val="nil"/>
            </w:tcBorders>
          </w:tcPr>
          <w:p w14:paraId="224ECCB7" w14:textId="77777777" w:rsidR="000F23A2" w:rsidRPr="000C600F" w:rsidRDefault="000F23A2" w:rsidP="00486551">
            <w:pPr>
              <w:tabs>
                <w:tab w:val="clear" w:pos="567"/>
              </w:tabs>
              <w:spacing w:before="0" w:line="240" w:lineRule="auto"/>
              <w:rPr>
                <w:rFonts w:eastAsia="Times New Roman" w:cs="Open Sans Light"/>
                <w:sz w:val="16"/>
                <w:szCs w:val="16"/>
                <w:lang w:eastAsia="en-AU"/>
              </w:rPr>
            </w:pPr>
          </w:p>
        </w:tc>
        <w:tc>
          <w:tcPr>
            <w:tcW w:w="24" w:type="dxa"/>
            <w:tcBorders>
              <w:top w:val="nil"/>
              <w:left w:val="nil"/>
              <w:bottom w:val="single" w:sz="4" w:space="0" w:color="4BACC6" w:themeColor="accent5"/>
              <w:right w:val="nil"/>
            </w:tcBorders>
          </w:tcPr>
          <w:p w14:paraId="44103B48" w14:textId="77777777" w:rsidR="000F23A2" w:rsidRPr="000C600F" w:rsidRDefault="000F23A2" w:rsidP="00486551">
            <w:pPr>
              <w:tabs>
                <w:tab w:val="clear" w:pos="567"/>
              </w:tabs>
              <w:spacing w:before="0" w:line="240" w:lineRule="auto"/>
              <w:rPr>
                <w:rFonts w:eastAsia="Times New Roman" w:cs="Open Sans Light"/>
                <w:sz w:val="16"/>
                <w:szCs w:val="16"/>
                <w:lang w:eastAsia="en-AU"/>
              </w:rPr>
            </w:pPr>
          </w:p>
        </w:tc>
        <w:tc>
          <w:tcPr>
            <w:tcW w:w="1527" w:type="dxa"/>
            <w:tcBorders>
              <w:top w:val="nil"/>
              <w:left w:val="nil"/>
              <w:bottom w:val="single" w:sz="4" w:space="0" w:color="4BACC6" w:themeColor="accent5"/>
              <w:right w:val="nil"/>
            </w:tcBorders>
          </w:tcPr>
          <w:p w14:paraId="3DBF18D7" w14:textId="77777777" w:rsidR="000F23A2" w:rsidRPr="000C600F" w:rsidRDefault="000F23A2" w:rsidP="00486551">
            <w:pPr>
              <w:tabs>
                <w:tab w:val="clear" w:pos="567"/>
              </w:tabs>
              <w:spacing w:before="0" w:line="240" w:lineRule="auto"/>
              <w:rPr>
                <w:rFonts w:eastAsia="Times New Roman" w:cs="Open Sans Light"/>
                <w:sz w:val="16"/>
                <w:szCs w:val="16"/>
                <w:lang w:eastAsia="en-AU"/>
              </w:rPr>
            </w:pPr>
            <w:r w:rsidRPr="000C600F">
              <w:rPr>
                <w:rFonts w:eastAsia="Times New Roman" w:cs="Open Sans Light"/>
                <w:sz w:val="16"/>
                <w:szCs w:val="16"/>
                <w:lang w:eastAsia="en-AU"/>
              </w:rPr>
              <w:t>No</w:t>
            </w:r>
          </w:p>
        </w:tc>
        <w:tc>
          <w:tcPr>
            <w:tcW w:w="134" w:type="dxa"/>
            <w:tcBorders>
              <w:top w:val="nil"/>
              <w:left w:val="nil"/>
              <w:bottom w:val="single" w:sz="4" w:space="0" w:color="4BACC6" w:themeColor="accent5"/>
              <w:right w:val="nil"/>
            </w:tcBorders>
          </w:tcPr>
          <w:p w14:paraId="6728C838" w14:textId="77777777" w:rsidR="000F23A2" w:rsidRPr="00433DCB" w:rsidRDefault="000F23A2" w:rsidP="00CC6BE0">
            <w:pPr>
              <w:keepNext/>
              <w:keepLines/>
              <w:tabs>
                <w:tab w:val="clear" w:pos="567"/>
              </w:tabs>
              <w:spacing w:before="0" w:line="240" w:lineRule="auto"/>
              <w:textAlignment w:val="baseline"/>
              <w:rPr>
                <w:rFonts w:eastAsia="Times New Roman" w:cs="Segoe UI"/>
                <w:color w:val="000000"/>
                <w:sz w:val="16"/>
                <w:szCs w:val="16"/>
                <w:lang w:eastAsia="en-AU"/>
              </w:rPr>
            </w:pPr>
          </w:p>
        </w:tc>
      </w:tr>
    </w:tbl>
    <w:p w14:paraId="7F3F63FA" w14:textId="5816DC7F" w:rsidR="00CC6BE0" w:rsidRPr="0025486C" w:rsidRDefault="00CC6BE0" w:rsidP="0021345F">
      <w:pPr>
        <w:pStyle w:val="CGCTablenote"/>
        <w:ind w:left="0" w:firstLine="0"/>
        <w:rPr>
          <w:rFonts w:ascii="Work Sans" w:hAnsi="Work Sans"/>
        </w:rPr>
      </w:pPr>
      <w:bookmarkStart w:id="42" w:name="_Toc121741493"/>
      <w:bookmarkStart w:id="43" w:name="_Toc127428362"/>
      <w:bookmarkStart w:id="44" w:name="_Toc132729117"/>
      <w:bookmarkStart w:id="45" w:name="_Toc133236158"/>
      <w:bookmarkStart w:id="46" w:name="_Toc133236184"/>
      <w:r w:rsidRPr="0025486C">
        <w:rPr>
          <w:rFonts w:ascii="Work Sans" w:hAnsi="Work Sans"/>
        </w:rPr>
        <w:t>Source: Commission calculation</w:t>
      </w:r>
      <w:r w:rsidR="00973057" w:rsidRPr="0025486C">
        <w:rPr>
          <w:rFonts w:ascii="Work Sans" w:hAnsi="Work Sans"/>
        </w:rPr>
        <w:t>.</w:t>
      </w:r>
    </w:p>
    <w:p w14:paraId="672F4910" w14:textId="51CC00F0" w:rsidR="00AB6FFE" w:rsidRDefault="00AB6FFE" w:rsidP="00F971B0">
      <w:pPr>
        <w:pStyle w:val="Heading2"/>
      </w:pPr>
      <w:bookmarkStart w:id="47" w:name="_Toc136856952"/>
      <w:r w:rsidRPr="00AB6FFE">
        <w:t>Consultation</w:t>
      </w:r>
      <w:bookmarkEnd w:id="42"/>
      <w:bookmarkEnd w:id="43"/>
      <w:bookmarkEnd w:id="44"/>
      <w:bookmarkEnd w:id="45"/>
      <w:bookmarkEnd w:id="46"/>
      <w:bookmarkEnd w:id="47"/>
    </w:p>
    <w:p w14:paraId="3374771E" w14:textId="7AF93821" w:rsidR="00CA0CE2" w:rsidRPr="0045459D" w:rsidRDefault="00CA0CE2" w:rsidP="00CA0CE2">
      <w:pPr>
        <w:pStyle w:val="CGC2025ParaNumbers"/>
      </w:pPr>
      <w:r w:rsidRPr="00253C74">
        <w:rPr>
          <w:rFonts w:cs="Arial"/>
        </w:rPr>
        <w:t xml:space="preserve">The </w:t>
      </w:r>
      <w:r w:rsidRPr="00253C74">
        <w:t xml:space="preserve">Commission welcomes state views on the consultation question identified in this paper (outlined below) and the proposed assessment. State views should </w:t>
      </w:r>
      <w:r w:rsidR="00CD64E5">
        <w:t xml:space="preserve">accord with the </w:t>
      </w:r>
      <w:r w:rsidRPr="00253C74">
        <w:t>2025 Review framework</w:t>
      </w:r>
      <w:r>
        <w:t>. States</w:t>
      </w:r>
      <w:r w:rsidRPr="001B2348">
        <w:t xml:space="preserve"> </w:t>
      </w:r>
      <w:r w:rsidRPr="00253C74">
        <w:t>are welcome to raise other relevant issues with the Commission.</w:t>
      </w:r>
    </w:p>
    <w:p w14:paraId="5EBBAE71" w14:textId="77777777" w:rsidR="00B17FBC" w:rsidRDefault="00B17FBC" w:rsidP="00A5102B">
      <w:pPr>
        <w:rPr>
          <w:rFonts w:ascii="Work Sans" w:hAnsi="Work Sans"/>
          <w:szCs w:val="20"/>
        </w:rPr>
      </w:pPr>
      <w:r w:rsidRPr="001C4DF3">
        <w:rPr>
          <w:noProof/>
        </w:rPr>
        <mc:AlternateContent>
          <mc:Choice Requires="wps">
            <w:drawing>
              <wp:inline distT="0" distB="0" distL="0" distR="0" wp14:anchorId="1E4C6780" wp14:editId="3343BCF4">
                <wp:extent cx="5648325" cy="594069"/>
                <wp:effectExtent l="0" t="0" r="9525"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94069"/>
                        </a:xfrm>
                        <a:prstGeom prst="rect">
                          <a:avLst/>
                        </a:prstGeom>
                        <a:solidFill>
                          <a:srgbClr val="EBF3F5"/>
                        </a:solidFill>
                        <a:ln w="25400" cap="flat" cmpd="sng" algn="ctr">
                          <a:noFill/>
                          <a:prstDash val="solid"/>
                        </a:ln>
                        <a:effectLst/>
                      </wps:spPr>
                      <wps:txbx>
                        <w:txbxContent>
                          <w:p w14:paraId="50D545CD" w14:textId="662BDFE5" w:rsidR="00E251B2" w:rsidRPr="0073378F" w:rsidRDefault="00E251B2" w:rsidP="00A87311">
                            <w:pPr>
                              <w:pStyle w:val="CGC2025Questionsnumbers2"/>
                            </w:pPr>
                            <w:r>
                              <w:t>Do states support the continuation of the insurance tax assessment in its current form?</w:t>
                            </w:r>
                          </w:p>
                          <w:p w14:paraId="3DAD5832" w14:textId="20E6A6EF" w:rsidR="00B17FBC" w:rsidRPr="00F733EB" w:rsidRDefault="00B17FBC" w:rsidP="00F733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4C6780" id="Rectangle 1" o:spid="_x0000_s1030" alt="&quot;&quot;" style="width:444.75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" fillcolor="#ebf3f5" stroked="f" strokeweight="2pt">
                <v:textbox>
                  <w:txbxContent>
                    <w:p w14:paraId="50D545CD" w14:textId="662BDFE5" w:rsidR="00E251B2" w:rsidRPr="0073378F" w:rsidRDefault="00E251B2" w:rsidP="00A87311">
                      <w:pPr>
                        <w:pStyle w:val="CGC2025Questionsnumbers2"/>
                      </w:pPr>
                      <w:r>
                        <w:t>Do states support the continuation of the insurance tax assessment in its current form?</w:t>
                      </w:r>
                    </w:p>
                    <w:p w14:paraId="3DAD5832" w14:textId="20E6A6EF" w:rsidR="00B17FBC" w:rsidRPr="00F733EB" w:rsidRDefault="00B17FBC" w:rsidP="00F733EB"/>
                  </w:txbxContent>
                </v:textbox>
                <w10:anchorlock/>
              </v:rect>
            </w:pict>
          </mc:Fallback>
        </mc:AlternateContent>
      </w:r>
    </w:p>
    <w:p w14:paraId="27287879" w14:textId="77777777" w:rsidR="00377F68" w:rsidRDefault="00377F68" w:rsidP="00A5102B">
      <w:pPr>
        <w:rPr>
          <w:rFonts w:ascii="Work Sans" w:hAnsi="Work Sans"/>
          <w:szCs w:val="20"/>
        </w:rPr>
      </w:pPr>
    </w:p>
    <w:p w14:paraId="30BD27F4" w14:textId="290F70E3" w:rsidR="00377F68" w:rsidRPr="00294D2F" w:rsidRDefault="00377F68" w:rsidP="00294D2F"/>
    <w:sectPr w:rsidR="00377F68" w:rsidRPr="00294D2F" w:rsidSect="004F0684">
      <w:footerReference w:type="default" r:id="rId18"/>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D44C" w14:textId="77777777" w:rsidR="00F26355" w:rsidRDefault="00F26355">
      <w:r>
        <w:separator/>
      </w:r>
    </w:p>
    <w:p w14:paraId="7EF41E61" w14:textId="77777777" w:rsidR="00F26355" w:rsidRDefault="00F26355"/>
  </w:endnote>
  <w:endnote w:type="continuationSeparator" w:id="0">
    <w:p w14:paraId="5301427C" w14:textId="77777777" w:rsidR="00F26355" w:rsidRDefault="00F26355">
      <w:r>
        <w:continuationSeparator/>
      </w:r>
    </w:p>
    <w:p w14:paraId="72607BC4" w14:textId="77777777" w:rsidR="00F26355" w:rsidRDefault="00F26355"/>
  </w:endnote>
  <w:endnote w:type="continuationNotice" w:id="1">
    <w:p w14:paraId="0EA3BAB4" w14:textId="77777777" w:rsidR="00F26355" w:rsidRDefault="00F26355">
      <w:pPr>
        <w:spacing w:before="0" w:line="240" w:lineRule="auto"/>
      </w:pPr>
    </w:p>
    <w:p w14:paraId="3A3E52F3" w14:textId="77777777" w:rsidR="00F26355" w:rsidRDefault="00F26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2305" w14:textId="7666131D" w:rsidR="00E4564D" w:rsidRDefault="00E4564D" w:rsidP="00D2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96B4" w14:textId="31EBF2D8"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63EB4974"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39C6AF0D"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3B7F" w14:textId="77777777" w:rsidR="00F26355" w:rsidRPr="001C1AC5" w:rsidRDefault="00F26355">
      <w:pPr>
        <w:rPr>
          <w:color w:val="ADD6EA"/>
        </w:rPr>
      </w:pPr>
      <w:r w:rsidRPr="001C1AC5">
        <w:rPr>
          <w:color w:val="ADD6EA"/>
        </w:rPr>
        <w:separator/>
      </w:r>
    </w:p>
    <w:p w14:paraId="512032EE" w14:textId="77777777" w:rsidR="00F26355" w:rsidRDefault="00F26355"/>
  </w:footnote>
  <w:footnote w:type="continuationSeparator" w:id="0">
    <w:p w14:paraId="7436D501" w14:textId="77777777" w:rsidR="00F26355" w:rsidRDefault="00F26355">
      <w:r>
        <w:continuationSeparator/>
      </w:r>
    </w:p>
    <w:p w14:paraId="76967F2C" w14:textId="77777777" w:rsidR="00F26355" w:rsidRDefault="00F26355"/>
  </w:footnote>
  <w:footnote w:type="continuationNotice" w:id="1">
    <w:p w14:paraId="4F7E96EA" w14:textId="77777777" w:rsidR="00F26355" w:rsidRDefault="00F26355">
      <w:pPr>
        <w:spacing w:before="0" w:line="240" w:lineRule="auto"/>
      </w:pPr>
    </w:p>
    <w:p w14:paraId="46705C7C" w14:textId="77777777" w:rsidR="00F26355" w:rsidRDefault="00F26355"/>
  </w:footnote>
  <w:footnote w:id="2">
    <w:p w14:paraId="68FA15B6" w14:textId="77777777" w:rsidR="00D4183A" w:rsidRPr="00A23C3F" w:rsidRDefault="00D4183A" w:rsidP="00D4183A">
      <w:pPr>
        <w:pStyle w:val="FootnoteText"/>
      </w:pPr>
      <w:r w:rsidRPr="00EB4C82">
        <w:rPr>
          <w:rStyle w:val="FootnoteReference"/>
        </w:rPr>
        <w:footnoteRef/>
      </w:r>
      <w:r w:rsidRPr="00EB4C82">
        <w:rPr>
          <w:vertAlign w:val="superscript"/>
        </w:rPr>
        <w:t xml:space="preserve"> </w:t>
      </w:r>
      <w:r w:rsidRPr="00A23C3F">
        <w:tab/>
        <w:t>General insurance includes home and contents, motor vehicle, fire, public and product liability, mortgage, and professional indemnity insurance.</w:t>
      </w:r>
    </w:p>
  </w:footnote>
  <w:footnote w:id="3">
    <w:p w14:paraId="19516A3B" w14:textId="3E4B07D8" w:rsidR="001A06C8" w:rsidRDefault="001A06C8" w:rsidP="001A06C8">
      <w:pPr>
        <w:pStyle w:val="FootnoteText"/>
      </w:pPr>
      <w:r>
        <w:rPr>
          <w:rStyle w:val="FootnoteReference"/>
        </w:rPr>
        <w:footnoteRef/>
      </w:r>
      <w:r>
        <w:t xml:space="preserve"> </w:t>
      </w:r>
      <w:r w:rsidRPr="00A23C3F">
        <w:t>General insurers are private sector insurers (other than life insurers) that are regulated by the Australian Prudential Regulation Authority. They offer various types of general insurance</w:t>
      </w:r>
      <w:r>
        <w:t>.</w:t>
      </w:r>
    </w:p>
  </w:footnote>
  <w:footnote w:id="4">
    <w:p w14:paraId="782C8469" w14:textId="77777777" w:rsidR="00E2631F" w:rsidRDefault="00E2631F" w:rsidP="00E2631F">
      <w:pPr>
        <w:pStyle w:val="FootnoteText"/>
      </w:pPr>
      <w:r>
        <w:rPr>
          <w:rStyle w:val="FootnoteReference"/>
        </w:rPr>
        <w:footnoteRef/>
      </w:r>
      <w:r>
        <w:t xml:space="preserve"> </w:t>
      </w:r>
      <w:r>
        <w:tab/>
        <w:t>The Commission removes privately underwritten Compulsory Third Party premiums. Publicly underwritten Compulsory Third Party premiums are already excluded from the data on total general insurance premiums.</w:t>
      </w:r>
    </w:p>
  </w:footnote>
  <w:footnote w:id="5">
    <w:p w14:paraId="29E93324" w14:textId="77777777" w:rsidR="009A5677" w:rsidRDefault="009A5677" w:rsidP="009A5677">
      <w:pPr>
        <w:pStyle w:val="FootnoteText"/>
      </w:pPr>
      <w:r>
        <w:rPr>
          <w:rStyle w:val="FootnoteReference"/>
        </w:rPr>
        <w:footnoteRef/>
      </w:r>
      <w:r>
        <w:t xml:space="preserve"> </w:t>
      </w:r>
      <w:r>
        <w:tab/>
        <w:t>New South Wales and Tasmania collect insurance-based fire and emergency services levies. Revenue from these levies is included in the total premiums data for those states and is removed by the Commission.</w:t>
      </w:r>
    </w:p>
  </w:footnote>
  <w:footnote w:id="6">
    <w:p w14:paraId="36664EDF" w14:textId="77777777" w:rsidR="007F046D" w:rsidRDefault="007F046D" w:rsidP="007F046D">
      <w:pPr>
        <w:pStyle w:val="FootnoteText"/>
      </w:pPr>
      <w:r>
        <w:rPr>
          <w:rStyle w:val="FootnoteReference"/>
        </w:rPr>
        <w:footnoteRef/>
      </w:r>
      <w:r>
        <w:t xml:space="preserve"> </w:t>
      </w:r>
      <w:r>
        <w:tab/>
        <w:t>New South Wales, Queensland and Tasmania impose life insurance duty on the sum insured. South Australia imposes life insurance duty on the annual premiums.</w:t>
      </w:r>
    </w:p>
  </w:footnote>
  <w:footnote w:id="7">
    <w:p w14:paraId="3399020F" w14:textId="77777777" w:rsidR="00D4183A" w:rsidRPr="00A06F05" w:rsidRDefault="00D4183A" w:rsidP="00D4183A">
      <w:pPr>
        <w:pStyle w:val="FootnoteText"/>
      </w:pPr>
      <w:r>
        <w:rPr>
          <w:rStyle w:val="FootnoteReference"/>
        </w:rPr>
        <w:footnoteRef/>
      </w:r>
      <w:r>
        <w:t xml:space="preserve"> </w:t>
      </w:r>
      <w:r w:rsidRPr="00A06F05">
        <w:t>Unless otherwise stated, category and component revenue for the first two assessment years are sourced from GFS. States provide data for the most recent assessment year because GFS data are not available.</w:t>
      </w:r>
    </w:p>
  </w:footnote>
  <w:footnote w:id="8">
    <w:p w14:paraId="0FF0D863" w14:textId="77777777" w:rsidR="00D4183A" w:rsidRDefault="00D4183A" w:rsidP="00D4183A">
      <w:pPr>
        <w:pStyle w:val="FootnoteText"/>
      </w:pPr>
      <w:r>
        <w:rPr>
          <w:rStyle w:val="FootnoteReference"/>
        </w:rPr>
        <w:footnoteRef/>
      </w:r>
      <w:r>
        <w:t xml:space="preserve"> The APRA data are gross earned premiums of direct insurers, separated into different classes of insurance. Direct insurers are private sector insurers registered under the </w:t>
      </w:r>
      <w:r w:rsidRPr="00503ED5">
        <w:rPr>
          <w:i/>
          <w:iCs/>
        </w:rPr>
        <w:t>Insurance Act 1973</w:t>
      </w:r>
      <w:r>
        <w:t>. The data exclude premiums for reinsurance and private health insurance, which are not liable for insurance tax in any state. They also exclude premiums paid to public sector insurers.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93D5" w14:textId="159BBE0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B5300B"/>
    <w:multiLevelType w:val="hybridMultilevel"/>
    <w:tmpl w:val="B4A48F24"/>
    <w:lvl w:ilvl="0" w:tplc="ADB0DF9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974B00"/>
    <w:multiLevelType w:val="multilevel"/>
    <w:tmpl w:val="A310237C"/>
    <w:numStyleLink w:val="CGCConsultQuestion"/>
  </w:abstractNum>
  <w:abstractNum w:abstractNumId="14" w15:restartNumberingAfterBreak="0">
    <w:nsid w:val="500F1895"/>
    <w:multiLevelType w:val="multilevel"/>
    <w:tmpl w:val="A310237C"/>
    <w:numStyleLink w:val="CGCConsultQuestion"/>
  </w:abstractNum>
  <w:abstractNum w:abstractNumId="1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6"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17"/>
  </w:num>
  <w:num w:numId="3" w16cid:durableId="1334529044">
    <w:abstractNumId w:val="5"/>
  </w:num>
  <w:num w:numId="4" w16cid:durableId="1514761234">
    <w:abstractNumId w:val="4"/>
  </w:num>
  <w:num w:numId="5" w16cid:durableId="920797300">
    <w:abstractNumId w:val="0"/>
  </w:num>
  <w:num w:numId="6" w16cid:durableId="1807814447">
    <w:abstractNumId w:val="15"/>
  </w:num>
  <w:num w:numId="7" w16cid:durableId="801770153">
    <w:abstractNumId w:val="8"/>
  </w:num>
  <w:num w:numId="8" w16cid:durableId="1737627722">
    <w:abstractNumId w:val="16"/>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10"/>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6"/>
  </w:num>
  <w:num w:numId="31" w16cid:durableId="893783368">
    <w:abstractNumId w:val="16"/>
  </w:num>
  <w:num w:numId="32" w16cid:durableId="317272699">
    <w:abstractNumId w:val="3"/>
  </w:num>
  <w:num w:numId="33" w16cid:durableId="1927374591">
    <w:abstractNumId w:val="8"/>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1"/>
  </w:num>
  <w:num w:numId="38" w16cid:durableId="2111199834">
    <w:abstractNumId w:val="1"/>
  </w:num>
  <w:num w:numId="39" w16cid:durableId="2056999759">
    <w:abstractNumId w:val="14"/>
  </w:num>
  <w:num w:numId="40" w16cid:durableId="2080126907">
    <w:abstractNumId w:val="12"/>
  </w:num>
  <w:num w:numId="41" w16cid:durableId="820391670">
    <w:abstractNumId w:val="13"/>
  </w:num>
  <w:num w:numId="42" w16cid:durableId="58332428">
    <w:abstractNumId w:val="7"/>
  </w:num>
  <w:num w:numId="43" w16cid:durableId="117343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AB2"/>
    <w:rsid w:val="00000C9F"/>
    <w:rsid w:val="00001078"/>
    <w:rsid w:val="000014F2"/>
    <w:rsid w:val="00001882"/>
    <w:rsid w:val="000019C0"/>
    <w:rsid w:val="00001D6F"/>
    <w:rsid w:val="00001DA2"/>
    <w:rsid w:val="00001E8B"/>
    <w:rsid w:val="00002144"/>
    <w:rsid w:val="00002356"/>
    <w:rsid w:val="000025E6"/>
    <w:rsid w:val="00002773"/>
    <w:rsid w:val="00002923"/>
    <w:rsid w:val="00002F86"/>
    <w:rsid w:val="000032B9"/>
    <w:rsid w:val="000036D8"/>
    <w:rsid w:val="000042F1"/>
    <w:rsid w:val="000043F9"/>
    <w:rsid w:val="00004719"/>
    <w:rsid w:val="0000485A"/>
    <w:rsid w:val="00004C67"/>
    <w:rsid w:val="000053F8"/>
    <w:rsid w:val="00005EEE"/>
    <w:rsid w:val="0000618C"/>
    <w:rsid w:val="0000648D"/>
    <w:rsid w:val="00006C9A"/>
    <w:rsid w:val="00006E30"/>
    <w:rsid w:val="00006F3D"/>
    <w:rsid w:val="00007899"/>
    <w:rsid w:val="00007AB8"/>
    <w:rsid w:val="00007FD5"/>
    <w:rsid w:val="000105A1"/>
    <w:rsid w:val="00010711"/>
    <w:rsid w:val="00010B75"/>
    <w:rsid w:val="00010CEC"/>
    <w:rsid w:val="00010F5B"/>
    <w:rsid w:val="00011BB3"/>
    <w:rsid w:val="00011C73"/>
    <w:rsid w:val="00011D1A"/>
    <w:rsid w:val="00011DA8"/>
    <w:rsid w:val="00011F7D"/>
    <w:rsid w:val="000120A6"/>
    <w:rsid w:val="0001218F"/>
    <w:rsid w:val="00012AC0"/>
    <w:rsid w:val="00012B67"/>
    <w:rsid w:val="00012C74"/>
    <w:rsid w:val="00013B63"/>
    <w:rsid w:val="000141E3"/>
    <w:rsid w:val="00014864"/>
    <w:rsid w:val="000148C5"/>
    <w:rsid w:val="0001491F"/>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EA3"/>
    <w:rsid w:val="00021727"/>
    <w:rsid w:val="00021827"/>
    <w:rsid w:val="00021911"/>
    <w:rsid w:val="00021C7A"/>
    <w:rsid w:val="00021E88"/>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ABE"/>
    <w:rsid w:val="00030205"/>
    <w:rsid w:val="00030516"/>
    <w:rsid w:val="00030595"/>
    <w:rsid w:val="00030629"/>
    <w:rsid w:val="00030E66"/>
    <w:rsid w:val="00031648"/>
    <w:rsid w:val="000317BB"/>
    <w:rsid w:val="00031AFE"/>
    <w:rsid w:val="00031B76"/>
    <w:rsid w:val="00031CF4"/>
    <w:rsid w:val="00032318"/>
    <w:rsid w:val="00032544"/>
    <w:rsid w:val="000326F5"/>
    <w:rsid w:val="000327F7"/>
    <w:rsid w:val="00032856"/>
    <w:rsid w:val="000328A8"/>
    <w:rsid w:val="00032CC8"/>
    <w:rsid w:val="00032F41"/>
    <w:rsid w:val="00033347"/>
    <w:rsid w:val="000335BE"/>
    <w:rsid w:val="000337C9"/>
    <w:rsid w:val="000338C9"/>
    <w:rsid w:val="00033A71"/>
    <w:rsid w:val="00033C0D"/>
    <w:rsid w:val="0003409C"/>
    <w:rsid w:val="00034622"/>
    <w:rsid w:val="00034916"/>
    <w:rsid w:val="00034DBB"/>
    <w:rsid w:val="00034F08"/>
    <w:rsid w:val="000355D9"/>
    <w:rsid w:val="000363C5"/>
    <w:rsid w:val="000364E9"/>
    <w:rsid w:val="00036C51"/>
    <w:rsid w:val="00036F1C"/>
    <w:rsid w:val="000370C8"/>
    <w:rsid w:val="000372BA"/>
    <w:rsid w:val="00040135"/>
    <w:rsid w:val="00040571"/>
    <w:rsid w:val="00040601"/>
    <w:rsid w:val="00040CCA"/>
    <w:rsid w:val="00040D48"/>
    <w:rsid w:val="000410C8"/>
    <w:rsid w:val="0004123E"/>
    <w:rsid w:val="00041299"/>
    <w:rsid w:val="00041748"/>
    <w:rsid w:val="00041E1B"/>
    <w:rsid w:val="00041E84"/>
    <w:rsid w:val="000424EA"/>
    <w:rsid w:val="0004258C"/>
    <w:rsid w:val="00043B5D"/>
    <w:rsid w:val="00043CFE"/>
    <w:rsid w:val="000442AA"/>
    <w:rsid w:val="00044479"/>
    <w:rsid w:val="0004456B"/>
    <w:rsid w:val="000451DA"/>
    <w:rsid w:val="0004569D"/>
    <w:rsid w:val="00045C11"/>
    <w:rsid w:val="00045F82"/>
    <w:rsid w:val="00046397"/>
    <w:rsid w:val="000465BD"/>
    <w:rsid w:val="00046859"/>
    <w:rsid w:val="00046B06"/>
    <w:rsid w:val="000470A2"/>
    <w:rsid w:val="00047690"/>
    <w:rsid w:val="00047856"/>
    <w:rsid w:val="00047951"/>
    <w:rsid w:val="00047AB0"/>
    <w:rsid w:val="00047DF1"/>
    <w:rsid w:val="00047E5A"/>
    <w:rsid w:val="0005017B"/>
    <w:rsid w:val="000508D3"/>
    <w:rsid w:val="00051114"/>
    <w:rsid w:val="00051B92"/>
    <w:rsid w:val="00051F3C"/>
    <w:rsid w:val="000525F5"/>
    <w:rsid w:val="00052DA0"/>
    <w:rsid w:val="00053480"/>
    <w:rsid w:val="00053512"/>
    <w:rsid w:val="00053581"/>
    <w:rsid w:val="0005377C"/>
    <w:rsid w:val="0005381C"/>
    <w:rsid w:val="00053C36"/>
    <w:rsid w:val="00053F80"/>
    <w:rsid w:val="000540CC"/>
    <w:rsid w:val="0005410D"/>
    <w:rsid w:val="00054309"/>
    <w:rsid w:val="00054311"/>
    <w:rsid w:val="0005450F"/>
    <w:rsid w:val="0005451C"/>
    <w:rsid w:val="00054DFA"/>
    <w:rsid w:val="000554BF"/>
    <w:rsid w:val="000555DB"/>
    <w:rsid w:val="00055A2D"/>
    <w:rsid w:val="00056371"/>
    <w:rsid w:val="00056373"/>
    <w:rsid w:val="000569CD"/>
    <w:rsid w:val="00056E89"/>
    <w:rsid w:val="00056F6C"/>
    <w:rsid w:val="00057762"/>
    <w:rsid w:val="00057AED"/>
    <w:rsid w:val="00057D13"/>
    <w:rsid w:val="000604C7"/>
    <w:rsid w:val="0006050F"/>
    <w:rsid w:val="000607C2"/>
    <w:rsid w:val="00060A59"/>
    <w:rsid w:val="00060CA5"/>
    <w:rsid w:val="0006104A"/>
    <w:rsid w:val="00061111"/>
    <w:rsid w:val="00061233"/>
    <w:rsid w:val="00061535"/>
    <w:rsid w:val="0006177C"/>
    <w:rsid w:val="00061933"/>
    <w:rsid w:val="00061993"/>
    <w:rsid w:val="00061B8C"/>
    <w:rsid w:val="00061D1B"/>
    <w:rsid w:val="00062330"/>
    <w:rsid w:val="000624BB"/>
    <w:rsid w:val="00062C57"/>
    <w:rsid w:val="00062D47"/>
    <w:rsid w:val="00062EE9"/>
    <w:rsid w:val="000633E8"/>
    <w:rsid w:val="00063437"/>
    <w:rsid w:val="0006366E"/>
    <w:rsid w:val="000641EB"/>
    <w:rsid w:val="00064557"/>
    <w:rsid w:val="000648E8"/>
    <w:rsid w:val="00064CE5"/>
    <w:rsid w:val="0006519E"/>
    <w:rsid w:val="000651D2"/>
    <w:rsid w:val="000653F5"/>
    <w:rsid w:val="000656EC"/>
    <w:rsid w:val="000657A7"/>
    <w:rsid w:val="00065BF3"/>
    <w:rsid w:val="000665AB"/>
    <w:rsid w:val="00066C63"/>
    <w:rsid w:val="00066D82"/>
    <w:rsid w:val="00066E63"/>
    <w:rsid w:val="00066F8C"/>
    <w:rsid w:val="00066FC9"/>
    <w:rsid w:val="000679A7"/>
    <w:rsid w:val="000679BC"/>
    <w:rsid w:val="000702C3"/>
    <w:rsid w:val="00070B45"/>
    <w:rsid w:val="00070EA5"/>
    <w:rsid w:val="0007102B"/>
    <w:rsid w:val="0007176E"/>
    <w:rsid w:val="0007185D"/>
    <w:rsid w:val="00071EF7"/>
    <w:rsid w:val="00071F1E"/>
    <w:rsid w:val="00072373"/>
    <w:rsid w:val="0007284E"/>
    <w:rsid w:val="00072CBE"/>
    <w:rsid w:val="0007310A"/>
    <w:rsid w:val="000731C5"/>
    <w:rsid w:val="0007335C"/>
    <w:rsid w:val="000733D6"/>
    <w:rsid w:val="0007360C"/>
    <w:rsid w:val="000738EB"/>
    <w:rsid w:val="00073944"/>
    <w:rsid w:val="00073BF5"/>
    <w:rsid w:val="00073D9D"/>
    <w:rsid w:val="00073E21"/>
    <w:rsid w:val="00073E85"/>
    <w:rsid w:val="00073E92"/>
    <w:rsid w:val="00075051"/>
    <w:rsid w:val="00075593"/>
    <w:rsid w:val="0007582F"/>
    <w:rsid w:val="00076434"/>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971"/>
    <w:rsid w:val="00082DEF"/>
    <w:rsid w:val="00083022"/>
    <w:rsid w:val="00083837"/>
    <w:rsid w:val="00083842"/>
    <w:rsid w:val="00083B06"/>
    <w:rsid w:val="000840C3"/>
    <w:rsid w:val="00084494"/>
    <w:rsid w:val="0008456B"/>
    <w:rsid w:val="000847BF"/>
    <w:rsid w:val="00084EE0"/>
    <w:rsid w:val="000855F4"/>
    <w:rsid w:val="00085729"/>
    <w:rsid w:val="00085D0E"/>
    <w:rsid w:val="00085EA1"/>
    <w:rsid w:val="00086045"/>
    <w:rsid w:val="000861D9"/>
    <w:rsid w:val="0008677E"/>
    <w:rsid w:val="000867DC"/>
    <w:rsid w:val="000869E1"/>
    <w:rsid w:val="000869F6"/>
    <w:rsid w:val="00086A5C"/>
    <w:rsid w:val="00086B04"/>
    <w:rsid w:val="00086C42"/>
    <w:rsid w:val="00086E69"/>
    <w:rsid w:val="00086EBC"/>
    <w:rsid w:val="0008779D"/>
    <w:rsid w:val="000878F0"/>
    <w:rsid w:val="00087F7D"/>
    <w:rsid w:val="00087FC4"/>
    <w:rsid w:val="00090362"/>
    <w:rsid w:val="00090DBA"/>
    <w:rsid w:val="000910DA"/>
    <w:rsid w:val="00091AD2"/>
    <w:rsid w:val="00091C4F"/>
    <w:rsid w:val="00091D6E"/>
    <w:rsid w:val="000928AF"/>
    <w:rsid w:val="00093188"/>
    <w:rsid w:val="00093603"/>
    <w:rsid w:val="00093796"/>
    <w:rsid w:val="00093910"/>
    <w:rsid w:val="000939CA"/>
    <w:rsid w:val="00094010"/>
    <w:rsid w:val="000943A8"/>
    <w:rsid w:val="00094531"/>
    <w:rsid w:val="00094676"/>
    <w:rsid w:val="000950A8"/>
    <w:rsid w:val="0009567D"/>
    <w:rsid w:val="0009569E"/>
    <w:rsid w:val="0009650F"/>
    <w:rsid w:val="00096616"/>
    <w:rsid w:val="00096896"/>
    <w:rsid w:val="00096A17"/>
    <w:rsid w:val="00096C06"/>
    <w:rsid w:val="00096C31"/>
    <w:rsid w:val="00096E12"/>
    <w:rsid w:val="00096E4E"/>
    <w:rsid w:val="000970BA"/>
    <w:rsid w:val="00097192"/>
    <w:rsid w:val="0009724A"/>
    <w:rsid w:val="00097626"/>
    <w:rsid w:val="00097790"/>
    <w:rsid w:val="00097CF0"/>
    <w:rsid w:val="00097D78"/>
    <w:rsid w:val="00097F09"/>
    <w:rsid w:val="000A011D"/>
    <w:rsid w:val="000A07C9"/>
    <w:rsid w:val="000A09ED"/>
    <w:rsid w:val="000A0C33"/>
    <w:rsid w:val="000A0D9F"/>
    <w:rsid w:val="000A17C5"/>
    <w:rsid w:val="000A17F1"/>
    <w:rsid w:val="000A1B09"/>
    <w:rsid w:val="000A1DED"/>
    <w:rsid w:val="000A2395"/>
    <w:rsid w:val="000A2E24"/>
    <w:rsid w:val="000A3130"/>
    <w:rsid w:val="000A336C"/>
    <w:rsid w:val="000A346F"/>
    <w:rsid w:val="000A3898"/>
    <w:rsid w:val="000A3C2F"/>
    <w:rsid w:val="000A487A"/>
    <w:rsid w:val="000A52A1"/>
    <w:rsid w:val="000A5824"/>
    <w:rsid w:val="000A5DB9"/>
    <w:rsid w:val="000A633D"/>
    <w:rsid w:val="000A6389"/>
    <w:rsid w:val="000A6392"/>
    <w:rsid w:val="000A646A"/>
    <w:rsid w:val="000A6922"/>
    <w:rsid w:val="000A74C3"/>
    <w:rsid w:val="000A756F"/>
    <w:rsid w:val="000A7AA9"/>
    <w:rsid w:val="000A7C5E"/>
    <w:rsid w:val="000A7E55"/>
    <w:rsid w:val="000A7E96"/>
    <w:rsid w:val="000B08F0"/>
    <w:rsid w:val="000B0A33"/>
    <w:rsid w:val="000B0D24"/>
    <w:rsid w:val="000B0DE2"/>
    <w:rsid w:val="000B16CB"/>
    <w:rsid w:val="000B1905"/>
    <w:rsid w:val="000B2042"/>
    <w:rsid w:val="000B2490"/>
    <w:rsid w:val="000B286B"/>
    <w:rsid w:val="000B2942"/>
    <w:rsid w:val="000B2944"/>
    <w:rsid w:val="000B2AF2"/>
    <w:rsid w:val="000B2CFB"/>
    <w:rsid w:val="000B2DCD"/>
    <w:rsid w:val="000B2E2A"/>
    <w:rsid w:val="000B2F0F"/>
    <w:rsid w:val="000B3097"/>
    <w:rsid w:val="000B34FB"/>
    <w:rsid w:val="000B3557"/>
    <w:rsid w:val="000B3623"/>
    <w:rsid w:val="000B3BB2"/>
    <w:rsid w:val="000B3DC4"/>
    <w:rsid w:val="000B3F0A"/>
    <w:rsid w:val="000B3F3E"/>
    <w:rsid w:val="000B4179"/>
    <w:rsid w:val="000B442C"/>
    <w:rsid w:val="000B4935"/>
    <w:rsid w:val="000B5042"/>
    <w:rsid w:val="000B5227"/>
    <w:rsid w:val="000B53C0"/>
    <w:rsid w:val="000B53FD"/>
    <w:rsid w:val="000B56FE"/>
    <w:rsid w:val="000B5744"/>
    <w:rsid w:val="000B5B36"/>
    <w:rsid w:val="000B5C2F"/>
    <w:rsid w:val="000B61DE"/>
    <w:rsid w:val="000B64E3"/>
    <w:rsid w:val="000B689B"/>
    <w:rsid w:val="000B73C6"/>
    <w:rsid w:val="000B7685"/>
    <w:rsid w:val="000B791D"/>
    <w:rsid w:val="000B7CB8"/>
    <w:rsid w:val="000B7DC3"/>
    <w:rsid w:val="000B7F93"/>
    <w:rsid w:val="000C06A4"/>
    <w:rsid w:val="000C0BBD"/>
    <w:rsid w:val="000C0F3A"/>
    <w:rsid w:val="000C0FAC"/>
    <w:rsid w:val="000C1231"/>
    <w:rsid w:val="000C13F7"/>
    <w:rsid w:val="000C1575"/>
    <w:rsid w:val="000C1F18"/>
    <w:rsid w:val="000C2987"/>
    <w:rsid w:val="000C2EA9"/>
    <w:rsid w:val="000C32BB"/>
    <w:rsid w:val="000C354C"/>
    <w:rsid w:val="000C3927"/>
    <w:rsid w:val="000C3B22"/>
    <w:rsid w:val="000C3FDD"/>
    <w:rsid w:val="000C4063"/>
    <w:rsid w:val="000C4BB7"/>
    <w:rsid w:val="000C4DFC"/>
    <w:rsid w:val="000C50B3"/>
    <w:rsid w:val="000C53E9"/>
    <w:rsid w:val="000C5486"/>
    <w:rsid w:val="000C604F"/>
    <w:rsid w:val="000C657D"/>
    <w:rsid w:val="000C6936"/>
    <w:rsid w:val="000C6E9F"/>
    <w:rsid w:val="000C76F8"/>
    <w:rsid w:val="000C776D"/>
    <w:rsid w:val="000C782D"/>
    <w:rsid w:val="000C79BE"/>
    <w:rsid w:val="000C7AE7"/>
    <w:rsid w:val="000C7F62"/>
    <w:rsid w:val="000D01AA"/>
    <w:rsid w:val="000D0A89"/>
    <w:rsid w:val="000D0ACF"/>
    <w:rsid w:val="000D0B77"/>
    <w:rsid w:val="000D0BB6"/>
    <w:rsid w:val="000D0C8D"/>
    <w:rsid w:val="000D1354"/>
    <w:rsid w:val="000D149C"/>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3F98"/>
    <w:rsid w:val="000D4063"/>
    <w:rsid w:val="000D4101"/>
    <w:rsid w:val="000D41CA"/>
    <w:rsid w:val="000D4342"/>
    <w:rsid w:val="000D43B8"/>
    <w:rsid w:val="000D4457"/>
    <w:rsid w:val="000D48FF"/>
    <w:rsid w:val="000D533D"/>
    <w:rsid w:val="000D535B"/>
    <w:rsid w:val="000D5667"/>
    <w:rsid w:val="000D571F"/>
    <w:rsid w:val="000D57A8"/>
    <w:rsid w:val="000D5C58"/>
    <w:rsid w:val="000D65F5"/>
    <w:rsid w:val="000D6C93"/>
    <w:rsid w:val="000D70AE"/>
    <w:rsid w:val="000D70D7"/>
    <w:rsid w:val="000D763B"/>
    <w:rsid w:val="000D772C"/>
    <w:rsid w:val="000D7C54"/>
    <w:rsid w:val="000D7E36"/>
    <w:rsid w:val="000E0210"/>
    <w:rsid w:val="000E02E5"/>
    <w:rsid w:val="000E1007"/>
    <w:rsid w:val="000E1757"/>
    <w:rsid w:val="000E1767"/>
    <w:rsid w:val="000E17A7"/>
    <w:rsid w:val="000E1940"/>
    <w:rsid w:val="000E1979"/>
    <w:rsid w:val="000E1A53"/>
    <w:rsid w:val="000E1B78"/>
    <w:rsid w:val="000E20EE"/>
    <w:rsid w:val="000E26C1"/>
    <w:rsid w:val="000E3109"/>
    <w:rsid w:val="000E311B"/>
    <w:rsid w:val="000E3592"/>
    <w:rsid w:val="000E3598"/>
    <w:rsid w:val="000E35A0"/>
    <w:rsid w:val="000E3868"/>
    <w:rsid w:val="000E38BA"/>
    <w:rsid w:val="000E3BE1"/>
    <w:rsid w:val="000E3D68"/>
    <w:rsid w:val="000E3E15"/>
    <w:rsid w:val="000E41D5"/>
    <w:rsid w:val="000E423E"/>
    <w:rsid w:val="000E47B0"/>
    <w:rsid w:val="000E4EBC"/>
    <w:rsid w:val="000E4FF4"/>
    <w:rsid w:val="000E5031"/>
    <w:rsid w:val="000E5404"/>
    <w:rsid w:val="000E5C21"/>
    <w:rsid w:val="000E6391"/>
    <w:rsid w:val="000E63B0"/>
    <w:rsid w:val="000E6774"/>
    <w:rsid w:val="000E6AA5"/>
    <w:rsid w:val="000E7041"/>
    <w:rsid w:val="000E798E"/>
    <w:rsid w:val="000E7BAB"/>
    <w:rsid w:val="000E7F56"/>
    <w:rsid w:val="000F0293"/>
    <w:rsid w:val="000F03DA"/>
    <w:rsid w:val="000F0674"/>
    <w:rsid w:val="000F0879"/>
    <w:rsid w:val="000F0AC1"/>
    <w:rsid w:val="000F0B55"/>
    <w:rsid w:val="000F1981"/>
    <w:rsid w:val="000F19C5"/>
    <w:rsid w:val="000F1CDA"/>
    <w:rsid w:val="000F1EE5"/>
    <w:rsid w:val="000F232B"/>
    <w:rsid w:val="000F23A2"/>
    <w:rsid w:val="000F28B5"/>
    <w:rsid w:val="000F29FF"/>
    <w:rsid w:val="000F2F0E"/>
    <w:rsid w:val="000F2F8D"/>
    <w:rsid w:val="000F3314"/>
    <w:rsid w:val="000F3632"/>
    <w:rsid w:val="000F38A4"/>
    <w:rsid w:val="000F3CBF"/>
    <w:rsid w:val="000F414B"/>
    <w:rsid w:val="000F44AD"/>
    <w:rsid w:val="000F58BC"/>
    <w:rsid w:val="000F594C"/>
    <w:rsid w:val="000F5B95"/>
    <w:rsid w:val="000F5E36"/>
    <w:rsid w:val="000F5F7F"/>
    <w:rsid w:val="000F649F"/>
    <w:rsid w:val="000F6700"/>
    <w:rsid w:val="000F7631"/>
    <w:rsid w:val="000F7694"/>
    <w:rsid w:val="000F7787"/>
    <w:rsid w:val="000F7F5B"/>
    <w:rsid w:val="001002D2"/>
    <w:rsid w:val="00100409"/>
    <w:rsid w:val="00100583"/>
    <w:rsid w:val="0010076D"/>
    <w:rsid w:val="00100E6F"/>
    <w:rsid w:val="001013EE"/>
    <w:rsid w:val="0010173F"/>
    <w:rsid w:val="001017E3"/>
    <w:rsid w:val="00101C90"/>
    <w:rsid w:val="00101F87"/>
    <w:rsid w:val="00102135"/>
    <w:rsid w:val="001021D7"/>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D9"/>
    <w:rsid w:val="0010567A"/>
    <w:rsid w:val="00105A17"/>
    <w:rsid w:val="00105C56"/>
    <w:rsid w:val="001060B0"/>
    <w:rsid w:val="001064A4"/>
    <w:rsid w:val="00106826"/>
    <w:rsid w:val="00106CB2"/>
    <w:rsid w:val="00106CEE"/>
    <w:rsid w:val="0010739F"/>
    <w:rsid w:val="00107B24"/>
    <w:rsid w:val="00107B43"/>
    <w:rsid w:val="00107E52"/>
    <w:rsid w:val="001103B6"/>
    <w:rsid w:val="00110417"/>
    <w:rsid w:val="001107F1"/>
    <w:rsid w:val="00110996"/>
    <w:rsid w:val="00110DC5"/>
    <w:rsid w:val="0011178C"/>
    <w:rsid w:val="00111ABA"/>
    <w:rsid w:val="00111AE7"/>
    <w:rsid w:val="00111EC2"/>
    <w:rsid w:val="001120B0"/>
    <w:rsid w:val="001121D0"/>
    <w:rsid w:val="0011243C"/>
    <w:rsid w:val="001125AB"/>
    <w:rsid w:val="001125E7"/>
    <w:rsid w:val="00112988"/>
    <w:rsid w:val="00112A57"/>
    <w:rsid w:val="00112CF0"/>
    <w:rsid w:val="00112E1E"/>
    <w:rsid w:val="001136C6"/>
    <w:rsid w:val="0011408D"/>
    <w:rsid w:val="0011428D"/>
    <w:rsid w:val="00114D9B"/>
    <w:rsid w:val="00114DA1"/>
    <w:rsid w:val="00114EA0"/>
    <w:rsid w:val="00114F65"/>
    <w:rsid w:val="00115672"/>
    <w:rsid w:val="001157AB"/>
    <w:rsid w:val="0011585E"/>
    <w:rsid w:val="00115ADE"/>
    <w:rsid w:val="00115C9E"/>
    <w:rsid w:val="00116062"/>
    <w:rsid w:val="00116702"/>
    <w:rsid w:val="0011699D"/>
    <w:rsid w:val="00116D3E"/>
    <w:rsid w:val="00116EE4"/>
    <w:rsid w:val="0011729F"/>
    <w:rsid w:val="001172BD"/>
    <w:rsid w:val="001178E4"/>
    <w:rsid w:val="00117AA2"/>
    <w:rsid w:val="00117CFD"/>
    <w:rsid w:val="00117FBD"/>
    <w:rsid w:val="0012020C"/>
    <w:rsid w:val="00120B1E"/>
    <w:rsid w:val="001211AB"/>
    <w:rsid w:val="001214BE"/>
    <w:rsid w:val="001218B8"/>
    <w:rsid w:val="00121A72"/>
    <w:rsid w:val="00121F79"/>
    <w:rsid w:val="001220B7"/>
    <w:rsid w:val="00122457"/>
    <w:rsid w:val="00122774"/>
    <w:rsid w:val="00123325"/>
    <w:rsid w:val="00123BC6"/>
    <w:rsid w:val="00123DA3"/>
    <w:rsid w:val="00124730"/>
    <w:rsid w:val="00124826"/>
    <w:rsid w:val="00124B73"/>
    <w:rsid w:val="00124ED1"/>
    <w:rsid w:val="0012542D"/>
    <w:rsid w:val="0012561A"/>
    <w:rsid w:val="00125806"/>
    <w:rsid w:val="001258EF"/>
    <w:rsid w:val="00125B33"/>
    <w:rsid w:val="001260B6"/>
    <w:rsid w:val="001260E3"/>
    <w:rsid w:val="00126201"/>
    <w:rsid w:val="001266EE"/>
    <w:rsid w:val="00126AD1"/>
    <w:rsid w:val="00126FB4"/>
    <w:rsid w:val="001272E6"/>
    <w:rsid w:val="00127687"/>
    <w:rsid w:val="001277C7"/>
    <w:rsid w:val="00127C8B"/>
    <w:rsid w:val="00127E95"/>
    <w:rsid w:val="00130303"/>
    <w:rsid w:val="001307A8"/>
    <w:rsid w:val="00130DCA"/>
    <w:rsid w:val="001312CB"/>
    <w:rsid w:val="00131BAD"/>
    <w:rsid w:val="00131D5F"/>
    <w:rsid w:val="001322D2"/>
    <w:rsid w:val="00132503"/>
    <w:rsid w:val="00132E0B"/>
    <w:rsid w:val="001333F9"/>
    <w:rsid w:val="00133C81"/>
    <w:rsid w:val="00133F08"/>
    <w:rsid w:val="00134146"/>
    <w:rsid w:val="00134222"/>
    <w:rsid w:val="001346A2"/>
    <w:rsid w:val="0013474C"/>
    <w:rsid w:val="001347D3"/>
    <w:rsid w:val="00134847"/>
    <w:rsid w:val="0013497E"/>
    <w:rsid w:val="00134FA3"/>
    <w:rsid w:val="00135080"/>
    <w:rsid w:val="001351C6"/>
    <w:rsid w:val="001356C7"/>
    <w:rsid w:val="00135B61"/>
    <w:rsid w:val="0013601E"/>
    <w:rsid w:val="0013623B"/>
    <w:rsid w:val="00136497"/>
    <w:rsid w:val="001369BF"/>
    <w:rsid w:val="00136F29"/>
    <w:rsid w:val="00136F6F"/>
    <w:rsid w:val="00137D90"/>
    <w:rsid w:val="00140C20"/>
    <w:rsid w:val="00140D09"/>
    <w:rsid w:val="001414E0"/>
    <w:rsid w:val="00141A8E"/>
    <w:rsid w:val="00141BD1"/>
    <w:rsid w:val="001423B0"/>
    <w:rsid w:val="00142B21"/>
    <w:rsid w:val="00142B86"/>
    <w:rsid w:val="00143228"/>
    <w:rsid w:val="001438E0"/>
    <w:rsid w:val="00143B25"/>
    <w:rsid w:val="00143D52"/>
    <w:rsid w:val="00143F85"/>
    <w:rsid w:val="001441DA"/>
    <w:rsid w:val="00144A22"/>
    <w:rsid w:val="00144C8A"/>
    <w:rsid w:val="0014544D"/>
    <w:rsid w:val="001455CC"/>
    <w:rsid w:val="00145604"/>
    <w:rsid w:val="0014616B"/>
    <w:rsid w:val="00147115"/>
    <w:rsid w:val="001471DD"/>
    <w:rsid w:val="0014740D"/>
    <w:rsid w:val="00147461"/>
    <w:rsid w:val="001477CE"/>
    <w:rsid w:val="0014784F"/>
    <w:rsid w:val="001478AD"/>
    <w:rsid w:val="00147BCC"/>
    <w:rsid w:val="00147F4D"/>
    <w:rsid w:val="0015040C"/>
    <w:rsid w:val="00150B89"/>
    <w:rsid w:val="00150C35"/>
    <w:rsid w:val="00150ECB"/>
    <w:rsid w:val="00151316"/>
    <w:rsid w:val="0015167D"/>
    <w:rsid w:val="001517E0"/>
    <w:rsid w:val="001519C7"/>
    <w:rsid w:val="00151DFB"/>
    <w:rsid w:val="00152123"/>
    <w:rsid w:val="0015233A"/>
    <w:rsid w:val="00152611"/>
    <w:rsid w:val="00152807"/>
    <w:rsid w:val="00152AA6"/>
    <w:rsid w:val="00152BE0"/>
    <w:rsid w:val="00152C3D"/>
    <w:rsid w:val="00152ED6"/>
    <w:rsid w:val="00152FED"/>
    <w:rsid w:val="00153AA7"/>
    <w:rsid w:val="00153CA7"/>
    <w:rsid w:val="00153D48"/>
    <w:rsid w:val="00154A35"/>
    <w:rsid w:val="00154A9A"/>
    <w:rsid w:val="00154FF7"/>
    <w:rsid w:val="001550A3"/>
    <w:rsid w:val="0015510B"/>
    <w:rsid w:val="00155469"/>
    <w:rsid w:val="00155746"/>
    <w:rsid w:val="00155EAF"/>
    <w:rsid w:val="00156419"/>
    <w:rsid w:val="0015686A"/>
    <w:rsid w:val="00156C80"/>
    <w:rsid w:val="0015742B"/>
    <w:rsid w:val="001574A7"/>
    <w:rsid w:val="0015776C"/>
    <w:rsid w:val="001579DC"/>
    <w:rsid w:val="00157AD5"/>
    <w:rsid w:val="00157BA5"/>
    <w:rsid w:val="00157CEB"/>
    <w:rsid w:val="00157F02"/>
    <w:rsid w:val="00157FB6"/>
    <w:rsid w:val="00160015"/>
    <w:rsid w:val="00160346"/>
    <w:rsid w:val="001604D5"/>
    <w:rsid w:val="001605EB"/>
    <w:rsid w:val="00160877"/>
    <w:rsid w:val="00160EA4"/>
    <w:rsid w:val="0016108C"/>
    <w:rsid w:val="001610AC"/>
    <w:rsid w:val="0016117A"/>
    <w:rsid w:val="00161391"/>
    <w:rsid w:val="00161616"/>
    <w:rsid w:val="00161DCE"/>
    <w:rsid w:val="001620CB"/>
    <w:rsid w:val="001625EC"/>
    <w:rsid w:val="00162780"/>
    <w:rsid w:val="00162999"/>
    <w:rsid w:val="00163983"/>
    <w:rsid w:val="00163E35"/>
    <w:rsid w:val="00164202"/>
    <w:rsid w:val="00164B4B"/>
    <w:rsid w:val="00164ECE"/>
    <w:rsid w:val="001652C2"/>
    <w:rsid w:val="0016534B"/>
    <w:rsid w:val="001654B0"/>
    <w:rsid w:val="001657CF"/>
    <w:rsid w:val="00165907"/>
    <w:rsid w:val="00165AD0"/>
    <w:rsid w:val="00165B1D"/>
    <w:rsid w:val="00165FF0"/>
    <w:rsid w:val="00166098"/>
    <w:rsid w:val="001660AA"/>
    <w:rsid w:val="0016688E"/>
    <w:rsid w:val="0016689D"/>
    <w:rsid w:val="00166BE5"/>
    <w:rsid w:val="00166C94"/>
    <w:rsid w:val="00166E24"/>
    <w:rsid w:val="00166F83"/>
    <w:rsid w:val="00167169"/>
    <w:rsid w:val="0016723A"/>
    <w:rsid w:val="001672D1"/>
    <w:rsid w:val="00167335"/>
    <w:rsid w:val="001674FA"/>
    <w:rsid w:val="00167AA3"/>
    <w:rsid w:val="00170100"/>
    <w:rsid w:val="0017034B"/>
    <w:rsid w:val="001704CF"/>
    <w:rsid w:val="00170DC9"/>
    <w:rsid w:val="00171335"/>
    <w:rsid w:val="0017181D"/>
    <w:rsid w:val="00171A05"/>
    <w:rsid w:val="00171D48"/>
    <w:rsid w:val="001725BB"/>
    <w:rsid w:val="00172E17"/>
    <w:rsid w:val="00172E28"/>
    <w:rsid w:val="00172EC4"/>
    <w:rsid w:val="00172F3A"/>
    <w:rsid w:val="001730A3"/>
    <w:rsid w:val="001730FD"/>
    <w:rsid w:val="0017311D"/>
    <w:rsid w:val="001735B1"/>
    <w:rsid w:val="00173798"/>
    <w:rsid w:val="00173BE6"/>
    <w:rsid w:val="00173DA5"/>
    <w:rsid w:val="00173E72"/>
    <w:rsid w:val="00173E9E"/>
    <w:rsid w:val="00174762"/>
    <w:rsid w:val="00175209"/>
    <w:rsid w:val="0017572D"/>
    <w:rsid w:val="00175AA2"/>
    <w:rsid w:val="00175ACB"/>
    <w:rsid w:val="001760FF"/>
    <w:rsid w:val="0017645D"/>
    <w:rsid w:val="00176738"/>
    <w:rsid w:val="00176E42"/>
    <w:rsid w:val="00176E9A"/>
    <w:rsid w:val="001775AD"/>
    <w:rsid w:val="0017771D"/>
    <w:rsid w:val="001777D5"/>
    <w:rsid w:val="001777E9"/>
    <w:rsid w:val="001778D0"/>
    <w:rsid w:val="00177B6B"/>
    <w:rsid w:val="00177D12"/>
    <w:rsid w:val="001807C0"/>
    <w:rsid w:val="00180935"/>
    <w:rsid w:val="00180A23"/>
    <w:rsid w:val="00180B76"/>
    <w:rsid w:val="00180BE8"/>
    <w:rsid w:val="001811DE"/>
    <w:rsid w:val="001818CC"/>
    <w:rsid w:val="00181B43"/>
    <w:rsid w:val="00182487"/>
    <w:rsid w:val="001826CB"/>
    <w:rsid w:val="001827AC"/>
    <w:rsid w:val="00182899"/>
    <w:rsid w:val="001831E8"/>
    <w:rsid w:val="001832B0"/>
    <w:rsid w:val="0018349C"/>
    <w:rsid w:val="00183562"/>
    <w:rsid w:val="00183649"/>
    <w:rsid w:val="00183970"/>
    <w:rsid w:val="00183C19"/>
    <w:rsid w:val="001843C4"/>
    <w:rsid w:val="00184519"/>
    <w:rsid w:val="001845F7"/>
    <w:rsid w:val="00184A83"/>
    <w:rsid w:val="00185037"/>
    <w:rsid w:val="0018537D"/>
    <w:rsid w:val="001853A5"/>
    <w:rsid w:val="00185A8A"/>
    <w:rsid w:val="001862DA"/>
    <w:rsid w:val="001866D1"/>
    <w:rsid w:val="001868A3"/>
    <w:rsid w:val="00186A8A"/>
    <w:rsid w:val="00186EB8"/>
    <w:rsid w:val="00187145"/>
    <w:rsid w:val="001874F4"/>
    <w:rsid w:val="00187613"/>
    <w:rsid w:val="00187DA4"/>
    <w:rsid w:val="001904D5"/>
    <w:rsid w:val="0019104D"/>
    <w:rsid w:val="00191778"/>
    <w:rsid w:val="00191A77"/>
    <w:rsid w:val="00191DB3"/>
    <w:rsid w:val="00191FD5"/>
    <w:rsid w:val="001923ED"/>
    <w:rsid w:val="00192B90"/>
    <w:rsid w:val="00192BFE"/>
    <w:rsid w:val="00192D0D"/>
    <w:rsid w:val="00193260"/>
    <w:rsid w:val="0019374B"/>
    <w:rsid w:val="00193A90"/>
    <w:rsid w:val="00193B10"/>
    <w:rsid w:val="00193EE3"/>
    <w:rsid w:val="00194098"/>
    <w:rsid w:val="00194995"/>
    <w:rsid w:val="00194FCC"/>
    <w:rsid w:val="00195476"/>
    <w:rsid w:val="00195A6C"/>
    <w:rsid w:val="00195CD2"/>
    <w:rsid w:val="00196167"/>
    <w:rsid w:val="0019620C"/>
    <w:rsid w:val="00196526"/>
    <w:rsid w:val="00196594"/>
    <w:rsid w:val="00196963"/>
    <w:rsid w:val="00196B93"/>
    <w:rsid w:val="00196BA3"/>
    <w:rsid w:val="001970F9"/>
    <w:rsid w:val="00197350"/>
    <w:rsid w:val="001974A1"/>
    <w:rsid w:val="00197BC3"/>
    <w:rsid w:val="00197DCD"/>
    <w:rsid w:val="001A06C8"/>
    <w:rsid w:val="001A0968"/>
    <w:rsid w:val="001A0F0C"/>
    <w:rsid w:val="001A1720"/>
    <w:rsid w:val="001A192B"/>
    <w:rsid w:val="001A2109"/>
    <w:rsid w:val="001A2466"/>
    <w:rsid w:val="001A26F5"/>
    <w:rsid w:val="001A27E6"/>
    <w:rsid w:val="001A2DDC"/>
    <w:rsid w:val="001A2F36"/>
    <w:rsid w:val="001A372B"/>
    <w:rsid w:val="001A3771"/>
    <w:rsid w:val="001A3991"/>
    <w:rsid w:val="001A4336"/>
    <w:rsid w:val="001A4780"/>
    <w:rsid w:val="001A4CCB"/>
    <w:rsid w:val="001A4EB6"/>
    <w:rsid w:val="001A5419"/>
    <w:rsid w:val="001A5705"/>
    <w:rsid w:val="001A585E"/>
    <w:rsid w:val="001A592C"/>
    <w:rsid w:val="001A5D64"/>
    <w:rsid w:val="001A620B"/>
    <w:rsid w:val="001A63F2"/>
    <w:rsid w:val="001A6496"/>
    <w:rsid w:val="001A6575"/>
    <w:rsid w:val="001A6E6B"/>
    <w:rsid w:val="001A7346"/>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FAD"/>
    <w:rsid w:val="001B3048"/>
    <w:rsid w:val="001B3961"/>
    <w:rsid w:val="001B40CB"/>
    <w:rsid w:val="001B40E7"/>
    <w:rsid w:val="001B42E4"/>
    <w:rsid w:val="001B436F"/>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A56"/>
    <w:rsid w:val="001B7191"/>
    <w:rsid w:val="001B71B9"/>
    <w:rsid w:val="001B7243"/>
    <w:rsid w:val="001B76A8"/>
    <w:rsid w:val="001B782D"/>
    <w:rsid w:val="001C00F2"/>
    <w:rsid w:val="001C05BE"/>
    <w:rsid w:val="001C0963"/>
    <w:rsid w:val="001C09D9"/>
    <w:rsid w:val="001C1121"/>
    <w:rsid w:val="001C14EA"/>
    <w:rsid w:val="001C1A14"/>
    <w:rsid w:val="001C1AC5"/>
    <w:rsid w:val="001C1DE7"/>
    <w:rsid w:val="001C202D"/>
    <w:rsid w:val="001C21A2"/>
    <w:rsid w:val="001C22BD"/>
    <w:rsid w:val="001C22F8"/>
    <w:rsid w:val="001C23C3"/>
    <w:rsid w:val="001C24B2"/>
    <w:rsid w:val="001C24F4"/>
    <w:rsid w:val="001C2A03"/>
    <w:rsid w:val="001C30D2"/>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5E40"/>
    <w:rsid w:val="001C6086"/>
    <w:rsid w:val="001C6252"/>
    <w:rsid w:val="001C62B4"/>
    <w:rsid w:val="001C6311"/>
    <w:rsid w:val="001C6504"/>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D0B67"/>
    <w:rsid w:val="001D112B"/>
    <w:rsid w:val="001D11B3"/>
    <w:rsid w:val="001D19A8"/>
    <w:rsid w:val="001D1D62"/>
    <w:rsid w:val="001D240E"/>
    <w:rsid w:val="001D26ED"/>
    <w:rsid w:val="001D28B3"/>
    <w:rsid w:val="001D2D33"/>
    <w:rsid w:val="001D33AD"/>
    <w:rsid w:val="001D3D79"/>
    <w:rsid w:val="001D5257"/>
    <w:rsid w:val="001D5280"/>
    <w:rsid w:val="001D5963"/>
    <w:rsid w:val="001D5CAD"/>
    <w:rsid w:val="001D5D71"/>
    <w:rsid w:val="001D62F5"/>
    <w:rsid w:val="001D638B"/>
    <w:rsid w:val="001D6488"/>
    <w:rsid w:val="001D6CCE"/>
    <w:rsid w:val="001D6DFA"/>
    <w:rsid w:val="001D7159"/>
    <w:rsid w:val="001D7798"/>
    <w:rsid w:val="001D79EF"/>
    <w:rsid w:val="001E004B"/>
    <w:rsid w:val="001E0741"/>
    <w:rsid w:val="001E0916"/>
    <w:rsid w:val="001E1901"/>
    <w:rsid w:val="001E19D3"/>
    <w:rsid w:val="001E1F97"/>
    <w:rsid w:val="001E23D1"/>
    <w:rsid w:val="001E2428"/>
    <w:rsid w:val="001E252F"/>
    <w:rsid w:val="001E26BD"/>
    <w:rsid w:val="001E2908"/>
    <w:rsid w:val="001E2A8E"/>
    <w:rsid w:val="001E38A8"/>
    <w:rsid w:val="001E3982"/>
    <w:rsid w:val="001E53CD"/>
    <w:rsid w:val="001E580B"/>
    <w:rsid w:val="001E5BBB"/>
    <w:rsid w:val="001E5F64"/>
    <w:rsid w:val="001E6180"/>
    <w:rsid w:val="001E674B"/>
    <w:rsid w:val="001E68FC"/>
    <w:rsid w:val="001E6C2D"/>
    <w:rsid w:val="001E6D8E"/>
    <w:rsid w:val="001E714A"/>
    <w:rsid w:val="001E72B6"/>
    <w:rsid w:val="001E7396"/>
    <w:rsid w:val="001E7569"/>
    <w:rsid w:val="001E78FB"/>
    <w:rsid w:val="001E7F25"/>
    <w:rsid w:val="001F0766"/>
    <w:rsid w:val="001F0C39"/>
    <w:rsid w:val="001F0EE5"/>
    <w:rsid w:val="001F111D"/>
    <w:rsid w:val="001F16FB"/>
    <w:rsid w:val="001F1761"/>
    <w:rsid w:val="001F1844"/>
    <w:rsid w:val="001F1A09"/>
    <w:rsid w:val="001F1BC4"/>
    <w:rsid w:val="001F2178"/>
    <w:rsid w:val="001F22CC"/>
    <w:rsid w:val="001F25E0"/>
    <w:rsid w:val="001F2DF7"/>
    <w:rsid w:val="001F3C5F"/>
    <w:rsid w:val="001F458A"/>
    <w:rsid w:val="001F4B1F"/>
    <w:rsid w:val="001F4F5A"/>
    <w:rsid w:val="001F61FE"/>
    <w:rsid w:val="001F646F"/>
    <w:rsid w:val="001F66DE"/>
    <w:rsid w:val="001F68BC"/>
    <w:rsid w:val="001F6C87"/>
    <w:rsid w:val="001F6EC5"/>
    <w:rsid w:val="001F705D"/>
    <w:rsid w:val="001F7246"/>
    <w:rsid w:val="001F7971"/>
    <w:rsid w:val="001F7ACA"/>
    <w:rsid w:val="001F7D00"/>
    <w:rsid w:val="0020066A"/>
    <w:rsid w:val="00200807"/>
    <w:rsid w:val="00200A6B"/>
    <w:rsid w:val="00200CAC"/>
    <w:rsid w:val="00200D92"/>
    <w:rsid w:val="002014E7"/>
    <w:rsid w:val="00202046"/>
    <w:rsid w:val="00202576"/>
    <w:rsid w:val="00202966"/>
    <w:rsid w:val="00202A9E"/>
    <w:rsid w:val="00202AA8"/>
    <w:rsid w:val="00202D81"/>
    <w:rsid w:val="00202DC0"/>
    <w:rsid w:val="00202E80"/>
    <w:rsid w:val="00202EB6"/>
    <w:rsid w:val="00203B02"/>
    <w:rsid w:val="00204026"/>
    <w:rsid w:val="002048BC"/>
    <w:rsid w:val="002051EE"/>
    <w:rsid w:val="00205507"/>
    <w:rsid w:val="00205642"/>
    <w:rsid w:val="00205644"/>
    <w:rsid w:val="00205A9F"/>
    <w:rsid w:val="00205B0E"/>
    <w:rsid w:val="00205B1F"/>
    <w:rsid w:val="00205FEA"/>
    <w:rsid w:val="002061CA"/>
    <w:rsid w:val="0020689C"/>
    <w:rsid w:val="00206929"/>
    <w:rsid w:val="002069BC"/>
    <w:rsid w:val="00206E13"/>
    <w:rsid w:val="00206F7F"/>
    <w:rsid w:val="0020718C"/>
    <w:rsid w:val="00207205"/>
    <w:rsid w:val="00207223"/>
    <w:rsid w:val="00207408"/>
    <w:rsid w:val="00207526"/>
    <w:rsid w:val="0020762E"/>
    <w:rsid w:val="0021000D"/>
    <w:rsid w:val="0021033E"/>
    <w:rsid w:val="00210679"/>
    <w:rsid w:val="00210901"/>
    <w:rsid w:val="00210954"/>
    <w:rsid w:val="00210D6E"/>
    <w:rsid w:val="00210D9C"/>
    <w:rsid w:val="00210DCC"/>
    <w:rsid w:val="00210DCD"/>
    <w:rsid w:val="0021198D"/>
    <w:rsid w:val="002119BF"/>
    <w:rsid w:val="00211C52"/>
    <w:rsid w:val="00211D3D"/>
    <w:rsid w:val="0021225B"/>
    <w:rsid w:val="002126B2"/>
    <w:rsid w:val="00212948"/>
    <w:rsid w:val="00212BFF"/>
    <w:rsid w:val="0021345F"/>
    <w:rsid w:val="002134A1"/>
    <w:rsid w:val="00213A9B"/>
    <w:rsid w:val="00213E70"/>
    <w:rsid w:val="00213E74"/>
    <w:rsid w:val="00214036"/>
    <w:rsid w:val="002145B9"/>
    <w:rsid w:val="00214BD4"/>
    <w:rsid w:val="00214FFF"/>
    <w:rsid w:val="0021501A"/>
    <w:rsid w:val="00215101"/>
    <w:rsid w:val="002151CB"/>
    <w:rsid w:val="00215468"/>
    <w:rsid w:val="00215AAF"/>
    <w:rsid w:val="002160BB"/>
    <w:rsid w:val="00216238"/>
    <w:rsid w:val="002163C8"/>
    <w:rsid w:val="002165D3"/>
    <w:rsid w:val="00216771"/>
    <w:rsid w:val="0021687C"/>
    <w:rsid w:val="0021697C"/>
    <w:rsid w:val="00216AAA"/>
    <w:rsid w:val="00217423"/>
    <w:rsid w:val="00217839"/>
    <w:rsid w:val="00217BBD"/>
    <w:rsid w:val="0022067E"/>
    <w:rsid w:val="002208DA"/>
    <w:rsid w:val="00221197"/>
    <w:rsid w:val="0022195B"/>
    <w:rsid w:val="00221B1E"/>
    <w:rsid w:val="0022224C"/>
    <w:rsid w:val="00222392"/>
    <w:rsid w:val="002223C1"/>
    <w:rsid w:val="002224C1"/>
    <w:rsid w:val="00222D4A"/>
    <w:rsid w:val="0022389B"/>
    <w:rsid w:val="002240C5"/>
    <w:rsid w:val="002244A6"/>
    <w:rsid w:val="0022463E"/>
    <w:rsid w:val="002256E4"/>
    <w:rsid w:val="00225A3B"/>
    <w:rsid w:val="00225A8C"/>
    <w:rsid w:val="00225BD8"/>
    <w:rsid w:val="00225CFE"/>
    <w:rsid w:val="00226081"/>
    <w:rsid w:val="002263A4"/>
    <w:rsid w:val="002264E2"/>
    <w:rsid w:val="00226AF7"/>
    <w:rsid w:val="00226CF3"/>
    <w:rsid w:val="002276A5"/>
    <w:rsid w:val="002277B0"/>
    <w:rsid w:val="00227B4A"/>
    <w:rsid w:val="00227CDE"/>
    <w:rsid w:val="00227FDC"/>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FBB"/>
    <w:rsid w:val="00233FF1"/>
    <w:rsid w:val="00234B4F"/>
    <w:rsid w:val="0023511A"/>
    <w:rsid w:val="00235412"/>
    <w:rsid w:val="00235F4B"/>
    <w:rsid w:val="00236244"/>
    <w:rsid w:val="00236656"/>
    <w:rsid w:val="0023669A"/>
    <w:rsid w:val="00236DC0"/>
    <w:rsid w:val="00236F4C"/>
    <w:rsid w:val="002373A2"/>
    <w:rsid w:val="00237A0A"/>
    <w:rsid w:val="00237EAC"/>
    <w:rsid w:val="002402F3"/>
    <w:rsid w:val="00240461"/>
    <w:rsid w:val="002407CC"/>
    <w:rsid w:val="002409E3"/>
    <w:rsid w:val="002410C2"/>
    <w:rsid w:val="0024113D"/>
    <w:rsid w:val="002411C6"/>
    <w:rsid w:val="00241394"/>
    <w:rsid w:val="002415CE"/>
    <w:rsid w:val="00242517"/>
    <w:rsid w:val="0024260B"/>
    <w:rsid w:val="00243446"/>
    <w:rsid w:val="00243956"/>
    <w:rsid w:val="002439B0"/>
    <w:rsid w:val="00243BD2"/>
    <w:rsid w:val="00243D63"/>
    <w:rsid w:val="0024401F"/>
    <w:rsid w:val="00244685"/>
    <w:rsid w:val="002447E9"/>
    <w:rsid w:val="002447FC"/>
    <w:rsid w:val="00244A56"/>
    <w:rsid w:val="00244EE7"/>
    <w:rsid w:val="002453BE"/>
    <w:rsid w:val="002455C3"/>
    <w:rsid w:val="0024569B"/>
    <w:rsid w:val="00245A3F"/>
    <w:rsid w:val="00245FE1"/>
    <w:rsid w:val="00246686"/>
    <w:rsid w:val="00246967"/>
    <w:rsid w:val="00247177"/>
    <w:rsid w:val="0024736E"/>
    <w:rsid w:val="0024799C"/>
    <w:rsid w:val="00247B4D"/>
    <w:rsid w:val="00250386"/>
    <w:rsid w:val="00250A38"/>
    <w:rsid w:val="00250BFD"/>
    <w:rsid w:val="00250C60"/>
    <w:rsid w:val="0025106D"/>
    <w:rsid w:val="002513AE"/>
    <w:rsid w:val="00251CAD"/>
    <w:rsid w:val="00251CFF"/>
    <w:rsid w:val="00251FB0"/>
    <w:rsid w:val="002521E1"/>
    <w:rsid w:val="002527A2"/>
    <w:rsid w:val="0025309F"/>
    <w:rsid w:val="002530F3"/>
    <w:rsid w:val="002535CE"/>
    <w:rsid w:val="00253724"/>
    <w:rsid w:val="00253A1A"/>
    <w:rsid w:val="00254114"/>
    <w:rsid w:val="00254247"/>
    <w:rsid w:val="002542B2"/>
    <w:rsid w:val="0025447C"/>
    <w:rsid w:val="00254681"/>
    <w:rsid w:val="0025486C"/>
    <w:rsid w:val="00254B08"/>
    <w:rsid w:val="00254B81"/>
    <w:rsid w:val="00255399"/>
    <w:rsid w:val="002559B3"/>
    <w:rsid w:val="00255A84"/>
    <w:rsid w:val="00255B5A"/>
    <w:rsid w:val="00255F7F"/>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972"/>
    <w:rsid w:val="00261CF1"/>
    <w:rsid w:val="00261DA5"/>
    <w:rsid w:val="00262869"/>
    <w:rsid w:val="002628F6"/>
    <w:rsid w:val="00262DCF"/>
    <w:rsid w:val="002634EA"/>
    <w:rsid w:val="002637CF"/>
    <w:rsid w:val="00263AF8"/>
    <w:rsid w:val="00263CD1"/>
    <w:rsid w:val="002645C7"/>
    <w:rsid w:val="002646FE"/>
    <w:rsid w:val="002648EE"/>
    <w:rsid w:val="00264B3D"/>
    <w:rsid w:val="00264C1F"/>
    <w:rsid w:val="00264FD6"/>
    <w:rsid w:val="002656C7"/>
    <w:rsid w:val="00265AC3"/>
    <w:rsid w:val="00265BFC"/>
    <w:rsid w:val="00265D3C"/>
    <w:rsid w:val="00266D29"/>
    <w:rsid w:val="00266E9A"/>
    <w:rsid w:val="002671A2"/>
    <w:rsid w:val="0026722A"/>
    <w:rsid w:val="00267496"/>
    <w:rsid w:val="00267A28"/>
    <w:rsid w:val="00267A7C"/>
    <w:rsid w:val="00267B57"/>
    <w:rsid w:val="00267F66"/>
    <w:rsid w:val="00270169"/>
    <w:rsid w:val="002702D2"/>
    <w:rsid w:val="00270370"/>
    <w:rsid w:val="002708A2"/>
    <w:rsid w:val="00270E19"/>
    <w:rsid w:val="0027170E"/>
    <w:rsid w:val="00271B4D"/>
    <w:rsid w:val="00272164"/>
    <w:rsid w:val="00272499"/>
    <w:rsid w:val="00272623"/>
    <w:rsid w:val="00272960"/>
    <w:rsid w:val="00272A65"/>
    <w:rsid w:val="00272DBE"/>
    <w:rsid w:val="0027304A"/>
    <w:rsid w:val="0027304D"/>
    <w:rsid w:val="00273102"/>
    <w:rsid w:val="0027349A"/>
    <w:rsid w:val="002736C9"/>
    <w:rsid w:val="00273CB2"/>
    <w:rsid w:val="002742FE"/>
    <w:rsid w:val="00274C4D"/>
    <w:rsid w:val="00274EFA"/>
    <w:rsid w:val="00275025"/>
    <w:rsid w:val="0027596A"/>
    <w:rsid w:val="002759C0"/>
    <w:rsid w:val="00275B68"/>
    <w:rsid w:val="00275C43"/>
    <w:rsid w:val="00275D7A"/>
    <w:rsid w:val="00275F9E"/>
    <w:rsid w:val="002761BD"/>
    <w:rsid w:val="00276343"/>
    <w:rsid w:val="0027652E"/>
    <w:rsid w:val="00276884"/>
    <w:rsid w:val="002772AF"/>
    <w:rsid w:val="0027780B"/>
    <w:rsid w:val="00277A86"/>
    <w:rsid w:val="00280B6C"/>
    <w:rsid w:val="00280CBA"/>
    <w:rsid w:val="00280D5B"/>
    <w:rsid w:val="00280EA4"/>
    <w:rsid w:val="00281007"/>
    <w:rsid w:val="002811B7"/>
    <w:rsid w:val="00281364"/>
    <w:rsid w:val="00281819"/>
    <w:rsid w:val="00281DA0"/>
    <w:rsid w:val="002822C7"/>
    <w:rsid w:val="00282372"/>
    <w:rsid w:val="002827F9"/>
    <w:rsid w:val="00282BAE"/>
    <w:rsid w:val="00282D05"/>
    <w:rsid w:val="00282DAC"/>
    <w:rsid w:val="00282EE5"/>
    <w:rsid w:val="002834C9"/>
    <w:rsid w:val="002835A6"/>
    <w:rsid w:val="002837C2"/>
    <w:rsid w:val="0028399A"/>
    <w:rsid w:val="002839FB"/>
    <w:rsid w:val="00283BB4"/>
    <w:rsid w:val="00283D4E"/>
    <w:rsid w:val="00284036"/>
    <w:rsid w:val="00284162"/>
    <w:rsid w:val="002844AC"/>
    <w:rsid w:val="002845EA"/>
    <w:rsid w:val="002848C8"/>
    <w:rsid w:val="00284B22"/>
    <w:rsid w:val="0028523A"/>
    <w:rsid w:val="00285309"/>
    <w:rsid w:val="0028551B"/>
    <w:rsid w:val="00285A8C"/>
    <w:rsid w:val="00285DF6"/>
    <w:rsid w:val="00286154"/>
    <w:rsid w:val="0028670B"/>
    <w:rsid w:val="00286894"/>
    <w:rsid w:val="00286B1C"/>
    <w:rsid w:val="00286DCB"/>
    <w:rsid w:val="00286EBE"/>
    <w:rsid w:val="00286FB0"/>
    <w:rsid w:val="0028718B"/>
    <w:rsid w:val="00287699"/>
    <w:rsid w:val="0028783E"/>
    <w:rsid w:val="0029008E"/>
    <w:rsid w:val="00290588"/>
    <w:rsid w:val="002907BC"/>
    <w:rsid w:val="00290F8B"/>
    <w:rsid w:val="002919DB"/>
    <w:rsid w:val="002920C7"/>
    <w:rsid w:val="00292228"/>
    <w:rsid w:val="002929D8"/>
    <w:rsid w:val="00292B9F"/>
    <w:rsid w:val="00293109"/>
    <w:rsid w:val="00293C63"/>
    <w:rsid w:val="00293F3D"/>
    <w:rsid w:val="002948F5"/>
    <w:rsid w:val="00294A58"/>
    <w:rsid w:val="00294B49"/>
    <w:rsid w:val="00294D2F"/>
    <w:rsid w:val="00295274"/>
    <w:rsid w:val="002958DE"/>
    <w:rsid w:val="00295B70"/>
    <w:rsid w:val="00295EEF"/>
    <w:rsid w:val="002963DD"/>
    <w:rsid w:val="0029648D"/>
    <w:rsid w:val="00296F47"/>
    <w:rsid w:val="00297289"/>
    <w:rsid w:val="00297514"/>
    <w:rsid w:val="0029799C"/>
    <w:rsid w:val="00297ECD"/>
    <w:rsid w:val="002A04E2"/>
    <w:rsid w:val="002A06E7"/>
    <w:rsid w:val="002A0E02"/>
    <w:rsid w:val="002A0E79"/>
    <w:rsid w:val="002A0E94"/>
    <w:rsid w:val="002A1263"/>
    <w:rsid w:val="002A18FE"/>
    <w:rsid w:val="002A19F7"/>
    <w:rsid w:val="002A1FB9"/>
    <w:rsid w:val="002A2364"/>
    <w:rsid w:val="002A283D"/>
    <w:rsid w:val="002A28D4"/>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5379"/>
    <w:rsid w:val="002A556F"/>
    <w:rsid w:val="002A598E"/>
    <w:rsid w:val="002A61A5"/>
    <w:rsid w:val="002A61B1"/>
    <w:rsid w:val="002A648D"/>
    <w:rsid w:val="002A6700"/>
    <w:rsid w:val="002A7199"/>
    <w:rsid w:val="002A77C3"/>
    <w:rsid w:val="002A79D9"/>
    <w:rsid w:val="002A7BAF"/>
    <w:rsid w:val="002A7BBD"/>
    <w:rsid w:val="002B05A8"/>
    <w:rsid w:val="002B0D6E"/>
    <w:rsid w:val="002B10B0"/>
    <w:rsid w:val="002B1225"/>
    <w:rsid w:val="002B1437"/>
    <w:rsid w:val="002B14DB"/>
    <w:rsid w:val="002B169C"/>
    <w:rsid w:val="002B1838"/>
    <w:rsid w:val="002B1F89"/>
    <w:rsid w:val="002B21BB"/>
    <w:rsid w:val="002B22F5"/>
    <w:rsid w:val="002B274C"/>
    <w:rsid w:val="002B2868"/>
    <w:rsid w:val="002B2E9F"/>
    <w:rsid w:val="002B2F77"/>
    <w:rsid w:val="002B3529"/>
    <w:rsid w:val="002B3596"/>
    <w:rsid w:val="002B43B3"/>
    <w:rsid w:val="002B4FAD"/>
    <w:rsid w:val="002B538D"/>
    <w:rsid w:val="002B5B61"/>
    <w:rsid w:val="002B5CA1"/>
    <w:rsid w:val="002B6031"/>
    <w:rsid w:val="002B6699"/>
    <w:rsid w:val="002B6716"/>
    <w:rsid w:val="002B6EFD"/>
    <w:rsid w:val="002B6F33"/>
    <w:rsid w:val="002B79F0"/>
    <w:rsid w:val="002B7B8A"/>
    <w:rsid w:val="002B7C96"/>
    <w:rsid w:val="002B7F3E"/>
    <w:rsid w:val="002C00F5"/>
    <w:rsid w:val="002C0166"/>
    <w:rsid w:val="002C059A"/>
    <w:rsid w:val="002C05D9"/>
    <w:rsid w:val="002C06B5"/>
    <w:rsid w:val="002C0CCC"/>
    <w:rsid w:val="002C0CD7"/>
    <w:rsid w:val="002C0D7B"/>
    <w:rsid w:val="002C0D99"/>
    <w:rsid w:val="002C11BC"/>
    <w:rsid w:val="002C11D6"/>
    <w:rsid w:val="002C143E"/>
    <w:rsid w:val="002C1443"/>
    <w:rsid w:val="002C1CBF"/>
    <w:rsid w:val="002C1D9C"/>
    <w:rsid w:val="002C1EFA"/>
    <w:rsid w:val="002C22C5"/>
    <w:rsid w:val="002C2806"/>
    <w:rsid w:val="002C2BD3"/>
    <w:rsid w:val="002C2BEB"/>
    <w:rsid w:val="002C30A4"/>
    <w:rsid w:val="002C32F1"/>
    <w:rsid w:val="002C34B2"/>
    <w:rsid w:val="002C366F"/>
    <w:rsid w:val="002C3894"/>
    <w:rsid w:val="002C3D9B"/>
    <w:rsid w:val="002C3E6A"/>
    <w:rsid w:val="002C40EF"/>
    <w:rsid w:val="002C488D"/>
    <w:rsid w:val="002C4A8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4C5"/>
    <w:rsid w:val="002D059D"/>
    <w:rsid w:val="002D0727"/>
    <w:rsid w:val="002D100C"/>
    <w:rsid w:val="002D1B36"/>
    <w:rsid w:val="002D1B96"/>
    <w:rsid w:val="002D2270"/>
    <w:rsid w:val="002D2E4C"/>
    <w:rsid w:val="002D2EC4"/>
    <w:rsid w:val="002D319A"/>
    <w:rsid w:val="002D32AF"/>
    <w:rsid w:val="002D3306"/>
    <w:rsid w:val="002D3568"/>
    <w:rsid w:val="002D37C1"/>
    <w:rsid w:val="002D3899"/>
    <w:rsid w:val="002D4074"/>
    <w:rsid w:val="002D42F1"/>
    <w:rsid w:val="002D4487"/>
    <w:rsid w:val="002D4830"/>
    <w:rsid w:val="002D4A0A"/>
    <w:rsid w:val="002D4A43"/>
    <w:rsid w:val="002D5041"/>
    <w:rsid w:val="002D52BF"/>
    <w:rsid w:val="002D607F"/>
    <w:rsid w:val="002D60C9"/>
    <w:rsid w:val="002D65B4"/>
    <w:rsid w:val="002D68CE"/>
    <w:rsid w:val="002D6D06"/>
    <w:rsid w:val="002E0315"/>
    <w:rsid w:val="002E0403"/>
    <w:rsid w:val="002E0903"/>
    <w:rsid w:val="002E0C71"/>
    <w:rsid w:val="002E0D26"/>
    <w:rsid w:val="002E0D8B"/>
    <w:rsid w:val="002E10FA"/>
    <w:rsid w:val="002E21D1"/>
    <w:rsid w:val="002E229D"/>
    <w:rsid w:val="002E25A8"/>
    <w:rsid w:val="002E279A"/>
    <w:rsid w:val="002E2BE7"/>
    <w:rsid w:val="002E323E"/>
    <w:rsid w:val="002E34CF"/>
    <w:rsid w:val="002E3832"/>
    <w:rsid w:val="002E399E"/>
    <w:rsid w:val="002E3B08"/>
    <w:rsid w:val="002E3CE5"/>
    <w:rsid w:val="002E4118"/>
    <w:rsid w:val="002E41F3"/>
    <w:rsid w:val="002E4505"/>
    <w:rsid w:val="002E4519"/>
    <w:rsid w:val="002E5038"/>
    <w:rsid w:val="002E533C"/>
    <w:rsid w:val="002E557C"/>
    <w:rsid w:val="002E5BB9"/>
    <w:rsid w:val="002E6116"/>
    <w:rsid w:val="002E67E6"/>
    <w:rsid w:val="002E69B3"/>
    <w:rsid w:val="002E6DBB"/>
    <w:rsid w:val="002E6E7C"/>
    <w:rsid w:val="002E6F72"/>
    <w:rsid w:val="002E7B0D"/>
    <w:rsid w:val="002F04DE"/>
    <w:rsid w:val="002F089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3A93"/>
    <w:rsid w:val="002F3AFA"/>
    <w:rsid w:val="002F4355"/>
    <w:rsid w:val="002F4444"/>
    <w:rsid w:val="002F4777"/>
    <w:rsid w:val="002F4BEA"/>
    <w:rsid w:val="002F54B6"/>
    <w:rsid w:val="002F5629"/>
    <w:rsid w:val="002F5674"/>
    <w:rsid w:val="002F65E5"/>
    <w:rsid w:val="002F6A6F"/>
    <w:rsid w:val="002F6B24"/>
    <w:rsid w:val="002F6E28"/>
    <w:rsid w:val="002F70BA"/>
    <w:rsid w:val="002F725F"/>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244"/>
    <w:rsid w:val="003013EF"/>
    <w:rsid w:val="00302306"/>
    <w:rsid w:val="003023C2"/>
    <w:rsid w:val="003024FE"/>
    <w:rsid w:val="0030294F"/>
    <w:rsid w:val="00302E5E"/>
    <w:rsid w:val="00302EA1"/>
    <w:rsid w:val="00303249"/>
    <w:rsid w:val="003038DB"/>
    <w:rsid w:val="00303BC0"/>
    <w:rsid w:val="00303BC3"/>
    <w:rsid w:val="00303D58"/>
    <w:rsid w:val="00303D69"/>
    <w:rsid w:val="00303FA3"/>
    <w:rsid w:val="0030415A"/>
    <w:rsid w:val="00304433"/>
    <w:rsid w:val="0030458D"/>
    <w:rsid w:val="003048C9"/>
    <w:rsid w:val="00304C8F"/>
    <w:rsid w:val="00304D19"/>
    <w:rsid w:val="00304D4E"/>
    <w:rsid w:val="00304F3C"/>
    <w:rsid w:val="00304FF8"/>
    <w:rsid w:val="00305098"/>
    <w:rsid w:val="0030511E"/>
    <w:rsid w:val="00305BCF"/>
    <w:rsid w:val="0030615E"/>
    <w:rsid w:val="003066E9"/>
    <w:rsid w:val="00306D6D"/>
    <w:rsid w:val="00307448"/>
    <w:rsid w:val="003079B4"/>
    <w:rsid w:val="00307C55"/>
    <w:rsid w:val="00307DEF"/>
    <w:rsid w:val="00310138"/>
    <w:rsid w:val="0031027B"/>
    <w:rsid w:val="003105A3"/>
    <w:rsid w:val="003107E5"/>
    <w:rsid w:val="00310DE6"/>
    <w:rsid w:val="0031115B"/>
    <w:rsid w:val="003115AC"/>
    <w:rsid w:val="003119A7"/>
    <w:rsid w:val="00311D33"/>
    <w:rsid w:val="00311EE1"/>
    <w:rsid w:val="0031200F"/>
    <w:rsid w:val="0031208A"/>
    <w:rsid w:val="003126CA"/>
    <w:rsid w:val="003127C5"/>
    <w:rsid w:val="00312C08"/>
    <w:rsid w:val="00313664"/>
    <w:rsid w:val="00313754"/>
    <w:rsid w:val="0031380E"/>
    <w:rsid w:val="003138A6"/>
    <w:rsid w:val="00313958"/>
    <w:rsid w:val="00313B78"/>
    <w:rsid w:val="00313C9A"/>
    <w:rsid w:val="00313DD4"/>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7101"/>
    <w:rsid w:val="0032006F"/>
    <w:rsid w:val="003201A1"/>
    <w:rsid w:val="00320747"/>
    <w:rsid w:val="00320832"/>
    <w:rsid w:val="00320FD1"/>
    <w:rsid w:val="00321109"/>
    <w:rsid w:val="0032124F"/>
    <w:rsid w:val="00321560"/>
    <w:rsid w:val="00321690"/>
    <w:rsid w:val="00321758"/>
    <w:rsid w:val="00321823"/>
    <w:rsid w:val="00321BDA"/>
    <w:rsid w:val="003226B9"/>
    <w:rsid w:val="00322E12"/>
    <w:rsid w:val="0032358B"/>
    <w:rsid w:val="003238F4"/>
    <w:rsid w:val="00323D94"/>
    <w:rsid w:val="00323FC4"/>
    <w:rsid w:val="003243D1"/>
    <w:rsid w:val="00324D77"/>
    <w:rsid w:val="003252EE"/>
    <w:rsid w:val="0032547A"/>
    <w:rsid w:val="00325692"/>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E9"/>
    <w:rsid w:val="00327EB4"/>
    <w:rsid w:val="00327F5E"/>
    <w:rsid w:val="003301B3"/>
    <w:rsid w:val="0033033D"/>
    <w:rsid w:val="00330372"/>
    <w:rsid w:val="00330385"/>
    <w:rsid w:val="003303CC"/>
    <w:rsid w:val="003308D8"/>
    <w:rsid w:val="0033102E"/>
    <w:rsid w:val="0033137B"/>
    <w:rsid w:val="00331401"/>
    <w:rsid w:val="00331CEE"/>
    <w:rsid w:val="00332344"/>
    <w:rsid w:val="00332372"/>
    <w:rsid w:val="0033289C"/>
    <w:rsid w:val="00332CF5"/>
    <w:rsid w:val="00332F67"/>
    <w:rsid w:val="0033312E"/>
    <w:rsid w:val="00333234"/>
    <w:rsid w:val="00333822"/>
    <w:rsid w:val="003339EC"/>
    <w:rsid w:val="00333B1F"/>
    <w:rsid w:val="00333CC8"/>
    <w:rsid w:val="003340BC"/>
    <w:rsid w:val="0033414E"/>
    <w:rsid w:val="003343B5"/>
    <w:rsid w:val="003345F8"/>
    <w:rsid w:val="00334A9A"/>
    <w:rsid w:val="003351AE"/>
    <w:rsid w:val="00335370"/>
    <w:rsid w:val="003353FE"/>
    <w:rsid w:val="003356B3"/>
    <w:rsid w:val="0033572C"/>
    <w:rsid w:val="0033577C"/>
    <w:rsid w:val="0033583D"/>
    <w:rsid w:val="00335ED1"/>
    <w:rsid w:val="00336C06"/>
    <w:rsid w:val="00336FBD"/>
    <w:rsid w:val="00337808"/>
    <w:rsid w:val="00337905"/>
    <w:rsid w:val="00337EF8"/>
    <w:rsid w:val="003407E4"/>
    <w:rsid w:val="0034081B"/>
    <w:rsid w:val="00340C0A"/>
    <w:rsid w:val="00341296"/>
    <w:rsid w:val="00341557"/>
    <w:rsid w:val="003416A0"/>
    <w:rsid w:val="00341833"/>
    <w:rsid w:val="00341A29"/>
    <w:rsid w:val="003423C7"/>
    <w:rsid w:val="003424A0"/>
    <w:rsid w:val="003425DF"/>
    <w:rsid w:val="00342803"/>
    <w:rsid w:val="00342841"/>
    <w:rsid w:val="003428BA"/>
    <w:rsid w:val="00342A60"/>
    <w:rsid w:val="00342CBB"/>
    <w:rsid w:val="00342DDC"/>
    <w:rsid w:val="00342FBC"/>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5553"/>
    <w:rsid w:val="00346192"/>
    <w:rsid w:val="003463D1"/>
    <w:rsid w:val="003463D8"/>
    <w:rsid w:val="0034646D"/>
    <w:rsid w:val="00346C66"/>
    <w:rsid w:val="0034714F"/>
    <w:rsid w:val="003477AD"/>
    <w:rsid w:val="0034797B"/>
    <w:rsid w:val="00347BE5"/>
    <w:rsid w:val="00347D85"/>
    <w:rsid w:val="003507DD"/>
    <w:rsid w:val="00350B03"/>
    <w:rsid w:val="00350C0E"/>
    <w:rsid w:val="00350C95"/>
    <w:rsid w:val="00351124"/>
    <w:rsid w:val="00351347"/>
    <w:rsid w:val="00351632"/>
    <w:rsid w:val="0035167A"/>
    <w:rsid w:val="00351831"/>
    <w:rsid w:val="003522E0"/>
    <w:rsid w:val="0035267F"/>
    <w:rsid w:val="0035284A"/>
    <w:rsid w:val="00352B39"/>
    <w:rsid w:val="00352B55"/>
    <w:rsid w:val="003530FE"/>
    <w:rsid w:val="00354193"/>
    <w:rsid w:val="003547F2"/>
    <w:rsid w:val="003547FA"/>
    <w:rsid w:val="003548FE"/>
    <w:rsid w:val="003550A4"/>
    <w:rsid w:val="003550BA"/>
    <w:rsid w:val="00355171"/>
    <w:rsid w:val="0035537A"/>
    <w:rsid w:val="003554D2"/>
    <w:rsid w:val="0035580D"/>
    <w:rsid w:val="0035588D"/>
    <w:rsid w:val="00355985"/>
    <w:rsid w:val="00355D0B"/>
    <w:rsid w:val="003565E0"/>
    <w:rsid w:val="00356887"/>
    <w:rsid w:val="00356915"/>
    <w:rsid w:val="00356E75"/>
    <w:rsid w:val="00356F02"/>
    <w:rsid w:val="0035766F"/>
    <w:rsid w:val="0035781A"/>
    <w:rsid w:val="0035797B"/>
    <w:rsid w:val="00357B39"/>
    <w:rsid w:val="00357CB5"/>
    <w:rsid w:val="00357E8C"/>
    <w:rsid w:val="00357E97"/>
    <w:rsid w:val="003600B2"/>
    <w:rsid w:val="003602DC"/>
    <w:rsid w:val="0036040E"/>
    <w:rsid w:val="00360517"/>
    <w:rsid w:val="00360532"/>
    <w:rsid w:val="00360B57"/>
    <w:rsid w:val="00360BE9"/>
    <w:rsid w:val="00360EB5"/>
    <w:rsid w:val="00360F43"/>
    <w:rsid w:val="00361A0A"/>
    <w:rsid w:val="00361D06"/>
    <w:rsid w:val="00361D3F"/>
    <w:rsid w:val="00362351"/>
    <w:rsid w:val="00362660"/>
    <w:rsid w:val="00362FD3"/>
    <w:rsid w:val="003639FB"/>
    <w:rsid w:val="00363BF7"/>
    <w:rsid w:val="00364264"/>
    <w:rsid w:val="00364D9D"/>
    <w:rsid w:val="003650F3"/>
    <w:rsid w:val="003652B9"/>
    <w:rsid w:val="0036601F"/>
    <w:rsid w:val="0036633A"/>
    <w:rsid w:val="003678EB"/>
    <w:rsid w:val="00367B88"/>
    <w:rsid w:val="00370307"/>
    <w:rsid w:val="0037035D"/>
    <w:rsid w:val="0037058B"/>
    <w:rsid w:val="00370821"/>
    <w:rsid w:val="003709A2"/>
    <w:rsid w:val="00370A18"/>
    <w:rsid w:val="00370AA1"/>
    <w:rsid w:val="003710ED"/>
    <w:rsid w:val="003716B7"/>
    <w:rsid w:val="003717D0"/>
    <w:rsid w:val="00371D3A"/>
    <w:rsid w:val="003720EE"/>
    <w:rsid w:val="00372263"/>
    <w:rsid w:val="003725AA"/>
    <w:rsid w:val="003728BF"/>
    <w:rsid w:val="003728D6"/>
    <w:rsid w:val="00372A5B"/>
    <w:rsid w:val="00373491"/>
    <w:rsid w:val="00373766"/>
    <w:rsid w:val="003739DD"/>
    <w:rsid w:val="00373A9E"/>
    <w:rsid w:val="003741A2"/>
    <w:rsid w:val="00374419"/>
    <w:rsid w:val="00374AC8"/>
    <w:rsid w:val="00374C44"/>
    <w:rsid w:val="00374D75"/>
    <w:rsid w:val="00374DC6"/>
    <w:rsid w:val="0037526B"/>
    <w:rsid w:val="003753CE"/>
    <w:rsid w:val="00375A73"/>
    <w:rsid w:val="00375E08"/>
    <w:rsid w:val="00375EA8"/>
    <w:rsid w:val="00376F2E"/>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750"/>
    <w:rsid w:val="00382266"/>
    <w:rsid w:val="0038235E"/>
    <w:rsid w:val="00382A53"/>
    <w:rsid w:val="00382AE5"/>
    <w:rsid w:val="00382B0C"/>
    <w:rsid w:val="00382FE3"/>
    <w:rsid w:val="00383170"/>
    <w:rsid w:val="003833B5"/>
    <w:rsid w:val="0038352D"/>
    <w:rsid w:val="003835FF"/>
    <w:rsid w:val="00383BF4"/>
    <w:rsid w:val="00384584"/>
    <w:rsid w:val="003847ED"/>
    <w:rsid w:val="00384ADE"/>
    <w:rsid w:val="00384DB9"/>
    <w:rsid w:val="003856BD"/>
    <w:rsid w:val="00386DDB"/>
    <w:rsid w:val="00387553"/>
    <w:rsid w:val="0038792E"/>
    <w:rsid w:val="0038797A"/>
    <w:rsid w:val="00387A4A"/>
    <w:rsid w:val="00390A31"/>
    <w:rsid w:val="00391078"/>
    <w:rsid w:val="0039121A"/>
    <w:rsid w:val="003921CD"/>
    <w:rsid w:val="00392270"/>
    <w:rsid w:val="003929D2"/>
    <w:rsid w:val="00392BC2"/>
    <w:rsid w:val="00392CCA"/>
    <w:rsid w:val="00393029"/>
    <w:rsid w:val="00393AD7"/>
    <w:rsid w:val="00393E3E"/>
    <w:rsid w:val="00393F81"/>
    <w:rsid w:val="00393FA5"/>
    <w:rsid w:val="0039406E"/>
    <w:rsid w:val="0039411F"/>
    <w:rsid w:val="0039413F"/>
    <w:rsid w:val="003946B9"/>
    <w:rsid w:val="00394B51"/>
    <w:rsid w:val="003953BE"/>
    <w:rsid w:val="003957BB"/>
    <w:rsid w:val="003962CD"/>
    <w:rsid w:val="003963FF"/>
    <w:rsid w:val="003965C0"/>
    <w:rsid w:val="00396894"/>
    <w:rsid w:val="00396935"/>
    <w:rsid w:val="00396997"/>
    <w:rsid w:val="00396A4C"/>
    <w:rsid w:val="0039743E"/>
    <w:rsid w:val="00397A8D"/>
    <w:rsid w:val="00397CAC"/>
    <w:rsid w:val="00397D16"/>
    <w:rsid w:val="003A0403"/>
    <w:rsid w:val="003A0D0B"/>
    <w:rsid w:val="003A1301"/>
    <w:rsid w:val="003A1B03"/>
    <w:rsid w:val="003A1EE5"/>
    <w:rsid w:val="003A27BB"/>
    <w:rsid w:val="003A280A"/>
    <w:rsid w:val="003A2FE5"/>
    <w:rsid w:val="003A31F5"/>
    <w:rsid w:val="003A35D6"/>
    <w:rsid w:val="003A43CA"/>
    <w:rsid w:val="003A4473"/>
    <w:rsid w:val="003A4780"/>
    <w:rsid w:val="003A4E51"/>
    <w:rsid w:val="003A5077"/>
    <w:rsid w:val="003A5614"/>
    <w:rsid w:val="003A56A1"/>
    <w:rsid w:val="003A5BC5"/>
    <w:rsid w:val="003A5C82"/>
    <w:rsid w:val="003A5CF2"/>
    <w:rsid w:val="003A5D19"/>
    <w:rsid w:val="003A5E4A"/>
    <w:rsid w:val="003A5F4E"/>
    <w:rsid w:val="003A6A4E"/>
    <w:rsid w:val="003A6DDA"/>
    <w:rsid w:val="003A72FF"/>
    <w:rsid w:val="003A782B"/>
    <w:rsid w:val="003B03BF"/>
    <w:rsid w:val="003B0E9B"/>
    <w:rsid w:val="003B1620"/>
    <w:rsid w:val="003B1661"/>
    <w:rsid w:val="003B1919"/>
    <w:rsid w:val="003B2A09"/>
    <w:rsid w:val="003B2E43"/>
    <w:rsid w:val="003B2FCF"/>
    <w:rsid w:val="003B317B"/>
    <w:rsid w:val="003B3EC4"/>
    <w:rsid w:val="003B3FD2"/>
    <w:rsid w:val="003B4059"/>
    <w:rsid w:val="003B4407"/>
    <w:rsid w:val="003B440E"/>
    <w:rsid w:val="003B453B"/>
    <w:rsid w:val="003B51D0"/>
    <w:rsid w:val="003B5254"/>
    <w:rsid w:val="003B533E"/>
    <w:rsid w:val="003B5747"/>
    <w:rsid w:val="003B580F"/>
    <w:rsid w:val="003B6230"/>
    <w:rsid w:val="003B63DD"/>
    <w:rsid w:val="003B642F"/>
    <w:rsid w:val="003B673D"/>
    <w:rsid w:val="003B6A7F"/>
    <w:rsid w:val="003B730A"/>
    <w:rsid w:val="003B7840"/>
    <w:rsid w:val="003B7AF0"/>
    <w:rsid w:val="003B7CC3"/>
    <w:rsid w:val="003B7F41"/>
    <w:rsid w:val="003C0183"/>
    <w:rsid w:val="003C0B0E"/>
    <w:rsid w:val="003C1054"/>
    <w:rsid w:val="003C175D"/>
    <w:rsid w:val="003C1CFB"/>
    <w:rsid w:val="003C2577"/>
    <w:rsid w:val="003C2BBD"/>
    <w:rsid w:val="003C2F98"/>
    <w:rsid w:val="003C32A6"/>
    <w:rsid w:val="003C3379"/>
    <w:rsid w:val="003C3AE8"/>
    <w:rsid w:val="003C3BB5"/>
    <w:rsid w:val="003C3E77"/>
    <w:rsid w:val="003C3E86"/>
    <w:rsid w:val="003C4066"/>
    <w:rsid w:val="003C4264"/>
    <w:rsid w:val="003C43EC"/>
    <w:rsid w:val="003C4448"/>
    <w:rsid w:val="003C46AD"/>
    <w:rsid w:val="003C4D1E"/>
    <w:rsid w:val="003C4E99"/>
    <w:rsid w:val="003C529F"/>
    <w:rsid w:val="003C5FC9"/>
    <w:rsid w:val="003C63D3"/>
    <w:rsid w:val="003C7449"/>
    <w:rsid w:val="003C7AF1"/>
    <w:rsid w:val="003C7BE5"/>
    <w:rsid w:val="003D0022"/>
    <w:rsid w:val="003D0B52"/>
    <w:rsid w:val="003D1093"/>
    <w:rsid w:val="003D1448"/>
    <w:rsid w:val="003D1621"/>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708"/>
    <w:rsid w:val="003D472C"/>
    <w:rsid w:val="003D477A"/>
    <w:rsid w:val="003D4D86"/>
    <w:rsid w:val="003D5469"/>
    <w:rsid w:val="003D5847"/>
    <w:rsid w:val="003D614C"/>
    <w:rsid w:val="003D619A"/>
    <w:rsid w:val="003D6556"/>
    <w:rsid w:val="003D7078"/>
    <w:rsid w:val="003D758E"/>
    <w:rsid w:val="003D7C86"/>
    <w:rsid w:val="003D7CF9"/>
    <w:rsid w:val="003E01B9"/>
    <w:rsid w:val="003E0352"/>
    <w:rsid w:val="003E05BD"/>
    <w:rsid w:val="003E0976"/>
    <w:rsid w:val="003E0A15"/>
    <w:rsid w:val="003E0C71"/>
    <w:rsid w:val="003E0C99"/>
    <w:rsid w:val="003E14BE"/>
    <w:rsid w:val="003E182D"/>
    <w:rsid w:val="003E1937"/>
    <w:rsid w:val="003E1AFB"/>
    <w:rsid w:val="003E1C24"/>
    <w:rsid w:val="003E213F"/>
    <w:rsid w:val="003E26B2"/>
    <w:rsid w:val="003E2B86"/>
    <w:rsid w:val="003E3046"/>
    <w:rsid w:val="003E3205"/>
    <w:rsid w:val="003E32E1"/>
    <w:rsid w:val="003E32FE"/>
    <w:rsid w:val="003E345C"/>
    <w:rsid w:val="003E3615"/>
    <w:rsid w:val="003E3F41"/>
    <w:rsid w:val="003E50A1"/>
    <w:rsid w:val="003E5127"/>
    <w:rsid w:val="003E536E"/>
    <w:rsid w:val="003E542F"/>
    <w:rsid w:val="003E569A"/>
    <w:rsid w:val="003E592F"/>
    <w:rsid w:val="003E5F33"/>
    <w:rsid w:val="003E6615"/>
    <w:rsid w:val="003E694D"/>
    <w:rsid w:val="003E6CD0"/>
    <w:rsid w:val="003E74C3"/>
    <w:rsid w:val="003E7680"/>
    <w:rsid w:val="003E79F9"/>
    <w:rsid w:val="003E7C34"/>
    <w:rsid w:val="003F06E0"/>
    <w:rsid w:val="003F076E"/>
    <w:rsid w:val="003F083C"/>
    <w:rsid w:val="003F08C4"/>
    <w:rsid w:val="003F0949"/>
    <w:rsid w:val="003F0C38"/>
    <w:rsid w:val="003F0D7C"/>
    <w:rsid w:val="003F1223"/>
    <w:rsid w:val="003F12E9"/>
    <w:rsid w:val="003F177A"/>
    <w:rsid w:val="003F1AB9"/>
    <w:rsid w:val="003F1BBE"/>
    <w:rsid w:val="003F1C13"/>
    <w:rsid w:val="003F1FD6"/>
    <w:rsid w:val="003F26FE"/>
    <w:rsid w:val="003F2A44"/>
    <w:rsid w:val="003F2ABB"/>
    <w:rsid w:val="003F2C11"/>
    <w:rsid w:val="003F301F"/>
    <w:rsid w:val="003F3377"/>
    <w:rsid w:val="003F33B7"/>
    <w:rsid w:val="003F37FD"/>
    <w:rsid w:val="003F3854"/>
    <w:rsid w:val="003F39AE"/>
    <w:rsid w:val="003F3A52"/>
    <w:rsid w:val="003F3EF1"/>
    <w:rsid w:val="003F45B2"/>
    <w:rsid w:val="003F4679"/>
    <w:rsid w:val="003F4B62"/>
    <w:rsid w:val="003F59F4"/>
    <w:rsid w:val="003F5B16"/>
    <w:rsid w:val="003F5CD7"/>
    <w:rsid w:val="003F5CD8"/>
    <w:rsid w:val="003F5FDD"/>
    <w:rsid w:val="003F6086"/>
    <w:rsid w:val="003F60E1"/>
    <w:rsid w:val="003F648C"/>
    <w:rsid w:val="003F6633"/>
    <w:rsid w:val="003F66FD"/>
    <w:rsid w:val="003F672A"/>
    <w:rsid w:val="003F7000"/>
    <w:rsid w:val="003F757E"/>
    <w:rsid w:val="003F764A"/>
    <w:rsid w:val="003F7F49"/>
    <w:rsid w:val="0040032A"/>
    <w:rsid w:val="0040033C"/>
    <w:rsid w:val="00400494"/>
    <w:rsid w:val="004004F6"/>
    <w:rsid w:val="0040078F"/>
    <w:rsid w:val="004010AA"/>
    <w:rsid w:val="004017DF"/>
    <w:rsid w:val="00401A68"/>
    <w:rsid w:val="00401B69"/>
    <w:rsid w:val="0040214B"/>
    <w:rsid w:val="00402280"/>
    <w:rsid w:val="00402B37"/>
    <w:rsid w:val="00402BA1"/>
    <w:rsid w:val="00402DC6"/>
    <w:rsid w:val="0040313C"/>
    <w:rsid w:val="0040332B"/>
    <w:rsid w:val="0040351E"/>
    <w:rsid w:val="00403882"/>
    <w:rsid w:val="00403A03"/>
    <w:rsid w:val="00404D94"/>
    <w:rsid w:val="00404DCD"/>
    <w:rsid w:val="0040548B"/>
    <w:rsid w:val="004054A8"/>
    <w:rsid w:val="004055FB"/>
    <w:rsid w:val="00405AE6"/>
    <w:rsid w:val="00405EA9"/>
    <w:rsid w:val="00406145"/>
    <w:rsid w:val="0040646D"/>
    <w:rsid w:val="00406500"/>
    <w:rsid w:val="0040667E"/>
    <w:rsid w:val="00406A86"/>
    <w:rsid w:val="00406AC1"/>
    <w:rsid w:val="00406FFC"/>
    <w:rsid w:val="00407441"/>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312D"/>
    <w:rsid w:val="0041358D"/>
    <w:rsid w:val="00414334"/>
    <w:rsid w:val="00414665"/>
    <w:rsid w:val="00414673"/>
    <w:rsid w:val="0041473B"/>
    <w:rsid w:val="0041478B"/>
    <w:rsid w:val="00414B30"/>
    <w:rsid w:val="00414C6B"/>
    <w:rsid w:val="00414E51"/>
    <w:rsid w:val="00414E5C"/>
    <w:rsid w:val="0041517D"/>
    <w:rsid w:val="004151EC"/>
    <w:rsid w:val="004155E5"/>
    <w:rsid w:val="00415D9B"/>
    <w:rsid w:val="00416093"/>
    <w:rsid w:val="004162D3"/>
    <w:rsid w:val="00416512"/>
    <w:rsid w:val="004167C7"/>
    <w:rsid w:val="004167DB"/>
    <w:rsid w:val="00416CA7"/>
    <w:rsid w:val="00416CC7"/>
    <w:rsid w:val="00416D3C"/>
    <w:rsid w:val="00416E86"/>
    <w:rsid w:val="00417347"/>
    <w:rsid w:val="004173A0"/>
    <w:rsid w:val="0041747D"/>
    <w:rsid w:val="0041760B"/>
    <w:rsid w:val="00417775"/>
    <w:rsid w:val="004179E2"/>
    <w:rsid w:val="00417E60"/>
    <w:rsid w:val="004202E1"/>
    <w:rsid w:val="004203EF"/>
    <w:rsid w:val="00420435"/>
    <w:rsid w:val="004206B9"/>
    <w:rsid w:val="0042094B"/>
    <w:rsid w:val="00420F04"/>
    <w:rsid w:val="004210BA"/>
    <w:rsid w:val="004213A2"/>
    <w:rsid w:val="004213A6"/>
    <w:rsid w:val="004214FC"/>
    <w:rsid w:val="00421870"/>
    <w:rsid w:val="004228C6"/>
    <w:rsid w:val="00422D03"/>
    <w:rsid w:val="00423099"/>
    <w:rsid w:val="0042347C"/>
    <w:rsid w:val="00423CBD"/>
    <w:rsid w:val="004240A9"/>
    <w:rsid w:val="004241CE"/>
    <w:rsid w:val="00424200"/>
    <w:rsid w:val="00424564"/>
    <w:rsid w:val="00424D0A"/>
    <w:rsid w:val="00424E79"/>
    <w:rsid w:val="00424FA9"/>
    <w:rsid w:val="0042558E"/>
    <w:rsid w:val="00425BA1"/>
    <w:rsid w:val="00426142"/>
    <w:rsid w:val="00426178"/>
    <w:rsid w:val="0042661C"/>
    <w:rsid w:val="00427271"/>
    <w:rsid w:val="004274B3"/>
    <w:rsid w:val="00427808"/>
    <w:rsid w:val="00427F27"/>
    <w:rsid w:val="0043009C"/>
    <w:rsid w:val="00430294"/>
    <w:rsid w:val="004303AB"/>
    <w:rsid w:val="0043044F"/>
    <w:rsid w:val="0043062E"/>
    <w:rsid w:val="00430734"/>
    <w:rsid w:val="0043076A"/>
    <w:rsid w:val="00430BDD"/>
    <w:rsid w:val="0043113F"/>
    <w:rsid w:val="00431785"/>
    <w:rsid w:val="00431B17"/>
    <w:rsid w:val="00432048"/>
    <w:rsid w:val="004323EB"/>
    <w:rsid w:val="00432540"/>
    <w:rsid w:val="00432D78"/>
    <w:rsid w:val="00432E48"/>
    <w:rsid w:val="00432ED2"/>
    <w:rsid w:val="004332B3"/>
    <w:rsid w:val="00433469"/>
    <w:rsid w:val="00433529"/>
    <w:rsid w:val="0043362C"/>
    <w:rsid w:val="00433C2A"/>
    <w:rsid w:val="00433F36"/>
    <w:rsid w:val="00433FEE"/>
    <w:rsid w:val="004344BF"/>
    <w:rsid w:val="0043452F"/>
    <w:rsid w:val="00434660"/>
    <w:rsid w:val="00434B15"/>
    <w:rsid w:val="00434B64"/>
    <w:rsid w:val="00435A59"/>
    <w:rsid w:val="00435CB8"/>
    <w:rsid w:val="00436217"/>
    <w:rsid w:val="00436227"/>
    <w:rsid w:val="0043632B"/>
    <w:rsid w:val="00436624"/>
    <w:rsid w:val="00436E6C"/>
    <w:rsid w:val="00437057"/>
    <w:rsid w:val="00437135"/>
    <w:rsid w:val="004375B3"/>
    <w:rsid w:val="00437B99"/>
    <w:rsid w:val="00440360"/>
    <w:rsid w:val="004403F7"/>
    <w:rsid w:val="00440C8C"/>
    <w:rsid w:val="004412FA"/>
    <w:rsid w:val="0044167F"/>
    <w:rsid w:val="004418E1"/>
    <w:rsid w:val="00441CBC"/>
    <w:rsid w:val="00441F98"/>
    <w:rsid w:val="0044207C"/>
    <w:rsid w:val="00442E9B"/>
    <w:rsid w:val="004438E4"/>
    <w:rsid w:val="00443B94"/>
    <w:rsid w:val="00443E1F"/>
    <w:rsid w:val="00443EC1"/>
    <w:rsid w:val="0044403E"/>
    <w:rsid w:val="004441D6"/>
    <w:rsid w:val="00444240"/>
    <w:rsid w:val="004443E1"/>
    <w:rsid w:val="0044566E"/>
    <w:rsid w:val="00446942"/>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433"/>
    <w:rsid w:val="00451970"/>
    <w:rsid w:val="00451E80"/>
    <w:rsid w:val="00452434"/>
    <w:rsid w:val="00452631"/>
    <w:rsid w:val="00452EAE"/>
    <w:rsid w:val="00452EF2"/>
    <w:rsid w:val="00452FEC"/>
    <w:rsid w:val="00453264"/>
    <w:rsid w:val="0045350E"/>
    <w:rsid w:val="0045402E"/>
    <w:rsid w:val="00454DB3"/>
    <w:rsid w:val="004551F2"/>
    <w:rsid w:val="0045521A"/>
    <w:rsid w:val="0045526D"/>
    <w:rsid w:val="00455597"/>
    <w:rsid w:val="00456226"/>
    <w:rsid w:val="0045628F"/>
    <w:rsid w:val="004562B8"/>
    <w:rsid w:val="0045650E"/>
    <w:rsid w:val="004568D7"/>
    <w:rsid w:val="00456E0B"/>
    <w:rsid w:val="004574E7"/>
    <w:rsid w:val="004575B3"/>
    <w:rsid w:val="00457981"/>
    <w:rsid w:val="00457990"/>
    <w:rsid w:val="00457C7C"/>
    <w:rsid w:val="00460114"/>
    <w:rsid w:val="0046147A"/>
    <w:rsid w:val="0046174C"/>
    <w:rsid w:val="00461CDE"/>
    <w:rsid w:val="00462036"/>
    <w:rsid w:val="0046222A"/>
    <w:rsid w:val="00462914"/>
    <w:rsid w:val="00462B54"/>
    <w:rsid w:val="00463064"/>
    <w:rsid w:val="0046334D"/>
    <w:rsid w:val="004633A5"/>
    <w:rsid w:val="004636C5"/>
    <w:rsid w:val="004637AF"/>
    <w:rsid w:val="00463C48"/>
    <w:rsid w:val="00463DB5"/>
    <w:rsid w:val="004640FD"/>
    <w:rsid w:val="00464118"/>
    <w:rsid w:val="004649CD"/>
    <w:rsid w:val="00464C37"/>
    <w:rsid w:val="00465385"/>
    <w:rsid w:val="0046558A"/>
    <w:rsid w:val="004656CF"/>
    <w:rsid w:val="00465D65"/>
    <w:rsid w:val="00465E91"/>
    <w:rsid w:val="00466750"/>
    <w:rsid w:val="00466805"/>
    <w:rsid w:val="0046685B"/>
    <w:rsid w:val="00466FC4"/>
    <w:rsid w:val="004670A0"/>
    <w:rsid w:val="0046770A"/>
    <w:rsid w:val="00467A5C"/>
    <w:rsid w:val="00467ABD"/>
    <w:rsid w:val="00467E2B"/>
    <w:rsid w:val="00470BAE"/>
    <w:rsid w:val="00471411"/>
    <w:rsid w:val="00471956"/>
    <w:rsid w:val="00471D36"/>
    <w:rsid w:val="00471DEC"/>
    <w:rsid w:val="00472461"/>
    <w:rsid w:val="004724BE"/>
    <w:rsid w:val="004727AD"/>
    <w:rsid w:val="00472B98"/>
    <w:rsid w:val="00472DEE"/>
    <w:rsid w:val="00473141"/>
    <w:rsid w:val="004732CA"/>
    <w:rsid w:val="00473C3D"/>
    <w:rsid w:val="00473EBA"/>
    <w:rsid w:val="00474445"/>
    <w:rsid w:val="0047451E"/>
    <w:rsid w:val="00474835"/>
    <w:rsid w:val="00474EA2"/>
    <w:rsid w:val="00474EA4"/>
    <w:rsid w:val="00475B95"/>
    <w:rsid w:val="00475BFE"/>
    <w:rsid w:val="00475C23"/>
    <w:rsid w:val="00475C50"/>
    <w:rsid w:val="004762F3"/>
    <w:rsid w:val="00477042"/>
    <w:rsid w:val="0047711B"/>
    <w:rsid w:val="00477404"/>
    <w:rsid w:val="00477612"/>
    <w:rsid w:val="00477C42"/>
    <w:rsid w:val="00480065"/>
    <w:rsid w:val="00480562"/>
    <w:rsid w:val="00480564"/>
    <w:rsid w:val="004808B8"/>
    <w:rsid w:val="004809B8"/>
    <w:rsid w:val="00480DD9"/>
    <w:rsid w:val="0048119A"/>
    <w:rsid w:val="00481708"/>
    <w:rsid w:val="004817E9"/>
    <w:rsid w:val="00481CFE"/>
    <w:rsid w:val="00481F10"/>
    <w:rsid w:val="004820FA"/>
    <w:rsid w:val="004821B9"/>
    <w:rsid w:val="004824F0"/>
    <w:rsid w:val="00482758"/>
    <w:rsid w:val="00483217"/>
    <w:rsid w:val="0048347E"/>
    <w:rsid w:val="0048397D"/>
    <w:rsid w:val="00483A69"/>
    <w:rsid w:val="00484AA6"/>
    <w:rsid w:val="00484D05"/>
    <w:rsid w:val="00485301"/>
    <w:rsid w:val="00485601"/>
    <w:rsid w:val="00485612"/>
    <w:rsid w:val="00485A0F"/>
    <w:rsid w:val="00485DD4"/>
    <w:rsid w:val="00485F13"/>
    <w:rsid w:val="00486093"/>
    <w:rsid w:val="0048632D"/>
    <w:rsid w:val="00486551"/>
    <w:rsid w:val="00486E2E"/>
    <w:rsid w:val="0048701F"/>
    <w:rsid w:val="00487498"/>
    <w:rsid w:val="00487D40"/>
    <w:rsid w:val="004902A7"/>
    <w:rsid w:val="00490742"/>
    <w:rsid w:val="004908BF"/>
    <w:rsid w:val="00490A31"/>
    <w:rsid w:val="004910A6"/>
    <w:rsid w:val="00491575"/>
    <w:rsid w:val="004916CB"/>
    <w:rsid w:val="0049183D"/>
    <w:rsid w:val="00491880"/>
    <w:rsid w:val="00491D88"/>
    <w:rsid w:val="00491FDF"/>
    <w:rsid w:val="00492271"/>
    <w:rsid w:val="004925BF"/>
    <w:rsid w:val="004926AE"/>
    <w:rsid w:val="004927D8"/>
    <w:rsid w:val="004928BF"/>
    <w:rsid w:val="00492D30"/>
    <w:rsid w:val="00493021"/>
    <w:rsid w:val="00493277"/>
    <w:rsid w:val="004935ED"/>
    <w:rsid w:val="00493631"/>
    <w:rsid w:val="00493BE7"/>
    <w:rsid w:val="004942B5"/>
    <w:rsid w:val="00494E80"/>
    <w:rsid w:val="0049508D"/>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F63"/>
    <w:rsid w:val="00497FBF"/>
    <w:rsid w:val="004A053D"/>
    <w:rsid w:val="004A06F9"/>
    <w:rsid w:val="004A1635"/>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BD"/>
    <w:rsid w:val="004A4E62"/>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EFC"/>
    <w:rsid w:val="004AE0B0"/>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70E"/>
    <w:rsid w:val="004B37D3"/>
    <w:rsid w:val="004B3804"/>
    <w:rsid w:val="004B3B67"/>
    <w:rsid w:val="004B3BF2"/>
    <w:rsid w:val="004B3E57"/>
    <w:rsid w:val="004B4507"/>
    <w:rsid w:val="004B46BB"/>
    <w:rsid w:val="004B4928"/>
    <w:rsid w:val="004B545E"/>
    <w:rsid w:val="004B5C07"/>
    <w:rsid w:val="004B60CB"/>
    <w:rsid w:val="004B6673"/>
    <w:rsid w:val="004B6784"/>
    <w:rsid w:val="004B6BAA"/>
    <w:rsid w:val="004B6E81"/>
    <w:rsid w:val="004B6E89"/>
    <w:rsid w:val="004B7591"/>
    <w:rsid w:val="004B7652"/>
    <w:rsid w:val="004B7B95"/>
    <w:rsid w:val="004C0650"/>
    <w:rsid w:val="004C07D9"/>
    <w:rsid w:val="004C10FE"/>
    <w:rsid w:val="004C12D1"/>
    <w:rsid w:val="004C14AA"/>
    <w:rsid w:val="004C1CB5"/>
    <w:rsid w:val="004C29CF"/>
    <w:rsid w:val="004C2DEE"/>
    <w:rsid w:val="004C30EF"/>
    <w:rsid w:val="004C37DA"/>
    <w:rsid w:val="004C3B79"/>
    <w:rsid w:val="004C4088"/>
    <w:rsid w:val="004C484D"/>
    <w:rsid w:val="004C4C21"/>
    <w:rsid w:val="004C507A"/>
    <w:rsid w:val="004C50F1"/>
    <w:rsid w:val="004C5141"/>
    <w:rsid w:val="004C5197"/>
    <w:rsid w:val="004C5665"/>
    <w:rsid w:val="004C5C5F"/>
    <w:rsid w:val="004C5F4F"/>
    <w:rsid w:val="004C63BB"/>
    <w:rsid w:val="004C641F"/>
    <w:rsid w:val="004C6639"/>
    <w:rsid w:val="004C6876"/>
    <w:rsid w:val="004C7986"/>
    <w:rsid w:val="004C7D58"/>
    <w:rsid w:val="004D075D"/>
    <w:rsid w:val="004D07EB"/>
    <w:rsid w:val="004D0A49"/>
    <w:rsid w:val="004D0B88"/>
    <w:rsid w:val="004D0C27"/>
    <w:rsid w:val="004D0D2B"/>
    <w:rsid w:val="004D0DFB"/>
    <w:rsid w:val="004D1AB3"/>
    <w:rsid w:val="004D1C82"/>
    <w:rsid w:val="004D210D"/>
    <w:rsid w:val="004D228F"/>
    <w:rsid w:val="004D2819"/>
    <w:rsid w:val="004D281A"/>
    <w:rsid w:val="004D2B7A"/>
    <w:rsid w:val="004D2E82"/>
    <w:rsid w:val="004D2F55"/>
    <w:rsid w:val="004D3041"/>
    <w:rsid w:val="004D31E0"/>
    <w:rsid w:val="004D3287"/>
    <w:rsid w:val="004D34A9"/>
    <w:rsid w:val="004D3571"/>
    <w:rsid w:val="004D3F61"/>
    <w:rsid w:val="004D479B"/>
    <w:rsid w:val="004D48FD"/>
    <w:rsid w:val="004D4CF4"/>
    <w:rsid w:val="004D4E8E"/>
    <w:rsid w:val="004D55D1"/>
    <w:rsid w:val="004D56AB"/>
    <w:rsid w:val="004D6797"/>
    <w:rsid w:val="004D693C"/>
    <w:rsid w:val="004D6EF5"/>
    <w:rsid w:val="004D7100"/>
    <w:rsid w:val="004D7660"/>
    <w:rsid w:val="004D76E1"/>
    <w:rsid w:val="004D7E55"/>
    <w:rsid w:val="004E094F"/>
    <w:rsid w:val="004E0B48"/>
    <w:rsid w:val="004E10E4"/>
    <w:rsid w:val="004E1357"/>
    <w:rsid w:val="004E186D"/>
    <w:rsid w:val="004E1956"/>
    <w:rsid w:val="004E2194"/>
    <w:rsid w:val="004E225E"/>
    <w:rsid w:val="004E269F"/>
    <w:rsid w:val="004E2879"/>
    <w:rsid w:val="004E3A95"/>
    <w:rsid w:val="004E3B79"/>
    <w:rsid w:val="004E406C"/>
    <w:rsid w:val="004E420A"/>
    <w:rsid w:val="004E4825"/>
    <w:rsid w:val="004E4899"/>
    <w:rsid w:val="004E4AAD"/>
    <w:rsid w:val="004E513E"/>
    <w:rsid w:val="004E53FF"/>
    <w:rsid w:val="004E55D2"/>
    <w:rsid w:val="004E59E1"/>
    <w:rsid w:val="004E6073"/>
    <w:rsid w:val="004E6318"/>
    <w:rsid w:val="004E6499"/>
    <w:rsid w:val="004E6719"/>
    <w:rsid w:val="004E6B7D"/>
    <w:rsid w:val="004E6DD8"/>
    <w:rsid w:val="004E7076"/>
    <w:rsid w:val="004E7104"/>
    <w:rsid w:val="004E7517"/>
    <w:rsid w:val="004E7519"/>
    <w:rsid w:val="004E769A"/>
    <w:rsid w:val="004E7AEB"/>
    <w:rsid w:val="004E7C01"/>
    <w:rsid w:val="004F03D5"/>
    <w:rsid w:val="004F0684"/>
    <w:rsid w:val="004F06A5"/>
    <w:rsid w:val="004F07A1"/>
    <w:rsid w:val="004F0B92"/>
    <w:rsid w:val="004F1173"/>
    <w:rsid w:val="004F148C"/>
    <w:rsid w:val="004F1ACF"/>
    <w:rsid w:val="004F1BA7"/>
    <w:rsid w:val="004F249A"/>
    <w:rsid w:val="004F2A15"/>
    <w:rsid w:val="004F2C66"/>
    <w:rsid w:val="004F2CB7"/>
    <w:rsid w:val="004F2F39"/>
    <w:rsid w:val="004F2F52"/>
    <w:rsid w:val="004F3156"/>
    <w:rsid w:val="004F31AE"/>
    <w:rsid w:val="004F32DC"/>
    <w:rsid w:val="004F341F"/>
    <w:rsid w:val="004F383C"/>
    <w:rsid w:val="004F3A8E"/>
    <w:rsid w:val="004F3B60"/>
    <w:rsid w:val="004F3F7A"/>
    <w:rsid w:val="004F491F"/>
    <w:rsid w:val="004F4A13"/>
    <w:rsid w:val="004F502A"/>
    <w:rsid w:val="004F53E2"/>
    <w:rsid w:val="004F585C"/>
    <w:rsid w:val="004F58D3"/>
    <w:rsid w:val="004F5CEF"/>
    <w:rsid w:val="004F5D2B"/>
    <w:rsid w:val="004F5F48"/>
    <w:rsid w:val="004F6230"/>
    <w:rsid w:val="004F628E"/>
    <w:rsid w:val="004F6439"/>
    <w:rsid w:val="004F65C1"/>
    <w:rsid w:val="004F6794"/>
    <w:rsid w:val="004F750C"/>
    <w:rsid w:val="004F7531"/>
    <w:rsid w:val="004F7F2F"/>
    <w:rsid w:val="0050005E"/>
    <w:rsid w:val="00500160"/>
    <w:rsid w:val="005003BB"/>
    <w:rsid w:val="00500586"/>
    <w:rsid w:val="005007BA"/>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051"/>
    <w:rsid w:val="00502C17"/>
    <w:rsid w:val="00502C52"/>
    <w:rsid w:val="00503344"/>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856"/>
    <w:rsid w:val="00505BAE"/>
    <w:rsid w:val="00505E22"/>
    <w:rsid w:val="005060F6"/>
    <w:rsid w:val="005062FE"/>
    <w:rsid w:val="00506956"/>
    <w:rsid w:val="00506973"/>
    <w:rsid w:val="005069BD"/>
    <w:rsid w:val="00506F90"/>
    <w:rsid w:val="0050707B"/>
    <w:rsid w:val="00507243"/>
    <w:rsid w:val="005074E8"/>
    <w:rsid w:val="0050753C"/>
    <w:rsid w:val="00507B89"/>
    <w:rsid w:val="00510370"/>
    <w:rsid w:val="005105DA"/>
    <w:rsid w:val="00510FDF"/>
    <w:rsid w:val="00511267"/>
    <w:rsid w:val="00511662"/>
    <w:rsid w:val="005117F7"/>
    <w:rsid w:val="00511C48"/>
    <w:rsid w:val="00511CE8"/>
    <w:rsid w:val="00511D3F"/>
    <w:rsid w:val="00511D63"/>
    <w:rsid w:val="00512025"/>
    <w:rsid w:val="005127C1"/>
    <w:rsid w:val="0051299B"/>
    <w:rsid w:val="00512BD8"/>
    <w:rsid w:val="00512CC3"/>
    <w:rsid w:val="0051339F"/>
    <w:rsid w:val="005134EA"/>
    <w:rsid w:val="00513553"/>
    <w:rsid w:val="005138B1"/>
    <w:rsid w:val="00513DC7"/>
    <w:rsid w:val="00513E6D"/>
    <w:rsid w:val="00513F21"/>
    <w:rsid w:val="00514161"/>
    <w:rsid w:val="00514559"/>
    <w:rsid w:val="00514685"/>
    <w:rsid w:val="00514A33"/>
    <w:rsid w:val="00515380"/>
    <w:rsid w:val="005153F3"/>
    <w:rsid w:val="0051549E"/>
    <w:rsid w:val="005155DD"/>
    <w:rsid w:val="005155F1"/>
    <w:rsid w:val="00515B60"/>
    <w:rsid w:val="00515BF2"/>
    <w:rsid w:val="00515DC1"/>
    <w:rsid w:val="00516118"/>
    <w:rsid w:val="0051639F"/>
    <w:rsid w:val="00516C18"/>
    <w:rsid w:val="005171F2"/>
    <w:rsid w:val="005176CA"/>
    <w:rsid w:val="0051783F"/>
    <w:rsid w:val="00517A74"/>
    <w:rsid w:val="00517B22"/>
    <w:rsid w:val="00520091"/>
    <w:rsid w:val="00520495"/>
    <w:rsid w:val="0052050A"/>
    <w:rsid w:val="00520530"/>
    <w:rsid w:val="005206F3"/>
    <w:rsid w:val="00520D09"/>
    <w:rsid w:val="00520FFC"/>
    <w:rsid w:val="0052116B"/>
    <w:rsid w:val="00521244"/>
    <w:rsid w:val="005213EB"/>
    <w:rsid w:val="00521758"/>
    <w:rsid w:val="00521E5E"/>
    <w:rsid w:val="00521F7D"/>
    <w:rsid w:val="005223D3"/>
    <w:rsid w:val="00522660"/>
    <w:rsid w:val="005227A8"/>
    <w:rsid w:val="00522967"/>
    <w:rsid w:val="005235D1"/>
    <w:rsid w:val="005236C0"/>
    <w:rsid w:val="00523C7A"/>
    <w:rsid w:val="00523DCF"/>
    <w:rsid w:val="00524457"/>
    <w:rsid w:val="0052445F"/>
    <w:rsid w:val="005244E9"/>
    <w:rsid w:val="00524A7D"/>
    <w:rsid w:val="00524E4E"/>
    <w:rsid w:val="00525268"/>
    <w:rsid w:val="00525367"/>
    <w:rsid w:val="005253CA"/>
    <w:rsid w:val="005253FC"/>
    <w:rsid w:val="005256A7"/>
    <w:rsid w:val="005259C4"/>
    <w:rsid w:val="00525B2F"/>
    <w:rsid w:val="0052604A"/>
    <w:rsid w:val="005260B6"/>
    <w:rsid w:val="005260FD"/>
    <w:rsid w:val="0052638F"/>
    <w:rsid w:val="00526495"/>
    <w:rsid w:val="005269C5"/>
    <w:rsid w:val="00527084"/>
    <w:rsid w:val="005270FC"/>
    <w:rsid w:val="00527486"/>
    <w:rsid w:val="0052773D"/>
    <w:rsid w:val="00527841"/>
    <w:rsid w:val="005279AE"/>
    <w:rsid w:val="00527F6D"/>
    <w:rsid w:val="00530736"/>
    <w:rsid w:val="00530C32"/>
    <w:rsid w:val="00530DB1"/>
    <w:rsid w:val="005312A7"/>
    <w:rsid w:val="00531B3F"/>
    <w:rsid w:val="00531FA2"/>
    <w:rsid w:val="00532494"/>
    <w:rsid w:val="00532B13"/>
    <w:rsid w:val="00532CB2"/>
    <w:rsid w:val="00532D10"/>
    <w:rsid w:val="00533149"/>
    <w:rsid w:val="0053371D"/>
    <w:rsid w:val="00533B84"/>
    <w:rsid w:val="00534593"/>
    <w:rsid w:val="0053498F"/>
    <w:rsid w:val="00534A1C"/>
    <w:rsid w:val="00534D7D"/>
    <w:rsid w:val="005350DC"/>
    <w:rsid w:val="00535252"/>
    <w:rsid w:val="0053539E"/>
    <w:rsid w:val="00535C83"/>
    <w:rsid w:val="00535CB4"/>
    <w:rsid w:val="00535DFF"/>
    <w:rsid w:val="00536010"/>
    <w:rsid w:val="0053606A"/>
    <w:rsid w:val="00536237"/>
    <w:rsid w:val="00536896"/>
    <w:rsid w:val="00536AD5"/>
    <w:rsid w:val="00537146"/>
    <w:rsid w:val="00537904"/>
    <w:rsid w:val="00537A77"/>
    <w:rsid w:val="00537A7E"/>
    <w:rsid w:val="00537C63"/>
    <w:rsid w:val="00540310"/>
    <w:rsid w:val="005408E1"/>
    <w:rsid w:val="00540EB6"/>
    <w:rsid w:val="00540F9D"/>
    <w:rsid w:val="0054154D"/>
    <w:rsid w:val="00541A14"/>
    <w:rsid w:val="005420F8"/>
    <w:rsid w:val="0054211F"/>
    <w:rsid w:val="005422EE"/>
    <w:rsid w:val="00542643"/>
    <w:rsid w:val="00542D62"/>
    <w:rsid w:val="00542E34"/>
    <w:rsid w:val="00543462"/>
    <w:rsid w:val="00543834"/>
    <w:rsid w:val="0054390B"/>
    <w:rsid w:val="00543A5B"/>
    <w:rsid w:val="00543F9C"/>
    <w:rsid w:val="00544300"/>
    <w:rsid w:val="00544774"/>
    <w:rsid w:val="00544BF1"/>
    <w:rsid w:val="00545290"/>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5000A"/>
    <w:rsid w:val="0055036C"/>
    <w:rsid w:val="0055047F"/>
    <w:rsid w:val="0055087D"/>
    <w:rsid w:val="00550AB0"/>
    <w:rsid w:val="00550CBF"/>
    <w:rsid w:val="00550E84"/>
    <w:rsid w:val="00551368"/>
    <w:rsid w:val="005513AC"/>
    <w:rsid w:val="0055141A"/>
    <w:rsid w:val="00551759"/>
    <w:rsid w:val="005524B0"/>
    <w:rsid w:val="00552B0F"/>
    <w:rsid w:val="00552C3B"/>
    <w:rsid w:val="00552CD2"/>
    <w:rsid w:val="00552F7C"/>
    <w:rsid w:val="00552FCC"/>
    <w:rsid w:val="0055344F"/>
    <w:rsid w:val="00553893"/>
    <w:rsid w:val="00553D16"/>
    <w:rsid w:val="00553DFB"/>
    <w:rsid w:val="00554139"/>
    <w:rsid w:val="00554316"/>
    <w:rsid w:val="00554894"/>
    <w:rsid w:val="00554A84"/>
    <w:rsid w:val="00554F08"/>
    <w:rsid w:val="00554FFD"/>
    <w:rsid w:val="005555DB"/>
    <w:rsid w:val="0055584F"/>
    <w:rsid w:val="0055587F"/>
    <w:rsid w:val="00555AE0"/>
    <w:rsid w:val="00555AEC"/>
    <w:rsid w:val="00555B16"/>
    <w:rsid w:val="00555F09"/>
    <w:rsid w:val="00556028"/>
    <w:rsid w:val="00556EFB"/>
    <w:rsid w:val="00557296"/>
    <w:rsid w:val="005577B0"/>
    <w:rsid w:val="00557B39"/>
    <w:rsid w:val="0055AC17"/>
    <w:rsid w:val="0056013B"/>
    <w:rsid w:val="00560192"/>
    <w:rsid w:val="00561241"/>
    <w:rsid w:val="00561AB3"/>
    <w:rsid w:val="00562084"/>
    <w:rsid w:val="005623EA"/>
    <w:rsid w:val="005626AD"/>
    <w:rsid w:val="00562EA1"/>
    <w:rsid w:val="005630B7"/>
    <w:rsid w:val="005632E4"/>
    <w:rsid w:val="0056375B"/>
    <w:rsid w:val="00563DF2"/>
    <w:rsid w:val="00564369"/>
    <w:rsid w:val="00564B82"/>
    <w:rsid w:val="00564C58"/>
    <w:rsid w:val="005651AA"/>
    <w:rsid w:val="00565333"/>
    <w:rsid w:val="0056574F"/>
    <w:rsid w:val="005658BD"/>
    <w:rsid w:val="00565AA0"/>
    <w:rsid w:val="00565BB7"/>
    <w:rsid w:val="00565DB9"/>
    <w:rsid w:val="0056644C"/>
    <w:rsid w:val="005669BC"/>
    <w:rsid w:val="00566AD4"/>
    <w:rsid w:val="00566D15"/>
    <w:rsid w:val="00567154"/>
    <w:rsid w:val="00567562"/>
    <w:rsid w:val="005675DF"/>
    <w:rsid w:val="005679ED"/>
    <w:rsid w:val="00567BDA"/>
    <w:rsid w:val="00567BE3"/>
    <w:rsid w:val="00567DE1"/>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4F6"/>
    <w:rsid w:val="00574B37"/>
    <w:rsid w:val="005754ED"/>
    <w:rsid w:val="00575AE0"/>
    <w:rsid w:val="00575B15"/>
    <w:rsid w:val="00575B53"/>
    <w:rsid w:val="00575CAC"/>
    <w:rsid w:val="00575DEF"/>
    <w:rsid w:val="00575F16"/>
    <w:rsid w:val="00576C5F"/>
    <w:rsid w:val="00577004"/>
    <w:rsid w:val="005771F0"/>
    <w:rsid w:val="0057740D"/>
    <w:rsid w:val="005774BA"/>
    <w:rsid w:val="005778C8"/>
    <w:rsid w:val="005778EF"/>
    <w:rsid w:val="00577A25"/>
    <w:rsid w:val="00577A7F"/>
    <w:rsid w:val="0058013F"/>
    <w:rsid w:val="005801A4"/>
    <w:rsid w:val="00580A06"/>
    <w:rsid w:val="0058131B"/>
    <w:rsid w:val="005816FA"/>
    <w:rsid w:val="005818C7"/>
    <w:rsid w:val="0058211D"/>
    <w:rsid w:val="0058248A"/>
    <w:rsid w:val="005826EA"/>
    <w:rsid w:val="0058358D"/>
    <w:rsid w:val="0058385F"/>
    <w:rsid w:val="00583A33"/>
    <w:rsid w:val="00583DAA"/>
    <w:rsid w:val="00583E24"/>
    <w:rsid w:val="00583F94"/>
    <w:rsid w:val="0058453E"/>
    <w:rsid w:val="00584619"/>
    <w:rsid w:val="00584BE4"/>
    <w:rsid w:val="00584BFC"/>
    <w:rsid w:val="005852F7"/>
    <w:rsid w:val="0058546C"/>
    <w:rsid w:val="005854C4"/>
    <w:rsid w:val="00585A79"/>
    <w:rsid w:val="00585D6F"/>
    <w:rsid w:val="005860AF"/>
    <w:rsid w:val="005867D2"/>
    <w:rsid w:val="0058687D"/>
    <w:rsid w:val="005869CB"/>
    <w:rsid w:val="005870E2"/>
    <w:rsid w:val="0058724E"/>
    <w:rsid w:val="005875A5"/>
    <w:rsid w:val="00587876"/>
    <w:rsid w:val="0058798E"/>
    <w:rsid w:val="0059013D"/>
    <w:rsid w:val="00590781"/>
    <w:rsid w:val="00590862"/>
    <w:rsid w:val="005909A8"/>
    <w:rsid w:val="00590D4E"/>
    <w:rsid w:val="00590E3D"/>
    <w:rsid w:val="005910E0"/>
    <w:rsid w:val="00591C16"/>
    <w:rsid w:val="00592808"/>
    <w:rsid w:val="00592A0D"/>
    <w:rsid w:val="00592A8E"/>
    <w:rsid w:val="00592B45"/>
    <w:rsid w:val="00592B77"/>
    <w:rsid w:val="00593FA4"/>
    <w:rsid w:val="00594376"/>
    <w:rsid w:val="005944B6"/>
    <w:rsid w:val="00594A61"/>
    <w:rsid w:val="00594F1D"/>
    <w:rsid w:val="00594F6F"/>
    <w:rsid w:val="005953AD"/>
    <w:rsid w:val="005956B6"/>
    <w:rsid w:val="005956E3"/>
    <w:rsid w:val="00595894"/>
    <w:rsid w:val="00595996"/>
    <w:rsid w:val="00596154"/>
    <w:rsid w:val="005963CC"/>
    <w:rsid w:val="00596841"/>
    <w:rsid w:val="00596861"/>
    <w:rsid w:val="00596C9B"/>
    <w:rsid w:val="00596E19"/>
    <w:rsid w:val="00596E80"/>
    <w:rsid w:val="005978AA"/>
    <w:rsid w:val="0059794D"/>
    <w:rsid w:val="00597AA8"/>
    <w:rsid w:val="005A02D7"/>
    <w:rsid w:val="005A07F1"/>
    <w:rsid w:val="005A083E"/>
    <w:rsid w:val="005A0E45"/>
    <w:rsid w:val="005A1113"/>
    <w:rsid w:val="005A1369"/>
    <w:rsid w:val="005A16FB"/>
    <w:rsid w:val="005A1986"/>
    <w:rsid w:val="005A1C71"/>
    <w:rsid w:val="005A2049"/>
    <w:rsid w:val="005A241E"/>
    <w:rsid w:val="005A27FB"/>
    <w:rsid w:val="005A28B4"/>
    <w:rsid w:val="005A2FEF"/>
    <w:rsid w:val="005A38AA"/>
    <w:rsid w:val="005A3C3C"/>
    <w:rsid w:val="005A3C9B"/>
    <w:rsid w:val="005A418F"/>
    <w:rsid w:val="005A449D"/>
    <w:rsid w:val="005A46A3"/>
    <w:rsid w:val="005A46F6"/>
    <w:rsid w:val="005A472C"/>
    <w:rsid w:val="005A4869"/>
    <w:rsid w:val="005A4897"/>
    <w:rsid w:val="005A4A43"/>
    <w:rsid w:val="005A4C3D"/>
    <w:rsid w:val="005A4C76"/>
    <w:rsid w:val="005A50D2"/>
    <w:rsid w:val="005A51A0"/>
    <w:rsid w:val="005A5325"/>
    <w:rsid w:val="005A5557"/>
    <w:rsid w:val="005A573A"/>
    <w:rsid w:val="005A61A7"/>
    <w:rsid w:val="005A61F3"/>
    <w:rsid w:val="005A627D"/>
    <w:rsid w:val="005A6649"/>
    <w:rsid w:val="005A6F61"/>
    <w:rsid w:val="005A6F92"/>
    <w:rsid w:val="005A6FED"/>
    <w:rsid w:val="005A70E5"/>
    <w:rsid w:val="005A7323"/>
    <w:rsid w:val="005A777A"/>
    <w:rsid w:val="005A78B2"/>
    <w:rsid w:val="005A7A57"/>
    <w:rsid w:val="005A7AA4"/>
    <w:rsid w:val="005B05E7"/>
    <w:rsid w:val="005B0992"/>
    <w:rsid w:val="005B0AE8"/>
    <w:rsid w:val="005B0B39"/>
    <w:rsid w:val="005B10EF"/>
    <w:rsid w:val="005B13CE"/>
    <w:rsid w:val="005B166A"/>
    <w:rsid w:val="005B1A25"/>
    <w:rsid w:val="005B1B3E"/>
    <w:rsid w:val="005B1BC4"/>
    <w:rsid w:val="005B1D50"/>
    <w:rsid w:val="005B2836"/>
    <w:rsid w:val="005B2C40"/>
    <w:rsid w:val="005B2D3D"/>
    <w:rsid w:val="005B3B14"/>
    <w:rsid w:val="005B3C66"/>
    <w:rsid w:val="005B3D11"/>
    <w:rsid w:val="005B411C"/>
    <w:rsid w:val="005B4BA3"/>
    <w:rsid w:val="005B4E4D"/>
    <w:rsid w:val="005B5538"/>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C01A8"/>
    <w:rsid w:val="005C06F8"/>
    <w:rsid w:val="005C072C"/>
    <w:rsid w:val="005C0E15"/>
    <w:rsid w:val="005C1023"/>
    <w:rsid w:val="005C1384"/>
    <w:rsid w:val="005C13B2"/>
    <w:rsid w:val="005C17A1"/>
    <w:rsid w:val="005C1815"/>
    <w:rsid w:val="005C1AEC"/>
    <w:rsid w:val="005C1DE5"/>
    <w:rsid w:val="005C1FC1"/>
    <w:rsid w:val="005C27E3"/>
    <w:rsid w:val="005C33AA"/>
    <w:rsid w:val="005C37CB"/>
    <w:rsid w:val="005C3BE8"/>
    <w:rsid w:val="005C3EF8"/>
    <w:rsid w:val="005C3FE3"/>
    <w:rsid w:val="005C43CC"/>
    <w:rsid w:val="005C459C"/>
    <w:rsid w:val="005C475A"/>
    <w:rsid w:val="005C5AB2"/>
    <w:rsid w:val="005C5C95"/>
    <w:rsid w:val="005C614F"/>
    <w:rsid w:val="005C71FB"/>
    <w:rsid w:val="005C74C5"/>
    <w:rsid w:val="005C76CC"/>
    <w:rsid w:val="005C7775"/>
    <w:rsid w:val="005C7FCF"/>
    <w:rsid w:val="005D02FB"/>
    <w:rsid w:val="005D1457"/>
    <w:rsid w:val="005D14B9"/>
    <w:rsid w:val="005D1A9F"/>
    <w:rsid w:val="005D1C71"/>
    <w:rsid w:val="005D1D91"/>
    <w:rsid w:val="005D28CC"/>
    <w:rsid w:val="005D292F"/>
    <w:rsid w:val="005D2A87"/>
    <w:rsid w:val="005D3264"/>
    <w:rsid w:val="005D34EA"/>
    <w:rsid w:val="005D368B"/>
    <w:rsid w:val="005D3E8E"/>
    <w:rsid w:val="005D40A9"/>
    <w:rsid w:val="005D42BD"/>
    <w:rsid w:val="005D45B5"/>
    <w:rsid w:val="005D4661"/>
    <w:rsid w:val="005D4C57"/>
    <w:rsid w:val="005D4FE1"/>
    <w:rsid w:val="005D5075"/>
    <w:rsid w:val="005D50C0"/>
    <w:rsid w:val="005D52FA"/>
    <w:rsid w:val="005D5403"/>
    <w:rsid w:val="005D600F"/>
    <w:rsid w:val="005D6013"/>
    <w:rsid w:val="005D6612"/>
    <w:rsid w:val="005D66F5"/>
    <w:rsid w:val="005D697E"/>
    <w:rsid w:val="005D7088"/>
    <w:rsid w:val="005D76AE"/>
    <w:rsid w:val="005D76DE"/>
    <w:rsid w:val="005D7713"/>
    <w:rsid w:val="005D777B"/>
    <w:rsid w:val="005D77DE"/>
    <w:rsid w:val="005D7D29"/>
    <w:rsid w:val="005D7EBF"/>
    <w:rsid w:val="005E05A1"/>
    <w:rsid w:val="005E09E4"/>
    <w:rsid w:val="005E0D78"/>
    <w:rsid w:val="005E1726"/>
    <w:rsid w:val="005E235A"/>
    <w:rsid w:val="005E2513"/>
    <w:rsid w:val="005E25C0"/>
    <w:rsid w:val="005E266F"/>
    <w:rsid w:val="005E2BCF"/>
    <w:rsid w:val="005E2FA1"/>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7E3"/>
    <w:rsid w:val="005F0616"/>
    <w:rsid w:val="005F0727"/>
    <w:rsid w:val="005F07DC"/>
    <w:rsid w:val="005F0C34"/>
    <w:rsid w:val="005F0EAB"/>
    <w:rsid w:val="005F0FB4"/>
    <w:rsid w:val="005F13BD"/>
    <w:rsid w:val="005F1859"/>
    <w:rsid w:val="005F1AC8"/>
    <w:rsid w:val="005F1B25"/>
    <w:rsid w:val="005F21AF"/>
    <w:rsid w:val="005F21FB"/>
    <w:rsid w:val="005F257C"/>
    <w:rsid w:val="005F25E2"/>
    <w:rsid w:val="005F27E3"/>
    <w:rsid w:val="005F2B4F"/>
    <w:rsid w:val="005F347F"/>
    <w:rsid w:val="005F35AA"/>
    <w:rsid w:val="005F37DB"/>
    <w:rsid w:val="005F38CE"/>
    <w:rsid w:val="005F40DE"/>
    <w:rsid w:val="005F4421"/>
    <w:rsid w:val="005F4927"/>
    <w:rsid w:val="005F49F4"/>
    <w:rsid w:val="005F4ABD"/>
    <w:rsid w:val="005F4B7D"/>
    <w:rsid w:val="005F4D34"/>
    <w:rsid w:val="005F4DB6"/>
    <w:rsid w:val="005F4E65"/>
    <w:rsid w:val="005F4F77"/>
    <w:rsid w:val="005F557D"/>
    <w:rsid w:val="005F56F3"/>
    <w:rsid w:val="005F59E5"/>
    <w:rsid w:val="005F5A0F"/>
    <w:rsid w:val="005F5EDF"/>
    <w:rsid w:val="005F6035"/>
    <w:rsid w:val="005F61C5"/>
    <w:rsid w:val="005F63D8"/>
    <w:rsid w:val="005F64FB"/>
    <w:rsid w:val="005F67EC"/>
    <w:rsid w:val="005F6A3F"/>
    <w:rsid w:val="005F6BBB"/>
    <w:rsid w:val="005F6C45"/>
    <w:rsid w:val="005F71EC"/>
    <w:rsid w:val="005F789F"/>
    <w:rsid w:val="006000CD"/>
    <w:rsid w:val="006000FB"/>
    <w:rsid w:val="00600265"/>
    <w:rsid w:val="006006E4"/>
    <w:rsid w:val="00600754"/>
    <w:rsid w:val="0060119A"/>
    <w:rsid w:val="006022D0"/>
    <w:rsid w:val="0060251E"/>
    <w:rsid w:val="00602A68"/>
    <w:rsid w:val="00602DDE"/>
    <w:rsid w:val="00602E0C"/>
    <w:rsid w:val="0060339B"/>
    <w:rsid w:val="00603552"/>
    <w:rsid w:val="006043C3"/>
    <w:rsid w:val="006046E4"/>
    <w:rsid w:val="00604BC5"/>
    <w:rsid w:val="00604D85"/>
    <w:rsid w:val="00605037"/>
    <w:rsid w:val="0060577C"/>
    <w:rsid w:val="006058B4"/>
    <w:rsid w:val="006059B6"/>
    <w:rsid w:val="00605E04"/>
    <w:rsid w:val="00605E0D"/>
    <w:rsid w:val="00605FFE"/>
    <w:rsid w:val="006063CB"/>
    <w:rsid w:val="006063F2"/>
    <w:rsid w:val="0060650C"/>
    <w:rsid w:val="006065F1"/>
    <w:rsid w:val="00606B37"/>
    <w:rsid w:val="00606FF6"/>
    <w:rsid w:val="00607252"/>
    <w:rsid w:val="00607624"/>
    <w:rsid w:val="00607C2E"/>
    <w:rsid w:val="00610137"/>
    <w:rsid w:val="0061038C"/>
    <w:rsid w:val="006106C1"/>
    <w:rsid w:val="006106F4"/>
    <w:rsid w:val="00610B28"/>
    <w:rsid w:val="00610F52"/>
    <w:rsid w:val="0061124A"/>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3A6"/>
    <w:rsid w:val="006134CA"/>
    <w:rsid w:val="006136FB"/>
    <w:rsid w:val="00613846"/>
    <w:rsid w:val="00613ECE"/>
    <w:rsid w:val="0061461E"/>
    <w:rsid w:val="00614646"/>
    <w:rsid w:val="006148C3"/>
    <w:rsid w:val="0061494C"/>
    <w:rsid w:val="00614B35"/>
    <w:rsid w:val="00614DE8"/>
    <w:rsid w:val="006152D6"/>
    <w:rsid w:val="006154EE"/>
    <w:rsid w:val="00615A35"/>
    <w:rsid w:val="00615D64"/>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40E"/>
    <w:rsid w:val="0062183A"/>
    <w:rsid w:val="00621884"/>
    <w:rsid w:val="00622143"/>
    <w:rsid w:val="00622388"/>
    <w:rsid w:val="006224B8"/>
    <w:rsid w:val="00622669"/>
    <w:rsid w:val="0062286A"/>
    <w:rsid w:val="00622B1A"/>
    <w:rsid w:val="00622E0B"/>
    <w:rsid w:val="00622EFD"/>
    <w:rsid w:val="00622FE1"/>
    <w:rsid w:val="006230E8"/>
    <w:rsid w:val="0062325B"/>
    <w:rsid w:val="00623438"/>
    <w:rsid w:val="006237DE"/>
    <w:rsid w:val="00623960"/>
    <w:rsid w:val="00623999"/>
    <w:rsid w:val="006240FF"/>
    <w:rsid w:val="0062416C"/>
    <w:rsid w:val="006241BC"/>
    <w:rsid w:val="00624470"/>
    <w:rsid w:val="00624510"/>
    <w:rsid w:val="0062488E"/>
    <w:rsid w:val="006249B1"/>
    <w:rsid w:val="00624CAC"/>
    <w:rsid w:val="00624F4E"/>
    <w:rsid w:val="00624F7C"/>
    <w:rsid w:val="006253B7"/>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EBB"/>
    <w:rsid w:val="00637170"/>
    <w:rsid w:val="00637208"/>
    <w:rsid w:val="006374E0"/>
    <w:rsid w:val="00637764"/>
    <w:rsid w:val="00637C38"/>
    <w:rsid w:val="00637CBA"/>
    <w:rsid w:val="00640576"/>
    <w:rsid w:val="0064059A"/>
    <w:rsid w:val="00640962"/>
    <w:rsid w:val="00640AC5"/>
    <w:rsid w:val="0064126C"/>
    <w:rsid w:val="006413AA"/>
    <w:rsid w:val="006416D2"/>
    <w:rsid w:val="00641A83"/>
    <w:rsid w:val="00641D62"/>
    <w:rsid w:val="00641D96"/>
    <w:rsid w:val="006423AA"/>
    <w:rsid w:val="00642E37"/>
    <w:rsid w:val="00642F08"/>
    <w:rsid w:val="0064319B"/>
    <w:rsid w:val="00643AF4"/>
    <w:rsid w:val="00643E35"/>
    <w:rsid w:val="00644178"/>
    <w:rsid w:val="006441F6"/>
    <w:rsid w:val="0064422A"/>
    <w:rsid w:val="00644A7B"/>
    <w:rsid w:val="00644D3A"/>
    <w:rsid w:val="00644DE9"/>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A7F"/>
    <w:rsid w:val="00650941"/>
    <w:rsid w:val="00650C28"/>
    <w:rsid w:val="00650E6D"/>
    <w:rsid w:val="006510CE"/>
    <w:rsid w:val="006512D6"/>
    <w:rsid w:val="00651812"/>
    <w:rsid w:val="0065196B"/>
    <w:rsid w:val="00651BBB"/>
    <w:rsid w:val="00651C59"/>
    <w:rsid w:val="00651D74"/>
    <w:rsid w:val="00652880"/>
    <w:rsid w:val="00652C3A"/>
    <w:rsid w:val="00652DB7"/>
    <w:rsid w:val="00652FCE"/>
    <w:rsid w:val="0065394F"/>
    <w:rsid w:val="00653B1B"/>
    <w:rsid w:val="00653B30"/>
    <w:rsid w:val="006541F5"/>
    <w:rsid w:val="006543BA"/>
    <w:rsid w:val="00654926"/>
    <w:rsid w:val="00654D72"/>
    <w:rsid w:val="006553F3"/>
    <w:rsid w:val="006556D1"/>
    <w:rsid w:val="006556D9"/>
    <w:rsid w:val="00655AEE"/>
    <w:rsid w:val="00655BB2"/>
    <w:rsid w:val="0065607A"/>
    <w:rsid w:val="006564CB"/>
    <w:rsid w:val="006565F7"/>
    <w:rsid w:val="006566BF"/>
    <w:rsid w:val="00656CDB"/>
    <w:rsid w:val="00656DA0"/>
    <w:rsid w:val="00657123"/>
    <w:rsid w:val="00657189"/>
    <w:rsid w:val="0065724E"/>
    <w:rsid w:val="006576EC"/>
    <w:rsid w:val="00657F90"/>
    <w:rsid w:val="006600DB"/>
    <w:rsid w:val="006613C0"/>
    <w:rsid w:val="0066194E"/>
    <w:rsid w:val="00661C46"/>
    <w:rsid w:val="0066202F"/>
    <w:rsid w:val="006622A8"/>
    <w:rsid w:val="006626BE"/>
    <w:rsid w:val="006630FC"/>
    <w:rsid w:val="00663147"/>
    <w:rsid w:val="00663344"/>
    <w:rsid w:val="00663C93"/>
    <w:rsid w:val="00663DFB"/>
    <w:rsid w:val="006643DB"/>
    <w:rsid w:val="00664416"/>
    <w:rsid w:val="006644E1"/>
    <w:rsid w:val="006645EC"/>
    <w:rsid w:val="00664642"/>
    <w:rsid w:val="00664674"/>
    <w:rsid w:val="00664C0C"/>
    <w:rsid w:val="0066506E"/>
    <w:rsid w:val="006652D3"/>
    <w:rsid w:val="0066540D"/>
    <w:rsid w:val="00665888"/>
    <w:rsid w:val="00665FF8"/>
    <w:rsid w:val="0066678C"/>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D58"/>
    <w:rsid w:val="006758C9"/>
    <w:rsid w:val="00675A5F"/>
    <w:rsid w:val="006764BC"/>
    <w:rsid w:val="006769C4"/>
    <w:rsid w:val="00676C6F"/>
    <w:rsid w:val="00677456"/>
    <w:rsid w:val="006774B0"/>
    <w:rsid w:val="00677627"/>
    <w:rsid w:val="006776C7"/>
    <w:rsid w:val="00677743"/>
    <w:rsid w:val="00677A67"/>
    <w:rsid w:val="00677A87"/>
    <w:rsid w:val="00677BD5"/>
    <w:rsid w:val="00677E3C"/>
    <w:rsid w:val="0068025E"/>
    <w:rsid w:val="0068051B"/>
    <w:rsid w:val="006805D9"/>
    <w:rsid w:val="00680912"/>
    <w:rsid w:val="00680E8B"/>
    <w:rsid w:val="0068150F"/>
    <w:rsid w:val="006818D0"/>
    <w:rsid w:val="006819A3"/>
    <w:rsid w:val="00681D51"/>
    <w:rsid w:val="00681E2F"/>
    <w:rsid w:val="00682129"/>
    <w:rsid w:val="0068266C"/>
    <w:rsid w:val="00682E55"/>
    <w:rsid w:val="0068340E"/>
    <w:rsid w:val="00683528"/>
    <w:rsid w:val="00683722"/>
    <w:rsid w:val="00683D2F"/>
    <w:rsid w:val="00684044"/>
    <w:rsid w:val="006840B2"/>
    <w:rsid w:val="006843F6"/>
    <w:rsid w:val="0068491F"/>
    <w:rsid w:val="00684F4C"/>
    <w:rsid w:val="006851A2"/>
    <w:rsid w:val="0068563E"/>
    <w:rsid w:val="00685DE4"/>
    <w:rsid w:val="00686118"/>
    <w:rsid w:val="006861C0"/>
    <w:rsid w:val="00686596"/>
    <w:rsid w:val="00686CC2"/>
    <w:rsid w:val="00686F00"/>
    <w:rsid w:val="00687C97"/>
    <w:rsid w:val="00687D5A"/>
    <w:rsid w:val="00690324"/>
    <w:rsid w:val="006904C2"/>
    <w:rsid w:val="006904DD"/>
    <w:rsid w:val="00690524"/>
    <w:rsid w:val="00690E71"/>
    <w:rsid w:val="006911C8"/>
    <w:rsid w:val="00691459"/>
    <w:rsid w:val="00692D12"/>
    <w:rsid w:val="00693137"/>
    <w:rsid w:val="00693531"/>
    <w:rsid w:val="00693842"/>
    <w:rsid w:val="00693888"/>
    <w:rsid w:val="00693C87"/>
    <w:rsid w:val="00693D3E"/>
    <w:rsid w:val="0069457A"/>
    <w:rsid w:val="006949A7"/>
    <w:rsid w:val="00694B65"/>
    <w:rsid w:val="00694C69"/>
    <w:rsid w:val="00694D53"/>
    <w:rsid w:val="00694E58"/>
    <w:rsid w:val="00694FD4"/>
    <w:rsid w:val="006951CE"/>
    <w:rsid w:val="006951E5"/>
    <w:rsid w:val="006951FF"/>
    <w:rsid w:val="00695B5A"/>
    <w:rsid w:val="00695D1E"/>
    <w:rsid w:val="00695FCA"/>
    <w:rsid w:val="00696335"/>
    <w:rsid w:val="00696A4D"/>
    <w:rsid w:val="00696C70"/>
    <w:rsid w:val="00697AC9"/>
    <w:rsid w:val="00697D19"/>
    <w:rsid w:val="006A0052"/>
    <w:rsid w:val="006A05C7"/>
    <w:rsid w:val="006A08CA"/>
    <w:rsid w:val="006A0E43"/>
    <w:rsid w:val="006A102D"/>
    <w:rsid w:val="006A11E4"/>
    <w:rsid w:val="006A15CF"/>
    <w:rsid w:val="006A16F0"/>
    <w:rsid w:val="006A20A4"/>
    <w:rsid w:val="006A29FF"/>
    <w:rsid w:val="006A2AB9"/>
    <w:rsid w:val="006A2DB4"/>
    <w:rsid w:val="006A350E"/>
    <w:rsid w:val="006A414D"/>
    <w:rsid w:val="006A41F8"/>
    <w:rsid w:val="006A42A5"/>
    <w:rsid w:val="006A451E"/>
    <w:rsid w:val="006A45BB"/>
    <w:rsid w:val="006A4E52"/>
    <w:rsid w:val="006A4FC8"/>
    <w:rsid w:val="006A50F1"/>
    <w:rsid w:val="006A517B"/>
    <w:rsid w:val="006A55E1"/>
    <w:rsid w:val="006A5FD1"/>
    <w:rsid w:val="006A603D"/>
    <w:rsid w:val="006A607B"/>
    <w:rsid w:val="006A61EC"/>
    <w:rsid w:val="006A6296"/>
    <w:rsid w:val="006A6E27"/>
    <w:rsid w:val="006A6EAC"/>
    <w:rsid w:val="006A6FB8"/>
    <w:rsid w:val="006A72B0"/>
    <w:rsid w:val="006A74E5"/>
    <w:rsid w:val="006A7AB4"/>
    <w:rsid w:val="006B02C4"/>
    <w:rsid w:val="006B04FE"/>
    <w:rsid w:val="006B05D4"/>
    <w:rsid w:val="006B075C"/>
    <w:rsid w:val="006B0856"/>
    <w:rsid w:val="006B0894"/>
    <w:rsid w:val="006B18C5"/>
    <w:rsid w:val="006B1932"/>
    <w:rsid w:val="006B1B85"/>
    <w:rsid w:val="006B1F47"/>
    <w:rsid w:val="006B1FDA"/>
    <w:rsid w:val="006B36AE"/>
    <w:rsid w:val="006B3980"/>
    <w:rsid w:val="006B3E4D"/>
    <w:rsid w:val="006B417B"/>
    <w:rsid w:val="006B4449"/>
    <w:rsid w:val="006B474F"/>
    <w:rsid w:val="006B4C0C"/>
    <w:rsid w:val="006B4EAB"/>
    <w:rsid w:val="006B5091"/>
    <w:rsid w:val="006B50B8"/>
    <w:rsid w:val="006B50F9"/>
    <w:rsid w:val="006B5756"/>
    <w:rsid w:val="006B5A61"/>
    <w:rsid w:val="006B5C4C"/>
    <w:rsid w:val="006B5D79"/>
    <w:rsid w:val="006B5FBC"/>
    <w:rsid w:val="006B64E8"/>
    <w:rsid w:val="006B654C"/>
    <w:rsid w:val="006B6AEF"/>
    <w:rsid w:val="006B6DA1"/>
    <w:rsid w:val="006B76C2"/>
    <w:rsid w:val="006B7877"/>
    <w:rsid w:val="006B7CBC"/>
    <w:rsid w:val="006C02CD"/>
    <w:rsid w:val="006C06A9"/>
    <w:rsid w:val="006C132E"/>
    <w:rsid w:val="006C13A3"/>
    <w:rsid w:val="006C157B"/>
    <w:rsid w:val="006C1822"/>
    <w:rsid w:val="006C21F1"/>
    <w:rsid w:val="006C2ABA"/>
    <w:rsid w:val="006C2B59"/>
    <w:rsid w:val="006C2C86"/>
    <w:rsid w:val="006C2C8B"/>
    <w:rsid w:val="006C2D1A"/>
    <w:rsid w:val="006C34A1"/>
    <w:rsid w:val="006C3686"/>
    <w:rsid w:val="006C38EF"/>
    <w:rsid w:val="006C3BCF"/>
    <w:rsid w:val="006C3BEF"/>
    <w:rsid w:val="006C3EBC"/>
    <w:rsid w:val="006C4043"/>
    <w:rsid w:val="006C41C1"/>
    <w:rsid w:val="006C41ED"/>
    <w:rsid w:val="006C43FB"/>
    <w:rsid w:val="006C4950"/>
    <w:rsid w:val="006C49AF"/>
    <w:rsid w:val="006C4F0A"/>
    <w:rsid w:val="006C52B9"/>
    <w:rsid w:val="006C559A"/>
    <w:rsid w:val="006C55A1"/>
    <w:rsid w:val="006C58E3"/>
    <w:rsid w:val="006C5A8D"/>
    <w:rsid w:val="006C5CDD"/>
    <w:rsid w:val="006C5D0C"/>
    <w:rsid w:val="006C6346"/>
    <w:rsid w:val="006C6ED1"/>
    <w:rsid w:val="006C6F68"/>
    <w:rsid w:val="006C7FB8"/>
    <w:rsid w:val="006C7FF1"/>
    <w:rsid w:val="006D02AA"/>
    <w:rsid w:val="006D0F89"/>
    <w:rsid w:val="006D1A50"/>
    <w:rsid w:val="006D1DFE"/>
    <w:rsid w:val="006D20A4"/>
    <w:rsid w:val="006D2560"/>
    <w:rsid w:val="006D328B"/>
    <w:rsid w:val="006D3620"/>
    <w:rsid w:val="006D41CE"/>
    <w:rsid w:val="006D460E"/>
    <w:rsid w:val="006D472A"/>
    <w:rsid w:val="006D4CA2"/>
    <w:rsid w:val="006D5176"/>
    <w:rsid w:val="006D5201"/>
    <w:rsid w:val="006D5313"/>
    <w:rsid w:val="006D535C"/>
    <w:rsid w:val="006D5510"/>
    <w:rsid w:val="006D55C0"/>
    <w:rsid w:val="006D5820"/>
    <w:rsid w:val="006D5886"/>
    <w:rsid w:val="006D5D0D"/>
    <w:rsid w:val="006D5F9A"/>
    <w:rsid w:val="006D6703"/>
    <w:rsid w:val="006D6944"/>
    <w:rsid w:val="006D6989"/>
    <w:rsid w:val="006D6F24"/>
    <w:rsid w:val="006D74ED"/>
    <w:rsid w:val="006D78EB"/>
    <w:rsid w:val="006D7C6D"/>
    <w:rsid w:val="006E058C"/>
    <w:rsid w:val="006E0922"/>
    <w:rsid w:val="006E0B0D"/>
    <w:rsid w:val="006E0ED9"/>
    <w:rsid w:val="006E0EF4"/>
    <w:rsid w:val="006E0F5D"/>
    <w:rsid w:val="006E0FA4"/>
    <w:rsid w:val="006E13A6"/>
    <w:rsid w:val="006E13C3"/>
    <w:rsid w:val="006E1629"/>
    <w:rsid w:val="006E16F2"/>
    <w:rsid w:val="006E2008"/>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C2"/>
    <w:rsid w:val="006E5F40"/>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1024"/>
    <w:rsid w:val="006F129F"/>
    <w:rsid w:val="006F13E0"/>
    <w:rsid w:val="006F1488"/>
    <w:rsid w:val="006F1650"/>
    <w:rsid w:val="006F1F36"/>
    <w:rsid w:val="006F26B4"/>
    <w:rsid w:val="006F2A0D"/>
    <w:rsid w:val="006F2D0A"/>
    <w:rsid w:val="006F2D7F"/>
    <w:rsid w:val="006F319D"/>
    <w:rsid w:val="006F33F6"/>
    <w:rsid w:val="006F3549"/>
    <w:rsid w:val="006F37A7"/>
    <w:rsid w:val="006F3ABE"/>
    <w:rsid w:val="006F3C1F"/>
    <w:rsid w:val="006F41F0"/>
    <w:rsid w:val="006F45A4"/>
    <w:rsid w:val="006F474D"/>
    <w:rsid w:val="006F4C65"/>
    <w:rsid w:val="006F4CC9"/>
    <w:rsid w:val="006F4FB4"/>
    <w:rsid w:val="006F5A7C"/>
    <w:rsid w:val="006F5CC2"/>
    <w:rsid w:val="006F6303"/>
    <w:rsid w:val="006F6316"/>
    <w:rsid w:val="006F65A2"/>
    <w:rsid w:val="006F6885"/>
    <w:rsid w:val="006F6C31"/>
    <w:rsid w:val="006F74B5"/>
    <w:rsid w:val="006F7A56"/>
    <w:rsid w:val="006F7DEF"/>
    <w:rsid w:val="00700CF2"/>
    <w:rsid w:val="00700F78"/>
    <w:rsid w:val="007011CC"/>
    <w:rsid w:val="0070150E"/>
    <w:rsid w:val="007016DD"/>
    <w:rsid w:val="00701735"/>
    <w:rsid w:val="00701CC3"/>
    <w:rsid w:val="00702381"/>
    <w:rsid w:val="007024FB"/>
    <w:rsid w:val="00702577"/>
    <w:rsid w:val="00702F8D"/>
    <w:rsid w:val="00703238"/>
    <w:rsid w:val="00703253"/>
    <w:rsid w:val="007032EF"/>
    <w:rsid w:val="00703F05"/>
    <w:rsid w:val="007043D6"/>
    <w:rsid w:val="00704788"/>
    <w:rsid w:val="00704C5B"/>
    <w:rsid w:val="00705212"/>
    <w:rsid w:val="007055E4"/>
    <w:rsid w:val="00705DB8"/>
    <w:rsid w:val="00705F50"/>
    <w:rsid w:val="0070625C"/>
    <w:rsid w:val="007066F3"/>
    <w:rsid w:val="00706929"/>
    <w:rsid w:val="00706C8C"/>
    <w:rsid w:val="0070746A"/>
    <w:rsid w:val="0070748A"/>
    <w:rsid w:val="007076A2"/>
    <w:rsid w:val="00707A4C"/>
    <w:rsid w:val="00707A98"/>
    <w:rsid w:val="00707E5B"/>
    <w:rsid w:val="00707FE1"/>
    <w:rsid w:val="00710349"/>
    <w:rsid w:val="0071035A"/>
    <w:rsid w:val="0071049B"/>
    <w:rsid w:val="00711412"/>
    <w:rsid w:val="00711738"/>
    <w:rsid w:val="0071179B"/>
    <w:rsid w:val="00711C71"/>
    <w:rsid w:val="00711D57"/>
    <w:rsid w:val="00713225"/>
    <w:rsid w:val="00713B79"/>
    <w:rsid w:val="00713BB3"/>
    <w:rsid w:val="007140E8"/>
    <w:rsid w:val="007141F4"/>
    <w:rsid w:val="00714972"/>
    <w:rsid w:val="00714F97"/>
    <w:rsid w:val="0071529D"/>
    <w:rsid w:val="0071548F"/>
    <w:rsid w:val="0071682C"/>
    <w:rsid w:val="00716FE6"/>
    <w:rsid w:val="0071717E"/>
    <w:rsid w:val="007171E9"/>
    <w:rsid w:val="007175A7"/>
    <w:rsid w:val="00717854"/>
    <w:rsid w:val="00717B3E"/>
    <w:rsid w:val="00720232"/>
    <w:rsid w:val="007205E1"/>
    <w:rsid w:val="0072095F"/>
    <w:rsid w:val="0072108E"/>
    <w:rsid w:val="007215E5"/>
    <w:rsid w:val="007216B7"/>
    <w:rsid w:val="00721767"/>
    <w:rsid w:val="00721826"/>
    <w:rsid w:val="00721A20"/>
    <w:rsid w:val="00721C77"/>
    <w:rsid w:val="007223D1"/>
    <w:rsid w:val="007228D8"/>
    <w:rsid w:val="0072299A"/>
    <w:rsid w:val="00722B70"/>
    <w:rsid w:val="00722D6F"/>
    <w:rsid w:val="00723062"/>
    <w:rsid w:val="007231DD"/>
    <w:rsid w:val="00723770"/>
    <w:rsid w:val="007241BE"/>
    <w:rsid w:val="00724786"/>
    <w:rsid w:val="0072512A"/>
    <w:rsid w:val="00725356"/>
    <w:rsid w:val="00725966"/>
    <w:rsid w:val="007261CF"/>
    <w:rsid w:val="00726384"/>
    <w:rsid w:val="007264B1"/>
    <w:rsid w:val="00726C80"/>
    <w:rsid w:val="00726F11"/>
    <w:rsid w:val="00726FDC"/>
    <w:rsid w:val="00727529"/>
    <w:rsid w:val="00727930"/>
    <w:rsid w:val="00727AAD"/>
    <w:rsid w:val="0073072C"/>
    <w:rsid w:val="00730865"/>
    <w:rsid w:val="0073130B"/>
    <w:rsid w:val="00731769"/>
    <w:rsid w:val="00731EE6"/>
    <w:rsid w:val="0073211A"/>
    <w:rsid w:val="0073249F"/>
    <w:rsid w:val="0073271E"/>
    <w:rsid w:val="00732C26"/>
    <w:rsid w:val="00732C2F"/>
    <w:rsid w:val="00732D7D"/>
    <w:rsid w:val="00733081"/>
    <w:rsid w:val="0073347A"/>
    <w:rsid w:val="0073356D"/>
    <w:rsid w:val="0073359C"/>
    <w:rsid w:val="00734249"/>
    <w:rsid w:val="007343D5"/>
    <w:rsid w:val="00734420"/>
    <w:rsid w:val="00734D16"/>
    <w:rsid w:val="00734F40"/>
    <w:rsid w:val="00734FA3"/>
    <w:rsid w:val="00735025"/>
    <w:rsid w:val="007355A6"/>
    <w:rsid w:val="00735C36"/>
    <w:rsid w:val="00735F43"/>
    <w:rsid w:val="00736675"/>
    <w:rsid w:val="007368D0"/>
    <w:rsid w:val="00736915"/>
    <w:rsid w:val="00736E5C"/>
    <w:rsid w:val="007371C6"/>
    <w:rsid w:val="007371D7"/>
    <w:rsid w:val="00737503"/>
    <w:rsid w:val="00737E19"/>
    <w:rsid w:val="00737F87"/>
    <w:rsid w:val="00740368"/>
    <w:rsid w:val="00740410"/>
    <w:rsid w:val="00740A71"/>
    <w:rsid w:val="00740E94"/>
    <w:rsid w:val="00740FA6"/>
    <w:rsid w:val="00741167"/>
    <w:rsid w:val="0074146C"/>
    <w:rsid w:val="007420C7"/>
    <w:rsid w:val="0074223A"/>
    <w:rsid w:val="00742532"/>
    <w:rsid w:val="00742648"/>
    <w:rsid w:val="00743047"/>
    <w:rsid w:val="007439CC"/>
    <w:rsid w:val="00743CAC"/>
    <w:rsid w:val="00743CC3"/>
    <w:rsid w:val="00743E88"/>
    <w:rsid w:val="00743F25"/>
    <w:rsid w:val="00744015"/>
    <w:rsid w:val="00744041"/>
    <w:rsid w:val="0074436B"/>
    <w:rsid w:val="00744E10"/>
    <w:rsid w:val="007450A5"/>
    <w:rsid w:val="007453BE"/>
    <w:rsid w:val="007453E9"/>
    <w:rsid w:val="007458D5"/>
    <w:rsid w:val="00745C92"/>
    <w:rsid w:val="007460DA"/>
    <w:rsid w:val="00747126"/>
    <w:rsid w:val="007473E1"/>
    <w:rsid w:val="007476A0"/>
    <w:rsid w:val="007477C5"/>
    <w:rsid w:val="0074792C"/>
    <w:rsid w:val="00747938"/>
    <w:rsid w:val="00750EC3"/>
    <w:rsid w:val="00750FCF"/>
    <w:rsid w:val="007512B3"/>
    <w:rsid w:val="00751551"/>
    <w:rsid w:val="007515D1"/>
    <w:rsid w:val="007517DA"/>
    <w:rsid w:val="00751B95"/>
    <w:rsid w:val="0075204A"/>
    <w:rsid w:val="007521C4"/>
    <w:rsid w:val="00752BEB"/>
    <w:rsid w:val="00752D13"/>
    <w:rsid w:val="00752DD8"/>
    <w:rsid w:val="0075312C"/>
    <w:rsid w:val="007532FA"/>
    <w:rsid w:val="00753671"/>
    <w:rsid w:val="00753757"/>
    <w:rsid w:val="0075377A"/>
    <w:rsid w:val="00753A38"/>
    <w:rsid w:val="00753D0A"/>
    <w:rsid w:val="007541E4"/>
    <w:rsid w:val="0075469A"/>
    <w:rsid w:val="00755467"/>
    <w:rsid w:val="00755817"/>
    <w:rsid w:val="00755B12"/>
    <w:rsid w:val="00755D93"/>
    <w:rsid w:val="00755DCB"/>
    <w:rsid w:val="00755E5C"/>
    <w:rsid w:val="00757035"/>
    <w:rsid w:val="00757186"/>
    <w:rsid w:val="007578E1"/>
    <w:rsid w:val="00757A6A"/>
    <w:rsid w:val="00757CF3"/>
    <w:rsid w:val="0076006D"/>
    <w:rsid w:val="00760768"/>
    <w:rsid w:val="00760BCC"/>
    <w:rsid w:val="0076106B"/>
    <w:rsid w:val="00761830"/>
    <w:rsid w:val="00761A7B"/>
    <w:rsid w:val="00761B62"/>
    <w:rsid w:val="007621FF"/>
    <w:rsid w:val="00762AFB"/>
    <w:rsid w:val="007630F5"/>
    <w:rsid w:val="00763275"/>
    <w:rsid w:val="00763388"/>
    <w:rsid w:val="007637BC"/>
    <w:rsid w:val="007639D9"/>
    <w:rsid w:val="007640AF"/>
    <w:rsid w:val="0076440A"/>
    <w:rsid w:val="0076475B"/>
    <w:rsid w:val="00764B31"/>
    <w:rsid w:val="00764B5D"/>
    <w:rsid w:val="00764D00"/>
    <w:rsid w:val="00764FD5"/>
    <w:rsid w:val="007655A9"/>
    <w:rsid w:val="007656A1"/>
    <w:rsid w:val="007656CA"/>
    <w:rsid w:val="00765956"/>
    <w:rsid w:val="00765A07"/>
    <w:rsid w:val="00765BA8"/>
    <w:rsid w:val="00766007"/>
    <w:rsid w:val="007664F7"/>
    <w:rsid w:val="00767193"/>
    <w:rsid w:val="007673C8"/>
    <w:rsid w:val="00767768"/>
    <w:rsid w:val="0076784F"/>
    <w:rsid w:val="00767BF3"/>
    <w:rsid w:val="00767D9C"/>
    <w:rsid w:val="00767FFC"/>
    <w:rsid w:val="0077018F"/>
    <w:rsid w:val="00770A26"/>
    <w:rsid w:val="00770FA5"/>
    <w:rsid w:val="00771608"/>
    <w:rsid w:val="0077163A"/>
    <w:rsid w:val="007717E4"/>
    <w:rsid w:val="00771FB5"/>
    <w:rsid w:val="007724A7"/>
    <w:rsid w:val="007726FA"/>
    <w:rsid w:val="00772945"/>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C40"/>
    <w:rsid w:val="00775C59"/>
    <w:rsid w:val="0077629F"/>
    <w:rsid w:val="0077645D"/>
    <w:rsid w:val="00776542"/>
    <w:rsid w:val="00776749"/>
    <w:rsid w:val="00776E2E"/>
    <w:rsid w:val="00777442"/>
    <w:rsid w:val="00777451"/>
    <w:rsid w:val="007779A3"/>
    <w:rsid w:val="00777ADC"/>
    <w:rsid w:val="007802E7"/>
    <w:rsid w:val="007803AD"/>
    <w:rsid w:val="00780B1A"/>
    <w:rsid w:val="00780D45"/>
    <w:rsid w:val="00780F3F"/>
    <w:rsid w:val="0078100A"/>
    <w:rsid w:val="007812E7"/>
    <w:rsid w:val="00781315"/>
    <w:rsid w:val="0078159F"/>
    <w:rsid w:val="00781A97"/>
    <w:rsid w:val="00781E7D"/>
    <w:rsid w:val="00782065"/>
    <w:rsid w:val="00782419"/>
    <w:rsid w:val="007824BC"/>
    <w:rsid w:val="00782D2D"/>
    <w:rsid w:val="00782DFC"/>
    <w:rsid w:val="00782EC4"/>
    <w:rsid w:val="00782EEE"/>
    <w:rsid w:val="00783153"/>
    <w:rsid w:val="00783A74"/>
    <w:rsid w:val="00783AE5"/>
    <w:rsid w:val="00784B98"/>
    <w:rsid w:val="0078539C"/>
    <w:rsid w:val="00785777"/>
    <w:rsid w:val="00785C83"/>
    <w:rsid w:val="007864DA"/>
    <w:rsid w:val="00786ED8"/>
    <w:rsid w:val="00787491"/>
    <w:rsid w:val="0078759B"/>
    <w:rsid w:val="00787807"/>
    <w:rsid w:val="00787A15"/>
    <w:rsid w:val="00787CF3"/>
    <w:rsid w:val="00787D20"/>
    <w:rsid w:val="00787FD1"/>
    <w:rsid w:val="0079001F"/>
    <w:rsid w:val="00790362"/>
    <w:rsid w:val="007904EA"/>
    <w:rsid w:val="0079065C"/>
    <w:rsid w:val="00790767"/>
    <w:rsid w:val="00790B5F"/>
    <w:rsid w:val="0079108A"/>
    <w:rsid w:val="007911B6"/>
    <w:rsid w:val="00791BF5"/>
    <w:rsid w:val="007920FE"/>
    <w:rsid w:val="00792431"/>
    <w:rsid w:val="007930B7"/>
    <w:rsid w:val="00793237"/>
    <w:rsid w:val="00793541"/>
    <w:rsid w:val="007943D0"/>
    <w:rsid w:val="007946AA"/>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76F"/>
    <w:rsid w:val="00797CD7"/>
    <w:rsid w:val="007A0003"/>
    <w:rsid w:val="007A0131"/>
    <w:rsid w:val="007A04E1"/>
    <w:rsid w:val="007A06CB"/>
    <w:rsid w:val="007A08CD"/>
    <w:rsid w:val="007A08CE"/>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9F5"/>
    <w:rsid w:val="007A2CCB"/>
    <w:rsid w:val="007A2DB0"/>
    <w:rsid w:val="007A2E83"/>
    <w:rsid w:val="007A332C"/>
    <w:rsid w:val="007A35AC"/>
    <w:rsid w:val="007A3B9A"/>
    <w:rsid w:val="007A3FC1"/>
    <w:rsid w:val="007A4171"/>
    <w:rsid w:val="007A41A1"/>
    <w:rsid w:val="007A41B9"/>
    <w:rsid w:val="007A4377"/>
    <w:rsid w:val="007A4637"/>
    <w:rsid w:val="007A48CA"/>
    <w:rsid w:val="007A4AB2"/>
    <w:rsid w:val="007A4E13"/>
    <w:rsid w:val="007A58DD"/>
    <w:rsid w:val="007A5E68"/>
    <w:rsid w:val="007A602B"/>
    <w:rsid w:val="007A63C9"/>
    <w:rsid w:val="007A6CFC"/>
    <w:rsid w:val="007A71CE"/>
    <w:rsid w:val="007A7442"/>
    <w:rsid w:val="007A7825"/>
    <w:rsid w:val="007A7925"/>
    <w:rsid w:val="007A7E8C"/>
    <w:rsid w:val="007B08C9"/>
    <w:rsid w:val="007B0A22"/>
    <w:rsid w:val="007B0CAC"/>
    <w:rsid w:val="007B0E20"/>
    <w:rsid w:val="007B14FD"/>
    <w:rsid w:val="007B15A6"/>
    <w:rsid w:val="007B18D5"/>
    <w:rsid w:val="007B1B6D"/>
    <w:rsid w:val="007B1BF7"/>
    <w:rsid w:val="007B1DA8"/>
    <w:rsid w:val="007B265A"/>
    <w:rsid w:val="007B27BE"/>
    <w:rsid w:val="007B2892"/>
    <w:rsid w:val="007B2FD6"/>
    <w:rsid w:val="007B321C"/>
    <w:rsid w:val="007B33E5"/>
    <w:rsid w:val="007B36BF"/>
    <w:rsid w:val="007B3C14"/>
    <w:rsid w:val="007B3D0B"/>
    <w:rsid w:val="007B454A"/>
    <w:rsid w:val="007B46A6"/>
    <w:rsid w:val="007B4A59"/>
    <w:rsid w:val="007B4BCF"/>
    <w:rsid w:val="007B4D42"/>
    <w:rsid w:val="007B51AA"/>
    <w:rsid w:val="007B5502"/>
    <w:rsid w:val="007B577C"/>
    <w:rsid w:val="007B598C"/>
    <w:rsid w:val="007B5A2F"/>
    <w:rsid w:val="007B5B27"/>
    <w:rsid w:val="007B5B32"/>
    <w:rsid w:val="007B5C75"/>
    <w:rsid w:val="007B610F"/>
    <w:rsid w:val="007B629E"/>
    <w:rsid w:val="007B63CF"/>
    <w:rsid w:val="007B6AEE"/>
    <w:rsid w:val="007B713D"/>
    <w:rsid w:val="007B745C"/>
    <w:rsid w:val="007B7472"/>
    <w:rsid w:val="007B7573"/>
    <w:rsid w:val="007B7A13"/>
    <w:rsid w:val="007B7AAB"/>
    <w:rsid w:val="007C03BB"/>
    <w:rsid w:val="007C06B2"/>
    <w:rsid w:val="007C124F"/>
    <w:rsid w:val="007C1D9D"/>
    <w:rsid w:val="007C229C"/>
    <w:rsid w:val="007C2426"/>
    <w:rsid w:val="007C28CF"/>
    <w:rsid w:val="007C2941"/>
    <w:rsid w:val="007C29D7"/>
    <w:rsid w:val="007C2A9E"/>
    <w:rsid w:val="007C2FC6"/>
    <w:rsid w:val="007C3215"/>
    <w:rsid w:val="007C34DE"/>
    <w:rsid w:val="007C38B5"/>
    <w:rsid w:val="007C404B"/>
    <w:rsid w:val="007C4187"/>
    <w:rsid w:val="007C41A0"/>
    <w:rsid w:val="007C4A68"/>
    <w:rsid w:val="007C4BAE"/>
    <w:rsid w:val="007C4BEE"/>
    <w:rsid w:val="007C4D64"/>
    <w:rsid w:val="007C4EF0"/>
    <w:rsid w:val="007C4FAE"/>
    <w:rsid w:val="007C5BA9"/>
    <w:rsid w:val="007C62AC"/>
    <w:rsid w:val="007C667A"/>
    <w:rsid w:val="007C6A89"/>
    <w:rsid w:val="007C6D50"/>
    <w:rsid w:val="007C6F2E"/>
    <w:rsid w:val="007C73CF"/>
    <w:rsid w:val="007C764E"/>
    <w:rsid w:val="007C77C5"/>
    <w:rsid w:val="007C7E37"/>
    <w:rsid w:val="007D01AF"/>
    <w:rsid w:val="007D044C"/>
    <w:rsid w:val="007D10C8"/>
    <w:rsid w:val="007D1269"/>
    <w:rsid w:val="007D1406"/>
    <w:rsid w:val="007D1D3B"/>
    <w:rsid w:val="007D1DF0"/>
    <w:rsid w:val="007D20B0"/>
    <w:rsid w:val="007D24CF"/>
    <w:rsid w:val="007D2A15"/>
    <w:rsid w:val="007D3165"/>
    <w:rsid w:val="007D32B3"/>
    <w:rsid w:val="007D3560"/>
    <w:rsid w:val="007D3DF2"/>
    <w:rsid w:val="007D4068"/>
    <w:rsid w:val="007D4284"/>
    <w:rsid w:val="007D4621"/>
    <w:rsid w:val="007D47A8"/>
    <w:rsid w:val="007D4982"/>
    <w:rsid w:val="007D4D87"/>
    <w:rsid w:val="007D4E55"/>
    <w:rsid w:val="007D5696"/>
    <w:rsid w:val="007D5787"/>
    <w:rsid w:val="007D5960"/>
    <w:rsid w:val="007D5A97"/>
    <w:rsid w:val="007D6002"/>
    <w:rsid w:val="007D606A"/>
    <w:rsid w:val="007D65F6"/>
    <w:rsid w:val="007D6C0C"/>
    <w:rsid w:val="007D7882"/>
    <w:rsid w:val="007D7C3C"/>
    <w:rsid w:val="007D7D31"/>
    <w:rsid w:val="007E025A"/>
    <w:rsid w:val="007E0521"/>
    <w:rsid w:val="007E0D25"/>
    <w:rsid w:val="007E114E"/>
    <w:rsid w:val="007E15F0"/>
    <w:rsid w:val="007E17FA"/>
    <w:rsid w:val="007E2B82"/>
    <w:rsid w:val="007E2DD3"/>
    <w:rsid w:val="007E33B9"/>
    <w:rsid w:val="007E3460"/>
    <w:rsid w:val="007E3588"/>
    <w:rsid w:val="007E36ED"/>
    <w:rsid w:val="007E378E"/>
    <w:rsid w:val="007E3F1B"/>
    <w:rsid w:val="007E42E6"/>
    <w:rsid w:val="007E46BF"/>
    <w:rsid w:val="007E487F"/>
    <w:rsid w:val="007E4A0D"/>
    <w:rsid w:val="007E4B2D"/>
    <w:rsid w:val="007E4C3F"/>
    <w:rsid w:val="007E5388"/>
    <w:rsid w:val="007E54E0"/>
    <w:rsid w:val="007E587D"/>
    <w:rsid w:val="007E58C0"/>
    <w:rsid w:val="007E5CE8"/>
    <w:rsid w:val="007E6447"/>
    <w:rsid w:val="007E6757"/>
    <w:rsid w:val="007E68C0"/>
    <w:rsid w:val="007E6D75"/>
    <w:rsid w:val="007E6D9B"/>
    <w:rsid w:val="007E6DE7"/>
    <w:rsid w:val="007E7124"/>
    <w:rsid w:val="007E71E9"/>
    <w:rsid w:val="007E74E3"/>
    <w:rsid w:val="007E76CB"/>
    <w:rsid w:val="007E7721"/>
    <w:rsid w:val="007E7B1C"/>
    <w:rsid w:val="007E7C5C"/>
    <w:rsid w:val="007E7CB2"/>
    <w:rsid w:val="007E7CF2"/>
    <w:rsid w:val="007F02B2"/>
    <w:rsid w:val="007F02C7"/>
    <w:rsid w:val="007F032B"/>
    <w:rsid w:val="007F046D"/>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5287"/>
    <w:rsid w:val="007F5799"/>
    <w:rsid w:val="007F5A11"/>
    <w:rsid w:val="007F5BF1"/>
    <w:rsid w:val="007F62F3"/>
    <w:rsid w:val="007F66F4"/>
    <w:rsid w:val="007F68DC"/>
    <w:rsid w:val="007F68DF"/>
    <w:rsid w:val="007F6B28"/>
    <w:rsid w:val="007F6D6C"/>
    <w:rsid w:val="007F70B9"/>
    <w:rsid w:val="007F7137"/>
    <w:rsid w:val="007F7A75"/>
    <w:rsid w:val="007F7C48"/>
    <w:rsid w:val="007F7ECC"/>
    <w:rsid w:val="0080006E"/>
    <w:rsid w:val="00800462"/>
    <w:rsid w:val="0080048C"/>
    <w:rsid w:val="00800E62"/>
    <w:rsid w:val="00800F35"/>
    <w:rsid w:val="008010D7"/>
    <w:rsid w:val="0080128D"/>
    <w:rsid w:val="0080147D"/>
    <w:rsid w:val="008016CA"/>
    <w:rsid w:val="008017B6"/>
    <w:rsid w:val="00801DB0"/>
    <w:rsid w:val="00802A65"/>
    <w:rsid w:val="00802DF1"/>
    <w:rsid w:val="00803432"/>
    <w:rsid w:val="00803443"/>
    <w:rsid w:val="008036C0"/>
    <w:rsid w:val="00804131"/>
    <w:rsid w:val="00804144"/>
    <w:rsid w:val="008041DE"/>
    <w:rsid w:val="0080450E"/>
    <w:rsid w:val="00804530"/>
    <w:rsid w:val="008048F5"/>
    <w:rsid w:val="00804A6F"/>
    <w:rsid w:val="00804B1E"/>
    <w:rsid w:val="00804D52"/>
    <w:rsid w:val="00805159"/>
    <w:rsid w:val="0080516A"/>
    <w:rsid w:val="00805930"/>
    <w:rsid w:val="00805D9C"/>
    <w:rsid w:val="008061D6"/>
    <w:rsid w:val="0080646D"/>
    <w:rsid w:val="0080680D"/>
    <w:rsid w:val="00807138"/>
    <w:rsid w:val="00807844"/>
    <w:rsid w:val="0080786A"/>
    <w:rsid w:val="00807AA3"/>
    <w:rsid w:val="00807F10"/>
    <w:rsid w:val="00810139"/>
    <w:rsid w:val="00810552"/>
    <w:rsid w:val="008105B3"/>
    <w:rsid w:val="00810A47"/>
    <w:rsid w:val="008111CF"/>
    <w:rsid w:val="00811CEA"/>
    <w:rsid w:val="00811D79"/>
    <w:rsid w:val="008127F9"/>
    <w:rsid w:val="00812A4B"/>
    <w:rsid w:val="00812C05"/>
    <w:rsid w:val="00812DF0"/>
    <w:rsid w:val="00812FA4"/>
    <w:rsid w:val="008130B3"/>
    <w:rsid w:val="008130C4"/>
    <w:rsid w:val="0081322A"/>
    <w:rsid w:val="0081367C"/>
    <w:rsid w:val="008137B6"/>
    <w:rsid w:val="00813A02"/>
    <w:rsid w:val="00813B8D"/>
    <w:rsid w:val="00813C26"/>
    <w:rsid w:val="00813DC9"/>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66B"/>
    <w:rsid w:val="00817A08"/>
    <w:rsid w:val="00817A68"/>
    <w:rsid w:val="00817AE6"/>
    <w:rsid w:val="00820071"/>
    <w:rsid w:val="00820281"/>
    <w:rsid w:val="00820395"/>
    <w:rsid w:val="008203C0"/>
    <w:rsid w:val="00820BC4"/>
    <w:rsid w:val="0082130E"/>
    <w:rsid w:val="00821747"/>
    <w:rsid w:val="00821C6A"/>
    <w:rsid w:val="00821EE3"/>
    <w:rsid w:val="00822048"/>
    <w:rsid w:val="0082253F"/>
    <w:rsid w:val="00822C58"/>
    <w:rsid w:val="00822D96"/>
    <w:rsid w:val="0082353F"/>
    <w:rsid w:val="00823AEB"/>
    <w:rsid w:val="00823C4B"/>
    <w:rsid w:val="00823E43"/>
    <w:rsid w:val="00823F22"/>
    <w:rsid w:val="008249A1"/>
    <w:rsid w:val="00824E21"/>
    <w:rsid w:val="008252C7"/>
    <w:rsid w:val="008253BF"/>
    <w:rsid w:val="00825933"/>
    <w:rsid w:val="0082604B"/>
    <w:rsid w:val="00826220"/>
    <w:rsid w:val="008264F4"/>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279"/>
    <w:rsid w:val="00831864"/>
    <w:rsid w:val="00831E9B"/>
    <w:rsid w:val="00831FC2"/>
    <w:rsid w:val="0083256E"/>
    <w:rsid w:val="0083269B"/>
    <w:rsid w:val="00832B42"/>
    <w:rsid w:val="00832BB0"/>
    <w:rsid w:val="00832D79"/>
    <w:rsid w:val="00832F98"/>
    <w:rsid w:val="008330FE"/>
    <w:rsid w:val="008333AF"/>
    <w:rsid w:val="008337D2"/>
    <w:rsid w:val="00833B23"/>
    <w:rsid w:val="00833DDB"/>
    <w:rsid w:val="00833E6F"/>
    <w:rsid w:val="00833F3F"/>
    <w:rsid w:val="0083438F"/>
    <w:rsid w:val="00834608"/>
    <w:rsid w:val="008346F0"/>
    <w:rsid w:val="008349B6"/>
    <w:rsid w:val="00834C54"/>
    <w:rsid w:val="0083508E"/>
    <w:rsid w:val="0083582D"/>
    <w:rsid w:val="00835B07"/>
    <w:rsid w:val="00835F6A"/>
    <w:rsid w:val="0083608A"/>
    <w:rsid w:val="0083639B"/>
    <w:rsid w:val="00836D98"/>
    <w:rsid w:val="0083793B"/>
    <w:rsid w:val="00837AA4"/>
    <w:rsid w:val="00840472"/>
    <w:rsid w:val="00840A83"/>
    <w:rsid w:val="00840CA5"/>
    <w:rsid w:val="00841309"/>
    <w:rsid w:val="00841523"/>
    <w:rsid w:val="00841533"/>
    <w:rsid w:val="00841B13"/>
    <w:rsid w:val="00841E92"/>
    <w:rsid w:val="00842AB6"/>
    <w:rsid w:val="00842E09"/>
    <w:rsid w:val="00843016"/>
    <w:rsid w:val="00843577"/>
    <w:rsid w:val="00843E6F"/>
    <w:rsid w:val="008441CE"/>
    <w:rsid w:val="008443E7"/>
    <w:rsid w:val="00844890"/>
    <w:rsid w:val="00844A90"/>
    <w:rsid w:val="00844E7A"/>
    <w:rsid w:val="00844F83"/>
    <w:rsid w:val="0084524A"/>
    <w:rsid w:val="00845487"/>
    <w:rsid w:val="00845499"/>
    <w:rsid w:val="008456CE"/>
    <w:rsid w:val="00845881"/>
    <w:rsid w:val="008460D6"/>
    <w:rsid w:val="00846C00"/>
    <w:rsid w:val="00846E05"/>
    <w:rsid w:val="00846E4A"/>
    <w:rsid w:val="00847C2B"/>
    <w:rsid w:val="00850128"/>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A40"/>
    <w:rsid w:val="00852B97"/>
    <w:rsid w:val="00852DB9"/>
    <w:rsid w:val="00852EC6"/>
    <w:rsid w:val="008533EE"/>
    <w:rsid w:val="0085404C"/>
    <w:rsid w:val="00854332"/>
    <w:rsid w:val="008543AB"/>
    <w:rsid w:val="00854670"/>
    <w:rsid w:val="00854724"/>
    <w:rsid w:val="00854DAA"/>
    <w:rsid w:val="008550CB"/>
    <w:rsid w:val="00855513"/>
    <w:rsid w:val="00855761"/>
    <w:rsid w:val="00855B60"/>
    <w:rsid w:val="00855E0B"/>
    <w:rsid w:val="008560B9"/>
    <w:rsid w:val="008561E8"/>
    <w:rsid w:val="00856A20"/>
    <w:rsid w:val="00856D81"/>
    <w:rsid w:val="008570DB"/>
    <w:rsid w:val="0085710F"/>
    <w:rsid w:val="0085718B"/>
    <w:rsid w:val="00857897"/>
    <w:rsid w:val="00857A69"/>
    <w:rsid w:val="008603CB"/>
    <w:rsid w:val="00860793"/>
    <w:rsid w:val="008608A3"/>
    <w:rsid w:val="0086092E"/>
    <w:rsid w:val="00860B4C"/>
    <w:rsid w:val="00860D6C"/>
    <w:rsid w:val="008612B7"/>
    <w:rsid w:val="0086169D"/>
    <w:rsid w:val="00861B3D"/>
    <w:rsid w:val="00861B8D"/>
    <w:rsid w:val="00862196"/>
    <w:rsid w:val="008622FB"/>
    <w:rsid w:val="0086242C"/>
    <w:rsid w:val="008626B9"/>
    <w:rsid w:val="00862721"/>
    <w:rsid w:val="0086362C"/>
    <w:rsid w:val="0086396F"/>
    <w:rsid w:val="00863A17"/>
    <w:rsid w:val="0086447F"/>
    <w:rsid w:val="008647DE"/>
    <w:rsid w:val="00864A8A"/>
    <w:rsid w:val="00864B95"/>
    <w:rsid w:val="00864DEB"/>
    <w:rsid w:val="00864E48"/>
    <w:rsid w:val="0086549E"/>
    <w:rsid w:val="008656A2"/>
    <w:rsid w:val="00865737"/>
    <w:rsid w:val="00865E72"/>
    <w:rsid w:val="00865F33"/>
    <w:rsid w:val="00866142"/>
    <w:rsid w:val="00866277"/>
    <w:rsid w:val="0086631B"/>
    <w:rsid w:val="0086663F"/>
    <w:rsid w:val="00866788"/>
    <w:rsid w:val="008667B8"/>
    <w:rsid w:val="008668F6"/>
    <w:rsid w:val="00866A85"/>
    <w:rsid w:val="00866EFA"/>
    <w:rsid w:val="00867003"/>
    <w:rsid w:val="00867488"/>
    <w:rsid w:val="00867DA2"/>
    <w:rsid w:val="00870122"/>
    <w:rsid w:val="008705D6"/>
    <w:rsid w:val="00870BFB"/>
    <w:rsid w:val="00870C2B"/>
    <w:rsid w:val="008712E0"/>
    <w:rsid w:val="008713BA"/>
    <w:rsid w:val="00871C23"/>
    <w:rsid w:val="00871C8A"/>
    <w:rsid w:val="00871C95"/>
    <w:rsid w:val="00871DDA"/>
    <w:rsid w:val="00872175"/>
    <w:rsid w:val="00872295"/>
    <w:rsid w:val="008723B7"/>
    <w:rsid w:val="008727F1"/>
    <w:rsid w:val="00873620"/>
    <w:rsid w:val="00873BDE"/>
    <w:rsid w:val="00873C67"/>
    <w:rsid w:val="00873EFF"/>
    <w:rsid w:val="00874159"/>
    <w:rsid w:val="008747A6"/>
    <w:rsid w:val="00874ABD"/>
    <w:rsid w:val="00874DB0"/>
    <w:rsid w:val="00874E64"/>
    <w:rsid w:val="00875A5A"/>
    <w:rsid w:val="00875A72"/>
    <w:rsid w:val="008760EF"/>
    <w:rsid w:val="00876567"/>
    <w:rsid w:val="00876B8D"/>
    <w:rsid w:val="00876F19"/>
    <w:rsid w:val="00877051"/>
    <w:rsid w:val="008771EA"/>
    <w:rsid w:val="00877277"/>
    <w:rsid w:val="008773A1"/>
    <w:rsid w:val="00877727"/>
    <w:rsid w:val="00877B1A"/>
    <w:rsid w:val="00877E7E"/>
    <w:rsid w:val="00877E9C"/>
    <w:rsid w:val="008800D3"/>
    <w:rsid w:val="00880159"/>
    <w:rsid w:val="00880C56"/>
    <w:rsid w:val="00880D8E"/>
    <w:rsid w:val="00880F1A"/>
    <w:rsid w:val="0088141F"/>
    <w:rsid w:val="008816A8"/>
    <w:rsid w:val="00881ADB"/>
    <w:rsid w:val="00881B11"/>
    <w:rsid w:val="00881B16"/>
    <w:rsid w:val="00881C85"/>
    <w:rsid w:val="00882181"/>
    <w:rsid w:val="0088236F"/>
    <w:rsid w:val="00882748"/>
    <w:rsid w:val="00882D12"/>
    <w:rsid w:val="008831D1"/>
    <w:rsid w:val="00883B56"/>
    <w:rsid w:val="00883CA4"/>
    <w:rsid w:val="00883E2B"/>
    <w:rsid w:val="00883EC1"/>
    <w:rsid w:val="008841C5"/>
    <w:rsid w:val="00884EA2"/>
    <w:rsid w:val="008853B4"/>
    <w:rsid w:val="008853C7"/>
    <w:rsid w:val="00885825"/>
    <w:rsid w:val="00885B9B"/>
    <w:rsid w:val="00885FA0"/>
    <w:rsid w:val="00886030"/>
    <w:rsid w:val="00886501"/>
    <w:rsid w:val="00886531"/>
    <w:rsid w:val="00886CDD"/>
    <w:rsid w:val="00886F36"/>
    <w:rsid w:val="00886F38"/>
    <w:rsid w:val="00886FF6"/>
    <w:rsid w:val="00887462"/>
    <w:rsid w:val="008879A9"/>
    <w:rsid w:val="00887A37"/>
    <w:rsid w:val="00887E1E"/>
    <w:rsid w:val="008914FB"/>
    <w:rsid w:val="008915B6"/>
    <w:rsid w:val="00891D47"/>
    <w:rsid w:val="0089214D"/>
    <w:rsid w:val="008922AD"/>
    <w:rsid w:val="00892B2D"/>
    <w:rsid w:val="00893C0D"/>
    <w:rsid w:val="00893D72"/>
    <w:rsid w:val="00894081"/>
    <w:rsid w:val="00894125"/>
    <w:rsid w:val="00894143"/>
    <w:rsid w:val="0089435A"/>
    <w:rsid w:val="00894642"/>
    <w:rsid w:val="00894781"/>
    <w:rsid w:val="0089485F"/>
    <w:rsid w:val="00894A50"/>
    <w:rsid w:val="00894E3A"/>
    <w:rsid w:val="008950EF"/>
    <w:rsid w:val="008954F9"/>
    <w:rsid w:val="00895653"/>
    <w:rsid w:val="008957DD"/>
    <w:rsid w:val="00896449"/>
    <w:rsid w:val="00897194"/>
    <w:rsid w:val="0089724F"/>
    <w:rsid w:val="0089754C"/>
    <w:rsid w:val="00897B5E"/>
    <w:rsid w:val="00897BC6"/>
    <w:rsid w:val="00897D8B"/>
    <w:rsid w:val="00897DC3"/>
    <w:rsid w:val="008A002A"/>
    <w:rsid w:val="008A014D"/>
    <w:rsid w:val="008A02EC"/>
    <w:rsid w:val="008A0E11"/>
    <w:rsid w:val="008A12ED"/>
    <w:rsid w:val="008A1B0F"/>
    <w:rsid w:val="008A20DA"/>
    <w:rsid w:val="008A21C0"/>
    <w:rsid w:val="008A28B1"/>
    <w:rsid w:val="008A298B"/>
    <w:rsid w:val="008A2D0B"/>
    <w:rsid w:val="008A2D18"/>
    <w:rsid w:val="008A3163"/>
    <w:rsid w:val="008A36C1"/>
    <w:rsid w:val="008A3CC4"/>
    <w:rsid w:val="008A4019"/>
    <w:rsid w:val="008A436D"/>
    <w:rsid w:val="008A4424"/>
    <w:rsid w:val="008A477E"/>
    <w:rsid w:val="008A4D27"/>
    <w:rsid w:val="008A534C"/>
    <w:rsid w:val="008A5616"/>
    <w:rsid w:val="008A581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F41"/>
    <w:rsid w:val="008B1ABF"/>
    <w:rsid w:val="008B1F63"/>
    <w:rsid w:val="008B20E3"/>
    <w:rsid w:val="008B22E8"/>
    <w:rsid w:val="008B259C"/>
    <w:rsid w:val="008B261F"/>
    <w:rsid w:val="008B2636"/>
    <w:rsid w:val="008B2B14"/>
    <w:rsid w:val="008B2BEE"/>
    <w:rsid w:val="008B3612"/>
    <w:rsid w:val="008B3745"/>
    <w:rsid w:val="008B3750"/>
    <w:rsid w:val="008B3C5E"/>
    <w:rsid w:val="008B4026"/>
    <w:rsid w:val="008B406E"/>
    <w:rsid w:val="008B4093"/>
    <w:rsid w:val="008B40F2"/>
    <w:rsid w:val="008B5C8F"/>
    <w:rsid w:val="008B5DD6"/>
    <w:rsid w:val="008B5F16"/>
    <w:rsid w:val="008B6B1E"/>
    <w:rsid w:val="008B6F7C"/>
    <w:rsid w:val="008B7183"/>
    <w:rsid w:val="008B7451"/>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84B"/>
    <w:rsid w:val="008C18BC"/>
    <w:rsid w:val="008C1ADE"/>
    <w:rsid w:val="008C1B45"/>
    <w:rsid w:val="008C1E2C"/>
    <w:rsid w:val="008C26ED"/>
    <w:rsid w:val="008C28D0"/>
    <w:rsid w:val="008C2BB5"/>
    <w:rsid w:val="008C343F"/>
    <w:rsid w:val="008C36BD"/>
    <w:rsid w:val="008C39E1"/>
    <w:rsid w:val="008C3B3A"/>
    <w:rsid w:val="008C3C63"/>
    <w:rsid w:val="008C4206"/>
    <w:rsid w:val="008C43E2"/>
    <w:rsid w:val="008C4581"/>
    <w:rsid w:val="008C489E"/>
    <w:rsid w:val="008C4FA9"/>
    <w:rsid w:val="008C504D"/>
    <w:rsid w:val="008C59DF"/>
    <w:rsid w:val="008C5D76"/>
    <w:rsid w:val="008C5EE3"/>
    <w:rsid w:val="008C6829"/>
    <w:rsid w:val="008C6B32"/>
    <w:rsid w:val="008C6E40"/>
    <w:rsid w:val="008C6F52"/>
    <w:rsid w:val="008C7138"/>
    <w:rsid w:val="008C73B9"/>
    <w:rsid w:val="008C7584"/>
    <w:rsid w:val="008C79A1"/>
    <w:rsid w:val="008C7C57"/>
    <w:rsid w:val="008D0369"/>
    <w:rsid w:val="008D0519"/>
    <w:rsid w:val="008D0902"/>
    <w:rsid w:val="008D0ED4"/>
    <w:rsid w:val="008D100D"/>
    <w:rsid w:val="008D1497"/>
    <w:rsid w:val="008D1C1A"/>
    <w:rsid w:val="008D1FB9"/>
    <w:rsid w:val="008D2099"/>
    <w:rsid w:val="008D248E"/>
    <w:rsid w:val="008D264B"/>
    <w:rsid w:val="008D305F"/>
    <w:rsid w:val="008D32FC"/>
    <w:rsid w:val="008D335A"/>
    <w:rsid w:val="008D348B"/>
    <w:rsid w:val="008D3C94"/>
    <w:rsid w:val="008D4269"/>
    <w:rsid w:val="008D4629"/>
    <w:rsid w:val="008D4658"/>
    <w:rsid w:val="008D46EE"/>
    <w:rsid w:val="008D4A17"/>
    <w:rsid w:val="008D4E5B"/>
    <w:rsid w:val="008D55D1"/>
    <w:rsid w:val="008D5705"/>
    <w:rsid w:val="008D635F"/>
    <w:rsid w:val="008D6600"/>
    <w:rsid w:val="008D6782"/>
    <w:rsid w:val="008D6C04"/>
    <w:rsid w:val="008D6D34"/>
    <w:rsid w:val="008D7CD8"/>
    <w:rsid w:val="008D7EE9"/>
    <w:rsid w:val="008E006C"/>
    <w:rsid w:val="008E027A"/>
    <w:rsid w:val="008E0629"/>
    <w:rsid w:val="008E07EB"/>
    <w:rsid w:val="008E097D"/>
    <w:rsid w:val="008E1216"/>
    <w:rsid w:val="008E14F9"/>
    <w:rsid w:val="008E1619"/>
    <w:rsid w:val="008E1B8E"/>
    <w:rsid w:val="008E1BF5"/>
    <w:rsid w:val="008E1CA8"/>
    <w:rsid w:val="008E1FC2"/>
    <w:rsid w:val="008E2136"/>
    <w:rsid w:val="008E230B"/>
    <w:rsid w:val="008E27A2"/>
    <w:rsid w:val="008E2BE4"/>
    <w:rsid w:val="008E2CBC"/>
    <w:rsid w:val="008E2D39"/>
    <w:rsid w:val="008E2D87"/>
    <w:rsid w:val="008E3191"/>
    <w:rsid w:val="008E345C"/>
    <w:rsid w:val="008E3B97"/>
    <w:rsid w:val="008E3ED5"/>
    <w:rsid w:val="008E41BE"/>
    <w:rsid w:val="008E4254"/>
    <w:rsid w:val="008E456A"/>
    <w:rsid w:val="008E49F3"/>
    <w:rsid w:val="008E4A5B"/>
    <w:rsid w:val="008E4FAE"/>
    <w:rsid w:val="008E5047"/>
    <w:rsid w:val="008E5175"/>
    <w:rsid w:val="008E53A2"/>
    <w:rsid w:val="008E5786"/>
    <w:rsid w:val="008E58F0"/>
    <w:rsid w:val="008E5B20"/>
    <w:rsid w:val="008E62D2"/>
    <w:rsid w:val="008E66B3"/>
    <w:rsid w:val="008E68E5"/>
    <w:rsid w:val="008E6B4E"/>
    <w:rsid w:val="008E6B79"/>
    <w:rsid w:val="008E6CE6"/>
    <w:rsid w:val="008E6DC0"/>
    <w:rsid w:val="008E72EE"/>
    <w:rsid w:val="008E7455"/>
    <w:rsid w:val="008E7970"/>
    <w:rsid w:val="008E7B40"/>
    <w:rsid w:val="008E7C34"/>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F7D"/>
    <w:rsid w:val="008F328D"/>
    <w:rsid w:val="008F344E"/>
    <w:rsid w:val="008F36E2"/>
    <w:rsid w:val="008F377B"/>
    <w:rsid w:val="008F3C4B"/>
    <w:rsid w:val="008F43F5"/>
    <w:rsid w:val="008F4823"/>
    <w:rsid w:val="008F4835"/>
    <w:rsid w:val="008F48F6"/>
    <w:rsid w:val="008F4E23"/>
    <w:rsid w:val="008F4FC9"/>
    <w:rsid w:val="008F50A6"/>
    <w:rsid w:val="008F51DA"/>
    <w:rsid w:val="008F56DE"/>
    <w:rsid w:val="008F5D89"/>
    <w:rsid w:val="008F5E4C"/>
    <w:rsid w:val="008F6000"/>
    <w:rsid w:val="008F61A0"/>
    <w:rsid w:val="008F621C"/>
    <w:rsid w:val="008F67CC"/>
    <w:rsid w:val="008F6AD6"/>
    <w:rsid w:val="00900259"/>
    <w:rsid w:val="009007FC"/>
    <w:rsid w:val="00900B47"/>
    <w:rsid w:val="00900C35"/>
    <w:rsid w:val="00901012"/>
    <w:rsid w:val="009011CE"/>
    <w:rsid w:val="009017A1"/>
    <w:rsid w:val="00901D41"/>
    <w:rsid w:val="0090252A"/>
    <w:rsid w:val="0090258C"/>
    <w:rsid w:val="009025AB"/>
    <w:rsid w:val="00902C00"/>
    <w:rsid w:val="00902C80"/>
    <w:rsid w:val="00902CA5"/>
    <w:rsid w:val="00902D4F"/>
    <w:rsid w:val="009030E3"/>
    <w:rsid w:val="009034B9"/>
    <w:rsid w:val="00903FB3"/>
    <w:rsid w:val="00904690"/>
    <w:rsid w:val="00905336"/>
    <w:rsid w:val="009060FF"/>
    <w:rsid w:val="009066DC"/>
    <w:rsid w:val="00906E22"/>
    <w:rsid w:val="0090728D"/>
    <w:rsid w:val="00907441"/>
    <w:rsid w:val="00907583"/>
    <w:rsid w:val="0090758F"/>
    <w:rsid w:val="0090766F"/>
    <w:rsid w:val="0090779A"/>
    <w:rsid w:val="0090780A"/>
    <w:rsid w:val="009102B4"/>
    <w:rsid w:val="0091052B"/>
    <w:rsid w:val="00910715"/>
    <w:rsid w:val="009107FF"/>
    <w:rsid w:val="0091091D"/>
    <w:rsid w:val="00911327"/>
    <w:rsid w:val="00911F7E"/>
    <w:rsid w:val="009122DB"/>
    <w:rsid w:val="00912848"/>
    <w:rsid w:val="00912B56"/>
    <w:rsid w:val="00912C6F"/>
    <w:rsid w:val="00912E6B"/>
    <w:rsid w:val="009133D4"/>
    <w:rsid w:val="009136D9"/>
    <w:rsid w:val="00913F98"/>
    <w:rsid w:val="00914D25"/>
    <w:rsid w:val="00914D48"/>
    <w:rsid w:val="00915512"/>
    <w:rsid w:val="00916223"/>
    <w:rsid w:val="009163A0"/>
    <w:rsid w:val="009165A9"/>
    <w:rsid w:val="0091696F"/>
    <w:rsid w:val="00916C99"/>
    <w:rsid w:val="00916EE9"/>
    <w:rsid w:val="00917159"/>
    <w:rsid w:val="00917C84"/>
    <w:rsid w:val="00917D6B"/>
    <w:rsid w:val="00920FCF"/>
    <w:rsid w:val="0092119F"/>
    <w:rsid w:val="009218A2"/>
    <w:rsid w:val="0092191B"/>
    <w:rsid w:val="00921D86"/>
    <w:rsid w:val="00921FE8"/>
    <w:rsid w:val="0092241F"/>
    <w:rsid w:val="009224A3"/>
    <w:rsid w:val="009224B7"/>
    <w:rsid w:val="0092261B"/>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EF6"/>
    <w:rsid w:val="00925F7F"/>
    <w:rsid w:val="009260FB"/>
    <w:rsid w:val="00926354"/>
    <w:rsid w:val="009264CA"/>
    <w:rsid w:val="00926F34"/>
    <w:rsid w:val="00927038"/>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5E"/>
    <w:rsid w:val="00932100"/>
    <w:rsid w:val="00932249"/>
    <w:rsid w:val="00932509"/>
    <w:rsid w:val="00932929"/>
    <w:rsid w:val="00932983"/>
    <w:rsid w:val="009329B0"/>
    <w:rsid w:val="009329B2"/>
    <w:rsid w:val="009332E2"/>
    <w:rsid w:val="00933817"/>
    <w:rsid w:val="00933A35"/>
    <w:rsid w:val="00933FE3"/>
    <w:rsid w:val="00934B9E"/>
    <w:rsid w:val="00934EAC"/>
    <w:rsid w:val="009350E4"/>
    <w:rsid w:val="009354E5"/>
    <w:rsid w:val="00935753"/>
    <w:rsid w:val="009359DF"/>
    <w:rsid w:val="00935A5A"/>
    <w:rsid w:val="00935A5D"/>
    <w:rsid w:val="0093603E"/>
    <w:rsid w:val="009360D7"/>
    <w:rsid w:val="009362C9"/>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D13"/>
    <w:rsid w:val="00942058"/>
    <w:rsid w:val="0094218A"/>
    <w:rsid w:val="00942226"/>
    <w:rsid w:val="00942387"/>
    <w:rsid w:val="00942A1E"/>
    <w:rsid w:val="0094380C"/>
    <w:rsid w:val="0094385A"/>
    <w:rsid w:val="009438FE"/>
    <w:rsid w:val="00943AD9"/>
    <w:rsid w:val="00943AE3"/>
    <w:rsid w:val="00944236"/>
    <w:rsid w:val="00944614"/>
    <w:rsid w:val="00944959"/>
    <w:rsid w:val="00944EAE"/>
    <w:rsid w:val="0094517F"/>
    <w:rsid w:val="009451A4"/>
    <w:rsid w:val="0094553C"/>
    <w:rsid w:val="00945613"/>
    <w:rsid w:val="009457B0"/>
    <w:rsid w:val="00945D86"/>
    <w:rsid w:val="00945EF3"/>
    <w:rsid w:val="00946019"/>
    <w:rsid w:val="0094626F"/>
    <w:rsid w:val="009462D2"/>
    <w:rsid w:val="0094692B"/>
    <w:rsid w:val="00946A1D"/>
    <w:rsid w:val="00946B20"/>
    <w:rsid w:val="009476AB"/>
    <w:rsid w:val="009479A6"/>
    <w:rsid w:val="00947E56"/>
    <w:rsid w:val="00950A20"/>
    <w:rsid w:val="00950CD5"/>
    <w:rsid w:val="00950D16"/>
    <w:rsid w:val="0095118D"/>
    <w:rsid w:val="0095144C"/>
    <w:rsid w:val="009515F4"/>
    <w:rsid w:val="0095165B"/>
    <w:rsid w:val="00951BD0"/>
    <w:rsid w:val="00952548"/>
    <w:rsid w:val="00952844"/>
    <w:rsid w:val="009531B5"/>
    <w:rsid w:val="00953825"/>
    <w:rsid w:val="009538C2"/>
    <w:rsid w:val="00953D79"/>
    <w:rsid w:val="00953D91"/>
    <w:rsid w:val="00954003"/>
    <w:rsid w:val="00954148"/>
    <w:rsid w:val="009542ED"/>
    <w:rsid w:val="0095434A"/>
    <w:rsid w:val="00954939"/>
    <w:rsid w:val="009553DD"/>
    <w:rsid w:val="0095554D"/>
    <w:rsid w:val="00955943"/>
    <w:rsid w:val="009559B8"/>
    <w:rsid w:val="00955AC4"/>
    <w:rsid w:val="00955DF3"/>
    <w:rsid w:val="00955E90"/>
    <w:rsid w:val="0095654C"/>
    <w:rsid w:val="0095686C"/>
    <w:rsid w:val="00956C4E"/>
    <w:rsid w:val="0095751D"/>
    <w:rsid w:val="00957569"/>
    <w:rsid w:val="00957A77"/>
    <w:rsid w:val="00957D5D"/>
    <w:rsid w:val="0096002A"/>
    <w:rsid w:val="009608B3"/>
    <w:rsid w:val="00961623"/>
    <w:rsid w:val="009619B3"/>
    <w:rsid w:val="00961F98"/>
    <w:rsid w:val="00961F9F"/>
    <w:rsid w:val="00961FF0"/>
    <w:rsid w:val="00962323"/>
    <w:rsid w:val="009626AC"/>
    <w:rsid w:val="0096297B"/>
    <w:rsid w:val="009633D7"/>
    <w:rsid w:val="009637F5"/>
    <w:rsid w:val="00963ACD"/>
    <w:rsid w:val="00963B85"/>
    <w:rsid w:val="00964723"/>
    <w:rsid w:val="00964A1C"/>
    <w:rsid w:val="00964A79"/>
    <w:rsid w:val="00964C14"/>
    <w:rsid w:val="00964CF1"/>
    <w:rsid w:val="009652D5"/>
    <w:rsid w:val="00966C16"/>
    <w:rsid w:val="00966D01"/>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2278"/>
    <w:rsid w:val="009723EC"/>
    <w:rsid w:val="009725F2"/>
    <w:rsid w:val="00972636"/>
    <w:rsid w:val="00972847"/>
    <w:rsid w:val="00972916"/>
    <w:rsid w:val="00972A9A"/>
    <w:rsid w:val="00972AFF"/>
    <w:rsid w:val="00972B99"/>
    <w:rsid w:val="00973057"/>
    <w:rsid w:val="009735FB"/>
    <w:rsid w:val="0097374B"/>
    <w:rsid w:val="00973C85"/>
    <w:rsid w:val="0097429B"/>
    <w:rsid w:val="009746C6"/>
    <w:rsid w:val="009749F7"/>
    <w:rsid w:val="009757B3"/>
    <w:rsid w:val="00975B8C"/>
    <w:rsid w:val="0097600B"/>
    <w:rsid w:val="0097691F"/>
    <w:rsid w:val="009769C3"/>
    <w:rsid w:val="00977263"/>
    <w:rsid w:val="00977A34"/>
    <w:rsid w:val="00977D75"/>
    <w:rsid w:val="009809DC"/>
    <w:rsid w:val="00981126"/>
    <w:rsid w:val="0098193C"/>
    <w:rsid w:val="00981C05"/>
    <w:rsid w:val="00981E75"/>
    <w:rsid w:val="009821F9"/>
    <w:rsid w:val="00982435"/>
    <w:rsid w:val="00982559"/>
    <w:rsid w:val="00982627"/>
    <w:rsid w:val="00982719"/>
    <w:rsid w:val="00982745"/>
    <w:rsid w:val="0098307E"/>
    <w:rsid w:val="00983096"/>
    <w:rsid w:val="0098338D"/>
    <w:rsid w:val="009834B4"/>
    <w:rsid w:val="00983A0F"/>
    <w:rsid w:val="00983C31"/>
    <w:rsid w:val="00983DFB"/>
    <w:rsid w:val="00983E7E"/>
    <w:rsid w:val="00983EF1"/>
    <w:rsid w:val="0098401C"/>
    <w:rsid w:val="009841C1"/>
    <w:rsid w:val="0098461A"/>
    <w:rsid w:val="00984A1E"/>
    <w:rsid w:val="00984E8C"/>
    <w:rsid w:val="00985121"/>
    <w:rsid w:val="0098513A"/>
    <w:rsid w:val="00985E04"/>
    <w:rsid w:val="009865DA"/>
    <w:rsid w:val="009866A4"/>
    <w:rsid w:val="00987008"/>
    <w:rsid w:val="00987347"/>
    <w:rsid w:val="009874D7"/>
    <w:rsid w:val="0098765E"/>
    <w:rsid w:val="00987A6D"/>
    <w:rsid w:val="00987BAC"/>
    <w:rsid w:val="00987BB1"/>
    <w:rsid w:val="00987C50"/>
    <w:rsid w:val="00990169"/>
    <w:rsid w:val="009902F9"/>
    <w:rsid w:val="009905FF"/>
    <w:rsid w:val="00990672"/>
    <w:rsid w:val="00990A02"/>
    <w:rsid w:val="00990CF1"/>
    <w:rsid w:val="00990D40"/>
    <w:rsid w:val="00990F98"/>
    <w:rsid w:val="00991675"/>
    <w:rsid w:val="00992008"/>
    <w:rsid w:val="009920D5"/>
    <w:rsid w:val="009928FE"/>
    <w:rsid w:val="00992A0D"/>
    <w:rsid w:val="00992B05"/>
    <w:rsid w:val="00992BBD"/>
    <w:rsid w:val="00992BC7"/>
    <w:rsid w:val="00993387"/>
    <w:rsid w:val="00993EC9"/>
    <w:rsid w:val="00993F9C"/>
    <w:rsid w:val="00994540"/>
    <w:rsid w:val="0099478E"/>
    <w:rsid w:val="0099499F"/>
    <w:rsid w:val="00994B8D"/>
    <w:rsid w:val="0099513F"/>
    <w:rsid w:val="00995563"/>
    <w:rsid w:val="0099566F"/>
    <w:rsid w:val="00995D8B"/>
    <w:rsid w:val="00995EB7"/>
    <w:rsid w:val="00995F67"/>
    <w:rsid w:val="0099606C"/>
    <w:rsid w:val="00996409"/>
    <w:rsid w:val="00996499"/>
    <w:rsid w:val="009965BC"/>
    <w:rsid w:val="00996750"/>
    <w:rsid w:val="0099699D"/>
    <w:rsid w:val="009969D4"/>
    <w:rsid w:val="00996ACD"/>
    <w:rsid w:val="00996B63"/>
    <w:rsid w:val="00996BB0"/>
    <w:rsid w:val="00996D00"/>
    <w:rsid w:val="00996D57"/>
    <w:rsid w:val="0099752F"/>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D6B"/>
    <w:rsid w:val="009A41A1"/>
    <w:rsid w:val="009A48BF"/>
    <w:rsid w:val="009A5677"/>
    <w:rsid w:val="009A567A"/>
    <w:rsid w:val="009A6CF3"/>
    <w:rsid w:val="009A7199"/>
    <w:rsid w:val="009A74E4"/>
    <w:rsid w:val="009A76F7"/>
    <w:rsid w:val="009A7999"/>
    <w:rsid w:val="009B0134"/>
    <w:rsid w:val="009B0655"/>
    <w:rsid w:val="009B08A0"/>
    <w:rsid w:val="009B0E88"/>
    <w:rsid w:val="009B1A42"/>
    <w:rsid w:val="009B1A57"/>
    <w:rsid w:val="009B2020"/>
    <w:rsid w:val="009B24F2"/>
    <w:rsid w:val="009B252F"/>
    <w:rsid w:val="009B2785"/>
    <w:rsid w:val="009B2DBA"/>
    <w:rsid w:val="009B3133"/>
    <w:rsid w:val="009B3504"/>
    <w:rsid w:val="009B366F"/>
    <w:rsid w:val="009B38BC"/>
    <w:rsid w:val="009B42DD"/>
    <w:rsid w:val="009B43BF"/>
    <w:rsid w:val="009B449D"/>
    <w:rsid w:val="009B4693"/>
    <w:rsid w:val="009B4A2D"/>
    <w:rsid w:val="009B4A90"/>
    <w:rsid w:val="009B540B"/>
    <w:rsid w:val="009B54E0"/>
    <w:rsid w:val="009B56F9"/>
    <w:rsid w:val="009B591D"/>
    <w:rsid w:val="009B5A07"/>
    <w:rsid w:val="009B5CD6"/>
    <w:rsid w:val="009B64D1"/>
    <w:rsid w:val="009B655D"/>
    <w:rsid w:val="009B6884"/>
    <w:rsid w:val="009B6BC6"/>
    <w:rsid w:val="009B6EAB"/>
    <w:rsid w:val="009B74D3"/>
    <w:rsid w:val="009B757A"/>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442C"/>
    <w:rsid w:val="009C4851"/>
    <w:rsid w:val="009C4884"/>
    <w:rsid w:val="009C4A9D"/>
    <w:rsid w:val="009C4AD3"/>
    <w:rsid w:val="009C52A7"/>
    <w:rsid w:val="009C5421"/>
    <w:rsid w:val="009C56C2"/>
    <w:rsid w:val="009C57A4"/>
    <w:rsid w:val="009C5AFF"/>
    <w:rsid w:val="009C601F"/>
    <w:rsid w:val="009C62F8"/>
    <w:rsid w:val="009C73CB"/>
    <w:rsid w:val="009C7951"/>
    <w:rsid w:val="009C7B7D"/>
    <w:rsid w:val="009D03E1"/>
    <w:rsid w:val="009D057F"/>
    <w:rsid w:val="009D0581"/>
    <w:rsid w:val="009D07C3"/>
    <w:rsid w:val="009D0946"/>
    <w:rsid w:val="009D097D"/>
    <w:rsid w:val="009D09FF"/>
    <w:rsid w:val="009D0D3A"/>
    <w:rsid w:val="009D0F03"/>
    <w:rsid w:val="009D15C6"/>
    <w:rsid w:val="009D17B9"/>
    <w:rsid w:val="009D1A67"/>
    <w:rsid w:val="009D1ED1"/>
    <w:rsid w:val="009D1F69"/>
    <w:rsid w:val="009D2362"/>
    <w:rsid w:val="009D23F9"/>
    <w:rsid w:val="009D2788"/>
    <w:rsid w:val="009D38F7"/>
    <w:rsid w:val="009D3DD0"/>
    <w:rsid w:val="009D406F"/>
    <w:rsid w:val="009D545A"/>
    <w:rsid w:val="009D558A"/>
    <w:rsid w:val="009D5BCD"/>
    <w:rsid w:val="009D5BF0"/>
    <w:rsid w:val="009D5E81"/>
    <w:rsid w:val="009D6321"/>
    <w:rsid w:val="009D6606"/>
    <w:rsid w:val="009D669A"/>
    <w:rsid w:val="009D6B83"/>
    <w:rsid w:val="009D6B9B"/>
    <w:rsid w:val="009D6CDA"/>
    <w:rsid w:val="009D6D44"/>
    <w:rsid w:val="009D7225"/>
    <w:rsid w:val="009E00EA"/>
    <w:rsid w:val="009E01D7"/>
    <w:rsid w:val="009E02E3"/>
    <w:rsid w:val="009E037D"/>
    <w:rsid w:val="009E0593"/>
    <w:rsid w:val="009E0CC9"/>
    <w:rsid w:val="009E0F4D"/>
    <w:rsid w:val="009E10D6"/>
    <w:rsid w:val="009E11F6"/>
    <w:rsid w:val="009E165F"/>
    <w:rsid w:val="009E1965"/>
    <w:rsid w:val="009E1CCF"/>
    <w:rsid w:val="009E1F4C"/>
    <w:rsid w:val="009E1F85"/>
    <w:rsid w:val="009E22FA"/>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784E"/>
    <w:rsid w:val="009E7F68"/>
    <w:rsid w:val="009F0630"/>
    <w:rsid w:val="009F0984"/>
    <w:rsid w:val="009F0B36"/>
    <w:rsid w:val="009F1180"/>
    <w:rsid w:val="009F1758"/>
    <w:rsid w:val="009F1C84"/>
    <w:rsid w:val="009F2114"/>
    <w:rsid w:val="009F2262"/>
    <w:rsid w:val="009F28E2"/>
    <w:rsid w:val="009F299F"/>
    <w:rsid w:val="009F2C2D"/>
    <w:rsid w:val="009F3315"/>
    <w:rsid w:val="009F3377"/>
    <w:rsid w:val="009F3BCC"/>
    <w:rsid w:val="009F3E23"/>
    <w:rsid w:val="009F4171"/>
    <w:rsid w:val="009F42E8"/>
    <w:rsid w:val="009F441E"/>
    <w:rsid w:val="009F4583"/>
    <w:rsid w:val="009F47CE"/>
    <w:rsid w:val="009F4A66"/>
    <w:rsid w:val="009F4ADA"/>
    <w:rsid w:val="009F4BA8"/>
    <w:rsid w:val="009F5858"/>
    <w:rsid w:val="009F6239"/>
    <w:rsid w:val="009F6658"/>
    <w:rsid w:val="009F6A0D"/>
    <w:rsid w:val="009F6BF2"/>
    <w:rsid w:val="009F6C05"/>
    <w:rsid w:val="009F7100"/>
    <w:rsid w:val="009F7294"/>
    <w:rsid w:val="009F734C"/>
    <w:rsid w:val="009F746A"/>
    <w:rsid w:val="009F7C9B"/>
    <w:rsid w:val="009F7E8C"/>
    <w:rsid w:val="009F7FB3"/>
    <w:rsid w:val="00A00BA5"/>
    <w:rsid w:val="00A017A8"/>
    <w:rsid w:val="00A01AAD"/>
    <w:rsid w:val="00A01B15"/>
    <w:rsid w:val="00A01BA3"/>
    <w:rsid w:val="00A01EAA"/>
    <w:rsid w:val="00A028E5"/>
    <w:rsid w:val="00A02F04"/>
    <w:rsid w:val="00A02FD1"/>
    <w:rsid w:val="00A0313B"/>
    <w:rsid w:val="00A03D76"/>
    <w:rsid w:val="00A03F67"/>
    <w:rsid w:val="00A04712"/>
    <w:rsid w:val="00A04CFA"/>
    <w:rsid w:val="00A04D9F"/>
    <w:rsid w:val="00A05069"/>
    <w:rsid w:val="00A050D7"/>
    <w:rsid w:val="00A0534B"/>
    <w:rsid w:val="00A0638A"/>
    <w:rsid w:val="00A069D1"/>
    <w:rsid w:val="00A06E2E"/>
    <w:rsid w:val="00A070B7"/>
    <w:rsid w:val="00A074B7"/>
    <w:rsid w:val="00A07991"/>
    <w:rsid w:val="00A079A5"/>
    <w:rsid w:val="00A07ACD"/>
    <w:rsid w:val="00A07B27"/>
    <w:rsid w:val="00A07F1F"/>
    <w:rsid w:val="00A1008B"/>
    <w:rsid w:val="00A104CE"/>
    <w:rsid w:val="00A106AC"/>
    <w:rsid w:val="00A1092B"/>
    <w:rsid w:val="00A10CDE"/>
    <w:rsid w:val="00A1135A"/>
    <w:rsid w:val="00A11545"/>
    <w:rsid w:val="00A11EAA"/>
    <w:rsid w:val="00A12DE8"/>
    <w:rsid w:val="00A12F1D"/>
    <w:rsid w:val="00A12FE0"/>
    <w:rsid w:val="00A139FC"/>
    <w:rsid w:val="00A13A89"/>
    <w:rsid w:val="00A13E76"/>
    <w:rsid w:val="00A143E1"/>
    <w:rsid w:val="00A143F0"/>
    <w:rsid w:val="00A14598"/>
    <w:rsid w:val="00A14748"/>
    <w:rsid w:val="00A14887"/>
    <w:rsid w:val="00A14DE8"/>
    <w:rsid w:val="00A150BE"/>
    <w:rsid w:val="00A152E5"/>
    <w:rsid w:val="00A15BD1"/>
    <w:rsid w:val="00A15F04"/>
    <w:rsid w:val="00A15F6E"/>
    <w:rsid w:val="00A160A9"/>
    <w:rsid w:val="00A1680D"/>
    <w:rsid w:val="00A168D9"/>
    <w:rsid w:val="00A16CA1"/>
    <w:rsid w:val="00A16EA7"/>
    <w:rsid w:val="00A1716C"/>
    <w:rsid w:val="00A1749D"/>
    <w:rsid w:val="00A176FF"/>
    <w:rsid w:val="00A17CC1"/>
    <w:rsid w:val="00A2190F"/>
    <w:rsid w:val="00A21962"/>
    <w:rsid w:val="00A21B20"/>
    <w:rsid w:val="00A21D6F"/>
    <w:rsid w:val="00A21DA9"/>
    <w:rsid w:val="00A21DDD"/>
    <w:rsid w:val="00A21EDD"/>
    <w:rsid w:val="00A22037"/>
    <w:rsid w:val="00A222CC"/>
    <w:rsid w:val="00A22BA1"/>
    <w:rsid w:val="00A23718"/>
    <w:rsid w:val="00A23764"/>
    <w:rsid w:val="00A238F3"/>
    <w:rsid w:val="00A23AB0"/>
    <w:rsid w:val="00A23C3F"/>
    <w:rsid w:val="00A241A2"/>
    <w:rsid w:val="00A24949"/>
    <w:rsid w:val="00A2507A"/>
    <w:rsid w:val="00A25D3B"/>
    <w:rsid w:val="00A266C5"/>
    <w:rsid w:val="00A26704"/>
    <w:rsid w:val="00A26B02"/>
    <w:rsid w:val="00A26B03"/>
    <w:rsid w:val="00A26C43"/>
    <w:rsid w:val="00A26D60"/>
    <w:rsid w:val="00A26E70"/>
    <w:rsid w:val="00A2712F"/>
    <w:rsid w:val="00A27303"/>
    <w:rsid w:val="00A27448"/>
    <w:rsid w:val="00A278DB"/>
    <w:rsid w:val="00A3020D"/>
    <w:rsid w:val="00A3052D"/>
    <w:rsid w:val="00A308B2"/>
    <w:rsid w:val="00A309C6"/>
    <w:rsid w:val="00A30BC0"/>
    <w:rsid w:val="00A30C55"/>
    <w:rsid w:val="00A30F98"/>
    <w:rsid w:val="00A310BA"/>
    <w:rsid w:val="00A3115A"/>
    <w:rsid w:val="00A313F8"/>
    <w:rsid w:val="00A31657"/>
    <w:rsid w:val="00A31734"/>
    <w:rsid w:val="00A31778"/>
    <w:rsid w:val="00A317A3"/>
    <w:rsid w:val="00A3187D"/>
    <w:rsid w:val="00A31C8F"/>
    <w:rsid w:val="00A3227D"/>
    <w:rsid w:val="00A326F2"/>
    <w:rsid w:val="00A3277F"/>
    <w:rsid w:val="00A32AFC"/>
    <w:rsid w:val="00A32E4E"/>
    <w:rsid w:val="00A33019"/>
    <w:rsid w:val="00A3301F"/>
    <w:rsid w:val="00A333F6"/>
    <w:rsid w:val="00A336E7"/>
    <w:rsid w:val="00A33BAE"/>
    <w:rsid w:val="00A33D3C"/>
    <w:rsid w:val="00A3430F"/>
    <w:rsid w:val="00A3443F"/>
    <w:rsid w:val="00A34538"/>
    <w:rsid w:val="00A347CC"/>
    <w:rsid w:val="00A34882"/>
    <w:rsid w:val="00A349DD"/>
    <w:rsid w:val="00A34D12"/>
    <w:rsid w:val="00A354E8"/>
    <w:rsid w:val="00A3553E"/>
    <w:rsid w:val="00A357C1"/>
    <w:rsid w:val="00A358C4"/>
    <w:rsid w:val="00A35ACA"/>
    <w:rsid w:val="00A35B65"/>
    <w:rsid w:val="00A36400"/>
    <w:rsid w:val="00A3647F"/>
    <w:rsid w:val="00A36493"/>
    <w:rsid w:val="00A36842"/>
    <w:rsid w:val="00A36C43"/>
    <w:rsid w:val="00A36C9C"/>
    <w:rsid w:val="00A372A5"/>
    <w:rsid w:val="00A37574"/>
    <w:rsid w:val="00A40325"/>
    <w:rsid w:val="00A4089E"/>
    <w:rsid w:val="00A40FE5"/>
    <w:rsid w:val="00A4103C"/>
    <w:rsid w:val="00A4109C"/>
    <w:rsid w:val="00A415E6"/>
    <w:rsid w:val="00A41726"/>
    <w:rsid w:val="00A41B00"/>
    <w:rsid w:val="00A41D03"/>
    <w:rsid w:val="00A42026"/>
    <w:rsid w:val="00A427D6"/>
    <w:rsid w:val="00A42AF7"/>
    <w:rsid w:val="00A42BED"/>
    <w:rsid w:val="00A42D88"/>
    <w:rsid w:val="00A42EFE"/>
    <w:rsid w:val="00A4327B"/>
    <w:rsid w:val="00A43EF4"/>
    <w:rsid w:val="00A44066"/>
    <w:rsid w:val="00A445E5"/>
    <w:rsid w:val="00A44625"/>
    <w:rsid w:val="00A44C91"/>
    <w:rsid w:val="00A44EA7"/>
    <w:rsid w:val="00A451A0"/>
    <w:rsid w:val="00A4542B"/>
    <w:rsid w:val="00A45D10"/>
    <w:rsid w:val="00A45FF3"/>
    <w:rsid w:val="00A464C8"/>
    <w:rsid w:val="00A47281"/>
    <w:rsid w:val="00A4765F"/>
    <w:rsid w:val="00A47868"/>
    <w:rsid w:val="00A47AF5"/>
    <w:rsid w:val="00A47B26"/>
    <w:rsid w:val="00A47D63"/>
    <w:rsid w:val="00A47ECE"/>
    <w:rsid w:val="00A50328"/>
    <w:rsid w:val="00A504C0"/>
    <w:rsid w:val="00A505DE"/>
    <w:rsid w:val="00A50CDF"/>
    <w:rsid w:val="00A50D3F"/>
    <w:rsid w:val="00A50D81"/>
    <w:rsid w:val="00A50D97"/>
    <w:rsid w:val="00A50DBB"/>
    <w:rsid w:val="00A5102B"/>
    <w:rsid w:val="00A51164"/>
    <w:rsid w:val="00A51818"/>
    <w:rsid w:val="00A51A3F"/>
    <w:rsid w:val="00A525F4"/>
    <w:rsid w:val="00A52857"/>
    <w:rsid w:val="00A529E8"/>
    <w:rsid w:val="00A5314F"/>
    <w:rsid w:val="00A531BB"/>
    <w:rsid w:val="00A5327C"/>
    <w:rsid w:val="00A53A7F"/>
    <w:rsid w:val="00A53AE7"/>
    <w:rsid w:val="00A53F6A"/>
    <w:rsid w:val="00A54056"/>
    <w:rsid w:val="00A54439"/>
    <w:rsid w:val="00A549DA"/>
    <w:rsid w:val="00A558F9"/>
    <w:rsid w:val="00A55B2C"/>
    <w:rsid w:val="00A56AC9"/>
    <w:rsid w:val="00A56C71"/>
    <w:rsid w:val="00A5721C"/>
    <w:rsid w:val="00A57434"/>
    <w:rsid w:val="00A574FA"/>
    <w:rsid w:val="00A57EB4"/>
    <w:rsid w:val="00A60230"/>
    <w:rsid w:val="00A60563"/>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349"/>
    <w:rsid w:val="00A62781"/>
    <w:rsid w:val="00A62D5D"/>
    <w:rsid w:val="00A62FC9"/>
    <w:rsid w:val="00A6304E"/>
    <w:rsid w:val="00A63410"/>
    <w:rsid w:val="00A63D22"/>
    <w:rsid w:val="00A63F85"/>
    <w:rsid w:val="00A64769"/>
    <w:rsid w:val="00A65106"/>
    <w:rsid w:val="00A654E7"/>
    <w:rsid w:val="00A6591E"/>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D18"/>
    <w:rsid w:val="00A7113E"/>
    <w:rsid w:val="00A714FB"/>
    <w:rsid w:val="00A716BA"/>
    <w:rsid w:val="00A71A6C"/>
    <w:rsid w:val="00A722A2"/>
    <w:rsid w:val="00A72432"/>
    <w:rsid w:val="00A73704"/>
    <w:rsid w:val="00A73E86"/>
    <w:rsid w:val="00A74064"/>
    <w:rsid w:val="00A74260"/>
    <w:rsid w:val="00A743F8"/>
    <w:rsid w:val="00A74599"/>
    <w:rsid w:val="00A7483E"/>
    <w:rsid w:val="00A748F0"/>
    <w:rsid w:val="00A74934"/>
    <w:rsid w:val="00A74B9B"/>
    <w:rsid w:val="00A74BEB"/>
    <w:rsid w:val="00A74F50"/>
    <w:rsid w:val="00A750EE"/>
    <w:rsid w:val="00A75892"/>
    <w:rsid w:val="00A759D5"/>
    <w:rsid w:val="00A75A1F"/>
    <w:rsid w:val="00A766E4"/>
    <w:rsid w:val="00A766FF"/>
    <w:rsid w:val="00A76BFF"/>
    <w:rsid w:val="00A77C21"/>
    <w:rsid w:val="00A77D6D"/>
    <w:rsid w:val="00A8014C"/>
    <w:rsid w:val="00A808DB"/>
    <w:rsid w:val="00A80B2C"/>
    <w:rsid w:val="00A80B3C"/>
    <w:rsid w:val="00A80FF2"/>
    <w:rsid w:val="00A81252"/>
    <w:rsid w:val="00A81A94"/>
    <w:rsid w:val="00A81D28"/>
    <w:rsid w:val="00A81D45"/>
    <w:rsid w:val="00A8223B"/>
    <w:rsid w:val="00A82534"/>
    <w:rsid w:val="00A82948"/>
    <w:rsid w:val="00A82BA1"/>
    <w:rsid w:val="00A82C5B"/>
    <w:rsid w:val="00A8329D"/>
    <w:rsid w:val="00A8364E"/>
    <w:rsid w:val="00A83ACF"/>
    <w:rsid w:val="00A843C4"/>
    <w:rsid w:val="00A845F6"/>
    <w:rsid w:val="00A84D50"/>
    <w:rsid w:val="00A84E12"/>
    <w:rsid w:val="00A85346"/>
    <w:rsid w:val="00A85D0F"/>
    <w:rsid w:val="00A85EDA"/>
    <w:rsid w:val="00A86039"/>
    <w:rsid w:val="00A860BF"/>
    <w:rsid w:val="00A860F3"/>
    <w:rsid w:val="00A86C7B"/>
    <w:rsid w:val="00A86E2E"/>
    <w:rsid w:val="00A87311"/>
    <w:rsid w:val="00A87332"/>
    <w:rsid w:val="00A878B9"/>
    <w:rsid w:val="00A87DD8"/>
    <w:rsid w:val="00A87FF6"/>
    <w:rsid w:val="00A90503"/>
    <w:rsid w:val="00A90B83"/>
    <w:rsid w:val="00A9108B"/>
    <w:rsid w:val="00A9119A"/>
    <w:rsid w:val="00A911F3"/>
    <w:rsid w:val="00A92037"/>
    <w:rsid w:val="00A927C2"/>
    <w:rsid w:val="00A9289F"/>
    <w:rsid w:val="00A92A30"/>
    <w:rsid w:val="00A93036"/>
    <w:rsid w:val="00A93636"/>
    <w:rsid w:val="00A93749"/>
    <w:rsid w:val="00A9396C"/>
    <w:rsid w:val="00A93DAA"/>
    <w:rsid w:val="00A9453E"/>
    <w:rsid w:val="00A949AE"/>
    <w:rsid w:val="00A94C15"/>
    <w:rsid w:val="00A94F3E"/>
    <w:rsid w:val="00A9501B"/>
    <w:rsid w:val="00A951CD"/>
    <w:rsid w:val="00A9522D"/>
    <w:rsid w:val="00A95300"/>
    <w:rsid w:val="00A956B1"/>
    <w:rsid w:val="00A95932"/>
    <w:rsid w:val="00A95A19"/>
    <w:rsid w:val="00A95D13"/>
    <w:rsid w:val="00A95DED"/>
    <w:rsid w:val="00A961DE"/>
    <w:rsid w:val="00A962F1"/>
    <w:rsid w:val="00A9663C"/>
    <w:rsid w:val="00A9681E"/>
    <w:rsid w:val="00A96A38"/>
    <w:rsid w:val="00A96E4B"/>
    <w:rsid w:val="00A97670"/>
    <w:rsid w:val="00A97948"/>
    <w:rsid w:val="00A97B74"/>
    <w:rsid w:val="00A97E96"/>
    <w:rsid w:val="00AA007A"/>
    <w:rsid w:val="00AA0235"/>
    <w:rsid w:val="00AA02FE"/>
    <w:rsid w:val="00AA0D6A"/>
    <w:rsid w:val="00AA0E8A"/>
    <w:rsid w:val="00AA12B3"/>
    <w:rsid w:val="00AA12C5"/>
    <w:rsid w:val="00AA1C89"/>
    <w:rsid w:val="00AA1E89"/>
    <w:rsid w:val="00AA255D"/>
    <w:rsid w:val="00AA274B"/>
    <w:rsid w:val="00AA33C7"/>
    <w:rsid w:val="00AA353F"/>
    <w:rsid w:val="00AA35B4"/>
    <w:rsid w:val="00AA3603"/>
    <w:rsid w:val="00AA3B49"/>
    <w:rsid w:val="00AA3B57"/>
    <w:rsid w:val="00AA46F0"/>
    <w:rsid w:val="00AA4DB7"/>
    <w:rsid w:val="00AA4DD2"/>
    <w:rsid w:val="00AA4E64"/>
    <w:rsid w:val="00AA5069"/>
    <w:rsid w:val="00AA5443"/>
    <w:rsid w:val="00AA5CF6"/>
    <w:rsid w:val="00AA5F1A"/>
    <w:rsid w:val="00AA607B"/>
    <w:rsid w:val="00AA6586"/>
    <w:rsid w:val="00AA685A"/>
    <w:rsid w:val="00AA6C3C"/>
    <w:rsid w:val="00AA7225"/>
    <w:rsid w:val="00AA73C3"/>
    <w:rsid w:val="00AA756E"/>
    <w:rsid w:val="00AA75F7"/>
    <w:rsid w:val="00AA7713"/>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240C"/>
    <w:rsid w:val="00AB24C5"/>
    <w:rsid w:val="00AB25BF"/>
    <w:rsid w:val="00AB29E8"/>
    <w:rsid w:val="00AB2E87"/>
    <w:rsid w:val="00AB3173"/>
    <w:rsid w:val="00AB31BC"/>
    <w:rsid w:val="00AB3D7C"/>
    <w:rsid w:val="00AB3FBA"/>
    <w:rsid w:val="00AB424B"/>
    <w:rsid w:val="00AB47DC"/>
    <w:rsid w:val="00AB4E79"/>
    <w:rsid w:val="00AB4E9F"/>
    <w:rsid w:val="00AB506E"/>
    <w:rsid w:val="00AB5493"/>
    <w:rsid w:val="00AB54D6"/>
    <w:rsid w:val="00AB5666"/>
    <w:rsid w:val="00AB5CDF"/>
    <w:rsid w:val="00AB60E2"/>
    <w:rsid w:val="00AB63B3"/>
    <w:rsid w:val="00AB6B3F"/>
    <w:rsid w:val="00AB6E87"/>
    <w:rsid w:val="00AB6F01"/>
    <w:rsid w:val="00AB6FFE"/>
    <w:rsid w:val="00AB7434"/>
    <w:rsid w:val="00AB7A2F"/>
    <w:rsid w:val="00AC00C4"/>
    <w:rsid w:val="00AC0529"/>
    <w:rsid w:val="00AC07DD"/>
    <w:rsid w:val="00AC0A1D"/>
    <w:rsid w:val="00AC0B0B"/>
    <w:rsid w:val="00AC0CE2"/>
    <w:rsid w:val="00AC126F"/>
    <w:rsid w:val="00AC1736"/>
    <w:rsid w:val="00AC190C"/>
    <w:rsid w:val="00AC1C55"/>
    <w:rsid w:val="00AC1D2B"/>
    <w:rsid w:val="00AC1FA6"/>
    <w:rsid w:val="00AC210F"/>
    <w:rsid w:val="00AC27FF"/>
    <w:rsid w:val="00AC2A31"/>
    <w:rsid w:val="00AC2AD1"/>
    <w:rsid w:val="00AC2F92"/>
    <w:rsid w:val="00AC3010"/>
    <w:rsid w:val="00AC315E"/>
    <w:rsid w:val="00AC319E"/>
    <w:rsid w:val="00AC328F"/>
    <w:rsid w:val="00AC35FD"/>
    <w:rsid w:val="00AC3685"/>
    <w:rsid w:val="00AC3D80"/>
    <w:rsid w:val="00AC3F70"/>
    <w:rsid w:val="00AC42ED"/>
    <w:rsid w:val="00AC446F"/>
    <w:rsid w:val="00AC4659"/>
    <w:rsid w:val="00AC48B8"/>
    <w:rsid w:val="00AC4BB9"/>
    <w:rsid w:val="00AC5B1B"/>
    <w:rsid w:val="00AC5D5A"/>
    <w:rsid w:val="00AC5D6E"/>
    <w:rsid w:val="00AC624F"/>
    <w:rsid w:val="00AC6BCD"/>
    <w:rsid w:val="00AC6C7E"/>
    <w:rsid w:val="00AC6F02"/>
    <w:rsid w:val="00AC6F7A"/>
    <w:rsid w:val="00AC71D8"/>
    <w:rsid w:val="00AC7665"/>
    <w:rsid w:val="00AC7812"/>
    <w:rsid w:val="00AC79CC"/>
    <w:rsid w:val="00AC7D5E"/>
    <w:rsid w:val="00AC7D89"/>
    <w:rsid w:val="00AD0326"/>
    <w:rsid w:val="00AD06BC"/>
    <w:rsid w:val="00AD09B3"/>
    <w:rsid w:val="00AD0CF7"/>
    <w:rsid w:val="00AD129A"/>
    <w:rsid w:val="00AD1C47"/>
    <w:rsid w:val="00AD21A1"/>
    <w:rsid w:val="00AD222C"/>
    <w:rsid w:val="00AD2294"/>
    <w:rsid w:val="00AD2AC9"/>
    <w:rsid w:val="00AD30A0"/>
    <w:rsid w:val="00AD34F4"/>
    <w:rsid w:val="00AD353F"/>
    <w:rsid w:val="00AD386C"/>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FB"/>
    <w:rsid w:val="00AE0A2D"/>
    <w:rsid w:val="00AE0B90"/>
    <w:rsid w:val="00AE1529"/>
    <w:rsid w:val="00AE1B01"/>
    <w:rsid w:val="00AE28E4"/>
    <w:rsid w:val="00AE2AF7"/>
    <w:rsid w:val="00AE2B5B"/>
    <w:rsid w:val="00AE309D"/>
    <w:rsid w:val="00AE313D"/>
    <w:rsid w:val="00AE3455"/>
    <w:rsid w:val="00AE3739"/>
    <w:rsid w:val="00AE3A1E"/>
    <w:rsid w:val="00AE3AA3"/>
    <w:rsid w:val="00AE3D37"/>
    <w:rsid w:val="00AE4395"/>
    <w:rsid w:val="00AE4673"/>
    <w:rsid w:val="00AE4AC3"/>
    <w:rsid w:val="00AE578C"/>
    <w:rsid w:val="00AE5F32"/>
    <w:rsid w:val="00AE5F4E"/>
    <w:rsid w:val="00AE6898"/>
    <w:rsid w:val="00AE68F7"/>
    <w:rsid w:val="00AE69A7"/>
    <w:rsid w:val="00AE69E3"/>
    <w:rsid w:val="00AE6CD0"/>
    <w:rsid w:val="00AE734F"/>
    <w:rsid w:val="00AE7661"/>
    <w:rsid w:val="00AE7F77"/>
    <w:rsid w:val="00AF0308"/>
    <w:rsid w:val="00AF067A"/>
    <w:rsid w:val="00AF07B2"/>
    <w:rsid w:val="00AF109E"/>
    <w:rsid w:val="00AF12C6"/>
    <w:rsid w:val="00AF18AB"/>
    <w:rsid w:val="00AF1A2D"/>
    <w:rsid w:val="00AF2656"/>
    <w:rsid w:val="00AF294A"/>
    <w:rsid w:val="00AF2C0B"/>
    <w:rsid w:val="00AF2DBC"/>
    <w:rsid w:val="00AF2FCC"/>
    <w:rsid w:val="00AF300E"/>
    <w:rsid w:val="00AF3573"/>
    <w:rsid w:val="00AF3824"/>
    <w:rsid w:val="00AF3D60"/>
    <w:rsid w:val="00AF3DFE"/>
    <w:rsid w:val="00AF3E8F"/>
    <w:rsid w:val="00AF4019"/>
    <w:rsid w:val="00AF4170"/>
    <w:rsid w:val="00AF4DBF"/>
    <w:rsid w:val="00AF4FD5"/>
    <w:rsid w:val="00AF57E0"/>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D99"/>
    <w:rsid w:val="00AF7E82"/>
    <w:rsid w:val="00B00014"/>
    <w:rsid w:val="00B00611"/>
    <w:rsid w:val="00B013E3"/>
    <w:rsid w:val="00B01F1F"/>
    <w:rsid w:val="00B02141"/>
    <w:rsid w:val="00B02B88"/>
    <w:rsid w:val="00B02DD8"/>
    <w:rsid w:val="00B03037"/>
    <w:rsid w:val="00B0334E"/>
    <w:rsid w:val="00B03484"/>
    <w:rsid w:val="00B03719"/>
    <w:rsid w:val="00B03A5A"/>
    <w:rsid w:val="00B03A82"/>
    <w:rsid w:val="00B03CED"/>
    <w:rsid w:val="00B04354"/>
    <w:rsid w:val="00B0461C"/>
    <w:rsid w:val="00B04663"/>
    <w:rsid w:val="00B048DB"/>
    <w:rsid w:val="00B049C5"/>
    <w:rsid w:val="00B04FD7"/>
    <w:rsid w:val="00B05316"/>
    <w:rsid w:val="00B05686"/>
    <w:rsid w:val="00B06224"/>
    <w:rsid w:val="00B065B9"/>
    <w:rsid w:val="00B0684A"/>
    <w:rsid w:val="00B06BA4"/>
    <w:rsid w:val="00B06BDC"/>
    <w:rsid w:val="00B06C9E"/>
    <w:rsid w:val="00B0770C"/>
    <w:rsid w:val="00B07950"/>
    <w:rsid w:val="00B07D14"/>
    <w:rsid w:val="00B07DB8"/>
    <w:rsid w:val="00B10118"/>
    <w:rsid w:val="00B101C7"/>
    <w:rsid w:val="00B101E6"/>
    <w:rsid w:val="00B10367"/>
    <w:rsid w:val="00B10D0C"/>
    <w:rsid w:val="00B10D51"/>
    <w:rsid w:val="00B10D6B"/>
    <w:rsid w:val="00B11706"/>
    <w:rsid w:val="00B11B7E"/>
    <w:rsid w:val="00B11BAA"/>
    <w:rsid w:val="00B11BCB"/>
    <w:rsid w:val="00B11D09"/>
    <w:rsid w:val="00B11E11"/>
    <w:rsid w:val="00B11E5A"/>
    <w:rsid w:val="00B1232A"/>
    <w:rsid w:val="00B13013"/>
    <w:rsid w:val="00B130FC"/>
    <w:rsid w:val="00B1325A"/>
    <w:rsid w:val="00B1372B"/>
    <w:rsid w:val="00B13C94"/>
    <w:rsid w:val="00B13DCB"/>
    <w:rsid w:val="00B141AC"/>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7D28"/>
    <w:rsid w:val="00B17FBC"/>
    <w:rsid w:val="00B20C13"/>
    <w:rsid w:val="00B20CCB"/>
    <w:rsid w:val="00B22173"/>
    <w:rsid w:val="00B221B5"/>
    <w:rsid w:val="00B2234B"/>
    <w:rsid w:val="00B223EF"/>
    <w:rsid w:val="00B2283A"/>
    <w:rsid w:val="00B2324E"/>
    <w:rsid w:val="00B238E4"/>
    <w:rsid w:val="00B23A6B"/>
    <w:rsid w:val="00B23C92"/>
    <w:rsid w:val="00B243B0"/>
    <w:rsid w:val="00B2462E"/>
    <w:rsid w:val="00B2484E"/>
    <w:rsid w:val="00B249FC"/>
    <w:rsid w:val="00B24CE9"/>
    <w:rsid w:val="00B25147"/>
    <w:rsid w:val="00B254B8"/>
    <w:rsid w:val="00B25632"/>
    <w:rsid w:val="00B259DE"/>
    <w:rsid w:val="00B25C8C"/>
    <w:rsid w:val="00B268A9"/>
    <w:rsid w:val="00B27212"/>
    <w:rsid w:val="00B27383"/>
    <w:rsid w:val="00B27740"/>
    <w:rsid w:val="00B27975"/>
    <w:rsid w:val="00B27FC2"/>
    <w:rsid w:val="00B31035"/>
    <w:rsid w:val="00B31552"/>
    <w:rsid w:val="00B317E7"/>
    <w:rsid w:val="00B31A96"/>
    <w:rsid w:val="00B31C0F"/>
    <w:rsid w:val="00B328AA"/>
    <w:rsid w:val="00B32B64"/>
    <w:rsid w:val="00B32FB1"/>
    <w:rsid w:val="00B338FB"/>
    <w:rsid w:val="00B33A0F"/>
    <w:rsid w:val="00B33A57"/>
    <w:rsid w:val="00B34083"/>
    <w:rsid w:val="00B34226"/>
    <w:rsid w:val="00B34744"/>
    <w:rsid w:val="00B34BD6"/>
    <w:rsid w:val="00B34C57"/>
    <w:rsid w:val="00B34F90"/>
    <w:rsid w:val="00B34FFF"/>
    <w:rsid w:val="00B35056"/>
    <w:rsid w:val="00B3514C"/>
    <w:rsid w:val="00B35392"/>
    <w:rsid w:val="00B35BC4"/>
    <w:rsid w:val="00B36704"/>
    <w:rsid w:val="00B3678D"/>
    <w:rsid w:val="00B3693B"/>
    <w:rsid w:val="00B36C36"/>
    <w:rsid w:val="00B37514"/>
    <w:rsid w:val="00B37728"/>
    <w:rsid w:val="00B37935"/>
    <w:rsid w:val="00B37E37"/>
    <w:rsid w:val="00B37E88"/>
    <w:rsid w:val="00B4020A"/>
    <w:rsid w:val="00B404C4"/>
    <w:rsid w:val="00B40949"/>
    <w:rsid w:val="00B41288"/>
    <w:rsid w:val="00B41B52"/>
    <w:rsid w:val="00B4291E"/>
    <w:rsid w:val="00B42ADE"/>
    <w:rsid w:val="00B42EA7"/>
    <w:rsid w:val="00B432C6"/>
    <w:rsid w:val="00B4338B"/>
    <w:rsid w:val="00B435E3"/>
    <w:rsid w:val="00B43827"/>
    <w:rsid w:val="00B43C7F"/>
    <w:rsid w:val="00B43E60"/>
    <w:rsid w:val="00B43EEA"/>
    <w:rsid w:val="00B44205"/>
    <w:rsid w:val="00B444AF"/>
    <w:rsid w:val="00B449E9"/>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E0"/>
    <w:rsid w:val="00B47896"/>
    <w:rsid w:val="00B47954"/>
    <w:rsid w:val="00B47BF7"/>
    <w:rsid w:val="00B47C01"/>
    <w:rsid w:val="00B50765"/>
    <w:rsid w:val="00B50A40"/>
    <w:rsid w:val="00B50E9E"/>
    <w:rsid w:val="00B51177"/>
    <w:rsid w:val="00B51B18"/>
    <w:rsid w:val="00B51D59"/>
    <w:rsid w:val="00B5230B"/>
    <w:rsid w:val="00B528DF"/>
    <w:rsid w:val="00B529FF"/>
    <w:rsid w:val="00B52ABC"/>
    <w:rsid w:val="00B52BE4"/>
    <w:rsid w:val="00B52E18"/>
    <w:rsid w:val="00B53547"/>
    <w:rsid w:val="00B53597"/>
    <w:rsid w:val="00B53784"/>
    <w:rsid w:val="00B537EF"/>
    <w:rsid w:val="00B54690"/>
    <w:rsid w:val="00B5494B"/>
    <w:rsid w:val="00B54A2D"/>
    <w:rsid w:val="00B54C75"/>
    <w:rsid w:val="00B550D8"/>
    <w:rsid w:val="00B55114"/>
    <w:rsid w:val="00B5524F"/>
    <w:rsid w:val="00B55322"/>
    <w:rsid w:val="00B55C5B"/>
    <w:rsid w:val="00B55D3E"/>
    <w:rsid w:val="00B56F38"/>
    <w:rsid w:val="00B5711C"/>
    <w:rsid w:val="00B57642"/>
    <w:rsid w:val="00B5791A"/>
    <w:rsid w:val="00B57921"/>
    <w:rsid w:val="00B57938"/>
    <w:rsid w:val="00B57A57"/>
    <w:rsid w:val="00B57B8D"/>
    <w:rsid w:val="00B60122"/>
    <w:rsid w:val="00B60BF9"/>
    <w:rsid w:val="00B60D87"/>
    <w:rsid w:val="00B610F4"/>
    <w:rsid w:val="00B6141E"/>
    <w:rsid w:val="00B61619"/>
    <w:rsid w:val="00B619F4"/>
    <w:rsid w:val="00B61A01"/>
    <w:rsid w:val="00B61F4E"/>
    <w:rsid w:val="00B62590"/>
    <w:rsid w:val="00B626C0"/>
    <w:rsid w:val="00B62700"/>
    <w:rsid w:val="00B62F20"/>
    <w:rsid w:val="00B6327D"/>
    <w:rsid w:val="00B632FF"/>
    <w:rsid w:val="00B6393A"/>
    <w:rsid w:val="00B63970"/>
    <w:rsid w:val="00B646A9"/>
    <w:rsid w:val="00B64AA0"/>
    <w:rsid w:val="00B64C7F"/>
    <w:rsid w:val="00B651B5"/>
    <w:rsid w:val="00B65AF3"/>
    <w:rsid w:val="00B6634B"/>
    <w:rsid w:val="00B66381"/>
    <w:rsid w:val="00B663F1"/>
    <w:rsid w:val="00B6684C"/>
    <w:rsid w:val="00B670BA"/>
    <w:rsid w:val="00B67271"/>
    <w:rsid w:val="00B6729F"/>
    <w:rsid w:val="00B676E1"/>
    <w:rsid w:val="00B7006C"/>
    <w:rsid w:val="00B702C5"/>
    <w:rsid w:val="00B706E2"/>
    <w:rsid w:val="00B70A8C"/>
    <w:rsid w:val="00B720D4"/>
    <w:rsid w:val="00B721B4"/>
    <w:rsid w:val="00B7222D"/>
    <w:rsid w:val="00B7267A"/>
    <w:rsid w:val="00B72988"/>
    <w:rsid w:val="00B730C2"/>
    <w:rsid w:val="00B7361F"/>
    <w:rsid w:val="00B73788"/>
    <w:rsid w:val="00B742DF"/>
    <w:rsid w:val="00B74BA0"/>
    <w:rsid w:val="00B74E9A"/>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7B49"/>
    <w:rsid w:val="00B77BBF"/>
    <w:rsid w:val="00B77D2C"/>
    <w:rsid w:val="00B77F1D"/>
    <w:rsid w:val="00B77F57"/>
    <w:rsid w:val="00B80772"/>
    <w:rsid w:val="00B80B50"/>
    <w:rsid w:val="00B812BB"/>
    <w:rsid w:val="00B81389"/>
    <w:rsid w:val="00B81AA6"/>
    <w:rsid w:val="00B81C48"/>
    <w:rsid w:val="00B81F24"/>
    <w:rsid w:val="00B823A7"/>
    <w:rsid w:val="00B82567"/>
    <w:rsid w:val="00B82627"/>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71F0"/>
    <w:rsid w:val="00B87403"/>
    <w:rsid w:val="00B8751C"/>
    <w:rsid w:val="00B87802"/>
    <w:rsid w:val="00B878BC"/>
    <w:rsid w:val="00B87951"/>
    <w:rsid w:val="00B879CE"/>
    <w:rsid w:val="00B87BCE"/>
    <w:rsid w:val="00B90A0B"/>
    <w:rsid w:val="00B90AA7"/>
    <w:rsid w:val="00B90D03"/>
    <w:rsid w:val="00B9137B"/>
    <w:rsid w:val="00B91453"/>
    <w:rsid w:val="00B91A26"/>
    <w:rsid w:val="00B9230F"/>
    <w:rsid w:val="00B923CA"/>
    <w:rsid w:val="00B925CD"/>
    <w:rsid w:val="00B92825"/>
    <w:rsid w:val="00B92B39"/>
    <w:rsid w:val="00B93311"/>
    <w:rsid w:val="00B93798"/>
    <w:rsid w:val="00B937BA"/>
    <w:rsid w:val="00B93809"/>
    <w:rsid w:val="00B938DC"/>
    <w:rsid w:val="00B940D0"/>
    <w:rsid w:val="00B941ED"/>
    <w:rsid w:val="00B94335"/>
    <w:rsid w:val="00B944A0"/>
    <w:rsid w:val="00B94569"/>
    <w:rsid w:val="00B94879"/>
    <w:rsid w:val="00B94887"/>
    <w:rsid w:val="00B94D92"/>
    <w:rsid w:val="00B95273"/>
    <w:rsid w:val="00B957B9"/>
    <w:rsid w:val="00B95AD0"/>
    <w:rsid w:val="00B95FBC"/>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B59"/>
    <w:rsid w:val="00BA0D13"/>
    <w:rsid w:val="00BA0FC7"/>
    <w:rsid w:val="00BA12A2"/>
    <w:rsid w:val="00BA168B"/>
    <w:rsid w:val="00BA17DE"/>
    <w:rsid w:val="00BA1810"/>
    <w:rsid w:val="00BA18C8"/>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C59"/>
    <w:rsid w:val="00BA4C9E"/>
    <w:rsid w:val="00BA4EC4"/>
    <w:rsid w:val="00BA55A6"/>
    <w:rsid w:val="00BA56C3"/>
    <w:rsid w:val="00BA60C8"/>
    <w:rsid w:val="00BA659D"/>
    <w:rsid w:val="00BA65E5"/>
    <w:rsid w:val="00BA68D1"/>
    <w:rsid w:val="00BA6CEE"/>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ACB"/>
    <w:rsid w:val="00BB2B29"/>
    <w:rsid w:val="00BB2BBC"/>
    <w:rsid w:val="00BB36E3"/>
    <w:rsid w:val="00BB3FC5"/>
    <w:rsid w:val="00BB4226"/>
    <w:rsid w:val="00BB4456"/>
    <w:rsid w:val="00BB4627"/>
    <w:rsid w:val="00BB48D2"/>
    <w:rsid w:val="00BB4A61"/>
    <w:rsid w:val="00BB4BCA"/>
    <w:rsid w:val="00BB4C11"/>
    <w:rsid w:val="00BB551D"/>
    <w:rsid w:val="00BB5D8E"/>
    <w:rsid w:val="00BB60A2"/>
    <w:rsid w:val="00BB6281"/>
    <w:rsid w:val="00BB64D6"/>
    <w:rsid w:val="00BB6B54"/>
    <w:rsid w:val="00BB702E"/>
    <w:rsid w:val="00BB7751"/>
    <w:rsid w:val="00BB7B9C"/>
    <w:rsid w:val="00BC09FB"/>
    <w:rsid w:val="00BC0A2C"/>
    <w:rsid w:val="00BC0A61"/>
    <w:rsid w:val="00BC1E2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9B1"/>
    <w:rsid w:val="00BC4ACA"/>
    <w:rsid w:val="00BC4F8B"/>
    <w:rsid w:val="00BC5799"/>
    <w:rsid w:val="00BC6254"/>
    <w:rsid w:val="00BC65C6"/>
    <w:rsid w:val="00BC695E"/>
    <w:rsid w:val="00BC6E8B"/>
    <w:rsid w:val="00BC6EBC"/>
    <w:rsid w:val="00BC6FC0"/>
    <w:rsid w:val="00BC72DD"/>
    <w:rsid w:val="00BC72DE"/>
    <w:rsid w:val="00BC7606"/>
    <w:rsid w:val="00BC79D1"/>
    <w:rsid w:val="00BC7D96"/>
    <w:rsid w:val="00BD01BF"/>
    <w:rsid w:val="00BD0B1B"/>
    <w:rsid w:val="00BD0BB6"/>
    <w:rsid w:val="00BD11D4"/>
    <w:rsid w:val="00BD13E7"/>
    <w:rsid w:val="00BD1464"/>
    <w:rsid w:val="00BD165F"/>
    <w:rsid w:val="00BD1940"/>
    <w:rsid w:val="00BD1BDE"/>
    <w:rsid w:val="00BD21B0"/>
    <w:rsid w:val="00BD2853"/>
    <w:rsid w:val="00BD2F79"/>
    <w:rsid w:val="00BD3D24"/>
    <w:rsid w:val="00BD469D"/>
    <w:rsid w:val="00BD49FD"/>
    <w:rsid w:val="00BD4A85"/>
    <w:rsid w:val="00BD4B1A"/>
    <w:rsid w:val="00BD5C5C"/>
    <w:rsid w:val="00BD62E0"/>
    <w:rsid w:val="00BD640F"/>
    <w:rsid w:val="00BD6551"/>
    <w:rsid w:val="00BD67FF"/>
    <w:rsid w:val="00BD6A77"/>
    <w:rsid w:val="00BD6C77"/>
    <w:rsid w:val="00BD6C86"/>
    <w:rsid w:val="00BD6EEE"/>
    <w:rsid w:val="00BD7B2F"/>
    <w:rsid w:val="00BD7B3E"/>
    <w:rsid w:val="00BD7C26"/>
    <w:rsid w:val="00BD7DD8"/>
    <w:rsid w:val="00BE0854"/>
    <w:rsid w:val="00BE0C60"/>
    <w:rsid w:val="00BE0CA9"/>
    <w:rsid w:val="00BE1650"/>
    <w:rsid w:val="00BE1FDD"/>
    <w:rsid w:val="00BE206D"/>
    <w:rsid w:val="00BE24E5"/>
    <w:rsid w:val="00BE27F2"/>
    <w:rsid w:val="00BE2855"/>
    <w:rsid w:val="00BE2ACF"/>
    <w:rsid w:val="00BE2FE9"/>
    <w:rsid w:val="00BE36E0"/>
    <w:rsid w:val="00BE3CCE"/>
    <w:rsid w:val="00BE3E6B"/>
    <w:rsid w:val="00BE409A"/>
    <w:rsid w:val="00BE4768"/>
    <w:rsid w:val="00BE48AD"/>
    <w:rsid w:val="00BE491C"/>
    <w:rsid w:val="00BE4D48"/>
    <w:rsid w:val="00BE5447"/>
    <w:rsid w:val="00BE55AE"/>
    <w:rsid w:val="00BE59A1"/>
    <w:rsid w:val="00BE5A5F"/>
    <w:rsid w:val="00BE6000"/>
    <w:rsid w:val="00BE63AF"/>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AF1"/>
    <w:rsid w:val="00BF1CBD"/>
    <w:rsid w:val="00BF1FD8"/>
    <w:rsid w:val="00BF20E8"/>
    <w:rsid w:val="00BF2C44"/>
    <w:rsid w:val="00BF2D81"/>
    <w:rsid w:val="00BF3736"/>
    <w:rsid w:val="00BF3782"/>
    <w:rsid w:val="00BF38CD"/>
    <w:rsid w:val="00BF38DC"/>
    <w:rsid w:val="00BF3BCA"/>
    <w:rsid w:val="00BF5997"/>
    <w:rsid w:val="00BF59CA"/>
    <w:rsid w:val="00BF5BDD"/>
    <w:rsid w:val="00BF5C35"/>
    <w:rsid w:val="00BF5C7E"/>
    <w:rsid w:val="00BF6050"/>
    <w:rsid w:val="00BF63B6"/>
    <w:rsid w:val="00BF66EE"/>
    <w:rsid w:val="00BF71A3"/>
    <w:rsid w:val="00BF75A1"/>
    <w:rsid w:val="00BF7680"/>
    <w:rsid w:val="00BF796C"/>
    <w:rsid w:val="00BF7A2C"/>
    <w:rsid w:val="00BF7A2E"/>
    <w:rsid w:val="00BF7A78"/>
    <w:rsid w:val="00BF7E8C"/>
    <w:rsid w:val="00C0018A"/>
    <w:rsid w:val="00C0037D"/>
    <w:rsid w:val="00C003B9"/>
    <w:rsid w:val="00C00905"/>
    <w:rsid w:val="00C00A7C"/>
    <w:rsid w:val="00C0104C"/>
    <w:rsid w:val="00C01170"/>
    <w:rsid w:val="00C0156D"/>
    <w:rsid w:val="00C01892"/>
    <w:rsid w:val="00C01BBB"/>
    <w:rsid w:val="00C01FD1"/>
    <w:rsid w:val="00C024A5"/>
    <w:rsid w:val="00C02CE1"/>
    <w:rsid w:val="00C02D1E"/>
    <w:rsid w:val="00C0314D"/>
    <w:rsid w:val="00C0331F"/>
    <w:rsid w:val="00C035B5"/>
    <w:rsid w:val="00C036AC"/>
    <w:rsid w:val="00C03865"/>
    <w:rsid w:val="00C03D5A"/>
    <w:rsid w:val="00C04A19"/>
    <w:rsid w:val="00C05276"/>
    <w:rsid w:val="00C054A3"/>
    <w:rsid w:val="00C05622"/>
    <w:rsid w:val="00C05851"/>
    <w:rsid w:val="00C05ECD"/>
    <w:rsid w:val="00C06BEC"/>
    <w:rsid w:val="00C07620"/>
    <w:rsid w:val="00C07AB6"/>
    <w:rsid w:val="00C07ACB"/>
    <w:rsid w:val="00C102F3"/>
    <w:rsid w:val="00C106B8"/>
    <w:rsid w:val="00C10AFD"/>
    <w:rsid w:val="00C10B22"/>
    <w:rsid w:val="00C10C3F"/>
    <w:rsid w:val="00C10C52"/>
    <w:rsid w:val="00C11623"/>
    <w:rsid w:val="00C1172F"/>
    <w:rsid w:val="00C119A0"/>
    <w:rsid w:val="00C11A92"/>
    <w:rsid w:val="00C11ABD"/>
    <w:rsid w:val="00C129D9"/>
    <w:rsid w:val="00C13089"/>
    <w:rsid w:val="00C134DA"/>
    <w:rsid w:val="00C13C06"/>
    <w:rsid w:val="00C13C90"/>
    <w:rsid w:val="00C13CF2"/>
    <w:rsid w:val="00C14F19"/>
    <w:rsid w:val="00C14FB2"/>
    <w:rsid w:val="00C15205"/>
    <w:rsid w:val="00C1575F"/>
    <w:rsid w:val="00C15B0C"/>
    <w:rsid w:val="00C15DE5"/>
    <w:rsid w:val="00C16621"/>
    <w:rsid w:val="00C168CF"/>
    <w:rsid w:val="00C16912"/>
    <w:rsid w:val="00C17007"/>
    <w:rsid w:val="00C17204"/>
    <w:rsid w:val="00C17304"/>
    <w:rsid w:val="00C1748F"/>
    <w:rsid w:val="00C176AC"/>
    <w:rsid w:val="00C17CE1"/>
    <w:rsid w:val="00C2058B"/>
    <w:rsid w:val="00C20668"/>
    <w:rsid w:val="00C208B8"/>
    <w:rsid w:val="00C209AD"/>
    <w:rsid w:val="00C20B13"/>
    <w:rsid w:val="00C2103A"/>
    <w:rsid w:val="00C2164B"/>
    <w:rsid w:val="00C21DA3"/>
    <w:rsid w:val="00C21EF9"/>
    <w:rsid w:val="00C21FE6"/>
    <w:rsid w:val="00C221C0"/>
    <w:rsid w:val="00C222A1"/>
    <w:rsid w:val="00C222F7"/>
    <w:rsid w:val="00C22397"/>
    <w:rsid w:val="00C224E3"/>
    <w:rsid w:val="00C22AAB"/>
    <w:rsid w:val="00C22ECB"/>
    <w:rsid w:val="00C23BB4"/>
    <w:rsid w:val="00C23F47"/>
    <w:rsid w:val="00C242C1"/>
    <w:rsid w:val="00C24589"/>
    <w:rsid w:val="00C24707"/>
    <w:rsid w:val="00C24792"/>
    <w:rsid w:val="00C24839"/>
    <w:rsid w:val="00C24D35"/>
    <w:rsid w:val="00C2525E"/>
    <w:rsid w:val="00C2584D"/>
    <w:rsid w:val="00C25F77"/>
    <w:rsid w:val="00C26159"/>
    <w:rsid w:val="00C2629C"/>
    <w:rsid w:val="00C262ED"/>
    <w:rsid w:val="00C265C9"/>
    <w:rsid w:val="00C26968"/>
    <w:rsid w:val="00C26A69"/>
    <w:rsid w:val="00C27037"/>
    <w:rsid w:val="00C27C23"/>
    <w:rsid w:val="00C30019"/>
    <w:rsid w:val="00C301CF"/>
    <w:rsid w:val="00C309B5"/>
    <w:rsid w:val="00C309E6"/>
    <w:rsid w:val="00C30B6D"/>
    <w:rsid w:val="00C30C46"/>
    <w:rsid w:val="00C311E2"/>
    <w:rsid w:val="00C31439"/>
    <w:rsid w:val="00C31460"/>
    <w:rsid w:val="00C31808"/>
    <w:rsid w:val="00C31ACA"/>
    <w:rsid w:val="00C31D03"/>
    <w:rsid w:val="00C31D26"/>
    <w:rsid w:val="00C31E1D"/>
    <w:rsid w:val="00C32064"/>
    <w:rsid w:val="00C3223A"/>
    <w:rsid w:val="00C32CA7"/>
    <w:rsid w:val="00C32E58"/>
    <w:rsid w:val="00C33001"/>
    <w:rsid w:val="00C330B7"/>
    <w:rsid w:val="00C33183"/>
    <w:rsid w:val="00C33706"/>
    <w:rsid w:val="00C33A05"/>
    <w:rsid w:val="00C33B39"/>
    <w:rsid w:val="00C33F14"/>
    <w:rsid w:val="00C34760"/>
    <w:rsid w:val="00C34D0A"/>
    <w:rsid w:val="00C35028"/>
    <w:rsid w:val="00C357EA"/>
    <w:rsid w:val="00C35941"/>
    <w:rsid w:val="00C35A3D"/>
    <w:rsid w:val="00C35BCA"/>
    <w:rsid w:val="00C3616F"/>
    <w:rsid w:val="00C36691"/>
    <w:rsid w:val="00C366C6"/>
    <w:rsid w:val="00C36886"/>
    <w:rsid w:val="00C36A9F"/>
    <w:rsid w:val="00C374C1"/>
    <w:rsid w:val="00C37611"/>
    <w:rsid w:val="00C37666"/>
    <w:rsid w:val="00C37B9E"/>
    <w:rsid w:val="00C37CF3"/>
    <w:rsid w:val="00C40013"/>
    <w:rsid w:val="00C411E9"/>
    <w:rsid w:val="00C416F2"/>
    <w:rsid w:val="00C416FD"/>
    <w:rsid w:val="00C417CC"/>
    <w:rsid w:val="00C417F5"/>
    <w:rsid w:val="00C41AFB"/>
    <w:rsid w:val="00C41C84"/>
    <w:rsid w:val="00C41DF7"/>
    <w:rsid w:val="00C41E33"/>
    <w:rsid w:val="00C41F79"/>
    <w:rsid w:val="00C423D0"/>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684C"/>
    <w:rsid w:val="00C469F2"/>
    <w:rsid w:val="00C46D29"/>
    <w:rsid w:val="00C46E19"/>
    <w:rsid w:val="00C47541"/>
    <w:rsid w:val="00C475C7"/>
    <w:rsid w:val="00C47601"/>
    <w:rsid w:val="00C47DF2"/>
    <w:rsid w:val="00C50AAE"/>
    <w:rsid w:val="00C5119C"/>
    <w:rsid w:val="00C51591"/>
    <w:rsid w:val="00C515B0"/>
    <w:rsid w:val="00C51702"/>
    <w:rsid w:val="00C5171D"/>
    <w:rsid w:val="00C517ED"/>
    <w:rsid w:val="00C51B08"/>
    <w:rsid w:val="00C51BA8"/>
    <w:rsid w:val="00C51C23"/>
    <w:rsid w:val="00C51C57"/>
    <w:rsid w:val="00C51DB8"/>
    <w:rsid w:val="00C51FF9"/>
    <w:rsid w:val="00C5298A"/>
    <w:rsid w:val="00C5304F"/>
    <w:rsid w:val="00C53513"/>
    <w:rsid w:val="00C53730"/>
    <w:rsid w:val="00C53E49"/>
    <w:rsid w:val="00C540B9"/>
    <w:rsid w:val="00C54398"/>
    <w:rsid w:val="00C54411"/>
    <w:rsid w:val="00C54CC3"/>
    <w:rsid w:val="00C54D6E"/>
    <w:rsid w:val="00C54EE3"/>
    <w:rsid w:val="00C552F9"/>
    <w:rsid w:val="00C554D4"/>
    <w:rsid w:val="00C554D9"/>
    <w:rsid w:val="00C560DB"/>
    <w:rsid w:val="00C56532"/>
    <w:rsid w:val="00C56D39"/>
    <w:rsid w:val="00C57155"/>
    <w:rsid w:val="00C5715C"/>
    <w:rsid w:val="00C57A92"/>
    <w:rsid w:val="00C57C0D"/>
    <w:rsid w:val="00C57E63"/>
    <w:rsid w:val="00C60604"/>
    <w:rsid w:val="00C6069B"/>
    <w:rsid w:val="00C607D1"/>
    <w:rsid w:val="00C60A86"/>
    <w:rsid w:val="00C60CB5"/>
    <w:rsid w:val="00C60D11"/>
    <w:rsid w:val="00C60FBF"/>
    <w:rsid w:val="00C61109"/>
    <w:rsid w:val="00C61324"/>
    <w:rsid w:val="00C6183D"/>
    <w:rsid w:val="00C61AB2"/>
    <w:rsid w:val="00C61B02"/>
    <w:rsid w:val="00C61E90"/>
    <w:rsid w:val="00C61F1C"/>
    <w:rsid w:val="00C61FD2"/>
    <w:rsid w:val="00C620D4"/>
    <w:rsid w:val="00C6222B"/>
    <w:rsid w:val="00C6276A"/>
    <w:rsid w:val="00C62798"/>
    <w:rsid w:val="00C6297B"/>
    <w:rsid w:val="00C62AB4"/>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8E3"/>
    <w:rsid w:val="00C66E98"/>
    <w:rsid w:val="00C670FC"/>
    <w:rsid w:val="00C70072"/>
    <w:rsid w:val="00C702A2"/>
    <w:rsid w:val="00C70370"/>
    <w:rsid w:val="00C70585"/>
    <w:rsid w:val="00C70975"/>
    <w:rsid w:val="00C709F0"/>
    <w:rsid w:val="00C71490"/>
    <w:rsid w:val="00C71783"/>
    <w:rsid w:val="00C7188B"/>
    <w:rsid w:val="00C719A2"/>
    <w:rsid w:val="00C71A51"/>
    <w:rsid w:val="00C71DC7"/>
    <w:rsid w:val="00C71F6D"/>
    <w:rsid w:val="00C72165"/>
    <w:rsid w:val="00C72184"/>
    <w:rsid w:val="00C72773"/>
    <w:rsid w:val="00C72A19"/>
    <w:rsid w:val="00C72B8E"/>
    <w:rsid w:val="00C72D7B"/>
    <w:rsid w:val="00C73AB0"/>
    <w:rsid w:val="00C73D66"/>
    <w:rsid w:val="00C74167"/>
    <w:rsid w:val="00C741D2"/>
    <w:rsid w:val="00C7486E"/>
    <w:rsid w:val="00C74929"/>
    <w:rsid w:val="00C74D98"/>
    <w:rsid w:val="00C75357"/>
    <w:rsid w:val="00C7574B"/>
    <w:rsid w:val="00C757AE"/>
    <w:rsid w:val="00C758BD"/>
    <w:rsid w:val="00C75A6D"/>
    <w:rsid w:val="00C75CEB"/>
    <w:rsid w:val="00C76268"/>
    <w:rsid w:val="00C76624"/>
    <w:rsid w:val="00C76661"/>
    <w:rsid w:val="00C7692D"/>
    <w:rsid w:val="00C76AAF"/>
    <w:rsid w:val="00C76C46"/>
    <w:rsid w:val="00C76E35"/>
    <w:rsid w:val="00C77478"/>
    <w:rsid w:val="00C774A1"/>
    <w:rsid w:val="00C775A0"/>
    <w:rsid w:val="00C80C41"/>
    <w:rsid w:val="00C80CEF"/>
    <w:rsid w:val="00C80E40"/>
    <w:rsid w:val="00C81120"/>
    <w:rsid w:val="00C81432"/>
    <w:rsid w:val="00C828B8"/>
    <w:rsid w:val="00C82994"/>
    <w:rsid w:val="00C82E07"/>
    <w:rsid w:val="00C82EC5"/>
    <w:rsid w:val="00C83041"/>
    <w:rsid w:val="00C838C3"/>
    <w:rsid w:val="00C8452A"/>
    <w:rsid w:val="00C848A7"/>
    <w:rsid w:val="00C849C0"/>
    <w:rsid w:val="00C84F2E"/>
    <w:rsid w:val="00C85035"/>
    <w:rsid w:val="00C851F6"/>
    <w:rsid w:val="00C858FF"/>
    <w:rsid w:val="00C85AE0"/>
    <w:rsid w:val="00C85E30"/>
    <w:rsid w:val="00C86BFA"/>
    <w:rsid w:val="00C86E8E"/>
    <w:rsid w:val="00C8712F"/>
    <w:rsid w:val="00C876A0"/>
    <w:rsid w:val="00C878CA"/>
    <w:rsid w:val="00C87AF2"/>
    <w:rsid w:val="00C87B57"/>
    <w:rsid w:val="00C87FC6"/>
    <w:rsid w:val="00C908C6"/>
    <w:rsid w:val="00C90B42"/>
    <w:rsid w:val="00C91074"/>
    <w:rsid w:val="00C9182B"/>
    <w:rsid w:val="00C91C5F"/>
    <w:rsid w:val="00C9213E"/>
    <w:rsid w:val="00C9255D"/>
    <w:rsid w:val="00C9296C"/>
    <w:rsid w:val="00C92DFF"/>
    <w:rsid w:val="00C93384"/>
    <w:rsid w:val="00C93FD8"/>
    <w:rsid w:val="00C94170"/>
    <w:rsid w:val="00C945C2"/>
    <w:rsid w:val="00C946B2"/>
    <w:rsid w:val="00C946F6"/>
    <w:rsid w:val="00C9475D"/>
    <w:rsid w:val="00C94B1E"/>
    <w:rsid w:val="00C95056"/>
    <w:rsid w:val="00C95115"/>
    <w:rsid w:val="00C951FD"/>
    <w:rsid w:val="00C952C3"/>
    <w:rsid w:val="00C9536E"/>
    <w:rsid w:val="00C95A15"/>
    <w:rsid w:val="00C95A37"/>
    <w:rsid w:val="00C95D21"/>
    <w:rsid w:val="00C961DD"/>
    <w:rsid w:val="00C962F3"/>
    <w:rsid w:val="00C963BF"/>
    <w:rsid w:val="00C96516"/>
    <w:rsid w:val="00C970A1"/>
    <w:rsid w:val="00C97397"/>
    <w:rsid w:val="00C975E6"/>
    <w:rsid w:val="00C978FE"/>
    <w:rsid w:val="00C97D48"/>
    <w:rsid w:val="00C97EAC"/>
    <w:rsid w:val="00CA0C2D"/>
    <w:rsid w:val="00CA0CE2"/>
    <w:rsid w:val="00CA0E9B"/>
    <w:rsid w:val="00CA10D0"/>
    <w:rsid w:val="00CA1333"/>
    <w:rsid w:val="00CA13DE"/>
    <w:rsid w:val="00CA1458"/>
    <w:rsid w:val="00CA175E"/>
    <w:rsid w:val="00CA19A9"/>
    <w:rsid w:val="00CA1B16"/>
    <w:rsid w:val="00CA1E51"/>
    <w:rsid w:val="00CA21A9"/>
    <w:rsid w:val="00CA2461"/>
    <w:rsid w:val="00CA43F9"/>
    <w:rsid w:val="00CA4458"/>
    <w:rsid w:val="00CA45FC"/>
    <w:rsid w:val="00CA481F"/>
    <w:rsid w:val="00CA487E"/>
    <w:rsid w:val="00CA516C"/>
    <w:rsid w:val="00CA52B2"/>
    <w:rsid w:val="00CA56C5"/>
    <w:rsid w:val="00CA59C2"/>
    <w:rsid w:val="00CA5C47"/>
    <w:rsid w:val="00CA5C82"/>
    <w:rsid w:val="00CA62EE"/>
    <w:rsid w:val="00CA65EF"/>
    <w:rsid w:val="00CA6647"/>
    <w:rsid w:val="00CA679A"/>
    <w:rsid w:val="00CA7414"/>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131F"/>
    <w:rsid w:val="00CB1320"/>
    <w:rsid w:val="00CB13BF"/>
    <w:rsid w:val="00CB16C4"/>
    <w:rsid w:val="00CB1827"/>
    <w:rsid w:val="00CB1A00"/>
    <w:rsid w:val="00CB2121"/>
    <w:rsid w:val="00CB21AF"/>
    <w:rsid w:val="00CB221C"/>
    <w:rsid w:val="00CB2476"/>
    <w:rsid w:val="00CB2E15"/>
    <w:rsid w:val="00CB33D0"/>
    <w:rsid w:val="00CB3555"/>
    <w:rsid w:val="00CB3693"/>
    <w:rsid w:val="00CB372C"/>
    <w:rsid w:val="00CB3E69"/>
    <w:rsid w:val="00CB434C"/>
    <w:rsid w:val="00CB439C"/>
    <w:rsid w:val="00CB452B"/>
    <w:rsid w:val="00CB4900"/>
    <w:rsid w:val="00CB4DC2"/>
    <w:rsid w:val="00CB4DCD"/>
    <w:rsid w:val="00CB4E4B"/>
    <w:rsid w:val="00CB4F2D"/>
    <w:rsid w:val="00CB53F8"/>
    <w:rsid w:val="00CB544A"/>
    <w:rsid w:val="00CB5842"/>
    <w:rsid w:val="00CB5E59"/>
    <w:rsid w:val="00CB5FF4"/>
    <w:rsid w:val="00CB603C"/>
    <w:rsid w:val="00CB6272"/>
    <w:rsid w:val="00CB6B3F"/>
    <w:rsid w:val="00CB6C9D"/>
    <w:rsid w:val="00CB7418"/>
    <w:rsid w:val="00CB7A7D"/>
    <w:rsid w:val="00CB7C49"/>
    <w:rsid w:val="00CB7EC4"/>
    <w:rsid w:val="00CC01EB"/>
    <w:rsid w:val="00CC0670"/>
    <w:rsid w:val="00CC0743"/>
    <w:rsid w:val="00CC0BBE"/>
    <w:rsid w:val="00CC100B"/>
    <w:rsid w:val="00CC1311"/>
    <w:rsid w:val="00CC1690"/>
    <w:rsid w:val="00CC1969"/>
    <w:rsid w:val="00CC19DE"/>
    <w:rsid w:val="00CC2213"/>
    <w:rsid w:val="00CC2221"/>
    <w:rsid w:val="00CC23B3"/>
    <w:rsid w:val="00CC27FE"/>
    <w:rsid w:val="00CC2A78"/>
    <w:rsid w:val="00CC2D98"/>
    <w:rsid w:val="00CC2E06"/>
    <w:rsid w:val="00CC3066"/>
    <w:rsid w:val="00CC367D"/>
    <w:rsid w:val="00CC3A33"/>
    <w:rsid w:val="00CC3D23"/>
    <w:rsid w:val="00CC4210"/>
    <w:rsid w:val="00CC4238"/>
    <w:rsid w:val="00CC44F1"/>
    <w:rsid w:val="00CC44FE"/>
    <w:rsid w:val="00CC4921"/>
    <w:rsid w:val="00CC5431"/>
    <w:rsid w:val="00CC644D"/>
    <w:rsid w:val="00CC658D"/>
    <w:rsid w:val="00CC665A"/>
    <w:rsid w:val="00CC67EC"/>
    <w:rsid w:val="00CC6BE0"/>
    <w:rsid w:val="00CC6FB8"/>
    <w:rsid w:val="00CC718D"/>
    <w:rsid w:val="00CC7210"/>
    <w:rsid w:val="00CC74A2"/>
    <w:rsid w:val="00CC779C"/>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B66"/>
    <w:rsid w:val="00CD4817"/>
    <w:rsid w:val="00CD4CB3"/>
    <w:rsid w:val="00CD4F23"/>
    <w:rsid w:val="00CD4FC6"/>
    <w:rsid w:val="00CD520E"/>
    <w:rsid w:val="00CD5217"/>
    <w:rsid w:val="00CD5562"/>
    <w:rsid w:val="00CD558B"/>
    <w:rsid w:val="00CD55B3"/>
    <w:rsid w:val="00CD59D9"/>
    <w:rsid w:val="00CD5A05"/>
    <w:rsid w:val="00CD5B7D"/>
    <w:rsid w:val="00CD5D9A"/>
    <w:rsid w:val="00CD5F3B"/>
    <w:rsid w:val="00CD64E5"/>
    <w:rsid w:val="00CD6ABC"/>
    <w:rsid w:val="00CD74E5"/>
    <w:rsid w:val="00CD750A"/>
    <w:rsid w:val="00CD7CD0"/>
    <w:rsid w:val="00CD7E16"/>
    <w:rsid w:val="00CD7EE5"/>
    <w:rsid w:val="00CD7FD7"/>
    <w:rsid w:val="00CE0097"/>
    <w:rsid w:val="00CE04A0"/>
    <w:rsid w:val="00CE04BA"/>
    <w:rsid w:val="00CE06BD"/>
    <w:rsid w:val="00CE07A2"/>
    <w:rsid w:val="00CE0855"/>
    <w:rsid w:val="00CE1AAD"/>
    <w:rsid w:val="00CE23B9"/>
    <w:rsid w:val="00CE2EA9"/>
    <w:rsid w:val="00CE3042"/>
    <w:rsid w:val="00CE30A7"/>
    <w:rsid w:val="00CE30B0"/>
    <w:rsid w:val="00CE30E6"/>
    <w:rsid w:val="00CE333D"/>
    <w:rsid w:val="00CE341F"/>
    <w:rsid w:val="00CE345F"/>
    <w:rsid w:val="00CE34DC"/>
    <w:rsid w:val="00CE368B"/>
    <w:rsid w:val="00CE36DD"/>
    <w:rsid w:val="00CE3BF2"/>
    <w:rsid w:val="00CE3F11"/>
    <w:rsid w:val="00CE4BBB"/>
    <w:rsid w:val="00CE4D3C"/>
    <w:rsid w:val="00CE5899"/>
    <w:rsid w:val="00CE593C"/>
    <w:rsid w:val="00CE5E98"/>
    <w:rsid w:val="00CE5F30"/>
    <w:rsid w:val="00CE60CD"/>
    <w:rsid w:val="00CE69FC"/>
    <w:rsid w:val="00CE6CC6"/>
    <w:rsid w:val="00CE6E7E"/>
    <w:rsid w:val="00CE6E81"/>
    <w:rsid w:val="00CF0219"/>
    <w:rsid w:val="00CF04B4"/>
    <w:rsid w:val="00CF05DB"/>
    <w:rsid w:val="00CF0B33"/>
    <w:rsid w:val="00CF0B8C"/>
    <w:rsid w:val="00CF0FC4"/>
    <w:rsid w:val="00CF1089"/>
    <w:rsid w:val="00CF1C79"/>
    <w:rsid w:val="00CF1D89"/>
    <w:rsid w:val="00CF2157"/>
    <w:rsid w:val="00CF26C2"/>
    <w:rsid w:val="00CF2708"/>
    <w:rsid w:val="00CF2C08"/>
    <w:rsid w:val="00CF2C97"/>
    <w:rsid w:val="00CF2F64"/>
    <w:rsid w:val="00CF311A"/>
    <w:rsid w:val="00CF3359"/>
    <w:rsid w:val="00CF3400"/>
    <w:rsid w:val="00CF379F"/>
    <w:rsid w:val="00CF3E2C"/>
    <w:rsid w:val="00CF42DF"/>
    <w:rsid w:val="00CF4307"/>
    <w:rsid w:val="00CF570D"/>
    <w:rsid w:val="00CF7FAF"/>
    <w:rsid w:val="00D0008E"/>
    <w:rsid w:val="00D007CD"/>
    <w:rsid w:val="00D009E6"/>
    <w:rsid w:val="00D00EEC"/>
    <w:rsid w:val="00D01453"/>
    <w:rsid w:val="00D0183A"/>
    <w:rsid w:val="00D018FE"/>
    <w:rsid w:val="00D01954"/>
    <w:rsid w:val="00D01ED5"/>
    <w:rsid w:val="00D021F0"/>
    <w:rsid w:val="00D02271"/>
    <w:rsid w:val="00D02456"/>
    <w:rsid w:val="00D026BC"/>
    <w:rsid w:val="00D02AD7"/>
    <w:rsid w:val="00D02C47"/>
    <w:rsid w:val="00D03458"/>
    <w:rsid w:val="00D03E7A"/>
    <w:rsid w:val="00D04827"/>
    <w:rsid w:val="00D04EFF"/>
    <w:rsid w:val="00D051A6"/>
    <w:rsid w:val="00D051E5"/>
    <w:rsid w:val="00D05245"/>
    <w:rsid w:val="00D05307"/>
    <w:rsid w:val="00D0557D"/>
    <w:rsid w:val="00D05669"/>
    <w:rsid w:val="00D06878"/>
    <w:rsid w:val="00D06A55"/>
    <w:rsid w:val="00D06CBF"/>
    <w:rsid w:val="00D0713C"/>
    <w:rsid w:val="00D078C6"/>
    <w:rsid w:val="00D07FB4"/>
    <w:rsid w:val="00D1036E"/>
    <w:rsid w:val="00D1060A"/>
    <w:rsid w:val="00D107E7"/>
    <w:rsid w:val="00D10D0E"/>
    <w:rsid w:val="00D10E7B"/>
    <w:rsid w:val="00D10E91"/>
    <w:rsid w:val="00D10F70"/>
    <w:rsid w:val="00D1105A"/>
    <w:rsid w:val="00D1137B"/>
    <w:rsid w:val="00D11DB6"/>
    <w:rsid w:val="00D12482"/>
    <w:rsid w:val="00D12700"/>
    <w:rsid w:val="00D1298F"/>
    <w:rsid w:val="00D12BB7"/>
    <w:rsid w:val="00D132D5"/>
    <w:rsid w:val="00D13621"/>
    <w:rsid w:val="00D13E53"/>
    <w:rsid w:val="00D151EA"/>
    <w:rsid w:val="00D15303"/>
    <w:rsid w:val="00D16051"/>
    <w:rsid w:val="00D160F7"/>
    <w:rsid w:val="00D16297"/>
    <w:rsid w:val="00D168DB"/>
    <w:rsid w:val="00D16EF2"/>
    <w:rsid w:val="00D17788"/>
    <w:rsid w:val="00D20039"/>
    <w:rsid w:val="00D20461"/>
    <w:rsid w:val="00D20B35"/>
    <w:rsid w:val="00D20B75"/>
    <w:rsid w:val="00D20EB0"/>
    <w:rsid w:val="00D21163"/>
    <w:rsid w:val="00D2148E"/>
    <w:rsid w:val="00D218BB"/>
    <w:rsid w:val="00D21A6E"/>
    <w:rsid w:val="00D21FA8"/>
    <w:rsid w:val="00D220EF"/>
    <w:rsid w:val="00D22166"/>
    <w:rsid w:val="00D22675"/>
    <w:rsid w:val="00D22B80"/>
    <w:rsid w:val="00D22B8A"/>
    <w:rsid w:val="00D236B7"/>
    <w:rsid w:val="00D23BE3"/>
    <w:rsid w:val="00D23E48"/>
    <w:rsid w:val="00D244BE"/>
    <w:rsid w:val="00D244CE"/>
    <w:rsid w:val="00D24537"/>
    <w:rsid w:val="00D24640"/>
    <w:rsid w:val="00D2482F"/>
    <w:rsid w:val="00D24B50"/>
    <w:rsid w:val="00D24B54"/>
    <w:rsid w:val="00D25352"/>
    <w:rsid w:val="00D25410"/>
    <w:rsid w:val="00D25964"/>
    <w:rsid w:val="00D25EC9"/>
    <w:rsid w:val="00D25FED"/>
    <w:rsid w:val="00D263FE"/>
    <w:rsid w:val="00D268D9"/>
    <w:rsid w:val="00D2692A"/>
    <w:rsid w:val="00D26A83"/>
    <w:rsid w:val="00D26D2F"/>
    <w:rsid w:val="00D26F36"/>
    <w:rsid w:val="00D2706F"/>
    <w:rsid w:val="00D27232"/>
    <w:rsid w:val="00D278E5"/>
    <w:rsid w:val="00D278F4"/>
    <w:rsid w:val="00D27B83"/>
    <w:rsid w:val="00D27F2D"/>
    <w:rsid w:val="00D300E9"/>
    <w:rsid w:val="00D30118"/>
    <w:rsid w:val="00D30334"/>
    <w:rsid w:val="00D304CF"/>
    <w:rsid w:val="00D3090A"/>
    <w:rsid w:val="00D310F3"/>
    <w:rsid w:val="00D3111E"/>
    <w:rsid w:val="00D31221"/>
    <w:rsid w:val="00D31318"/>
    <w:rsid w:val="00D316DF"/>
    <w:rsid w:val="00D31700"/>
    <w:rsid w:val="00D31851"/>
    <w:rsid w:val="00D31F8D"/>
    <w:rsid w:val="00D323F9"/>
    <w:rsid w:val="00D32449"/>
    <w:rsid w:val="00D32664"/>
    <w:rsid w:val="00D326D0"/>
    <w:rsid w:val="00D32D36"/>
    <w:rsid w:val="00D32FA5"/>
    <w:rsid w:val="00D3300B"/>
    <w:rsid w:val="00D336AD"/>
    <w:rsid w:val="00D33C32"/>
    <w:rsid w:val="00D33EBE"/>
    <w:rsid w:val="00D34058"/>
    <w:rsid w:val="00D34376"/>
    <w:rsid w:val="00D34615"/>
    <w:rsid w:val="00D34842"/>
    <w:rsid w:val="00D35357"/>
    <w:rsid w:val="00D353B4"/>
    <w:rsid w:val="00D35755"/>
    <w:rsid w:val="00D35E91"/>
    <w:rsid w:val="00D35FE9"/>
    <w:rsid w:val="00D361D9"/>
    <w:rsid w:val="00D36CB6"/>
    <w:rsid w:val="00D36CFB"/>
    <w:rsid w:val="00D373FF"/>
    <w:rsid w:val="00D375EF"/>
    <w:rsid w:val="00D37ECC"/>
    <w:rsid w:val="00D401AB"/>
    <w:rsid w:val="00D401C6"/>
    <w:rsid w:val="00D4049E"/>
    <w:rsid w:val="00D40508"/>
    <w:rsid w:val="00D406B2"/>
    <w:rsid w:val="00D40B95"/>
    <w:rsid w:val="00D40EAE"/>
    <w:rsid w:val="00D4111E"/>
    <w:rsid w:val="00D414C7"/>
    <w:rsid w:val="00D4183A"/>
    <w:rsid w:val="00D41A59"/>
    <w:rsid w:val="00D41CF9"/>
    <w:rsid w:val="00D41E77"/>
    <w:rsid w:val="00D4281E"/>
    <w:rsid w:val="00D42B97"/>
    <w:rsid w:val="00D43096"/>
    <w:rsid w:val="00D43B5E"/>
    <w:rsid w:val="00D43BC4"/>
    <w:rsid w:val="00D43D89"/>
    <w:rsid w:val="00D43DE4"/>
    <w:rsid w:val="00D43F83"/>
    <w:rsid w:val="00D44715"/>
    <w:rsid w:val="00D44DEF"/>
    <w:rsid w:val="00D44FC7"/>
    <w:rsid w:val="00D45001"/>
    <w:rsid w:val="00D458E5"/>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500D3"/>
    <w:rsid w:val="00D501AA"/>
    <w:rsid w:val="00D501FA"/>
    <w:rsid w:val="00D50344"/>
    <w:rsid w:val="00D503A5"/>
    <w:rsid w:val="00D5050B"/>
    <w:rsid w:val="00D5069A"/>
    <w:rsid w:val="00D51477"/>
    <w:rsid w:val="00D51647"/>
    <w:rsid w:val="00D516BD"/>
    <w:rsid w:val="00D518A7"/>
    <w:rsid w:val="00D51F0F"/>
    <w:rsid w:val="00D52283"/>
    <w:rsid w:val="00D526F8"/>
    <w:rsid w:val="00D5276E"/>
    <w:rsid w:val="00D527C8"/>
    <w:rsid w:val="00D5287C"/>
    <w:rsid w:val="00D52B7E"/>
    <w:rsid w:val="00D52BBB"/>
    <w:rsid w:val="00D52E6A"/>
    <w:rsid w:val="00D53114"/>
    <w:rsid w:val="00D53509"/>
    <w:rsid w:val="00D53637"/>
    <w:rsid w:val="00D5376F"/>
    <w:rsid w:val="00D5392D"/>
    <w:rsid w:val="00D53953"/>
    <w:rsid w:val="00D5396D"/>
    <w:rsid w:val="00D539CB"/>
    <w:rsid w:val="00D53BC0"/>
    <w:rsid w:val="00D53CE6"/>
    <w:rsid w:val="00D54840"/>
    <w:rsid w:val="00D54B50"/>
    <w:rsid w:val="00D552EE"/>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60157"/>
    <w:rsid w:val="00D60228"/>
    <w:rsid w:val="00D60805"/>
    <w:rsid w:val="00D60A87"/>
    <w:rsid w:val="00D61217"/>
    <w:rsid w:val="00D614B7"/>
    <w:rsid w:val="00D6173B"/>
    <w:rsid w:val="00D61981"/>
    <w:rsid w:val="00D619FD"/>
    <w:rsid w:val="00D61A0A"/>
    <w:rsid w:val="00D623DB"/>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5425"/>
    <w:rsid w:val="00D6553D"/>
    <w:rsid w:val="00D655E5"/>
    <w:rsid w:val="00D656EB"/>
    <w:rsid w:val="00D65D96"/>
    <w:rsid w:val="00D65F20"/>
    <w:rsid w:val="00D66181"/>
    <w:rsid w:val="00D6686E"/>
    <w:rsid w:val="00D66BA4"/>
    <w:rsid w:val="00D66CFF"/>
    <w:rsid w:val="00D679FD"/>
    <w:rsid w:val="00D701E8"/>
    <w:rsid w:val="00D70222"/>
    <w:rsid w:val="00D703B9"/>
    <w:rsid w:val="00D707A9"/>
    <w:rsid w:val="00D708E9"/>
    <w:rsid w:val="00D71026"/>
    <w:rsid w:val="00D7149A"/>
    <w:rsid w:val="00D71528"/>
    <w:rsid w:val="00D715B2"/>
    <w:rsid w:val="00D720DF"/>
    <w:rsid w:val="00D721E0"/>
    <w:rsid w:val="00D7250F"/>
    <w:rsid w:val="00D72544"/>
    <w:rsid w:val="00D72A83"/>
    <w:rsid w:val="00D72BF1"/>
    <w:rsid w:val="00D72CBF"/>
    <w:rsid w:val="00D72FDC"/>
    <w:rsid w:val="00D730B0"/>
    <w:rsid w:val="00D73385"/>
    <w:rsid w:val="00D73744"/>
    <w:rsid w:val="00D749C1"/>
    <w:rsid w:val="00D74D67"/>
    <w:rsid w:val="00D7506D"/>
    <w:rsid w:val="00D7563F"/>
    <w:rsid w:val="00D75B70"/>
    <w:rsid w:val="00D76269"/>
    <w:rsid w:val="00D765A0"/>
    <w:rsid w:val="00D76684"/>
    <w:rsid w:val="00D766AA"/>
    <w:rsid w:val="00D76998"/>
    <w:rsid w:val="00D76AB5"/>
    <w:rsid w:val="00D771FD"/>
    <w:rsid w:val="00D7796D"/>
    <w:rsid w:val="00D77FDB"/>
    <w:rsid w:val="00D800F7"/>
    <w:rsid w:val="00D80855"/>
    <w:rsid w:val="00D80B1A"/>
    <w:rsid w:val="00D80C06"/>
    <w:rsid w:val="00D8111F"/>
    <w:rsid w:val="00D812C7"/>
    <w:rsid w:val="00D81B18"/>
    <w:rsid w:val="00D82253"/>
    <w:rsid w:val="00D82666"/>
    <w:rsid w:val="00D831DB"/>
    <w:rsid w:val="00D8327F"/>
    <w:rsid w:val="00D83541"/>
    <w:rsid w:val="00D836EA"/>
    <w:rsid w:val="00D836F8"/>
    <w:rsid w:val="00D83768"/>
    <w:rsid w:val="00D8435E"/>
    <w:rsid w:val="00D8466B"/>
    <w:rsid w:val="00D8487E"/>
    <w:rsid w:val="00D84B4D"/>
    <w:rsid w:val="00D84D05"/>
    <w:rsid w:val="00D8501A"/>
    <w:rsid w:val="00D856AF"/>
    <w:rsid w:val="00D85F1D"/>
    <w:rsid w:val="00D86281"/>
    <w:rsid w:val="00D86421"/>
    <w:rsid w:val="00D865F5"/>
    <w:rsid w:val="00D866A4"/>
    <w:rsid w:val="00D86757"/>
    <w:rsid w:val="00D86BED"/>
    <w:rsid w:val="00D86F9B"/>
    <w:rsid w:val="00D873DC"/>
    <w:rsid w:val="00D87453"/>
    <w:rsid w:val="00D8794E"/>
    <w:rsid w:val="00D87C14"/>
    <w:rsid w:val="00D901AD"/>
    <w:rsid w:val="00D903DE"/>
    <w:rsid w:val="00D906D9"/>
    <w:rsid w:val="00D90F9D"/>
    <w:rsid w:val="00D91390"/>
    <w:rsid w:val="00D91540"/>
    <w:rsid w:val="00D91B3E"/>
    <w:rsid w:val="00D91F6E"/>
    <w:rsid w:val="00D92148"/>
    <w:rsid w:val="00D9223B"/>
    <w:rsid w:val="00D922E4"/>
    <w:rsid w:val="00D927AC"/>
    <w:rsid w:val="00D92832"/>
    <w:rsid w:val="00D92A3A"/>
    <w:rsid w:val="00D9355C"/>
    <w:rsid w:val="00D939A2"/>
    <w:rsid w:val="00D93A16"/>
    <w:rsid w:val="00D93B28"/>
    <w:rsid w:val="00D93B89"/>
    <w:rsid w:val="00D93C1B"/>
    <w:rsid w:val="00D93CD5"/>
    <w:rsid w:val="00D93D55"/>
    <w:rsid w:val="00D93E19"/>
    <w:rsid w:val="00D94187"/>
    <w:rsid w:val="00D945AB"/>
    <w:rsid w:val="00D9496D"/>
    <w:rsid w:val="00D94E49"/>
    <w:rsid w:val="00D9500A"/>
    <w:rsid w:val="00D96288"/>
    <w:rsid w:val="00D9634B"/>
    <w:rsid w:val="00D96356"/>
    <w:rsid w:val="00D96699"/>
    <w:rsid w:val="00D96DBC"/>
    <w:rsid w:val="00D96DCC"/>
    <w:rsid w:val="00D96E5F"/>
    <w:rsid w:val="00D96ED8"/>
    <w:rsid w:val="00D97252"/>
    <w:rsid w:val="00D974B2"/>
    <w:rsid w:val="00D975AB"/>
    <w:rsid w:val="00D97BEF"/>
    <w:rsid w:val="00D97CAF"/>
    <w:rsid w:val="00D97F9A"/>
    <w:rsid w:val="00DA004C"/>
    <w:rsid w:val="00DA05D8"/>
    <w:rsid w:val="00DA0768"/>
    <w:rsid w:val="00DA076C"/>
    <w:rsid w:val="00DA0E91"/>
    <w:rsid w:val="00DA161A"/>
    <w:rsid w:val="00DA1CD0"/>
    <w:rsid w:val="00DA20A3"/>
    <w:rsid w:val="00DA2220"/>
    <w:rsid w:val="00DA2886"/>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F7F"/>
    <w:rsid w:val="00DA5A94"/>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B4A"/>
    <w:rsid w:val="00DB1C73"/>
    <w:rsid w:val="00DB1FCF"/>
    <w:rsid w:val="00DB2355"/>
    <w:rsid w:val="00DB2914"/>
    <w:rsid w:val="00DB2CF9"/>
    <w:rsid w:val="00DB2E7C"/>
    <w:rsid w:val="00DB316D"/>
    <w:rsid w:val="00DB35FF"/>
    <w:rsid w:val="00DB38DC"/>
    <w:rsid w:val="00DB3BB4"/>
    <w:rsid w:val="00DB3EA6"/>
    <w:rsid w:val="00DB40E4"/>
    <w:rsid w:val="00DB43B7"/>
    <w:rsid w:val="00DB4403"/>
    <w:rsid w:val="00DB45AB"/>
    <w:rsid w:val="00DB4717"/>
    <w:rsid w:val="00DB480A"/>
    <w:rsid w:val="00DB5415"/>
    <w:rsid w:val="00DB541B"/>
    <w:rsid w:val="00DB5620"/>
    <w:rsid w:val="00DB5777"/>
    <w:rsid w:val="00DB5889"/>
    <w:rsid w:val="00DB5B8E"/>
    <w:rsid w:val="00DB5F6C"/>
    <w:rsid w:val="00DB6699"/>
    <w:rsid w:val="00DB6F15"/>
    <w:rsid w:val="00DB74B3"/>
    <w:rsid w:val="00DB762B"/>
    <w:rsid w:val="00DB7A2E"/>
    <w:rsid w:val="00DB7CF1"/>
    <w:rsid w:val="00DB7FDD"/>
    <w:rsid w:val="00DC0015"/>
    <w:rsid w:val="00DC023A"/>
    <w:rsid w:val="00DC07A1"/>
    <w:rsid w:val="00DC0BFE"/>
    <w:rsid w:val="00DC0DB1"/>
    <w:rsid w:val="00DC0F02"/>
    <w:rsid w:val="00DC0F8D"/>
    <w:rsid w:val="00DC1325"/>
    <w:rsid w:val="00DC1EAA"/>
    <w:rsid w:val="00DC1FBF"/>
    <w:rsid w:val="00DC2132"/>
    <w:rsid w:val="00DC2284"/>
    <w:rsid w:val="00DC2483"/>
    <w:rsid w:val="00DC24F1"/>
    <w:rsid w:val="00DC2956"/>
    <w:rsid w:val="00DC2D04"/>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FAF"/>
    <w:rsid w:val="00DC5201"/>
    <w:rsid w:val="00DC53B8"/>
    <w:rsid w:val="00DC556C"/>
    <w:rsid w:val="00DC5AD1"/>
    <w:rsid w:val="00DC5B96"/>
    <w:rsid w:val="00DC5C0D"/>
    <w:rsid w:val="00DC6158"/>
    <w:rsid w:val="00DC7032"/>
    <w:rsid w:val="00DC72A4"/>
    <w:rsid w:val="00DC72D1"/>
    <w:rsid w:val="00DC746E"/>
    <w:rsid w:val="00DC76EE"/>
    <w:rsid w:val="00DC7D95"/>
    <w:rsid w:val="00DD01CA"/>
    <w:rsid w:val="00DD02F4"/>
    <w:rsid w:val="00DD043A"/>
    <w:rsid w:val="00DD069E"/>
    <w:rsid w:val="00DD1176"/>
    <w:rsid w:val="00DD1A7E"/>
    <w:rsid w:val="00DD1B4E"/>
    <w:rsid w:val="00DD245C"/>
    <w:rsid w:val="00DD2484"/>
    <w:rsid w:val="00DD295D"/>
    <w:rsid w:val="00DD2E0D"/>
    <w:rsid w:val="00DD304A"/>
    <w:rsid w:val="00DD399A"/>
    <w:rsid w:val="00DD3A13"/>
    <w:rsid w:val="00DD3BDC"/>
    <w:rsid w:val="00DD3CA5"/>
    <w:rsid w:val="00DD4D92"/>
    <w:rsid w:val="00DD552F"/>
    <w:rsid w:val="00DD5A48"/>
    <w:rsid w:val="00DD5A72"/>
    <w:rsid w:val="00DD5BF3"/>
    <w:rsid w:val="00DD628B"/>
    <w:rsid w:val="00DD6621"/>
    <w:rsid w:val="00DD6705"/>
    <w:rsid w:val="00DD6B1E"/>
    <w:rsid w:val="00DD6D1F"/>
    <w:rsid w:val="00DD6E9C"/>
    <w:rsid w:val="00DD742C"/>
    <w:rsid w:val="00DD75C0"/>
    <w:rsid w:val="00DD75EF"/>
    <w:rsid w:val="00DD7CB3"/>
    <w:rsid w:val="00DE03A0"/>
    <w:rsid w:val="00DE077F"/>
    <w:rsid w:val="00DE0B17"/>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4103"/>
    <w:rsid w:val="00DE4210"/>
    <w:rsid w:val="00DE42F6"/>
    <w:rsid w:val="00DE4578"/>
    <w:rsid w:val="00DE4812"/>
    <w:rsid w:val="00DE4C5E"/>
    <w:rsid w:val="00DE4CD1"/>
    <w:rsid w:val="00DE4DA8"/>
    <w:rsid w:val="00DE51B4"/>
    <w:rsid w:val="00DE5403"/>
    <w:rsid w:val="00DE55CB"/>
    <w:rsid w:val="00DE57C5"/>
    <w:rsid w:val="00DE58E6"/>
    <w:rsid w:val="00DE591A"/>
    <w:rsid w:val="00DE5E6A"/>
    <w:rsid w:val="00DE70FC"/>
    <w:rsid w:val="00DE7B41"/>
    <w:rsid w:val="00DE7B9C"/>
    <w:rsid w:val="00DF005A"/>
    <w:rsid w:val="00DF010F"/>
    <w:rsid w:val="00DF0155"/>
    <w:rsid w:val="00DF04EE"/>
    <w:rsid w:val="00DF08AE"/>
    <w:rsid w:val="00DF0D8B"/>
    <w:rsid w:val="00DF1879"/>
    <w:rsid w:val="00DF198F"/>
    <w:rsid w:val="00DF1E48"/>
    <w:rsid w:val="00DF1E89"/>
    <w:rsid w:val="00DF1F1E"/>
    <w:rsid w:val="00DF2549"/>
    <w:rsid w:val="00DF264D"/>
    <w:rsid w:val="00DF26FF"/>
    <w:rsid w:val="00DF2741"/>
    <w:rsid w:val="00DF2BD1"/>
    <w:rsid w:val="00DF3038"/>
    <w:rsid w:val="00DF32E7"/>
    <w:rsid w:val="00DF33DD"/>
    <w:rsid w:val="00DF3467"/>
    <w:rsid w:val="00DF34EF"/>
    <w:rsid w:val="00DF3743"/>
    <w:rsid w:val="00DF3757"/>
    <w:rsid w:val="00DF3CD8"/>
    <w:rsid w:val="00DF3E35"/>
    <w:rsid w:val="00DF40FE"/>
    <w:rsid w:val="00DF42E0"/>
    <w:rsid w:val="00DF441A"/>
    <w:rsid w:val="00DF4742"/>
    <w:rsid w:val="00DF53A0"/>
    <w:rsid w:val="00DF5B56"/>
    <w:rsid w:val="00DF6076"/>
    <w:rsid w:val="00DF620E"/>
    <w:rsid w:val="00DF6326"/>
    <w:rsid w:val="00DF66E4"/>
    <w:rsid w:val="00DF718E"/>
    <w:rsid w:val="00DF7249"/>
    <w:rsid w:val="00DF7D84"/>
    <w:rsid w:val="00DF7FC3"/>
    <w:rsid w:val="00E00460"/>
    <w:rsid w:val="00E004BA"/>
    <w:rsid w:val="00E006E9"/>
    <w:rsid w:val="00E00844"/>
    <w:rsid w:val="00E00C71"/>
    <w:rsid w:val="00E00EAA"/>
    <w:rsid w:val="00E01034"/>
    <w:rsid w:val="00E0103C"/>
    <w:rsid w:val="00E01934"/>
    <w:rsid w:val="00E01ECD"/>
    <w:rsid w:val="00E0220F"/>
    <w:rsid w:val="00E02399"/>
    <w:rsid w:val="00E0240A"/>
    <w:rsid w:val="00E0274F"/>
    <w:rsid w:val="00E02814"/>
    <w:rsid w:val="00E02A78"/>
    <w:rsid w:val="00E02D97"/>
    <w:rsid w:val="00E02FD4"/>
    <w:rsid w:val="00E0338D"/>
    <w:rsid w:val="00E0339C"/>
    <w:rsid w:val="00E038DC"/>
    <w:rsid w:val="00E03D50"/>
    <w:rsid w:val="00E03ED5"/>
    <w:rsid w:val="00E03F68"/>
    <w:rsid w:val="00E04119"/>
    <w:rsid w:val="00E0443B"/>
    <w:rsid w:val="00E04491"/>
    <w:rsid w:val="00E044AB"/>
    <w:rsid w:val="00E047E5"/>
    <w:rsid w:val="00E04AE7"/>
    <w:rsid w:val="00E04C97"/>
    <w:rsid w:val="00E05508"/>
    <w:rsid w:val="00E05A10"/>
    <w:rsid w:val="00E0623D"/>
    <w:rsid w:val="00E06243"/>
    <w:rsid w:val="00E062B6"/>
    <w:rsid w:val="00E0632A"/>
    <w:rsid w:val="00E065DF"/>
    <w:rsid w:val="00E06853"/>
    <w:rsid w:val="00E068D6"/>
    <w:rsid w:val="00E068ED"/>
    <w:rsid w:val="00E06E3E"/>
    <w:rsid w:val="00E07169"/>
    <w:rsid w:val="00E071D5"/>
    <w:rsid w:val="00E0722D"/>
    <w:rsid w:val="00E07358"/>
    <w:rsid w:val="00E07828"/>
    <w:rsid w:val="00E0783F"/>
    <w:rsid w:val="00E07ABA"/>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FCA"/>
    <w:rsid w:val="00E14E5F"/>
    <w:rsid w:val="00E15026"/>
    <w:rsid w:val="00E157D3"/>
    <w:rsid w:val="00E15A4F"/>
    <w:rsid w:val="00E15D54"/>
    <w:rsid w:val="00E15E7A"/>
    <w:rsid w:val="00E15FCB"/>
    <w:rsid w:val="00E162A4"/>
    <w:rsid w:val="00E162D7"/>
    <w:rsid w:val="00E16569"/>
    <w:rsid w:val="00E16717"/>
    <w:rsid w:val="00E16869"/>
    <w:rsid w:val="00E16888"/>
    <w:rsid w:val="00E1688C"/>
    <w:rsid w:val="00E1725C"/>
    <w:rsid w:val="00E172C5"/>
    <w:rsid w:val="00E17CFF"/>
    <w:rsid w:val="00E17E8E"/>
    <w:rsid w:val="00E2006F"/>
    <w:rsid w:val="00E20955"/>
    <w:rsid w:val="00E20995"/>
    <w:rsid w:val="00E20DCA"/>
    <w:rsid w:val="00E20E33"/>
    <w:rsid w:val="00E21877"/>
    <w:rsid w:val="00E219B4"/>
    <w:rsid w:val="00E21AD0"/>
    <w:rsid w:val="00E220C6"/>
    <w:rsid w:val="00E22665"/>
    <w:rsid w:val="00E227AE"/>
    <w:rsid w:val="00E23185"/>
    <w:rsid w:val="00E233E7"/>
    <w:rsid w:val="00E23526"/>
    <w:rsid w:val="00E23D56"/>
    <w:rsid w:val="00E23F4E"/>
    <w:rsid w:val="00E24469"/>
    <w:rsid w:val="00E24799"/>
    <w:rsid w:val="00E2482D"/>
    <w:rsid w:val="00E2486C"/>
    <w:rsid w:val="00E24906"/>
    <w:rsid w:val="00E24AF1"/>
    <w:rsid w:val="00E24B28"/>
    <w:rsid w:val="00E24C10"/>
    <w:rsid w:val="00E24C6A"/>
    <w:rsid w:val="00E24FB5"/>
    <w:rsid w:val="00E251B2"/>
    <w:rsid w:val="00E25365"/>
    <w:rsid w:val="00E25E05"/>
    <w:rsid w:val="00E2631F"/>
    <w:rsid w:val="00E26810"/>
    <w:rsid w:val="00E2682C"/>
    <w:rsid w:val="00E269D9"/>
    <w:rsid w:val="00E26A70"/>
    <w:rsid w:val="00E276A9"/>
    <w:rsid w:val="00E30029"/>
    <w:rsid w:val="00E30037"/>
    <w:rsid w:val="00E30499"/>
    <w:rsid w:val="00E30B51"/>
    <w:rsid w:val="00E30B8E"/>
    <w:rsid w:val="00E3102A"/>
    <w:rsid w:val="00E31116"/>
    <w:rsid w:val="00E31290"/>
    <w:rsid w:val="00E31767"/>
    <w:rsid w:val="00E324BB"/>
    <w:rsid w:val="00E32A7A"/>
    <w:rsid w:val="00E32ECD"/>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E8B"/>
    <w:rsid w:val="00E36CE6"/>
    <w:rsid w:val="00E37017"/>
    <w:rsid w:val="00E373AC"/>
    <w:rsid w:val="00E37424"/>
    <w:rsid w:val="00E375C1"/>
    <w:rsid w:val="00E377E8"/>
    <w:rsid w:val="00E37821"/>
    <w:rsid w:val="00E37B7F"/>
    <w:rsid w:val="00E37C98"/>
    <w:rsid w:val="00E37E42"/>
    <w:rsid w:val="00E37E88"/>
    <w:rsid w:val="00E37EE3"/>
    <w:rsid w:val="00E40283"/>
    <w:rsid w:val="00E40444"/>
    <w:rsid w:val="00E40986"/>
    <w:rsid w:val="00E40F22"/>
    <w:rsid w:val="00E415B1"/>
    <w:rsid w:val="00E416FC"/>
    <w:rsid w:val="00E41711"/>
    <w:rsid w:val="00E41C77"/>
    <w:rsid w:val="00E41CA3"/>
    <w:rsid w:val="00E41E0A"/>
    <w:rsid w:val="00E41FB9"/>
    <w:rsid w:val="00E427F0"/>
    <w:rsid w:val="00E42BE9"/>
    <w:rsid w:val="00E42C72"/>
    <w:rsid w:val="00E42EDF"/>
    <w:rsid w:val="00E43055"/>
    <w:rsid w:val="00E43464"/>
    <w:rsid w:val="00E43542"/>
    <w:rsid w:val="00E4394A"/>
    <w:rsid w:val="00E43A9B"/>
    <w:rsid w:val="00E43AED"/>
    <w:rsid w:val="00E43C11"/>
    <w:rsid w:val="00E43D44"/>
    <w:rsid w:val="00E44270"/>
    <w:rsid w:val="00E44414"/>
    <w:rsid w:val="00E44472"/>
    <w:rsid w:val="00E44AD2"/>
    <w:rsid w:val="00E451BE"/>
    <w:rsid w:val="00E4564D"/>
    <w:rsid w:val="00E456B4"/>
    <w:rsid w:val="00E45D80"/>
    <w:rsid w:val="00E45EF9"/>
    <w:rsid w:val="00E46181"/>
    <w:rsid w:val="00E46814"/>
    <w:rsid w:val="00E471D4"/>
    <w:rsid w:val="00E4767B"/>
    <w:rsid w:val="00E477EE"/>
    <w:rsid w:val="00E47A69"/>
    <w:rsid w:val="00E47C85"/>
    <w:rsid w:val="00E501F9"/>
    <w:rsid w:val="00E50A52"/>
    <w:rsid w:val="00E50B87"/>
    <w:rsid w:val="00E50C35"/>
    <w:rsid w:val="00E51472"/>
    <w:rsid w:val="00E518D2"/>
    <w:rsid w:val="00E51919"/>
    <w:rsid w:val="00E51AB6"/>
    <w:rsid w:val="00E51E3A"/>
    <w:rsid w:val="00E51EAD"/>
    <w:rsid w:val="00E521A6"/>
    <w:rsid w:val="00E523E2"/>
    <w:rsid w:val="00E52CF0"/>
    <w:rsid w:val="00E532C7"/>
    <w:rsid w:val="00E5330C"/>
    <w:rsid w:val="00E534C6"/>
    <w:rsid w:val="00E53967"/>
    <w:rsid w:val="00E53F73"/>
    <w:rsid w:val="00E546DA"/>
    <w:rsid w:val="00E54B12"/>
    <w:rsid w:val="00E5545A"/>
    <w:rsid w:val="00E55696"/>
    <w:rsid w:val="00E556F7"/>
    <w:rsid w:val="00E5578F"/>
    <w:rsid w:val="00E55D5A"/>
    <w:rsid w:val="00E561DE"/>
    <w:rsid w:val="00E56347"/>
    <w:rsid w:val="00E56410"/>
    <w:rsid w:val="00E564DD"/>
    <w:rsid w:val="00E5650C"/>
    <w:rsid w:val="00E56DAC"/>
    <w:rsid w:val="00E571BB"/>
    <w:rsid w:val="00E577C9"/>
    <w:rsid w:val="00E60147"/>
    <w:rsid w:val="00E603B9"/>
    <w:rsid w:val="00E60430"/>
    <w:rsid w:val="00E60774"/>
    <w:rsid w:val="00E6086D"/>
    <w:rsid w:val="00E6092E"/>
    <w:rsid w:val="00E60A84"/>
    <w:rsid w:val="00E60B92"/>
    <w:rsid w:val="00E61404"/>
    <w:rsid w:val="00E615CB"/>
    <w:rsid w:val="00E61990"/>
    <w:rsid w:val="00E61F08"/>
    <w:rsid w:val="00E620F9"/>
    <w:rsid w:val="00E62740"/>
    <w:rsid w:val="00E62C15"/>
    <w:rsid w:val="00E62DFB"/>
    <w:rsid w:val="00E631AB"/>
    <w:rsid w:val="00E63760"/>
    <w:rsid w:val="00E637D7"/>
    <w:rsid w:val="00E6383D"/>
    <w:rsid w:val="00E638A3"/>
    <w:rsid w:val="00E63E86"/>
    <w:rsid w:val="00E6435E"/>
    <w:rsid w:val="00E643C6"/>
    <w:rsid w:val="00E64B24"/>
    <w:rsid w:val="00E64D19"/>
    <w:rsid w:val="00E64DF4"/>
    <w:rsid w:val="00E65145"/>
    <w:rsid w:val="00E652D3"/>
    <w:rsid w:val="00E65370"/>
    <w:rsid w:val="00E655E8"/>
    <w:rsid w:val="00E6657E"/>
    <w:rsid w:val="00E665F9"/>
    <w:rsid w:val="00E666B9"/>
    <w:rsid w:val="00E6697E"/>
    <w:rsid w:val="00E66F79"/>
    <w:rsid w:val="00E670C0"/>
    <w:rsid w:val="00E67128"/>
    <w:rsid w:val="00E675E0"/>
    <w:rsid w:val="00E67A21"/>
    <w:rsid w:val="00E706CF"/>
    <w:rsid w:val="00E70957"/>
    <w:rsid w:val="00E70BF2"/>
    <w:rsid w:val="00E71C50"/>
    <w:rsid w:val="00E71DDF"/>
    <w:rsid w:val="00E7229E"/>
    <w:rsid w:val="00E72A82"/>
    <w:rsid w:val="00E73434"/>
    <w:rsid w:val="00E7366C"/>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F53"/>
    <w:rsid w:val="00E76430"/>
    <w:rsid w:val="00E7691E"/>
    <w:rsid w:val="00E76A86"/>
    <w:rsid w:val="00E76DAC"/>
    <w:rsid w:val="00E76E17"/>
    <w:rsid w:val="00E774A2"/>
    <w:rsid w:val="00E77A79"/>
    <w:rsid w:val="00E77D4E"/>
    <w:rsid w:val="00E801BC"/>
    <w:rsid w:val="00E80735"/>
    <w:rsid w:val="00E80898"/>
    <w:rsid w:val="00E80AF8"/>
    <w:rsid w:val="00E80F6E"/>
    <w:rsid w:val="00E81119"/>
    <w:rsid w:val="00E816B3"/>
    <w:rsid w:val="00E817E4"/>
    <w:rsid w:val="00E81B1A"/>
    <w:rsid w:val="00E82880"/>
    <w:rsid w:val="00E82958"/>
    <w:rsid w:val="00E829CA"/>
    <w:rsid w:val="00E82B73"/>
    <w:rsid w:val="00E831E5"/>
    <w:rsid w:val="00E83650"/>
    <w:rsid w:val="00E848C5"/>
    <w:rsid w:val="00E849B1"/>
    <w:rsid w:val="00E84B9A"/>
    <w:rsid w:val="00E8509A"/>
    <w:rsid w:val="00E8529E"/>
    <w:rsid w:val="00E85A5D"/>
    <w:rsid w:val="00E85EF5"/>
    <w:rsid w:val="00E860BF"/>
    <w:rsid w:val="00E864A7"/>
    <w:rsid w:val="00E86B7B"/>
    <w:rsid w:val="00E87174"/>
    <w:rsid w:val="00E874B0"/>
    <w:rsid w:val="00E874FA"/>
    <w:rsid w:val="00E87908"/>
    <w:rsid w:val="00E900F1"/>
    <w:rsid w:val="00E90457"/>
    <w:rsid w:val="00E90533"/>
    <w:rsid w:val="00E90685"/>
    <w:rsid w:val="00E90B49"/>
    <w:rsid w:val="00E90B9C"/>
    <w:rsid w:val="00E90D4C"/>
    <w:rsid w:val="00E91860"/>
    <w:rsid w:val="00E91C12"/>
    <w:rsid w:val="00E91E5B"/>
    <w:rsid w:val="00E92395"/>
    <w:rsid w:val="00E9256D"/>
    <w:rsid w:val="00E9283C"/>
    <w:rsid w:val="00E92AC9"/>
    <w:rsid w:val="00E92B67"/>
    <w:rsid w:val="00E92C15"/>
    <w:rsid w:val="00E932AE"/>
    <w:rsid w:val="00E937DD"/>
    <w:rsid w:val="00E93D55"/>
    <w:rsid w:val="00E9431A"/>
    <w:rsid w:val="00E9460B"/>
    <w:rsid w:val="00E9498C"/>
    <w:rsid w:val="00E9505D"/>
    <w:rsid w:val="00E954B7"/>
    <w:rsid w:val="00E95CEB"/>
    <w:rsid w:val="00E9627C"/>
    <w:rsid w:val="00E96768"/>
    <w:rsid w:val="00E96CCA"/>
    <w:rsid w:val="00E96E58"/>
    <w:rsid w:val="00E96FDB"/>
    <w:rsid w:val="00E976AC"/>
    <w:rsid w:val="00E9794E"/>
    <w:rsid w:val="00E97C3D"/>
    <w:rsid w:val="00E97CF8"/>
    <w:rsid w:val="00E97E43"/>
    <w:rsid w:val="00EA0075"/>
    <w:rsid w:val="00EA00F9"/>
    <w:rsid w:val="00EA031F"/>
    <w:rsid w:val="00EA032A"/>
    <w:rsid w:val="00EA059C"/>
    <w:rsid w:val="00EA074A"/>
    <w:rsid w:val="00EA0D29"/>
    <w:rsid w:val="00EA107B"/>
    <w:rsid w:val="00EA1186"/>
    <w:rsid w:val="00EA1883"/>
    <w:rsid w:val="00EA2328"/>
    <w:rsid w:val="00EA23F6"/>
    <w:rsid w:val="00EA2A96"/>
    <w:rsid w:val="00EA2E80"/>
    <w:rsid w:val="00EA34D0"/>
    <w:rsid w:val="00EA3575"/>
    <w:rsid w:val="00EA3CF7"/>
    <w:rsid w:val="00EA3ED8"/>
    <w:rsid w:val="00EA40A6"/>
    <w:rsid w:val="00EA4232"/>
    <w:rsid w:val="00EA43AA"/>
    <w:rsid w:val="00EA43EE"/>
    <w:rsid w:val="00EA44D4"/>
    <w:rsid w:val="00EA4645"/>
    <w:rsid w:val="00EA478E"/>
    <w:rsid w:val="00EA4D40"/>
    <w:rsid w:val="00EA59C6"/>
    <w:rsid w:val="00EA63C3"/>
    <w:rsid w:val="00EA64A8"/>
    <w:rsid w:val="00EA680D"/>
    <w:rsid w:val="00EA6BA8"/>
    <w:rsid w:val="00EA6D62"/>
    <w:rsid w:val="00EA75E0"/>
    <w:rsid w:val="00EA76EE"/>
    <w:rsid w:val="00EA79F7"/>
    <w:rsid w:val="00EA7AEE"/>
    <w:rsid w:val="00EA7F09"/>
    <w:rsid w:val="00EB0BE2"/>
    <w:rsid w:val="00EB0E5A"/>
    <w:rsid w:val="00EB1029"/>
    <w:rsid w:val="00EB1098"/>
    <w:rsid w:val="00EB10AC"/>
    <w:rsid w:val="00EB13D5"/>
    <w:rsid w:val="00EB196D"/>
    <w:rsid w:val="00EB196F"/>
    <w:rsid w:val="00EB2100"/>
    <w:rsid w:val="00EB24E0"/>
    <w:rsid w:val="00EB3295"/>
    <w:rsid w:val="00EB356D"/>
    <w:rsid w:val="00EB3CE5"/>
    <w:rsid w:val="00EB3D5C"/>
    <w:rsid w:val="00EB3F40"/>
    <w:rsid w:val="00EB47C0"/>
    <w:rsid w:val="00EB4A21"/>
    <w:rsid w:val="00EB4A93"/>
    <w:rsid w:val="00EB4C29"/>
    <w:rsid w:val="00EB4C82"/>
    <w:rsid w:val="00EB506B"/>
    <w:rsid w:val="00EB50A1"/>
    <w:rsid w:val="00EB5A97"/>
    <w:rsid w:val="00EB5C8A"/>
    <w:rsid w:val="00EB641F"/>
    <w:rsid w:val="00EB6750"/>
    <w:rsid w:val="00EB67A9"/>
    <w:rsid w:val="00EB6889"/>
    <w:rsid w:val="00EB69A1"/>
    <w:rsid w:val="00EB6AB9"/>
    <w:rsid w:val="00EB6D31"/>
    <w:rsid w:val="00EB745E"/>
    <w:rsid w:val="00EB784E"/>
    <w:rsid w:val="00EB7A93"/>
    <w:rsid w:val="00EC06CC"/>
    <w:rsid w:val="00EC0DFD"/>
    <w:rsid w:val="00EC10A0"/>
    <w:rsid w:val="00EC1195"/>
    <w:rsid w:val="00EC1383"/>
    <w:rsid w:val="00EC13D0"/>
    <w:rsid w:val="00EC1591"/>
    <w:rsid w:val="00EC16C6"/>
    <w:rsid w:val="00EC16F1"/>
    <w:rsid w:val="00EC1C8A"/>
    <w:rsid w:val="00EC1DFD"/>
    <w:rsid w:val="00EC20D8"/>
    <w:rsid w:val="00EC282D"/>
    <w:rsid w:val="00EC2840"/>
    <w:rsid w:val="00EC2B0D"/>
    <w:rsid w:val="00EC3573"/>
    <w:rsid w:val="00EC419F"/>
    <w:rsid w:val="00EC50A2"/>
    <w:rsid w:val="00EC518D"/>
    <w:rsid w:val="00EC52B8"/>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835"/>
    <w:rsid w:val="00ED1AA8"/>
    <w:rsid w:val="00ED233E"/>
    <w:rsid w:val="00ED29F2"/>
    <w:rsid w:val="00ED2D3B"/>
    <w:rsid w:val="00ED2FCC"/>
    <w:rsid w:val="00ED3028"/>
    <w:rsid w:val="00ED3A81"/>
    <w:rsid w:val="00ED3F32"/>
    <w:rsid w:val="00ED4967"/>
    <w:rsid w:val="00ED4C12"/>
    <w:rsid w:val="00ED4E12"/>
    <w:rsid w:val="00ED50D8"/>
    <w:rsid w:val="00ED53B0"/>
    <w:rsid w:val="00ED5646"/>
    <w:rsid w:val="00ED67CE"/>
    <w:rsid w:val="00ED7559"/>
    <w:rsid w:val="00ED7637"/>
    <w:rsid w:val="00ED7A84"/>
    <w:rsid w:val="00EE0279"/>
    <w:rsid w:val="00EE0538"/>
    <w:rsid w:val="00EE05EC"/>
    <w:rsid w:val="00EE0625"/>
    <w:rsid w:val="00EE0A4C"/>
    <w:rsid w:val="00EE0B6E"/>
    <w:rsid w:val="00EE0F57"/>
    <w:rsid w:val="00EE0F97"/>
    <w:rsid w:val="00EE1046"/>
    <w:rsid w:val="00EE1B10"/>
    <w:rsid w:val="00EE1F65"/>
    <w:rsid w:val="00EE2371"/>
    <w:rsid w:val="00EE28A4"/>
    <w:rsid w:val="00EE28CE"/>
    <w:rsid w:val="00EE28F4"/>
    <w:rsid w:val="00EE2D19"/>
    <w:rsid w:val="00EE3728"/>
    <w:rsid w:val="00EE38B6"/>
    <w:rsid w:val="00EE3E7B"/>
    <w:rsid w:val="00EE3E83"/>
    <w:rsid w:val="00EE4261"/>
    <w:rsid w:val="00EE4493"/>
    <w:rsid w:val="00EE45C5"/>
    <w:rsid w:val="00EE4ADF"/>
    <w:rsid w:val="00EE4B3E"/>
    <w:rsid w:val="00EE5A6B"/>
    <w:rsid w:val="00EE5B3C"/>
    <w:rsid w:val="00EE5F75"/>
    <w:rsid w:val="00EE63BE"/>
    <w:rsid w:val="00EE6972"/>
    <w:rsid w:val="00EE6A2B"/>
    <w:rsid w:val="00EE6B04"/>
    <w:rsid w:val="00EE6B89"/>
    <w:rsid w:val="00EE6BE5"/>
    <w:rsid w:val="00EE712F"/>
    <w:rsid w:val="00EE73B5"/>
    <w:rsid w:val="00EE79AF"/>
    <w:rsid w:val="00EF0024"/>
    <w:rsid w:val="00EF0683"/>
    <w:rsid w:val="00EF0799"/>
    <w:rsid w:val="00EF09CD"/>
    <w:rsid w:val="00EF10CC"/>
    <w:rsid w:val="00EF12C5"/>
    <w:rsid w:val="00EF15F5"/>
    <w:rsid w:val="00EF1C75"/>
    <w:rsid w:val="00EF1EB2"/>
    <w:rsid w:val="00EF2006"/>
    <w:rsid w:val="00EF21AF"/>
    <w:rsid w:val="00EF24F7"/>
    <w:rsid w:val="00EF2722"/>
    <w:rsid w:val="00EF2A35"/>
    <w:rsid w:val="00EF2B93"/>
    <w:rsid w:val="00EF2DB3"/>
    <w:rsid w:val="00EF2DBD"/>
    <w:rsid w:val="00EF363D"/>
    <w:rsid w:val="00EF3850"/>
    <w:rsid w:val="00EF40A5"/>
    <w:rsid w:val="00EF40BE"/>
    <w:rsid w:val="00EF416B"/>
    <w:rsid w:val="00EF41D3"/>
    <w:rsid w:val="00EF4469"/>
    <w:rsid w:val="00EF4AE4"/>
    <w:rsid w:val="00EF5107"/>
    <w:rsid w:val="00EF5B55"/>
    <w:rsid w:val="00EF5CE4"/>
    <w:rsid w:val="00EF5E9A"/>
    <w:rsid w:val="00EF5EEA"/>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B2E"/>
    <w:rsid w:val="00F00D6C"/>
    <w:rsid w:val="00F01490"/>
    <w:rsid w:val="00F01820"/>
    <w:rsid w:val="00F0193F"/>
    <w:rsid w:val="00F01C5B"/>
    <w:rsid w:val="00F01E52"/>
    <w:rsid w:val="00F02473"/>
    <w:rsid w:val="00F0256E"/>
    <w:rsid w:val="00F02DCB"/>
    <w:rsid w:val="00F0319D"/>
    <w:rsid w:val="00F0389E"/>
    <w:rsid w:val="00F04286"/>
    <w:rsid w:val="00F042DC"/>
    <w:rsid w:val="00F04309"/>
    <w:rsid w:val="00F0448B"/>
    <w:rsid w:val="00F0463B"/>
    <w:rsid w:val="00F046BD"/>
    <w:rsid w:val="00F04D63"/>
    <w:rsid w:val="00F04E40"/>
    <w:rsid w:val="00F04E72"/>
    <w:rsid w:val="00F0526B"/>
    <w:rsid w:val="00F0576E"/>
    <w:rsid w:val="00F057C2"/>
    <w:rsid w:val="00F0584D"/>
    <w:rsid w:val="00F05999"/>
    <w:rsid w:val="00F059AB"/>
    <w:rsid w:val="00F05B05"/>
    <w:rsid w:val="00F06322"/>
    <w:rsid w:val="00F06894"/>
    <w:rsid w:val="00F06906"/>
    <w:rsid w:val="00F06C35"/>
    <w:rsid w:val="00F06CE6"/>
    <w:rsid w:val="00F06DDD"/>
    <w:rsid w:val="00F07099"/>
    <w:rsid w:val="00F074FA"/>
    <w:rsid w:val="00F07A90"/>
    <w:rsid w:val="00F07B75"/>
    <w:rsid w:val="00F102A7"/>
    <w:rsid w:val="00F105EA"/>
    <w:rsid w:val="00F107E1"/>
    <w:rsid w:val="00F10B8A"/>
    <w:rsid w:val="00F10F10"/>
    <w:rsid w:val="00F1106A"/>
    <w:rsid w:val="00F1109A"/>
    <w:rsid w:val="00F11117"/>
    <w:rsid w:val="00F111B8"/>
    <w:rsid w:val="00F112B0"/>
    <w:rsid w:val="00F11304"/>
    <w:rsid w:val="00F11768"/>
    <w:rsid w:val="00F11D55"/>
    <w:rsid w:val="00F11DC7"/>
    <w:rsid w:val="00F11FA7"/>
    <w:rsid w:val="00F12541"/>
    <w:rsid w:val="00F13580"/>
    <w:rsid w:val="00F13586"/>
    <w:rsid w:val="00F143EE"/>
    <w:rsid w:val="00F14435"/>
    <w:rsid w:val="00F14C45"/>
    <w:rsid w:val="00F1510D"/>
    <w:rsid w:val="00F15233"/>
    <w:rsid w:val="00F15618"/>
    <w:rsid w:val="00F15E91"/>
    <w:rsid w:val="00F164D2"/>
    <w:rsid w:val="00F16E72"/>
    <w:rsid w:val="00F16F98"/>
    <w:rsid w:val="00F1735C"/>
    <w:rsid w:val="00F17473"/>
    <w:rsid w:val="00F178FF"/>
    <w:rsid w:val="00F1792A"/>
    <w:rsid w:val="00F17C97"/>
    <w:rsid w:val="00F17F93"/>
    <w:rsid w:val="00F2064C"/>
    <w:rsid w:val="00F20B53"/>
    <w:rsid w:val="00F20B5F"/>
    <w:rsid w:val="00F21056"/>
    <w:rsid w:val="00F21961"/>
    <w:rsid w:val="00F21A42"/>
    <w:rsid w:val="00F21BA6"/>
    <w:rsid w:val="00F21C71"/>
    <w:rsid w:val="00F21C8D"/>
    <w:rsid w:val="00F21D12"/>
    <w:rsid w:val="00F21FB3"/>
    <w:rsid w:val="00F22035"/>
    <w:rsid w:val="00F2291C"/>
    <w:rsid w:val="00F22A18"/>
    <w:rsid w:val="00F22C19"/>
    <w:rsid w:val="00F22D18"/>
    <w:rsid w:val="00F22FD6"/>
    <w:rsid w:val="00F2300F"/>
    <w:rsid w:val="00F23350"/>
    <w:rsid w:val="00F23434"/>
    <w:rsid w:val="00F235FB"/>
    <w:rsid w:val="00F23664"/>
    <w:rsid w:val="00F2367A"/>
    <w:rsid w:val="00F23880"/>
    <w:rsid w:val="00F23F3C"/>
    <w:rsid w:val="00F24450"/>
    <w:rsid w:val="00F24B44"/>
    <w:rsid w:val="00F2521E"/>
    <w:rsid w:val="00F25B50"/>
    <w:rsid w:val="00F25D28"/>
    <w:rsid w:val="00F26073"/>
    <w:rsid w:val="00F26137"/>
    <w:rsid w:val="00F26270"/>
    <w:rsid w:val="00F26355"/>
    <w:rsid w:val="00F26385"/>
    <w:rsid w:val="00F2678A"/>
    <w:rsid w:val="00F267AE"/>
    <w:rsid w:val="00F26AA8"/>
    <w:rsid w:val="00F26AF2"/>
    <w:rsid w:val="00F26B6B"/>
    <w:rsid w:val="00F27D48"/>
    <w:rsid w:val="00F3026A"/>
    <w:rsid w:val="00F3039A"/>
    <w:rsid w:val="00F307B3"/>
    <w:rsid w:val="00F30A58"/>
    <w:rsid w:val="00F30A91"/>
    <w:rsid w:val="00F30BB4"/>
    <w:rsid w:val="00F30F8A"/>
    <w:rsid w:val="00F312B5"/>
    <w:rsid w:val="00F313C9"/>
    <w:rsid w:val="00F3174C"/>
    <w:rsid w:val="00F31837"/>
    <w:rsid w:val="00F31DD9"/>
    <w:rsid w:val="00F31E7F"/>
    <w:rsid w:val="00F31EC4"/>
    <w:rsid w:val="00F327CC"/>
    <w:rsid w:val="00F32A89"/>
    <w:rsid w:val="00F32F13"/>
    <w:rsid w:val="00F33F9F"/>
    <w:rsid w:val="00F34042"/>
    <w:rsid w:val="00F34FC3"/>
    <w:rsid w:val="00F357BC"/>
    <w:rsid w:val="00F361D0"/>
    <w:rsid w:val="00F368E6"/>
    <w:rsid w:val="00F369C2"/>
    <w:rsid w:val="00F36C87"/>
    <w:rsid w:val="00F36E5C"/>
    <w:rsid w:val="00F376F4"/>
    <w:rsid w:val="00F37AAC"/>
    <w:rsid w:val="00F37C04"/>
    <w:rsid w:val="00F37D6F"/>
    <w:rsid w:val="00F40460"/>
    <w:rsid w:val="00F40485"/>
    <w:rsid w:val="00F4165C"/>
    <w:rsid w:val="00F41869"/>
    <w:rsid w:val="00F41A52"/>
    <w:rsid w:val="00F41ACC"/>
    <w:rsid w:val="00F41E2A"/>
    <w:rsid w:val="00F420C8"/>
    <w:rsid w:val="00F4256F"/>
    <w:rsid w:val="00F427F0"/>
    <w:rsid w:val="00F42C4B"/>
    <w:rsid w:val="00F4325B"/>
    <w:rsid w:val="00F4348E"/>
    <w:rsid w:val="00F437C8"/>
    <w:rsid w:val="00F439C9"/>
    <w:rsid w:val="00F43DE0"/>
    <w:rsid w:val="00F44339"/>
    <w:rsid w:val="00F4433B"/>
    <w:rsid w:val="00F44A07"/>
    <w:rsid w:val="00F44EC9"/>
    <w:rsid w:val="00F45218"/>
    <w:rsid w:val="00F4689C"/>
    <w:rsid w:val="00F468D3"/>
    <w:rsid w:val="00F46927"/>
    <w:rsid w:val="00F47062"/>
    <w:rsid w:val="00F4771A"/>
    <w:rsid w:val="00F504F3"/>
    <w:rsid w:val="00F50999"/>
    <w:rsid w:val="00F51129"/>
    <w:rsid w:val="00F51302"/>
    <w:rsid w:val="00F51396"/>
    <w:rsid w:val="00F516DA"/>
    <w:rsid w:val="00F51AA5"/>
    <w:rsid w:val="00F51C6A"/>
    <w:rsid w:val="00F51C8A"/>
    <w:rsid w:val="00F51C95"/>
    <w:rsid w:val="00F51D13"/>
    <w:rsid w:val="00F52406"/>
    <w:rsid w:val="00F53237"/>
    <w:rsid w:val="00F5385F"/>
    <w:rsid w:val="00F538BE"/>
    <w:rsid w:val="00F53CC4"/>
    <w:rsid w:val="00F543CC"/>
    <w:rsid w:val="00F54498"/>
    <w:rsid w:val="00F5493B"/>
    <w:rsid w:val="00F55097"/>
    <w:rsid w:val="00F55854"/>
    <w:rsid w:val="00F55A50"/>
    <w:rsid w:val="00F55A97"/>
    <w:rsid w:val="00F55CEC"/>
    <w:rsid w:val="00F5609A"/>
    <w:rsid w:val="00F5634E"/>
    <w:rsid w:val="00F56813"/>
    <w:rsid w:val="00F5686F"/>
    <w:rsid w:val="00F56FAE"/>
    <w:rsid w:val="00F57BEC"/>
    <w:rsid w:val="00F57F4B"/>
    <w:rsid w:val="00F600BC"/>
    <w:rsid w:val="00F60257"/>
    <w:rsid w:val="00F60B8D"/>
    <w:rsid w:val="00F60CA1"/>
    <w:rsid w:val="00F60F15"/>
    <w:rsid w:val="00F6180A"/>
    <w:rsid w:val="00F627EF"/>
    <w:rsid w:val="00F62D42"/>
    <w:rsid w:val="00F62DDB"/>
    <w:rsid w:val="00F62EDF"/>
    <w:rsid w:val="00F63515"/>
    <w:rsid w:val="00F63565"/>
    <w:rsid w:val="00F636AC"/>
    <w:rsid w:val="00F63B8F"/>
    <w:rsid w:val="00F63DC4"/>
    <w:rsid w:val="00F63F59"/>
    <w:rsid w:val="00F6422C"/>
    <w:rsid w:val="00F64584"/>
    <w:rsid w:val="00F64A79"/>
    <w:rsid w:val="00F64B3B"/>
    <w:rsid w:val="00F64FA9"/>
    <w:rsid w:val="00F6534F"/>
    <w:rsid w:val="00F65413"/>
    <w:rsid w:val="00F656A6"/>
    <w:rsid w:val="00F656E3"/>
    <w:rsid w:val="00F65A32"/>
    <w:rsid w:val="00F65CFF"/>
    <w:rsid w:val="00F66298"/>
    <w:rsid w:val="00F663EB"/>
    <w:rsid w:val="00F66617"/>
    <w:rsid w:val="00F67053"/>
    <w:rsid w:val="00F70110"/>
    <w:rsid w:val="00F7011F"/>
    <w:rsid w:val="00F707C2"/>
    <w:rsid w:val="00F711DA"/>
    <w:rsid w:val="00F718A1"/>
    <w:rsid w:val="00F71A2D"/>
    <w:rsid w:val="00F71B9E"/>
    <w:rsid w:val="00F71E9A"/>
    <w:rsid w:val="00F721A0"/>
    <w:rsid w:val="00F72587"/>
    <w:rsid w:val="00F72A80"/>
    <w:rsid w:val="00F72C93"/>
    <w:rsid w:val="00F731F4"/>
    <w:rsid w:val="00F732F8"/>
    <w:rsid w:val="00F733EB"/>
    <w:rsid w:val="00F73671"/>
    <w:rsid w:val="00F736F7"/>
    <w:rsid w:val="00F73AAB"/>
    <w:rsid w:val="00F74288"/>
    <w:rsid w:val="00F746B3"/>
    <w:rsid w:val="00F74A58"/>
    <w:rsid w:val="00F74B4B"/>
    <w:rsid w:val="00F74CB4"/>
    <w:rsid w:val="00F754C2"/>
    <w:rsid w:val="00F75843"/>
    <w:rsid w:val="00F75A5A"/>
    <w:rsid w:val="00F77498"/>
    <w:rsid w:val="00F800B8"/>
    <w:rsid w:val="00F80131"/>
    <w:rsid w:val="00F8031E"/>
    <w:rsid w:val="00F80496"/>
    <w:rsid w:val="00F80662"/>
    <w:rsid w:val="00F80866"/>
    <w:rsid w:val="00F80A88"/>
    <w:rsid w:val="00F80B4E"/>
    <w:rsid w:val="00F80F5A"/>
    <w:rsid w:val="00F80F6B"/>
    <w:rsid w:val="00F81498"/>
    <w:rsid w:val="00F81858"/>
    <w:rsid w:val="00F81DCC"/>
    <w:rsid w:val="00F81F72"/>
    <w:rsid w:val="00F822DD"/>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F9"/>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902DB"/>
    <w:rsid w:val="00F90311"/>
    <w:rsid w:val="00F91011"/>
    <w:rsid w:val="00F9170D"/>
    <w:rsid w:val="00F91AD1"/>
    <w:rsid w:val="00F920C9"/>
    <w:rsid w:val="00F926E2"/>
    <w:rsid w:val="00F92734"/>
    <w:rsid w:val="00F932D3"/>
    <w:rsid w:val="00F935A7"/>
    <w:rsid w:val="00F93815"/>
    <w:rsid w:val="00F93824"/>
    <w:rsid w:val="00F93B52"/>
    <w:rsid w:val="00F93D18"/>
    <w:rsid w:val="00F93D8D"/>
    <w:rsid w:val="00F93F47"/>
    <w:rsid w:val="00F94368"/>
    <w:rsid w:val="00F94423"/>
    <w:rsid w:val="00F945EB"/>
    <w:rsid w:val="00F9472E"/>
    <w:rsid w:val="00F9494C"/>
    <w:rsid w:val="00F94A0E"/>
    <w:rsid w:val="00F94C8B"/>
    <w:rsid w:val="00F94EC4"/>
    <w:rsid w:val="00F958D7"/>
    <w:rsid w:val="00F95A03"/>
    <w:rsid w:val="00F962C0"/>
    <w:rsid w:val="00F965D3"/>
    <w:rsid w:val="00F96E89"/>
    <w:rsid w:val="00F96E99"/>
    <w:rsid w:val="00F971B0"/>
    <w:rsid w:val="00F9733D"/>
    <w:rsid w:val="00F97691"/>
    <w:rsid w:val="00F97A46"/>
    <w:rsid w:val="00F97A61"/>
    <w:rsid w:val="00F97CB8"/>
    <w:rsid w:val="00FA0597"/>
    <w:rsid w:val="00FA0840"/>
    <w:rsid w:val="00FA15C8"/>
    <w:rsid w:val="00FA1640"/>
    <w:rsid w:val="00FA21D5"/>
    <w:rsid w:val="00FA2C5D"/>
    <w:rsid w:val="00FA2D86"/>
    <w:rsid w:val="00FA348C"/>
    <w:rsid w:val="00FA39D5"/>
    <w:rsid w:val="00FA3B65"/>
    <w:rsid w:val="00FA3D87"/>
    <w:rsid w:val="00FA3EBD"/>
    <w:rsid w:val="00FA463F"/>
    <w:rsid w:val="00FA4AED"/>
    <w:rsid w:val="00FA4C57"/>
    <w:rsid w:val="00FA4F25"/>
    <w:rsid w:val="00FA515B"/>
    <w:rsid w:val="00FA53D8"/>
    <w:rsid w:val="00FA5677"/>
    <w:rsid w:val="00FA5721"/>
    <w:rsid w:val="00FA6201"/>
    <w:rsid w:val="00FA645E"/>
    <w:rsid w:val="00FA6674"/>
    <w:rsid w:val="00FA6792"/>
    <w:rsid w:val="00FA679E"/>
    <w:rsid w:val="00FA6961"/>
    <w:rsid w:val="00FA6A7C"/>
    <w:rsid w:val="00FA7EB1"/>
    <w:rsid w:val="00FB0185"/>
    <w:rsid w:val="00FB027A"/>
    <w:rsid w:val="00FB045F"/>
    <w:rsid w:val="00FB0A85"/>
    <w:rsid w:val="00FB0AD8"/>
    <w:rsid w:val="00FB0C38"/>
    <w:rsid w:val="00FB0E05"/>
    <w:rsid w:val="00FB12DE"/>
    <w:rsid w:val="00FB16A9"/>
    <w:rsid w:val="00FB1A3B"/>
    <w:rsid w:val="00FB20E7"/>
    <w:rsid w:val="00FB2AC3"/>
    <w:rsid w:val="00FB2E17"/>
    <w:rsid w:val="00FB2E47"/>
    <w:rsid w:val="00FB363C"/>
    <w:rsid w:val="00FB3802"/>
    <w:rsid w:val="00FB39F1"/>
    <w:rsid w:val="00FB3D71"/>
    <w:rsid w:val="00FB404B"/>
    <w:rsid w:val="00FB45E7"/>
    <w:rsid w:val="00FB4A29"/>
    <w:rsid w:val="00FB4C1F"/>
    <w:rsid w:val="00FB4C99"/>
    <w:rsid w:val="00FB4D6C"/>
    <w:rsid w:val="00FB4DBB"/>
    <w:rsid w:val="00FB5526"/>
    <w:rsid w:val="00FB552F"/>
    <w:rsid w:val="00FB5753"/>
    <w:rsid w:val="00FB58C0"/>
    <w:rsid w:val="00FB5E1E"/>
    <w:rsid w:val="00FB5F97"/>
    <w:rsid w:val="00FB64FC"/>
    <w:rsid w:val="00FB66E4"/>
    <w:rsid w:val="00FB6C5B"/>
    <w:rsid w:val="00FB6E68"/>
    <w:rsid w:val="00FB7337"/>
    <w:rsid w:val="00FB748F"/>
    <w:rsid w:val="00FB7622"/>
    <w:rsid w:val="00FB792A"/>
    <w:rsid w:val="00FB7A57"/>
    <w:rsid w:val="00FB7B0F"/>
    <w:rsid w:val="00FB7D3F"/>
    <w:rsid w:val="00FC023D"/>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74"/>
    <w:rsid w:val="00FC3557"/>
    <w:rsid w:val="00FC36EE"/>
    <w:rsid w:val="00FC3A39"/>
    <w:rsid w:val="00FC3BED"/>
    <w:rsid w:val="00FC43D1"/>
    <w:rsid w:val="00FC45A5"/>
    <w:rsid w:val="00FC46CA"/>
    <w:rsid w:val="00FC4CF8"/>
    <w:rsid w:val="00FC531B"/>
    <w:rsid w:val="00FC5701"/>
    <w:rsid w:val="00FC5757"/>
    <w:rsid w:val="00FC59AD"/>
    <w:rsid w:val="00FC7206"/>
    <w:rsid w:val="00FC7740"/>
    <w:rsid w:val="00FC7D7A"/>
    <w:rsid w:val="00FD00AA"/>
    <w:rsid w:val="00FD0147"/>
    <w:rsid w:val="00FD019D"/>
    <w:rsid w:val="00FD02FB"/>
    <w:rsid w:val="00FD0323"/>
    <w:rsid w:val="00FD0423"/>
    <w:rsid w:val="00FD05BA"/>
    <w:rsid w:val="00FD08D4"/>
    <w:rsid w:val="00FD0C68"/>
    <w:rsid w:val="00FD1065"/>
    <w:rsid w:val="00FD10FE"/>
    <w:rsid w:val="00FD1749"/>
    <w:rsid w:val="00FD1954"/>
    <w:rsid w:val="00FD1C2B"/>
    <w:rsid w:val="00FD2050"/>
    <w:rsid w:val="00FD2393"/>
    <w:rsid w:val="00FD24DE"/>
    <w:rsid w:val="00FD260F"/>
    <w:rsid w:val="00FD45BD"/>
    <w:rsid w:val="00FD51F3"/>
    <w:rsid w:val="00FD5907"/>
    <w:rsid w:val="00FD592E"/>
    <w:rsid w:val="00FD6AEB"/>
    <w:rsid w:val="00FD6B8A"/>
    <w:rsid w:val="00FD6C12"/>
    <w:rsid w:val="00FD717A"/>
    <w:rsid w:val="00FD7374"/>
    <w:rsid w:val="00FD74B9"/>
    <w:rsid w:val="00FD7546"/>
    <w:rsid w:val="00FD795A"/>
    <w:rsid w:val="00FD79E4"/>
    <w:rsid w:val="00FD7DAB"/>
    <w:rsid w:val="00FE0249"/>
    <w:rsid w:val="00FE030E"/>
    <w:rsid w:val="00FE032C"/>
    <w:rsid w:val="00FE040A"/>
    <w:rsid w:val="00FE0471"/>
    <w:rsid w:val="00FE0C45"/>
    <w:rsid w:val="00FE0C87"/>
    <w:rsid w:val="00FE0D40"/>
    <w:rsid w:val="00FE0DAB"/>
    <w:rsid w:val="00FE136C"/>
    <w:rsid w:val="00FE1406"/>
    <w:rsid w:val="00FE1AC3"/>
    <w:rsid w:val="00FE1EC3"/>
    <w:rsid w:val="00FE1EE7"/>
    <w:rsid w:val="00FE21B4"/>
    <w:rsid w:val="00FE23E4"/>
    <w:rsid w:val="00FE2459"/>
    <w:rsid w:val="00FE24FF"/>
    <w:rsid w:val="00FE253B"/>
    <w:rsid w:val="00FE2C17"/>
    <w:rsid w:val="00FE3496"/>
    <w:rsid w:val="00FE39C8"/>
    <w:rsid w:val="00FE3E6C"/>
    <w:rsid w:val="00FE434D"/>
    <w:rsid w:val="00FE47AE"/>
    <w:rsid w:val="00FE48E8"/>
    <w:rsid w:val="00FE4B98"/>
    <w:rsid w:val="00FE4D0B"/>
    <w:rsid w:val="00FE5131"/>
    <w:rsid w:val="00FE518B"/>
    <w:rsid w:val="00FE5C60"/>
    <w:rsid w:val="00FE699F"/>
    <w:rsid w:val="00FE69B9"/>
    <w:rsid w:val="00FE6DFE"/>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B14"/>
    <w:rsid w:val="00FF2D85"/>
    <w:rsid w:val="00FF35B8"/>
    <w:rsid w:val="00FF3733"/>
    <w:rsid w:val="00FF3ED1"/>
    <w:rsid w:val="00FF3FF2"/>
    <w:rsid w:val="00FF4613"/>
    <w:rsid w:val="00FF477B"/>
    <w:rsid w:val="00FF489E"/>
    <w:rsid w:val="00FF534A"/>
    <w:rsid w:val="00FF5373"/>
    <w:rsid w:val="00FF55B1"/>
    <w:rsid w:val="00FF5937"/>
    <w:rsid w:val="00FF6658"/>
    <w:rsid w:val="00FF7707"/>
    <w:rsid w:val="00FF7F6A"/>
    <w:rsid w:val="01E7302E"/>
    <w:rsid w:val="02DAD544"/>
    <w:rsid w:val="052DA9D8"/>
    <w:rsid w:val="0635B332"/>
    <w:rsid w:val="064C7573"/>
    <w:rsid w:val="06879314"/>
    <w:rsid w:val="07E82EB1"/>
    <w:rsid w:val="08BC2DD6"/>
    <w:rsid w:val="09B8C5CE"/>
    <w:rsid w:val="0ABB79E3"/>
    <w:rsid w:val="0B206457"/>
    <w:rsid w:val="0B546F68"/>
    <w:rsid w:val="0BB1D80A"/>
    <w:rsid w:val="0CA3AE72"/>
    <w:rsid w:val="0F2B6F5A"/>
    <w:rsid w:val="11A034B9"/>
    <w:rsid w:val="13999C2C"/>
    <w:rsid w:val="1498C5AC"/>
    <w:rsid w:val="15772C64"/>
    <w:rsid w:val="15A9A4D2"/>
    <w:rsid w:val="15D71F0E"/>
    <w:rsid w:val="18CE5F99"/>
    <w:rsid w:val="18FBF523"/>
    <w:rsid w:val="1A10DA79"/>
    <w:rsid w:val="1A354A3A"/>
    <w:rsid w:val="1A67162F"/>
    <w:rsid w:val="1AB10834"/>
    <w:rsid w:val="1ABF414E"/>
    <w:rsid w:val="1B9A9AFB"/>
    <w:rsid w:val="1CE56E6E"/>
    <w:rsid w:val="1E5A389D"/>
    <w:rsid w:val="1F34B7A4"/>
    <w:rsid w:val="2197C763"/>
    <w:rsid w:val="21FCEABE"/>
    <w:rsid w:val="22A6F8C6"/>
    <w:rsid w:val="234AF841"/>
    <w:rsid w:val="239FF60F"/>
    <w:rsid w:val="23B22024"/>
    <w:rsid w:val="24EF9EDD"/>
    <w:rsid w:val="24F50054"/>
    <w:rsid w:val="265941AF"/>
    <w:rsid w:val="28C7FA72"/>
    <w:rsid w:val="29C31000"/>
    <w:rsid w:val="2A6DE07B"/>
    <w:rsid w:val="2B9ABA9A"/>
    <w:rsid w:val="2CFC9453"/>
    <w:rsid w:val="2D157510"/>
    <w:rsid w:val="2F41CC29"/>
    <w:rsid w:val="2FB4D287"/>
    <w:rsid w:val="3016CEDB"/>
    <w:rsid w:val="312FB675"/>
    <w:rsid w:val="31BA9522"/>
    <w:rsid w:val="31CE00A9"/>
    <w:rsid w:val="32082CDF"/>
    <w:rsid w:val="32C54CEC"/>
    <w:rsid w:val="333EF846"/>
    <w:rsid w:val="336323C1"/>
    <w:rsid w:val="3495AE98"/>
    <w:rsid w:val="34C2C035"/>
    <w:rsid w:val="350567C5"/>
    <w:rsid w:val="358C9DD2"/>
    <w:rsid w:val="36A09D52"/>
    <w:rsid w:val="37B5DC80"/>
    <w:rsid w:val="380E0B09"/>
    <w:rsid w:val="3954B962"/>
    <w:rsid w:val="3E12B35B"/>
    <w:rsid w:val="3EEEC718"/>
    <w:rsid w:val="3EFCCCBA"/>
    <w:rsid w:val="3FDE84AB"/>
    <w:rsid w:val="4114C5A9"/>
    <w:rsid w:val="42054234"/>
    <w:rsid w:val="42840B91"/>
    <w:rsid w:val="42FECBD7"/>
    <w:rsid w:val="445C8732"/>
    <w:rsid w:val="453AD1DC"/>
    <w:rsid w:val="456E2746"/>
    <w:rsid w:val="460D8C84"/>
    <w:rsid w:val="464B0ACA"/>
    <w:rsid w:val="46F25864"/>
    <w:rsid w:val="477855AB"/>
    <w:rsid w:val="47A471DB"/>
    <w:rsid w:val="4885183C"/>
    <w:rsid w:val="48B371A3"/>
    <w:rsid w:val="4917E216"/>
    <w:rsid w:val="49369262"/>
    <w:rsid w:val="49BC46E6"/>
    <w:rsid w:val="49CC4855"/>
    <w:rsid w:val="4A72F156"/>
    <w:rsid w:val="4B60C4C1"/>
    <w:rsid w:val="4D29F590"/>
    <w:rsid w:val="4D59857E"/>
    <w:rsid w:val="4D9A2F85"/>
    <w:rsid w:val="4E940D90"/>
    <w:rsid w:val="4FA0265A"/>
    <w:rsid w:val="50274945"/>
    <w:rsid w:val="512A003F"/>
    <w:rsid w:val="51E6868E"/>
    <w:rsid w:val="5280316E"/>
    <w:rsid w:val="52858835"/>
    <w:rsid w:val="539EAAEA"/>
    <w:rsid w:val="53A7A6C3"/>
    <w:rsid w:val="540948AD"/>
    <w:rsid w:val="545C59A7"/>
    <w:rsid w:val="551BC94E"/>
    <w:rsid w:val="590B4D12"/>
    <w:rsid w:val="59F70394"/>
    <w:rsid w:val="5B5760B0"/>
    <w:rsid w:val="5B788B4C"/>
    <w:rsid w:val="5D3C852E"/>
    <w:rsid w:val="5D8357DE"/>
    <w:rsid w:val="5E0643C3"/>
    <w:rsid w:val="5E6694A4"/>
    <w:rsid w:val="5EB27EFA"/>
    <w:rsid w:val="62F7B463"/>
    <w:rsid w:val="63365415"/>
    <w:rsid w:val="634A6B32"/>
    <w:rsid w:val="63F84288"/>
    <w:rsid w:val="6406E293"/>
    <w:rsid w:val="65C6D02B"/>
    <w:rsid w:val="65CAFE82"/>
    <w:rsid w:val="66AFCFA2"/>
    <w:rsid w:val="671321C3"/>
    <w:rsid w:val="68551DA8"/>
    <w:rsid w:val="6911E1DD"/>
    <w:rsid w:val="69D0D721"/>
    <w:rsid w:val="6A615F80"/>
    <w:rsid w:val="6AE699DE"/>
    <w:rsid w:val="6B3C95FD"/>
    <w:rsid w:val="6B810E9B"/>
    <w:rsid w:val="6CF959C6"/>
    <w:rsid w:val="6D395C04"/>
    <w:rsid w:val="6D757224"/>
    <w:rsid w:val="6EE4B6F9"/>
    <w:rsid w:val="6F0E173D"/>
    <w:rsid w:val="72C0ECF5"/>
    <w:rsid w:val="72E93336"/>
    <w:rsid w:val="73330AC1"/>
    <w:rsid w:val="73B22ADA"/>
    <w:rsid w:val="7429E0C9"/>
    <w:rsid w:val="75032EDC"/>
    <w:rsid w:val="75667BC3"/>
    <w:rsid w:val="759BD086"/>
    <w:rsid w:val="75A87AD6"/>
    <w:rsid w:val="75D948AC"/>
    <w:rsid w:val="76DDA175"/>
    <w:rsid w:val="7799DFAC"/>
    <w:rsid w:val="77EB2D36"/>
    <w:rsid w:val="78394C23"/>
    <w:rsid w:val="7842CE74"/>
    <w:rsid w:val="79E09E4B"/>
    <w:rsid w:val="7C6BDF1C"/>
    <w:rsid w:val="7D417CD8"/>
    <w:rsid w:val="7E0D6F22"/>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15:docId w15:val="{428AA0DF-8276-4592-ACD1-8C787F9A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4F0"/>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294D2F"/>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Bullet1">
    <w:name w:val="CGC Bullet 1"/>
    <w:basedOn w:val="Normal"/>
    <w:qFormat/>
    <w:rsid w:val="007B4BCF"/>
    <w:rPr>
      <w:rFonts w:ascii="Work Sans" w:hAnsi="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37386787">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3584657">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3663754">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58652358">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gc.gov.au/reports-for-government/2020-review"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Michael Willcock</DisplayName>
        <AccountId>17</AccountId>
        <AccountType/>
      </UserInfo>
      <UserInfo>
        <DisplayName>Lynne Hurley</DisplayName>
        <AccountId>297</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126A4C3D-4551-4E68-80AD-C15B72634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4.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cde6150a-2887-4330-9d33-41179dba62e9"/>
    <ds:schemaRef ds:uri="b947e97b-0e0d-4a37-b7a7-c36958e104c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1368</Words>
  <Characters>7799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Jeffrey Evans</dc:creator>
  <cp:keywords/>
  <cp:lastModifiedBy>Katrina Baldock</cp:lastModifiedBy>
  <cp:revision>54</cp:revision>
  <cp:lastPrinted>2023-06-08T20:14:00Z</cp:lastPrinted>
  <dcterms:created xsi:type="dcterms:W3CDTF">2023-05-17T01:05:00Z</dcterms:created>
  <dcterms:modified xsi:type="dcterms:W3CDTF">2023-06-09T18:09:00Z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