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1DDC"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733AF43A" wp14:editId="1161162D">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36DA0286" wp14:editId="649F9D5A">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167462C8" w14:textId="77777777" w:rsidR="00A5102B" w:rsidRPr="00F0686F" w:rsidRDefault="00A5102B" w:rsidP="00A5102B">
      <w:pPr>
        <w:rPr>
          <w:rFonts w:ascii="Work Sans" w:hAnsi="Work Sans"/>
          <w:sz w:val="24"/>
          <w:szCs w:val="24"/>
        </w:rPr>
      </w:pPr>
    </w:p>
    <w:p w14:paraId="09FE4EAD" w14:textId="77777777" w:rsidR="00A5102B" w:rsidRPr="00F0686F" w:rsidRDefault="00A5102B" w:rsidP="00A5102B">
      <w:pPr>
        <w:rPr>
          <w:rFonts w:ascii="Work Sans" w:hAnsi="Work Sans"/>
          <w:sz w:val="24"/>
          <w:szCs w:val="24"/>
        </w:rPr>
      </w:pPr>
    </w:p>
    <w:p w14:paraId="7C1D0947" w14:textId="77777777" w:rsidR="00A5102B" w:rsidRDefault="00A5102B" w:rsidP="004477FF">
      <w:pPr>
        <w:pStyle w:val="CGCNumberedPara"/>
        <w:numPr>
          <w:ilvl w:val="0"/>
          <w:numId w:val="0"/>
        </w:numPr>
        <w:ind w:left="567" w:hanging="567"/>
      </w:pPr>
    </w:p>
    <w:p w14:paraId="00F9DF1C" w14:textId="77777777" w:rsidR="00246686" w:rsidRDefault="00246686" w:rsidP="00AB13AF">
      <w:pPr>
        <w:tabs>
          <w:tab w:val="clear" w:pos="567"/>
          <w:tab w:val="left" w:pos="2515"/>
        </w:tabs>
        <w:rPr>
          <w:rFonts w:ascii="Work Sans" w:hAnsi="Work Sans"/>
          <w:sz w:val="24"/>
          <w:szCs w:val="24"/>
        </w:rPr>
      </w:pPr>
    </w:p>
    <w:p w14:paraId="0CF0E175"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5A647B42" wp14:editId="5BD96C97">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106230F6" w14:textId="1E054AE5"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21FD16E0"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47B42"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106230F6" w14:textId="1E054AE5"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21FD16E0"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10060665" w14:textId="77777777" w:rsidR="00A5102B" w:rsidRPr="00F0686F" w:rsidRDefault="00A5102B" w:rsidP="00545F2D">
      <w:pPr>
        <w:rPr>
          <w:rFonts w:ascii="Work Sans" w:hAnsi="Work Sans"/>
          <w:sz w:val="24"/>
          <w:szCs w:val="24"/>
        </w:rPr>
      </w:pPr>
    </w:p>
    <w:p w14:paraId="52301B35" w14:textId="77777777" w:rsidR="00A5102B" w:rsidRDefault="00A5102B" w:rsidP="00A5102B">
      <w:pPr>
        <w:rPr>
          <w:rFonts w:ascii="Work Sans" w:hAnsi="Work Sans"/>
          <w:sz w:val="24"/>
          <w:szCs w:val="24"/>
        </w:rPr>
      </w:pPr>
    </w:p>
    <w:p w14:paraId="1A909F87" w14:textId="77777777" w:rsidR="00A5102B" w:rsidRDefault="00A5102B" w:rsidP="00A5102B">
      <w:pPr>
        <w:rPr>
          <w:rFonts w:ascii="Work Sans" w:hAnsi="Work Sans"/>
          <w:sz w:val="24"/>
          <w:szCs w:val="24"/>
        </w:rPr>
      </w:pPr>
    </w:p>
    <w:p w14:paraId="3944C2FA" w14:textId="77777777" w:rsidR="00A5102B" w:rsidRDefault="00A5102B" w:rsidP="00A5102B">
      <w:pPr>
        <w:rPr>
          <w:rFonts w:ascii="Work Sans" w:hAnsi="Work Sans"/>
          <w:sz w:val="24"/>
          <w:szCs w:val="24"/>
        </w:rPr>
      </w:pPr>
    </w:p>
    <w:p w14:paraId="1DF8CEDC" w14:textId="77777777" w:rsidR="00A5102B" w:rsidRDefault="00A5102B" w:rsidP="00A5102B">
      <w:pPr>
        <w:rPr>
          <w:rFonts w:ascii="Work Sans" w:hAnsi="Work Sans"/>
          <w:sz w:val="24"/>
          <w:szCs w:val="24"/>
        </w:rPr>
      </w:pPr>
    </w:p>
    <w:p w14:paraId="6D247FD2"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3F27BFFC" wp14:editId="72FD0C4C">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1B0E0E2C" w14:textId="77777777" w:rsidR="00DC10B1" w:rsidRDefault="00085A74" w:rsidP="00DC10B1">
                            <w:pPr>
                              <w:jc w:val="center"/>
                              <w:rPr>
                                <w:rFonts w:ascii="Work Sans" w:hAnsi="Work Sans" w:cs="Open Sans"/>
                                <w:color w:val="FFFFFF"/>
                                <w:sz w:val="52"/>
                                <w:szCs w:val="52"/>
                              </w:rPr>
                            </w:pPr>
                            <w:r w:rsidRPr="00DC10B1">
                              <w:rPr>
                                <w:rFonts w:ascii="Work Sans" w:hAnsi="Work Sans" w:cs="Open Sans"/>
                                <w:color w:val="FFFFFF"/>
                                <w:sz w:val="52"/>
                                <w:szCs w:val="52"/>
                              </w:rPr>
                              <w:t>Mining revenue</w:t>
                            </w:r>
                            <w:r w:rsidR="00DC10B1">
                              <w:rPr>
                                <w:rFonts w:ascii="Work Sans" w:hAnsi="Work Sans" w:cs="Open Sans"/>
                                <w:color w:val="FFFFFF"/>
                                <w:sz w:val="52"/>
                                <w:szCs w:val="52"/>
                              </w:rPr>
                              <w:t xml:space="preserve"> </w:t>
                            </w:r>
                          </w:p>
                          <w:p w14:paraId="4D1F4A52" w14:textId="1EEA3C0A" w:rsidR="0036633A" w:rsidRPr="00DC10B1" w:rsidRDefault="00DC10B1" w:rsidP="00DC10B1">
                            <w:pPr>
                              <w:jc w:val="center"/>
                              <w:rPr>
                                <w:rFonts w:ascii="Work Sans" w:hAnsi="Work Sans" w:cs="Open Sans"/>
                                <w:color w:val="FFFFFF"/>
                                <w:sz w:val="52"/>
                                <w:szCs w:val="52"/>
                              </w:rPr>
                            </w:pPr>
                            <w:r>
                              <w:rPr>
                                <w:rFonts w:ascii="Work Sans" w:hAnsi="Work Sans" w:cs="Open Sans"/>
                                <w:color w:val="FFFFFF"/>
                                <w:sz w:val="52"/>
                                <w:szCs w:val="52"/>
                              </w:rPr>
                              <w:t>c</w:t>
                            </w:r>
                            <w:r w:rsidR="00085A74" w:rsidRPr="00DC10B1">
                              <w:rPr>
                                <w:rFonts w:ascii="Work Sans" w:hAnsi="Work Sans" w:cs="Open Sans"/>
                                <w:color w:val="FFFFFF"/>
                                <w:sz w:val="52"/>
                                <w:szCs w:val="52"/>
                              </w:rPr>
                              <w:t>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7BFFC"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1B0E0E2C" w14:textId="77777777" w:rsidR="00DC10B1" w:rsidRDefault="00085A74" w:rsidP="00DC10B1">
                      <w:pPr>
                        <w:jc w:val="center"/>
                        <w:rPr>
                          <w:rFonts w:ascii="Work Sans" w:hAnsi="Work Sans" w:cs="Open Sans"/>
                          <w:color w:val="FFFFFF"/>
                          <w:sz w:val="52"/>
                          <w:szCs w:val="52"/>
                        </w:rPr>
                      </w:pPr>
                      <w:r w:rsidRPr="00DC10B1">
                        <w:rPr>
                          <w:rFonts w:ascii="Work Sans" w:hAnsi="Work Sans" w:cs="Open Sans"/>
                          <w:color w:val="FFFFFF"/>
                          <w:sz w:val="52"/>
                          <w:szCs w:val="52"/>
                        </w:rPr>
                        <w:t>Mining revenue</w:t>
                      </w:r>
                      <w:r w:rsidR="00DC10B1">
                        <w:rPr>
                          <w:rFonts w:ascii="Work Sans" w:hAnsi="Work Sans" w:cs="Open Sans"/>
                          <w:color w:val="FFFFFF"/>
                          <w:sz w:val="52"/>
                          <w:szCs w:val="52"/>
                        </w:rPr>
                        <w:t xml:space="preserve"> </w:t>
                      </w:r>
                    </w:p>
                    <w:p w14:paraId="4D1F4A52" w14:textId="1EEA3C0A" w:rsidR="0036633A" w:rsidRPr="00DC10B1" w:rsidRDefault="00DC10B1" w:rsidP="00DC10B1">
                      <w:pPr>
                        <w:jc w:val="center"/>
                        <w:rPr>
                          <w:rFonts w:ascii="Work Sans" w:hAnsi="Work Sans" w:cs="Open Sans"/>
                          <w:color w:val="FFFFFF"/>
                          <w:sz w:val="52"/>
                          <w:szCs w:val="52"/>
                        </w:rPr>
                      </w:pPr>
                      <w:r>
                        <w:rPr>
                          <w:rFonts w:ascii="Work Sans" w:hAnsi="Work Sans" w:cs="Open Sans"/>
                          <w:color w:val="FFFFFF"/>
                          <w:sz w:val="52"/>
                          <w:szCs w:val="52"/>
                        </w:rPr>
                        <w:t>c</w:t>
                      </w:r>
                      <w:r w:rsidR="00085A74" w:rsidRPr="00DC10B1">
                        <w:rPr>
                          <w:rFonts w:ascii="Work Sans" w:hAnsi="Work Sans" w:cs="Open Sans"/>
                          <w:color w:val="FFFFFF"/>
                          <w:sz w:val="52"/>
                          <w:szCs w:val="52"/>
                        </w:rPr>
                        <w:t>onsultation paper</w:t>
                      </w:r>
                    </w:p>
                  </w:txbxContent>
                </v:textbox>
                <w10:wrap anchorx="margin" anchory="page"/>
              </v:shape>
            </w:pict>
          </mc:Fallback>
        </mc:AlternateContent>
      </w:r>
    </w:p>
    <w:p w14:paraId="2C489A72" w14:textId="77777777" w:rsidR="00A5102B" w:rsidRDefault="00A5102B" w:rsidP="002A45B1">
      <w:pPr>
        <w:jc w:val="center"/>
        <w:rPr>
          <w:rFonts w:ascii="Work Sans" w:hAnsi="Work Sans"/>
          <w:sz w:val="24"/>
          <w:szCs w:val="24"/>
        </w:rPr>
      </w:pPr>
    </w:p>
    <w:p w14:paraId="7859C454" w14:textId="77777777" w:rsidR="00A5102B" w:rsidRDefault="00A5102B" w:rsidP="00704788">
      <w:pPr>
        <w:rPr>
          <w:rFonts w:ascii="Work Sans" w:hAnsi="Work Sans" w:cs="Open Sans"/>
          <w:color w:val="FFFFFF"/>
          <w:sz w:val="28"/>
          <w:szCs w:val="28"/>
        </w:rPr>
      </w:pPr>
    </w:p>
    <w:p w14:paraId="26CDBE35" w14:textId="77777777" w:rsidR="00704788" w:rsidRDefault="00704788" w:rsidP="00704788">
      <w:pPr>
        <w:rPr>
          <w:rFonts w:ascii="Work Sans" w:hAnsi="Work Sans" w:cs="Open Sans"/>
          <w:color w:val="FFFFFF"/>
          <w:sz w:val="28"/>
          <w:szCs w:val="28"/>
        </w:rPr>
      </w:pPr>
    </w:p>
    <w:p w14:paraId="3E06BC1D" w14:textId="77777777" w:rsidR="00704788" w:rsidRDefault="00704788" w:rsidP="00704788">
      <w:pPr>
        <w:rPr>
          <w:rFonts w:ascii="Work Sans" w:hAnsi="Work Sans" w:cs="Open Sans"/>
          <w:color w:val="FFFFFF"/>
          <w:sz w:val="28"/>
          <w:szCs w:val="28"/>
        </w:rPr>
      </w:pPr>
    </w:p>
    <w:p w14:paraId="236B7B9B" w14:textId="77777777" w:rsidR="00704788" w:rsidRDefault="00704788" w:rsidP="00704788">
      <w:pPr>
        <w:rPr>
          <w:rFonts w:ascii="Work Sans" w:hAnsi="Work Sans" w:cs="Open Sans"/>
          <w:color w:val="FFFFFF"/>
          <w:sz w:val="28"/>
          <w:szCs w:val="28"/>
        </w:rPr>
      </w:pPr>
    </w:p>
    <w:p w14:paraId="6D719F54" w14:textId="77777777" w:rsidR="00704788" w:rsidRDefault="00704788" w:rsidP="00704788">
      <w:pPr>
        <w:rPr>
          <w:rFonts w:ascii="Work Sans" w:hAnsi="Work Sans" w:cs="Open Sans"/>
          <w:color w:val="FFFFFF"/>
          <w:sz w:val="28"/>
          <w:szCs w:val="28"/>
        </w:rPr>
      </w:pPr>
    </w:p>
    <w:p w14:paraId="3AFA584C" w14:textId="77777777" w:rsidR="00704788" w:rsidRDefault="00704788" w:rsidP="00704788">
      <w:pPr>
        <w:rPr>
          <w:rFonts w:ascii="Work Sans" w:hAnsi="Work Sans" w:cs="Open Sans"/>
          <w:color w:val="FFFFFF"/>
          <w:sz w:val="28"/>
          <w:szCs w:val="28"/>
        </w:rPr>
      </w:pPr>
    </w:p>
    <w:p w14:paraId="311A1BF9"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70CDB312" wp14:editId="1E5BB64C">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0EF03D88" w14:textId="2DACC696" w:rsidR="00BA4C59" w:rsidRPr="00BA4C59" w:rsidRDefault="00085A74" w:rsidP="00BA4C59">
                            <w:pPr>
                              <w:jc w:val="center"/>
                              <w:rPr>
                                <w:rFonts w:ascii="Work Sans" w:hAnsi="Work Sans" w:cs="Open Sans"/>
                                <w:color w:val="FFFFFF"/>
                                <w:sz w:val="28"/>
                                <w:szCs w:val="28"/>
                              </w:rPr>
                            </w:pPr>
                            <w:r>
                              <w:rPr>
                                <w:rFonts w:ascii="Work Sans" w:hAnsi="Work Sans" w:cs="Open Sans"/>
                                <w:color w:val="FFFFFF"/>
                                <w:sz w:val="28"/>
                                <w:szCs w:val="28"/>
                              </w:rPr>
                              <w:t xml:space="preserve">June </w:t>
                            </w:r>
                            <w:r w:rsidR="00BA4C59" w:rsidRPr="00BA4C59">
                              <w:rPr>
                                <w:rFonts w:ascii="Work Sans" w:hAnsi="Work Sans" w:cs="Open Sans"/>
                                <w:color w:val="FFFFFF"/>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DB312"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0EF03D88" w14:textId="2DACC696" w:rsidR="00BA4C59" w:rsidRPr="00BA4C59" w:rsidRDefault="00085A74" w:rsidP="00BA4C59">
                      <w:pPr>
                        <w:jc w:val="center"/>
                        <w:rPr>
                          <w:rFonts w:ascii="Work Sans" w:hAnsi="Work Sans" w:cs="Open Sans"/>
                          <w:color w:val="FFFFFF"/>
                          <w:sz w:val="28"/>
                          <w:szCs w:val="28"/>
                        </w:rPr>
                      </w:pPr>
                      <w:r>
                        <w:rPr>
                          <w:rFonts w:ascii="Work Sans" w:hAnsi="Work Sans" w:cs="Open Sans"/>
                          <w:color w:val="FFFFFF"/>
                          <w:sz w:val="28"/>
                          <w:szCs w:val="28"/>
                        </w:rPr>
                        <w:t xml:space="preserve">June </w:t>
                      </w:r>
                      <w:r w:rsidR="00BA4C59" w:rsidRPr="00BA4C59">
                        <w:rPr>
                          <w:rFonts w:ascii="Work Sans" w:hAnsi="Work Sans" w:cs="Open Sans"/>
                          <w:color w:val="FFFFFF"/>
                          <w:sz w:val="28"/>
                          <w:szCs w:val="28"/>
                        </w:rPr>
                        <w:t>2023</w:t>
                      </w:r>
                    </w:p>
                  </w:txbxContent>
                </v:textbox>
                <w10:wrap anchorx="margin" anchory="page"/>
              </v:shape>
            </w:pict>
          </mc:Fallback>
        </mc:AlternateContent>
      </w:r>
    </w:p>
    <w:p w14:paraId="51AFFA6B" w14:textId="77777777" w:rsidR="00704788" w:rsidRDefault="00704788" w:rsidP="00DB5889">
      <w:pPr>
        <w:rPr>
          <w:rFonts w:ascii="Work Sans" w:hAnsi="Work Sans" w:cs="Open Sans"/>
          <w:color w:val="FFFFFF"/>
          <w:sz w:val="28"/>
          <w:szCs w:val="28"/>
        </w:rPr>
      </w:pPr>
    </w:p>
    <w:p w14:paraId="6726C857" w14:textId="77777777" w:rsidR="00DB5889" w:rsidRPr="00704788" w:rsidRDefault="00DB5889" w:rsidP="00DB5889">
      <w:pPr>
        <w:rPr>
          <w:rFonts w:ascii="Work Sans" w:hAnsi="Work Sans" w:cs="Open Sans"/>
          <w:color w:val="FFFFFF"/>
          <w:sz w:val="28"/>
          <w:szCs w:val="28"/>
        </w:rPr>
      </w:pPr>
    </w:p>
    <w:p w14:paraId="55E099E8"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247D2D21" w14:textId="77777777" w:rsidR="00A5102B" w:rsidRPr="005B6B61" w:rsidRDefault="00A5102B" w:rsidP="005B6B61"/>
    <w:p w14:paraId="71390847" w14:textId="77777777" w:rsidR="00A5102B" w:rsidRPr="005B6B61" w:rsidRDefault="00A5102B" w:rsidP="005B6B61"/>
    <w:p w14:paraId="33FF7BF6" w14:textId="77777777" w:rsidR="00A5102B" w:rsidRPr="005B6B61" w:rsidRDefault="00A5102B" w:rsidP="005B6B61"/>
    <w:p w14:paraId="6B43630F" w14:textId="77777777" w:rsidR="00A5102B" w:rsidRPr="005B6B61" w:rsidRDefault="00A5102B" w:rsidP="005B6B61"/>
    <w:p w14:paraId="133C165C" w14:textId="77777777" w:rsidR="00A5102B" w:rsidRPr="005B6B61" w:rsidRDefault="00A5102B" w:rsidP="005B6B61"/>
    <w:p w14:paraId="03328E15" w14:textId="77777777" w:rsidR="00A5102B" w:rsidRPr="005B6B61" w:rsidRDefault="00A5102B" w:rsidP="005B6B61"/>
    <w:p w14:paraId="45817A1E" w14:textId="77777777" w:rsidR="00A5102B" w:rsidRPr="005B6B61" w:rsidRDefault="00A5102B" w:rsidP="005B6B61"/>
    <w:p w14:paraId="1336BD7A" w14:textId="77777777" w:rsidR="003119A7" w:rsidRDefault="003119A7" w:rsidP="005B6B61"/>
    <w:p w14:paraId="360F9D01" w14:textId="77777777" w:rsidR="004F0684" w:rsidRDefault="004F0684" w:rsidP="005B6B61"/>
    <w:p w14:paraId="1007053C" w14:textId="77777777" w:rsidR="004F0684" w:rsidRDefault="004F0684" w:rsidP="005B6B61"/>
    <w:p w14:paraId="7860886A" w14:textId="77777777" w:rsidR="004F0684" w:rsidRDefault="004F0684" w:rsidP="005B6B61"/>
    <w:p w14:paraId="2A5E3E80" w14:textId="77777777" w:rsidR="004F0684" w:rsidRDefault="004F0684" w:rsidP="005B6B61"/>
    <w:p w14:paraId="7C906EDE" w14:textId="77777777" w:rsidR="004F0684" w:rsidRPr="005B6B61" w:rsidRDefault="004F0684" w:rsidP="005B6B61"/>
    <w:p w14:paraId="4BFA2798" w14:textId="77777777" w:rsidR="003119A7" w:rsidRPr="005B6B61" w:rsidRDefault="003119A7" w:rsidP="005B6B61"/>
    <w:p w14:paraId="56CDD041" w14:textId="77777777" w:rsidR="003119A7" w:rsidRPr="005B6B61" w:rsidRDefault="003119A7" w:rsidP="005B6B61"/>
    <w:p w14:paraId="30BB25E1" w14:textId="77777777" w:rsidR="00A5102B" w:rsidRPr="005B6B61" w:rsidRDefault="00A5102B" w:rsidP="005B6B61"/>
    <w:p w14:paraId="16A9018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334D85BA" w14:textId="77777777" w:rsidTr="003A0403">
        <w:tc>
          <w:tcPr>
            <w:tcW w:w="2972" w:type="dxa"/>
          </w:tcPr>
          <w:p w14:paraId="6CAC7B3F"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30010C9C" w14:textId="7D261ADC" w:rsidR="00A5102B" w:rsidRPr="003119A7" w:rsidRDefault="002240A6" w:rsidP="003A0403">
            <w:pPr>
              <w:rPr>
                <w:rFonts w:ascii="Work Sans" w:hAnsi="Work Sans"/>
                <w:szCs w:val="20"/>
              </w:rPr>
            </w:pPr>
            <w:r>
              <w:rPr>
                <w:rFonts w:ascii="Work Sans" w:hAnsi="Work Sans"/>
                <w:szCs w:val="20"/>
              </w:rPr>
              <w:t>2</w:t>
            </w:r>
            <w:r w:rsidR="00014126">
              <w:rPr>
                <w:rFonts w:ascii="Work Sans" w:hAnsi="Work Sans"/>
                <w:szCs w:val="20"/>
              </w:rPr>
              <w:t>9</w:t>
            </w:r>
            <w:r>
              <w:rPr>
                <w:rFonts w:ascii="Work Sans" w:hAnsi="Work Sans"/>
                <w:szCs w:val="20"/>
              </w:rPr>
              <w:t xml:space="preserve"> June 2023</w:t>
            </w:r>
          </w:p>
        </w:tc>
      </w:tr>
      <w:tr w:rsidR="00A5102B" w14:paraId="437A56BD" w14:textId="77777777" w:rsidTr="003A0403">
        <w:tc>
          <w:tcPr>
            <w:tcW w:w="2972" w:type="dxa"/>
          </w:tcPr>
          <w:p w14:paraId="40100E3B"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42FEC939" w14:textId="38B27203" w:rsidR="00A5102B" w:rsidRPr="003119A7" w:rsidRDefault="00A34E50" w:rsidP="003A0403">
            <w:pPr>
              <w:rPr>
                <w:rFonts w:ascii="Work Sans" w:hAnsi="Work Sans"/>
                <w:szCs w:val="20"/>
              </w:rPr>
            </w:pPr>
            <w:r w:rsidRPr="002240A6">
              <w:rPr>
                <w:rFonts w:ascii="Work Sans" w:hAnsi="Work Sans"/>
                <w:szCs w:val="20"/>
              </w:rPr>
              <w:t>Dermot Doherty</w:t>
            </w:r>
            <w:r w:rsidR="00A5102B" w:rsidRPr="002240A6">
              <w:rPr>
                <w:rFonts w:ascii="Work Sans" w:hAnsi="Work Sans"/>
                <w:szCs w:val="20"/>
              </w:rPr>
              <w:t xml:space="preserve">, </w:t>
            </w:r>
            <w:r w:rsidR="006C09B1" w:rsidRPr="002240A6">
              <w:rPr>
                <w:rFonts w:ascii="Work Sans" w:hAnsi="Work Sans"/>
                <w:szCs w:val="20"/>
              </w:rPr>
              <w:t xml:space="preserve">02 </w:t>
            </w:r>
            <w:r w:rsidR="00AA4104" w:rsidRPr="002240A6">
              <w:rPr>
                <w:rFonts w:ascii="Work Sans" w:hAnsi="Work Sans"/>
                <w:szCs w:val="20"/>
              </w:rPr>
              <w:t>621</w:t>
            </w:r>
            <w:r w:rsidR="008C0317" w:rsidRPr="002240A6">
              <w:rPr>
                <w:rFonts w:ascii="Work Sans" w:hAnsi="Work Sans"/>
                <w:szCs w:val="20"/>
              </w:rPr>
              <w:t>8</w:t>
            </w:r>
            <w:r w:rsidR="009807E7">
              <w:rPr>
                <w:rFonts w:ascii="Work Sans" w:hAnsi="Work Sans"/>
                <w:szCs w:val="20"/>
              </w:rPr>
              <w:t xml:space="preserve"> </w:t>
            </w:r>
            <w:r w:rsidR="008C0317" w:rsidRPr="002240A6">
              <w:rPr>
                <w:rFonts w:ascii="Work Sans" w:hAnsi="Work Sans"/>
                <w:szCs w:val="20"/>
              </w:rPr>
              <w:t>5717</w:t>
            </w:r>
            <w:r w:rsidR="00A5102B" w:rsidRPr="002240A6">
              <w:rPr>
                <w:rFonts w:ascii="Work Sans" w:hAnsi="Work Sans"/>
                <w:szCs w:val="20"/>
              </w:rPr>
              <w:t>,</w:t>
            </w:r>
            <w:r w:rsidR="007439CC" w:rsidRPr="002240A6">
              <w:rPr>
                <w:rFonts w:ascii="Work Sans" w:hAnsi="Work Sans"/>
                <w:szCs w:val="20"/>
              </w:rPr>
              <w:t xml:space="preserve"> </w:t>
            </w:r>
            <w:r w:rsidR="00C4606E">
              <w:rPr>
                <w:rFonts w:ascii="Work Sans" w:hAnsi="Work Sans"/>
                <w:szCs w:val="20"/>
              </w:rPr>
              <w:t>D</w:t>
            </w:r>
            <w:r w:rsidR="001902A7">
              <w:rPr>
                <w:rFonts w:ascii="Work Sans" w:hAnsi="Work Sans"/>
                <w:szCs w:val="20"/>
              </w:rPr>
              <w:t>ermot.</w:t>
            </w:r>
            <w:r w:rsidR="00C4606E">
              <w:rPr>
                <w:rFonts w:ascii="Work Sans" w:hAnsi="Work Sans"/>
                <w:szCs w:val="20"/>
              </w:rPr>
              <w:t>D</w:t>
            </w:r>
            <w:r w:rsidR="001902A7">
              <w:rPr>
                <w:rFonts w:ascii="Work Sans" w:hAnsi="Work Sans"/>
                <w:szCs w:val="20"/>
              </w:rPr>
              <w:t>oherty@cgc.gov.au</w:t>
            </w:r>
            <w:r w:rsidR="00A5102B" w:rsidRPr="003119A7">
              <w:rPr>
                <w:rFonts w:ascii="Work Sans" w:hAnsi="Work Sans"/>
                <w:szCs w:val="20"/>
              </w:rPr>
              <w:t xml:space="preserve"> </w:t>
            </w:r>
          </w:p>
        </w:tc>
      </w:tr>
      <w:tr w:rsidR="00A5102B" w14:paraId="0816E21A" w14:textId="77777777" w:rsidTr="003A0403">
        <w:tc>
          <w:tcPr>
            <w:tcW w:w="2972" w:type="dxa"/>
          </w:tcPr>
          <w:p w14:paraId="475E71FE"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D47F53E" w14:textId="2932E55A" w:rsidR="00D76AB5" w:rsidRDefault="002240A6" w:rsidP="003A0403">
            <w:pPr>
              <w:rPr>
                <w:rFonts w:ascii="Work Sans" w:hAnsi="Work Sans"/>
                <w:szCs w:val="20"/>
              </w:rPr>
            </w:pPr>
            <w:r>
              <w:rPr>
                <w:rFonts w:ascii="Work Sans" w:hAnsi="Work Sans"/>
                <w:szCs w:val="20"/>
              </w:rPr>
              <w:t>13 October 2023</w:t>
            </w:r>
          </w:p>
          <w:p w14:paraId="1C980871" w14:textId="119F9D75"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2240A6">
              <w:rPr>
                <w:rFonts w:ascii="Work Sans" w:hAnsi="Work Sans"/>
                <w:szCs w:val="20"/>
              </w:rPr>
              <w:t>Katrina Baldock</w:t>
            </w:r>
            <w:r w:rsidR="000C53E9" w:rsidRPr="003119A7">
              <w:rPr>
                <w:rFonts w:ascii="Work Sans" w:hAnsi="Work Sans"/>
                <w:szCs w:val="20"/>
              </w:rPr>
              <w:t>.</w:t>
            </w:r>
          </w:p>
          <w:p w14:paraId="0F88A461"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50CF8E27" w14:textId="77777777" w:rsidTr="003A0403">
        <w:tc>
          <w:tcPr>
            <w:tcW w:w="2972" w:type="dxa"/>
          </w:tcPr>
          <w:p w14:paraId="70ECB025"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432E7E31"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9ABF64A"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3F6D45B8" wp14:editId="5E1881F4">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5146295"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7A169E9B"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458D5319" w14:textId="77777777" w:rsidR="005B6B61" w:rsidRDefault="005B6B61" w:rsidP="00DF1879">
      <w:pPr>
        <w:sectPr w:rsidR="005B6B61" w:rsidSect="004F0684">
          <w:headerReference w:type="default" r:id="rId14"/>
          <w:footerReference w:type="first" r:id="rId15"/>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59B9B342" w14:textId="3E795D88" w:rsidR="005B6B61" w:rsidRDefault="005B6B61">
          <w:pPr>
            <w:pStyle w:val="TOCHeading"/>
          </w:pPr>
          <w:r>
            <w:t>Contents</w:t>
          </w:r>
        </w:p>
        <w:p w14:paraId="6C79A325" w14:textId="188CD3B3" w:rsidR="008E02C3"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38927235" w:history="1">
            <w:r w:rsidR="008E02C3" w:rsidRPr="00DD6B5F">
              <w:rPr>
                <w:rStyle w:val="Hyperlink"/>
                <w:noProof/>
              </w:rPr>
              <w:t>Overview of category</w:t>
            </w:r>
            <w:r w:rsidR="008E02C3">
              <w:rPr>
                <w:noProof/>
                <w:webHidden/>
              </w:rPr>
              <w:tab/>
            </w:r>
            <w:r w:rsidR="008E02C3">
              <w:rPr>
                <w:noProof/>
                <w:webHidden/>
              </w:rPr>
              <w:fldChar w:fldCharType="begin"/>
            </w:r>
            <w:r w:rsidR="008E02C3">
              <w:rPr>
                <w:noProof/>
                <w:webHidden/>
              </w:rPr>
              <w:instrText xml:space="preserve"> PAGEREF _Toc138927235 \h </w:instrText>
            </w:r>
            <w:r w:rsidR="008E02C3">
              <w:rPr>
                <w:noProof/>
                <w:webHidden/>
              </w:rPr>
            </w:r>
            <w:r w:rsidR="008E02C3">
              <w:rPr>
                <w:noProof/>
                <w:webHidden/>
              </w:rPr>
              <w:fldChar w:fldCharType="separate"/>
            </w:r>
            <w:r w:rsidR="008E02C3">
              <w:rPr>
                <w:noProof/>
                <w:webHidden/>
              </w:rPr>
              <w:t>4</w:t>
            </w:r>
            <w:r w:rsidR="008E02C3">
              <w:rPr>
                <w:noProof/>
                <w:webHidden/>
              </w:rPr>
              <w:fldChar w:fldCharType="end"/>
            </w:r>
          </w:hyperlink>
        </w:p>
        <w:p w14:paraId="1174C079" w14:textId="6A9C88EF" w:rsidR="008E02C3" w:rsidRDefault="008E02C3">
          <w:pPr>
            <w:pStyle w:val="TOC2"/>
            <w:rPr>
              <w:rFonts w:asciiTheme="minorHAnsi" w:eastAsiaTheme="minorEastAsia" w:hAnsiTheme="minorHAnsi"/>
              <w:bCs w:val="0"/>
              <w:noProof/>
              <w:color w:val="auto"/>
              <w:kern w:val="2"/>
              <w:sz w:val="22"/>
              <w:szCs w:val="22"/>
              <w:lang w:eastAsia="en-AU"/>
              <w14:ligatures w14:val="standardContextual"/>
            </w:rPr>
          </w:pPr>
          <w:hyperlink w:anchor="_Toc138927236" w:history="1">
            <w:r w:rsidRPr="00DD6B5F">
              <w:rPr>
                <w:rStyle w:val="Hyperlink"/>
                <w:noProof/>
              </w:rPr>
              <w:t>Current assessment method – 2020 Review</w:t>
            </w:r>
            <w:r>
              <w:rPr>
                <w:noProof/>
                <w:webHidden/>
              </w:rPr>
              <w:tab/>
            </w:r>
            <w:r>
              <w:rPr>
                <w:noProof/>
                <w:webHidden/>
              </w:rPr>
              <w:fldChar w:fldCharType="begin"/>
            </w:r>
            <w:r>
              <w:rPr>
                <w:noProof/>
                <w:webHidden/>
              </w:rPr>
              <w:instrText xml:space="preserve"> PAGEREF _Toc138927236 \h </w:instrText>
            </w:r>
            <w:r>
              <w:rPr>
                <w:noProof/>
                <w:webHidden/>
              </w:rPr>
            </w:r>
            <w:r>
              <w:rPr>
                <w:noProof/>
                <w:webHidden/>
              </w:rPr>
              <w:fldChar w:fldCharType="separate"/>
            </w:r>
            <w:r>
              <w:rPr>
                <w:noProof/>
                <w:webHidden/>
              </w:rPr>
              <w:t>4</w:t>
            </w:r>
            <w:r>
              <w:rPr>
                <w:noProof/>
                <w:webHidden/>
              </w:rPr>
              <w:fldChar w:fldCharType="end"/>
            </w:r>
          </w:hyperlink>
        </w:p>
        <w:p w14:paraId="4708A983" w14:textId="182F1868"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37" w:history="1">
            <w:r w:rsidRPr="00DD6B5F">
              <w:rPr>
                <w:rStyle w:val="Hyperlink"/>
                <w:noProof/>
              </w:rPr>
              <w:t>Data used in the assessment</w:t>
            </w:r>
            <w:r>
              <w:rPr>
                <w:noProof/>
                <w:webHidden/>
              </w:rPr>
              <w:tab/>
            </w:r>
            <w:r>
              <w:rPr>
                <w:noProof/>
                <w:webHidden/>
              </w:rPr>
              <w:fldChar w:fldCharType="begin"/>
            </w:r>
            <w:r>
              <w:rPr>
                <w:noProof/>
                <w:webHidden/>
              </w:rPr>
              <w:instrText xml:space="preserve"> PAGEREF _Toc138927237 \h </w:instrText>
            </w:r>
            <w:r>
              <w:rPr>
                <w:noProof/>
                <w:webHidden/>
              </w:rPr>
            </w:r>
            <w:r>
              <w:rPr>
                <w:noProof/>
                <w:webHidden/>
              </w:rPr>
              <w:fldChar w:fldCharType="separate"/>
            </w:r>
            <w:r>
              <w:rPr>
                <w:noProof/>
                <w:webHidden/>
              </w:rPr>
              <w:t>5</w:t>
            </w:r>
            <w:r>
              <w:rPr>
                <w:noProof/>
                <w:webHidden/>
              </w:rPr>
              <w:fldChar w:fldCharType="end"/>
            </w:r>
          </w:hyperlink>
        </w:p>
        <w:p w14:paraId="325BF256" w14:textId="6556C602"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38" w:history="1">
            <w:r w:rsidRPr="00DD6B5F">
              <w:rPr>
                <w:rStyle w:val="Hyperlink"/>
                <w:noProof/>
              </w:rPr>
              <w:t>Category and component revenue</w:t>
            </w:r>
            <w:r>
              <w:rPr>
                <w:noProof/>
                <w:webHidden/>
              </w:rPr>
              <w:tab/>
            </w:r>
            <w:r>
              <w:rPr>
                <w:noProof/>
                <w:webHidden/>
              </w:rPr>
              <w:fldChar w:fldCharType="begin"/>
            </w:r>
            <w:r>
              <w:rPr>
                <w:noProof/>
                <w:webHidden/>
              </w:rPr>
              <w:instrText xml:space="preserve"> PAGEREF _Toc138927238 \h </w:instrText>
            </w:r>
            <w:r>
              <w:rPr>
                <w:noProof/>
                <w:webHidden/>
              </w:rPr>
            </w:r>
            <w:r>
              <w:rPr>
                <w:noProof/>
                <w:webHidden/>
              </w:rPr>
              <w:fldChar w:fldCharType="separate"/>
            </w:r>
            <w:r>
              <w:rPr>
                <w:noProof/>
                <w:webHidden/>
              </w:rPr>
              <w:t>6</w:t>
            </w:r>
            <w:r>
              <w:rPr>
                <w:noProof/>
                <w:webHidden/>
              </w:rPr>
              <w:fldChar w:fldCharType="end"/>
            </w:r>
          </w:hyperlink>
        </w:p>
        <w:p w14:paraId="0C6CAEBA" w14:textId="16132E3E"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39" w:history="1">
            <w:r w:rsidRPr="00DD6B5F">
              <w:rPr>
                <w:rStyle w:val="Hyperlink"/>
                <w:noProof/>
              </w:rPr>
              <w:t>GST distribution in the 2023 Update</w:t>
            </w:r>
            <w:r>
              <w:rPr>
                <w:noProof/>
                <w:webHidden/>
              </w:rPr>
              <w:tab/>
            </w:r>
            <w:r>
              <w:rPr>
                <w:noProof/>
                <w:webHidden/>
              </w:rPr>
              <w:fldChar w:fldCharType="begin"/>
            </w:r>
            <w:r>
              <w:rPr>
                <w:noProof/>
                <w:webHidden/>
              </w:rPr>
              <w:instrText xml:space="preserve"> PAGEREF _Toc138927239 \h </w:instrText>
            </w:r>
            <w:r>
              <w:rPr>
                <w:noProof/>
                <w:webHidden/>
              </w:rPr>
            </w:r>
            <w:r>
              <w:rPr>
                <w:noProof/>
                <w:webHidden/>
              </w:rPr>
              <w:fldChar w:fldCharType="separate"/>
            </w:r>
            <w:r>
              <w:rPr>
                <w:noProof/>
                <w:webHidden/>
              </w:rPr>
              <w:t>7</w:t>
            </w:r>
            <w:r>
              <w:rPr>
                <w:noProof/>
                <w:webHidden/>
              </w:rPr>
              <w:fldChar w:fldCharType="end"/>
            </w:r>
          </w:hyperlink>
        </w:p>
        <w:p w14:paraId="4077D51C" w14:textId="0EB3EC6C" w:rsidR="008E02C3" w:rsidRDefault="008E02C3">
          <w:pPr>
            <w:pStyle w:val="TOC2"/>
            <w:rPr>
              <w:rFonts w:asciiTheme="minorHAnsi" w:eastAsiaTheme="minorEastAsia" w:hAnsiTheme="minorHAnsi"/>
              <w:bCs w:val="0"/>
              <w:noProof/>
              <w:color w:val="auto"/>
              <w:kern w:val="2"/>
              <w:sz w:val="22"/>
              <w:szCs w:val="22"/>
              <w:lang w:eastAsia="en-AU"/>
              <w14:ligatures w14:val="standardContextual"/>
            </w:rPr>
          </w:pPr>
          <w:hyperlink w:anchor="_Toc138927240" w:history="1">
            <w:r w:rsidRPr="00DD6B5F">
              <w:rPr>
                <w:rStyle w:val="Hyperlink"/>
                <w:noProof/>
              </w:rPr>
              <w:t>What has changed since the 2020 Review?</w:t>
            </w:r>
            <w:r>
              <w:rPr>
                <w:noProof/>
                <w:webHidden/>
              </w:rPr>
              <w:tab/>
            </w:r>
            <w:r>
              <w:rPr>
                <w:noProof/>
                <w:webHidden/>
              </w:rPr>
              <w:fldChar w:fldCharType="begin"/>
            </w:r>
            <w:r>
              <w:rPr>
                <w:noProof/>
                <w:webHidden/>
              </w:rPr>
              <w:instrText xml:space="preserve"> PAGEREF _Toc138927240 \h </w:instrText>
            </w:r>
            <w:r>
              <w:rPr>
                <w:noProof/>
                <w:webHidden/>
              </w:rPr>
            </w:r>
            <w:r>
              <w:rPr>
                <w:noProof/>
                <w:webHidden/>
              </w:rPr>
              <w:fldChar w:fldCharType="separate"/>
            </w:r>
            <w:r>
              <w:rPr>
                <w:noProof/>
                <w:webHidden/>
              </w:rPr>
              <w:t>7</w:t>
            </w:r>
            <w:r>
              <w:rPr>
                <w:noProof/>
                <w:webHidden/>
              </w:rPr>
              <w:fldChar w:fldCharType="end"/>
            </w:r>
          </w:hyperlink>
        </w:p>
        <w:p w14:paraId="50376E36" w14:textId="024C4C64" w:rsidR="008E02C3" w:rsidRDefault="008E02C3">
          <w:pPr>
            <w:pStyle w:val="TOC2"/>
            <w:rPr>
              <w:rFonts w:asciiTheme="minorHAnsi" w:eastAsiaTheme="minorEastAsia" w:hAnsiTheme="minorHAnsi"/>
              <w:bCs w:val="0"/>
              <w:noProof/>
              <w:color w:val="auto"/>
              <w:kern w:val="2"/>
              <w:sz w:val="22"/>
              <w:szCs w:val="22"/>
              <w:lang w:eastAsia="en-AU"/>
              <w14:ligatures w14:val="standardContextual"/>
            </w:rPr>
          </w:pPr>
          <w:hyperlink w:anchor="_Toc138927241" w:history="1">
            <w:r w:rsidRPr="00DD6B5F">
              <w:rPr>
                <w:rStyle w:val="Hyperlink"/>
                <w:noProof/>
              </w:rPr>
              <w:t>Implications for assessment</w:t>
            </w:r>
            <w:r>
              <w:rPr>
                <w:noProof/>
                <w:webHidden/>
              </w:rPr>
              <w:tab/>
            </w:r>
            <w:r>
              <w:rPr>
                <w:noProof/>
                <w:webHidden/>
              </w:rPr>
              <w:fldChar w:fldCharType="begin"/>
            </w:r>
            <w:r>
              <w:rPr>
                <w:noProof/>
                <w:webHidden/>
              </w:rPr>
              <w:instrText xml:space="preserve"> PAGEREF _Toc138927241 \h </w:instrText>
            </w:r>
            <w:r>
              <w:rPr>
                <w:noProof/>
                <w:webHidden/>
              </w:rPr>
            </w:r>
            <w:r>
              <w:rPr>
                <w:noProof/>
                <w:webHidden/>
              </w:rPr>
              <w:fldChar w:fldCharType="separate"/>
            </w:r>
            <w:r>
              <w:rPr>
                <w:noProof/>
                <w:webHidden/>
              </w:rPr>
              <w:t>8</w:t>
            </w:r>
            <w:r>
              <w:rPr>
                <w:noProof/>
                <w:webHidden/>
              </w:rPr>
              <w:fldChar w:fldCharType="end"/>
            </w:r>
          </w:hyperlink>
        </w:p>
        <w:p w14:paraId="798BDBB0" w14:textId="2E2130A0"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42" w:history="1">
            <w:r w:rsidRPr="00DD6B5F">
              <w:rPr>
                <w:rStyle w:val="Hyperlink"/>
                <w:noProof/>
              </w:rPr>
              <w:t>Retaining the mineral by mineral approach</w:t>
            </w:r>
            <w:r>
              <w:rPr>
                <w:noProof/>
                <w:webHidden/>
              </w:rPr>
              <w:tab/>
            </w:r>
            <w:r>
              <w:rPr>
                <w:noProof/>
                <w:webHidden/>
              </w:rPr>
              <w:fldChar w:fldCharType="begin"/>
            </w:r>
            <w:r>
              <w:rPr>
                <w:noProof/>
                <w:webHidden/>
              </w:rPr>
              <w:instrText xml:space="preserve"> PAGEREF _Toc138927242 \h </w:instrText>
            </w:r>
            <w:r>
              <w:rPr>
                <w:noProof/>
                <w:webHidden/>
              </w:rPr>
            </w:r>
            <w:r>
              <w:rPr>
                <w:noProof/>
                <w:webHidden/>
              </w:rPr>
              <w:fldChar w:fldCharType="separate"/>
            </w:r>
            <w:r>
              <w:rPr>
                <w:noProof/>
                <w:webHidden/>
              </w:rPr>
              <w:t>8</w:t>
            </w:r>
            <w:r>
              <w:rPr>
                <w:noProof/>
                <w:webHidden/>
              </w:rPr>
              <w:fldChar w:fldCharType="end"/>
            </w:r>
          </w:hyperlink>
        </w:p>
        <w:p w14:paraId="0577F97C" w14:textId="71F60CFD"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43" w:history="1">
            <w:r w:rsidRPr="00DD6B5F">
              <w:rPr>
                <w:rStyle w:val="Hyperlink"/>
                <w:noProof/>
              </w:rPr>
              <w:t>Assessing revenue capacity when a dominant state changes its royalty rate</w:t>
            </w:r>
            <w:r>
              <w:rPr>
                <w:noProof/>
                <w:webHidden/>
              </w:rPr>
              <w:tab/>
            </w:r>
            <w:r>
              <w:rPr>
                <w:noProof/>
                <w:webHidden/>
              </w:rPr>
              <w:fldChar w:fldCharType="begin"/>
            </w:r>
            <w:r>
              <w:rPr>
                <w:noProof/>
                <w:webHidden/>
              </w:rPr>
              <w:instrText xml:space="preserve"> PAGEREF _Toc138927243 \h </w:instrText>
            </w:r>
            <w:r>
              <w:rPr>
                <w:noProof/>
                <w:webHidden/>
              </w:rPr>
            </w:r>
            <w:r>
              <w:rPr>
                <w:noProof/>
                <w:webHidden/>
              </w:rPr>
              <w:fldChar w:fldCharType="separate"/>
            </w:r>
            <w:r>
              <w:rPr>
                <w:noProof/>
                <w:webHidden/>
              </w:rPr>
              <w:t>9</w:t>
            </w:r>
            <w:r>
              <w:rPr>
                <w:noProof/>
                <w:webHidden/>
              </w:rPr>
              <w:fldChar w:fldCharType="end"/>
            </w:r>
          </w:hyperlink>
        </w:p>
        <w:p w14:paraId="66AAB7FA" w14:textId="4E67E048"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44" w:history="1">
            <w:r w:rsidRPr="00DD6B5F">
              <w:rPr>
                <w:rStyle w:val="Hyperlink"/>
                <w:noProof/>
              </w:rPr>
              <w:t>Assessing revenue capacity when revenue bases are uncertain or policy influenced</w:t>
            </w:r>
            <w:r>
              <w:rPr>
                <w:noProof/>
                <w:webHidden/>
              </w:rPr>
              <w:tab/>
            </w:r>
            <w:r>
              <w:rPr>
                <w:noProof/>
                <w:webHidden/>
              </w:rPr>
              <w:fldChar w:fldCharType="begin"/>
            </w:r>
            <w:r>
              <w:rPr>
                <w:noProof/>
                <w:webHidden/>
              </w:rPr>
              <w:instrText xml:space="preserve"> PAGEREF _Toc138927244 \h </w:instrText>
            </w:r>
            <w:r>
              <w:rPr>
                <w:noProof/>
                <w:webHidden/>
              </w:rPr>
            </w:r>
            <w:r>
              <w:rPr>
                <w:noProof/>
                <w:webHidden/>
              </w:rPr>
              <w:fldChar w:fldCharType="separate"/>
            </w:r>
            <w:r>
              <w:rPr>
                <w:noProof/>
                <w:webHidden/>
              </w:rPr>
              <w:t>13</w:t>
            </w:r>
            <w:r>
              <w:rPr>
                <w:noProof/>
                <w:webHidden/>
              </w:rPr>
              <w:fldChar w:fldCharType="end"/>
            </w:r>
          </w:hyperlink>
        </w:p>
        <w:p w14:paraId="3E60D8EC" w14:textId="30F22AF7" w:rsidR="008E02C3" w:rsidRDefault="008E02C3">
          <w:pPr>
            <w:pStyle w:val="TOC2"/>
            <w:rPr>
              <w:rFonts w:asciiTheme="minorHAnsi" w:eastAsiaTheme="minorEastAsia" w:hAnsiTheme="minorHAnsi"/>
              <w:bCs w:val="0"/>
              <w:noProof/>
              <w:color w:val="auto"/>
              <w:kern w:val="2"/>
              <w:sz w:val="22"/>
              <w:szCs w:val="22"/>
              <w:lang w:eastAsia="en-AU"/>
              <w14:ligatures w14:val="standardContextual"/>
            </w:rPr>
          </w:pPr>
          <w:hyperlink w:anchor="_Toc138927245" w:history="1">
            <w:r w:rsidRPr="00DD6B5F">
              <w:rPr>
                <w:rStyle w:val="Hyperlink"/>
                <w:noProof/>
              </w:rPr>
              <w:t>Proposed assessment</w:t>
            </w:r>
            <w:r>
              <w:rPr>
                <w:noProof/>
                <w:webHidden/>
              </w:rPr>
              <w:tab/>
            </w:r>
            <w:r>
              <w:rPr>
                <w:noProof/>
                <w:webHidden/>
              </w:rPr>
              <w:fldChar w:fldCharType="begin"/>
            </w:r>
            <w:r>
              <w:rPr>
                <w:noProof/>
                <w:webHidden/>
              </w:rPr>
              <w:instrText xml:space="preserve"> PAGEREF _Toc138927245 \h </w:instrText>
            </w:r>
            <w:r>
              <w:rPr>
                <w:noProof/>
                <w:webHidden/>
              </w:rPr>
            </w:r>
            <w:r>
              <w:rPr>
                <w:noProof/>
                <w:webHidden/>
              </w:rPr>
              <w:fldChar w:fldCharType="separate"/>
            </w:r>
            <w:r>
              <w:rPr>
                <w:noProof/>
                <w:webHidden/>
              </w:rPr>
              <w:t>15</w:t>
            </w:r>
            <w:r>
              <w:rPr>
                <w:noProof/>
                <w:webHidden/>
              </w:rPr>
              <w:fldChar w:fldCharType="end"/>
            </w:r>
          </w:hyperlink>
        </w:p>
        <w:p w14:paraId="246EAD2D" w14:textId="54D3173F"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46" w:history="1">
            <w:r w:rsidRPr="00DD6B5F">
              <w:rPr>
                <w:rStyle w:val="Hyperlink"/>
                <w:noProof/>
              </w:rPr>
              <w:t>Differences from the 2020 Review approach</w:t>
            </w:r>
            <w:r>
              <w:rPr>
                <w:noProof/>
                <w:webHidden/>
              </w:rPr>
              <w:tab/>
            </w:r>
            <w:r>
              <w:rPr>
                <w:noProof/>
                <w:webHidden/>
              </w:rPr>
              <w:fldChar w:fldCharType="begin"/>
            </w:r>
            <w:r>
              <w:rPr>
                <w:noProof/>
                <w:webHidden/>
              </w:rPr>
              <w:instrText xml:space="preserve"> PAGEREF _Toc138927246 \h </w:instrText>
            </w:r>
            <w:r>
              <w:rPr>
                <w:noProof/>
                <w:webHidden/>
              </w:rPr>
            </w:r>
            <w:r>
              <w:rPr>
                <w:noProof/>
                <w:webHidden/>
              </w:rPr>
              <w:fldChar w:fldCharType="separate"/>
            </w:r>
            <w:r>
              <w:rPr>
                <w:noProof/>
                <w:webHidden/>
              </w:rPr>
              <w:t>15</w:t>
            </w:r>
            <w:r>
              <w:rPr>
                <w:noProof/>
                <w:webHidden/>
              </w:rPr>
              <w:fldChar w:fldCharType="end"/>
            </w:r>
          </w:hyperlink>
        </w:p>
        <w:p w14:paraId="44F67036" w14:textId="4B6F7485" w:rsidR="008E02C3" w:rsidRDefault="008E02C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927247" w:history="1">
            <w:r w:rsidRPr="00DD6B5F">
              <w:rPr>
                <w:rStyle w:val="Hyperlink"/>
                <w:noProof/>
              </w:rPr>
              <w:t>Proposed assessment structure</w:t>
            </w:r>
            <w:r>
              <w:rPr>
                <w:noProof/>
                <w:webHidden/>
              </w:rPr>
              <w:tab/>
            </w:r>
            <w:r>
              <w:rPr>
                <w:noProof/>
                <w:webHidden/>
              </w:rPr>
              <w:fldChar w:fldCharType="begin"/>
            </w:r>
            <w:r>
              <w:rPr>
                <w:noProof/>
                <w:webHidden/>
              </w:rPr>
              <w:instrText xml:space="preserve"> PAGEREF _Toc138927247 \h </w:instrText>
            </w:r>
            <w:r>
              <w:rPr>
                <w:noProof/>
                <w:webHidden/>
              </w:rPr>
            </w:r>
            <w:r>
              <w:rPr>
                <w:noProof/>
                <w:webHidden/>
              </w:rPr>
              <w:fldChar w:fldCharType="separate"/>
            </w:r>
            <w:r>
              <w:rPr>
                <w:noProof/>
                <w:webHidden/>
              </w:rPr>
              <w:t>15</w:t>
            </w:r>
            <w:r>
              <w:rPr>
                <w:noProof/>
                <w:webHidden/>
              </w:rPr>
              <w:fldChar w:fldCharType="end"/>
            </w:r>
          </w:hyperlink>
        </w:p>
        <w:p w14:paraId="3D3BB1CB" w14:textId="4B365C34" w:rsidR="008E02C3" w:rsidRDefault="008E02C3">
          <w:pPr>
            <w:pStyle w:val="TOC2"/>
            <w:rPr>
              <w:rFonts w:asciiTheme="minorHAnsi" w:eastAsiaTheme="minorEastAsia" w:hAnsiTheme="minorHAnsi"/>
              <w:bCs w:val="0"/>
              <w:noProof/>
              <w:color w:val="auto"/>
              <w:kern w:val="2"/>
              <w:sz w:val="22"/>
              <w:szCs w:val="22"/>
              <w:lang w:eastAsia="en-AU"/>
              <w14:ligatures w14:val="standardContextual"/>
            </w:rPr>
          </w:pPr>
          <w:hyperlink w:anchor="_Toc138927248" w:history="1">
            <w:r w:rsidRPr="00DD6B5F">
              <w:rPr>
                <w:rStyle w:val="Hyperlink"/>
                <w:noProof/>
              </w:rPr>
              <w:t>Consultation</w:t>
            </w:r>
            <w:r>
              <w:rPr>
                <w:noProof/>
                <w:webHidden/>
              </w:rPr>
              <w:tab/>
            </w:r>
            <w:r>
              <w:rPr>
                <w:noProof/>
                <w:webHidden/>
              </w:rPr>
              <w:fldChar w:fldCharType="begin"/>
            </w:r>
            <w:r>
              <w:rPr>
                <w:noProof/>
                <w:webHidden/>
              </w:rPr>
              <w:instrText xml:space="preserve"> PAGEREF _Toc138927248 \h </w:instrText>
            </w:r>
            <w:r>
              <w:rPr>
                <w:noProof/>
                <w:webHidden/>
              </w:rPr>
            </w:r>
            <w:r>
              <w:rPr>
                <w:noProof/>
                <w:webHidden/>
              </w:rPr>
              <w:fldChar w:fldCharType="separate"/>
            </w:r>
            <w:r>
              <w:rPr>
                <w:noProof/>
                <w:webHidden/>
              </w:rPr>
              <w:t>16</w:t>
            </w:r>
            <w:r>
              <w:rPr>
                <w:noProof/>
                <w:webHidden/>
              </w:rPr>
              <w:fldChar w:fldCharType="end"/>
            </w:r>
          </w:hyperlink>
        </w:p>
        <w:p w14:paraId="36207AFC" w14:textId="509BED68" w:rsidR="008E02C3" w:rsidRDefault="008E02C3">
          <w:pPr>
            <w:pStyle w:val="TOC1"/>
            <w:rPr>
              <w:rFonts w:asciiTheme="minorHAnsi" w:eastAsiaTheme="minorEastAsia" w:hAnsiTheme="minorHAnsi"/>
              <w:b w:val="0"/>
              <w:bCs w:val="0"/>
              <w:noProof/>
              <w:color w:val="auto"/>
              <w:kern w:val="2"/>
              <w:sz w:val="22"/>
              <w:szCs w:val="22"/>
              <w:lang w:eastAsia="en-AU"/>
              <w14:ligatures w14:val="standardContextual"/>
            </w:rPr>
          </w:pPr>
          <w:hyperlink w:anchor="_Toc138927249" w:history="1">
            <w:r w:rsidRPr="00DD6B5F">
              <w:rPr>
                <w:rStyle w:val="Hyperlink"/>
                <w:noProof/>
              </w:rPr>
              <w:t>Attachment A: State royalty rates</w:t>
            </w:r>
            <w:r>
              <w:rPr>
                <w:noProof/>
                <w:webHidden/>
              </w:rPr>
              <w:tab/>
            </w:r>
            <w:r>
              <w:rPr>
                <w:noProof/>
                <w:webHidden/>
              </w:rPr>
              <w:fldChar w:fldCharType="begin"/>
            </w:r>
            <w:r>
              <w:rPr>
                <w:noProof/>
                <w:webHidden/>
              </w:rPr>
              <w:instrText xml:space="preserve"> PAGEREF _Toc138927249 \h </w:instrText>
            </w:r>
            <w:r>
              <w:rPr>
                <w:noProof/>
                <w:webHidden/>
              </w:rPr>
            </w:r>
            <w:r>
              <w:rPr>
                <w:noProof/>
                <w:webHidden/>
              </w:rPr>
              <w:fldChar w:fldCharType="separate"/>
            </w:r>
            <w:r>
              <w:rPr>
                <w:noProof/>
                <w:webHidden/>
              </w:rPr>
              <w:t>17</w:t>
            </w:r>
            <w:r>
              <w:rPr>
                <w:noProof/>
                <w:webHidden/>
              </w:rPr>
              <w:fldChar w:fldCharType="end"/>
            </w:r>
          </w:hyperlink>
        </w:p>
        <w:p w14:paraId="0B4C1BD5" w14:textId="171ADEE8" w:rsidR="005B6B61" w:rsidRDefault="005B6B61">
          <w:r>
            <w:rPr>
              <w:b/>
              <w:bCs/>
              <w:noProof/>
            </w:rPr>
            <w:fldChar w:fldCharType="end"/>
          </w:r>
        </w:p>
      </w:sdtContent>
    </w:sdt>
    <w:p w14:paraId="48EF274F" w14:textId="77777777" w:rsidR="003B409D" w:rsidRDefault="003B409D" w:rsidP="00DF1879">
      <w:pPr>
        <w:sectPr w:rsidR="003B409D" w:rsidSect="007E71EC">
          <w:footerReference w:type="default" r:id="rId16"/>
          <w:pgSz w:w="11906" w:h="16838" w:code="9"/>
          <w:pgMar w:top="1440" w:right="1440" w:bottom="1440" w:left="1440" w:header="720" w:footer="720" w:gutter="0"/>
          <w:pgNumType w:start="3"/>
          <w:cols w:space="720"/>
          <w:docGrid w:linePitch="272"/>
        </w:sectPr>
      </w:pPr>
    </w:p>
    <w:p w14:paraId="4B7EF3A3" w14:textId="77777777" w:rsidR="00A5102B" w:rsidRPr="007C4D64" w:rsidRDefault="00C53513" w:rsidP="007C4D64">
      <w:pPr>
        <w:pStyle w:val="Heading2"/>
      </w:pPr>
      <w:bookmarkStart w:id="0" w:name="_Toc133236145"/>
      <w:bookmarkStart w:id="1" w:name="_Toc133236171"/>
      <w:bookmarkStart w:id="2" w:name="_Toc138927235"/>
      <w:r>
        <w:lastRenderedPageBreak/>
        <w:t>Overview of category</w:t>
      </w:r>
      <w:bookmarkEnd w:id="0"/>
      <w:bookmarkEnd w:id="1"/>
      <w:bookmarkEnd w:id="2"/>
    </w:p>
    <w:p w14:paraId="2BF7A801" w14:textId="57285955" w:rsidR="00316835" w:rsidRDefault="00316835" w:rsidP="00316835">
      <w:pPr>
        <w:pStyle w:val="CGC2025ParaNumbers"/>
      </w:pPr>
      <w:bookmarkStart w:id="3" w:name="_Toc116563445"/>
      <w:bookmarkStart w:id="4" w:name="_Toc117241705"/>
      <w:bookmarkStart w:id="5" w:name="_Toc133236146"/>
      <w:bookmarkStart w:id="6" w:name="_Toc133236172"/>
      <w:r>
        <w:t>The Commonwealth and each state and territory (state) share responsibility for imposing mining royalties.</w:t>
      </w:r>
      <w:r w:rsidRPr="006E03BF">
        <w:t xml:space="preserve"> </w:t>
      </w:r>
      <w:r w:rsidRPr="00327515">
        <w:t xml:space="preserve">States are responsible for imposing </w:t>
      </w:r>
      <w:r>
        <w:t xml:space="preserve">mining </w:t>
      </w:r>
      <w:r w:rsidRPr="00327515">
        <w:t>royalties onshore and within state coastal waters</w:t>
      </w:r>
      <w:r>
        <w:t>.</w:t>
      </w:r>
      <w:r>
        <w:rPr>
          <w:rStyle w:val="FootnoteReference"/>
        </w:rPr>
        <w:footnoteReference w:id="2"/>
      </w:r>
      <w:r w:rsidRPr="00327515">
        <w:t xml:space="preserve"> The Commonwealth is responsible for imposing </w:t>
      </w:r>
      <w:r>
        <w:t xml:space="preserve">mining </w:t>
      </w:r>
      <w:r w:rsidRPr="00327515">
        <w:t>royalties in Commonwealth waters</w:t>
      </w:r>
      <w:r>
        <w:t>.</w:t>
      </w:r>
    </w:p>
    <w:p w14:paraId="56F4FFF6" w14:textId="470232CF" w:rsidR="00316835" w:rsidRDefault="00316835" w:rsidP="00316835">
      <w:pPr>
        <w:pStyle w:val="CGC2025ParaNumbers"/>
      </w:pPr>
      <w:r>
        <w:t>The Commonwealth and states also share royalties. The Commonwealth shares royalties with states under revenue sharing arrangements. Western Australia receives 2 </w:t>
      </w:r>
      <w:r w:rsidR="00280A55">
        <w:t>payments,</w:t>
      </w:r>
      <w:r>
        <w:t xml:space="preserve"> and the Northern Territory </w:t>
      </w:r>
      <w:r w:rsidR="00137137">
        <w:t>receives</w:t>
      </w:r>
      <w:r>
        <w:t xml:space="preserve"> </w:t>
      </w:r>
      <w:r w:rsidR="003C7B99">
        <w:t>1</w:t>
      </w:r>
      <w:r>
        <w:t>.</w:t>
      </w:r>
      <w:r>
        <w:rPr>
          <w:rStyle w:val="FootnoteReference"/>
        </w:rPr>
        <w:footnoteReference w:id="3"/>
      </w:r>
      <w:r>
        <w:t xml:space="preserve"> In the assessment, these shared revenues are referred to as ‘grants in lieu of </w:t>
      </w:r>
      <w:proofErr w:type="gramStart"/>
      <w:r>
        <w:t>royalties’</w:t>
      </w:r>
      <w:proofErr w:type="gramEnd"/>
      <w:r>
        <w:t xml:space="preserve">. Western Australia also shares </w:t>
      </w:r>
      <w:r w:rsidRPr="00CE69D7">
        <w:rPr>
          <w:i/>
          <w:iCs/>
        </w:rPr>
        <w:t>Petroleum</w:t>
      </w:r>
      <w:r>
        <w:rPr>
          <w:i/>
          <w:iCs/>
        </w:rPr>
        <w:t> </w:t>
      </w:r>
      <w:r w:rsidRPr="00CE69D7">
        <w:rPr>
          <w:i/>
          <w:iCs/>
        </w:rPr>
        <w:t>(Submerged Lands) Act</w:t>
      </w:r>
      <w:r>
        <w:t xml:space="preserve"> (PSLA) royalties and Barrow Island petroleum resource rent royalties with the Commonwealth. The Commission treats the Commonwealth’s shar</w:t>
      </w:r>
      <w:r w:rsidR="0009232F">
        <w:t xml:space="preserve"> </w:t>
      </w:r>
      <w:r>
        <w:t>e of these revenues as Commonwealth royalties.</w:t>
      </w:r>
    </w:p>
    <w:p w14:paraId="100C52CB" w14:textId="77777777" w:rsidR="00316835" w:rsidRDefault="00316835" w:rsidP="00316835">
      <w:pPr>
        <w:pStyle w:val="CGC2025ParaNumbers"/>
      </w:pPr>
      <w:r w:rsidRPr="001467AA">
        <w:t xml:space="preserve">The </w:t>
      </w:r>
      <w:r>
        <w:t>mining revenue</w:t>
      </w:r>
      <w:r w:rsidRPr="001467AA">
        <w:t xml:space="preserve"> category </w:t>
      </w:r>
      <w:r>
        <w:t>compris</w:t>
      </w:r>
      <w:r w:rsidRPr="001467AA">
        <w:t xml:space="preserve">es </w:t>
      </w:r>
      <w:r>
        <w:t xml:space="preserve">state </w:t>
      </w:r>
      <w:r w:rsidRPr="001467AA">
        <w:t>royalties</w:t>
      </w:r>
      <w:r>
        <w:t xml:space="preserve"> and grants in lieu of royalties</w:t>
      </w:r>
      <w:r w:rsidRPr="001467AA">
        <w:t>.</w:t>
      </w:r>
      <w:r>
        <w:t xml:space="preserve"> </w:t>
      </w:r>
    </w:p>
    <w:p w14:paraId="533B9DCB" w14:textId="77777777" w:rsidR="001D33AD" w:rsidRPr="001D33AD" w:rsidRDefault="001D33AD" w:rsidP="0093066B">
      <w:pPr>
        <w:pStyle w:val="Heading2"/>
      </w:pPr>
      <w:bookmarkStart w:id="7" w:name="_Toc138927236"/>
      <w:bookmarkEnd w:id="3"/>
      <w:bookmarkEnd w:id="4"/>
      <w:r>
        <w:t xml:space="preserve">Current </w:t>
      </w:r>
      <w:r w:rsidR="0093066B">
        <w:t>assessment method – 2020 Review</w:t>
      </w:r>
      <w:bookmarkEnd w:id="5"/>
      <w:bookmarkEnd w:id="6"/>
      <w:bookmarkEnd w:id="7"/>
    </w:p>
    <w:p w14:paraId="5F316790" w14:textId="6EE9D26E" w:rsidR="003A0465" w:rsidRDefault="003A0465" w:rsidP="003A0465">
      <w:pPr>
        <w:pStyle w:val="CGC2025ParaNumbers"/>
      </w:pPr>
      <w:bookmarkStart w:id="8" w:name="_Toc133236147"/>
      <w:bookmarkStart w:id="9" w:name="_Toc133236173"/>
      <w:r>
        <w:t xml:space="preserve">The Commission assesses state mining capacity using a ‘mineral by mineral’ approach. </w:t>
      </w:r>
      <w:r w:rsidR="00D15ABC">
        <w:t>Under this approach, a mineral is separately assessed if doing so materially affects a state’s GST outcome.</w:t>
      </w:r>
      <w:r w:rsidR="007E5655">
        <w:rPr>
          <w:rStyle w:val="FootnoteReference"/>
        </w:rPr>
        <w:footnoteReference w:id="4"/>
      </w:r>
      <w:r w:rsidR="00D15ABC">
        <w:t xml:space="preserve"> </w:t>
      </w:r>
      <w:r>
        <w:t>The minerals that are separately</w:t>
      </w:r>
      <w:r w:rsidR="00177D10">
        <w:t xml:space="preserve"> </w:t>
      </w:r>
      <w:r>
        <w:t>assessed are:</w:t>
      </w:r>
    </w:p>
    <w:p w14:paraId="055EFA0D" w14:textId="77777777" w:rsidR="003A0465" w:rsidRPr="00B35E14" w:rsidRDefault="003A0465" w:rsidP="00B35E14">
      <w:pPr>
        <w:pStyle w:val="CGC2025Bullet1"/>
      </w:pPr>
      <w:r w:rsidRPr="00B35E14">
        <w:t>iron ore</w:t>
      </w:r>
    </w:p>
    <w:p w14:paraId="27AB6611" w14:textId="77777777" w:rsidR="003A0465" w:rsidRPr="00B35E14" w:rsidRDefault="003A0465" w:rsidP="00B35E14">
      <w:pPr>
        <w:pStyle w:val="CGC2025Bullet1"/>
      </w:pPr>
      <w:r w:rsidRPr="00B35E14">
        <w:t>coal</w:t>
      </w:r>
    </w:p>
    <w:p w14:paraId="75776D7E" w14:textId="77777777" w:rsidR="003A0465" w:rsidRPr="00B35E14" w:rsidRDefault="003A0465" w:rsidP="00B35E14">
      <w:pPr>
        <w:pStyle w:val="CGC2025Bullet1"/>
      </w:pPr>
      <w:r w:rsidRPr="00B35E14">
        <w:t>onshore oil and gas</w:t>
      </w:r>
    </w:p>
    <w:p w14:paraId="01B07A61" w14:textId="77777777" w:rsidR="003A0465" w:rsidRPr="00B35E14" w:rsidRDefault="003A0465" w:rsidP="00B35E14">
      <w:pPr>
        <w:pStyle w:val="CGC2025Bullet1"/>
      </w:pPr>
      <w:r w:rsidRPr="00B35E14">
        <w:t>bauxite</w:t>
      </w:r>
    </w:p>
    <w:p w14:paraId="6A539B99" w14:textId="77777777" w:rsidR="003A0465" w:rsidRPr="00B35E14" w:rsidRDefault="003A0465" w:rsidP="00B35E14">
      <w:pPr>
        <w:pStyle w:val="CGC2025Bullet1"/>
      </w:pPr>
      <w:r w:rsidRPr="00B35E14">
        <w:t>copper</w:t>
      </w:r>
    </w:p>
    <w:p w14:paraId="24853DEA" w14:textId="0A952F24" w:rsidR="003A0465" w:rsidRPr="00B35E14" w:rsidRDefault="003A0465" w:rsidP="00B35E14">
      <w:pPr>
        <w:pStyle w:val="CGC2025Bullet1"/>
      </w:pPr>
      <w:r w:rsidRPr="00B35E14">
        <w:t>gold</w:t>
      </w:r>
    </w:p>
    <w:p w14:paraId="26A4F1C2" w14:textId="6994AEC0" w:rsidR="003A0465" w:rsidRDefault="003A0465" w:rsidP="00B35E14">
      <w:pPr>
        <w:pStyle w:val="CGC2025Bullet1"/>
      </w:pPr>
      <w:r w:rsidRPr="00B35E14">
        <w:t>lithium.</w:t>
      </w:r>
      <w:r w:rsidR="00177D10">
        <w:rPr>
          <w:rStyle w:val="FootnoteReference"/>
        </w:rPr>
        <w:footnoteReference w:id="5"/>
      </w:r>
    </w:p>
    <w:p w14:paraId="668C8E73" w14:textId="77777777" w:rsidR="00160D58" w:rsidRDefault="00160D58" w:rsidP="00160D58">
      <w:pPr>
        <w:pStyle w:val="CGC2025Bullet1"/>
        <w:numPr>
          <w:ilvl w:val="0"/>
          <w:numId w:val="0"/>
        </w:numPr>
        <w:ind w:left="567"/>
      </w:pPr>
    </w:p>
    <w:p w14:paraId="0B6A0CCF" w14:textId="77777777" w:rsidR="001D2C52" w:rsidRDefault="001D2C52" w:rsidP="00160D58">
      <w:pPr>
        <w:pStyle w:val="CGC2025Bullet1"/>
        <w:numPr>
          <w:ilvl w:val="0"/>
          <w:numId w:val="0"/>
        </w:numPr>
        <w:ind w:left="567"/>
      </w:pPr>
    </w:p>
    <w:p w14:paraId="58E1E368" w14:textId="620FCBF8" w:rsidR="001D2C52" w:rsidRDefault="001D2C52" w:rsidP="001D2C52">
      <w:pPr>
        <w:pStyle w:val="CGC2025ParaNumbers"/>
      </w:pPr>
      <w:r>
        <w:lastRenderedPageBreak/>
        <w:t>Royalties for the remaining minerals are combined and assessed together under the other minerals component.</w:t>
      </w:r>
    </w:p>
    <w:p w14:paraId="6CDDFF7E" w14:textId="77777777" w:rsidR="001D2C52" w:rsidRPr="00767EC8" w:rsidRDefault="001D2C52" w:rsidP="001D2C52">
      <w:pPr>
        <w:pStyle w:val="CGC2025ParaNumbers"/>
      </w:pPr>
      <w:r>
        <w:t>For each component:</w:t>
      </w:r>
    </w:p>
    <w:p w14:paraId="1B9F8880" w14:textId="11BB31AD" w:rsidR="001D2C52" w:rsidRDefault="00911A76" w:rsidP="001D2C52">
      <w:pPr>
        <w:pStyle w:val="CGC2025Bullet1"/>
      </w:pPr>
      <w:r>
        <w:t>A</w:t>
      </w:r>
      <w:r w:rsidR="001D2C52">
        <w:t xml:space="preserve">ssessed revenue is derived by applying an average royalty rate to each state’s value of </w:t>
      </w:r>
      <w:r>
        <w:t>production.</w:t>
      </w:r>
    </w:p>
    <w:p w14:paraId="52445690" w14:textId="5F7F4237" w:rsidR="001D2C52" w:rsidRDefault="00911A76" w:rsidP="001D2C52">
      <w:pPr>
        <w:pStyle w:val="CGC2025Bullet1"/>
      </w:pPr>
      <w:r>
        <w:t>T</w:t>
      </w:r>
      <w:r w:rsidR="001D2C52">
        <w:t>he average royalty rate is determined by dividing the revenue raised by all states by the total of their value of production.</w:t>
      </w:r>
    </w:p>
    <w:p w14:paraId="22B9B7C4" w14:textId="77777777" w:rsidR="001D2C52" w:rsidRDefault="001D2C52" w:rsidP="001D2C52">
      <w:pPr>
        <w:pStyle w:val="CGC2025ParaNumbers"/>
      </w:pPr>
      <w:r>
        <w:t>Grants in lieu of royalties are assessed using the revenue received. This is the same approach used to assess other Commonwealth payments.</w:t>
      </w:r>
    </w:p>
    <w:p w14:paraId="5E9DEC2D" w14:textId="77777777" w:rsidR="00DE0E2E" w:rsidRDefault="001D2C52" w:rsidP="00DE0E2E">
      <w:pPr>
        <w:pStyle w:val="CGC2025ParaNumbers"/>
      </w:pPr>
      <w:r>
        <w:t>In the 2020 Review, t</w:t>
      </w:r>
      <w:r w:rsidRPr="00D0425C">
        <w:t>he Commission</w:t>
      </w:r>
      <w:r>
        <w:t xml:space="preserve"> said its</w:t>
      </w:r>
      <w:r w:rsidRPr="00D0425C">
        <w:t xml:space="preserve"> intention </w:t>
      </w:r>
      <w:r>
        <w:t>wa</w:t>
      </w:r>
      <w:r w:rsidRPr="00D0425C">
        <w:t xml:space="preserve">s to retain </w:t>
      </w:r>
      <w:r>
        <w:t>its</w:t>
      </w:r>
      <w:r w:rsidRPr="00D0425C">
        <w:t xml:space="preserve"> </w:t>
      </w:r>
      <w:r>
        <w:t>m</w:t>
      </w:r>
      <w:r w:rsidRPr="00D0425C">
        <w:t xml:space="preserve">ining revenue structure </w:t>
      </w:r>
      <w:r>
        <w:t>until the following</w:t>
      </w:r>
      <w:r w:rsidRPr="00D0425C">
        <w:t xml:space="preserve"> review</w:t>
      </w:r>
      <w:r>
        <w:t>.</w:t>
      </w:r>
      <w:r w:rsidRPr="00D0425C">
        <w:t xml:space="preserve"> However, if there </w:t>
      </w:r>
      <w:r>
        <w:t>wa</w:t>
      </w:r>
      <w:r w:rsidRPr="00D0425C">
        <w:t>s a major change in circumstances</w:t>
      </w:r>
      <w:r>
        <w:t>,</w:t>
      </w:r>
      <w:r w:rsidRPr="00D0425C">
        <w:t xml:space="preserve"> for example</w:t>
      </w:r>
      <w:r>
        <w:t>,</w:t>
      </w:r>
      <w:r w:rsidRPr="00D0425C">
        <w:t xml:space="preserve"> if one of the </w:t>
      </w:r>
      <w:r>
        <w:t xml:space="preserve">separate </w:t>
      </w:r>
      <w:r w:rsidRPr="00D0425C">
        <w:t>mineral</w:t>
      </w:r>
      <w:r>
        <w:t xml:space="preserve"> assessments</w:t>
      </w:r>
      <w:r w:rsidRPr="00D0425C">
        <w:t xml:space="preserve"> bec</w:t>
      </w:r>
      <w:r>
        <w:t>a</w:t>
      </w:r>
      <w:r w:rsidRPr="00D0425C">
        <w:t>me immaterial</w:t>
      </w:r>
      <w:r>
        <w:t xml:space="preserve"> or a separate assessment of </w:t>
      </w:r>
      <w:r w:rsidRPr="00D0425C">
        <w:t>another mineral b</w:t>
      </w:r>
      <w:r>
        <w:t>e</w:t>
      </w:r>
      <w:r w:rsidRPr="00D0425C">
        <w:t>c</w:t>
      </w:r>
      <w:r>
        <w:t>a</w:t>
      </w:r>
      <w:r w:rsidRPr="00D0425C">
        <w:t>me material</w:t>
      </w:r>
      <w:r>
        <w:t>,</w:t>
      </w:r>
      <w:r w:rsidRPr="00D0425C">
        <w:t xml:space="preserve"> </w:t>
      </w:r>
      <w:r>
        <w:t>it</w:t>
      </w:r>
      <w:r w:rsidRPr="00D0425C">
        <w:t xml:space="preserve"> would</w:t>
      </w:r>
      <w:r w:rsidR="003F1644">
        <w:t xml:space="preserve"> </w:t>
      </w:r>
      <w:r w:rsidR="00DE0E2E" w:rsidRPr="00D0425C">
        <w:t xml:space="preserve">exercise its judgment on whether equalisation would be improved by changing the structure of the </w:t>
      </w:r>
      <w:r w:rsidR="00DE0E2E">
        <w:t xml:space="preserve">mining </w:t>
      </w:r>
      <w:r w:rsidR="00DE0E2E" w:rsidRPr="00D0425C">
        <w:t>assessment.</w:t>
      </w:r>
    </w:p>
    <w:p w14:paraId="0BC25F31" w14:textId="77777777" w:rsidR="009C363E" w:rsidRDefault="000324EF" w:rsidP="000324EF">
      <w:pPr>
        <w:pStyle w:val="CGC2025ParaNumbers"/>
      </w:pPr>
      <w:r>
        <w:t>In the 2020 Review, the Commission determined a</w:t>
      </w:r>
      <w:r w:rsidRPr="00D0425C">
        <w:t xml:space="preserve"> separate assessment of nickel royalties </w:t>
      </w:r>
      <w:r>
        <w:t>wa</w:t>
      </w:r>
      <w:r w:rsidRPr="00D0425C">
        <w:t>s</w:t>
      </w:r>
      <w:r>
        <w:t xml:space="preserve"> </w:t>
      </w:r>
      <w:r w:rsidRPr="00D0425C">
        <w:t xml:space="preserve">no longer material and </w:t>
      </w:r>
      <w:r>
        <w:t>was un</w:t>
      </w:r>
      <w:r w:rsidRPr="00D0425C">
        <w:t>likely to be</w:t>
      </w:r>
      <w:r>
        <w:t>come</w:t>
      </w:r>
      <w:r w:rsidRPr="00D0425C">
        <w:t xml:space="preserve"> </w:t>
      </w:r>
      <w:r>
        <w:t xml:space="preserve">material </w:t>
      </w:r>
      <w:r w:rsidRPr="00D0425C">
        <w:t>in the foreseeable future</w:t>
      </w:r>
      <w:r>
        <w:t xml:space="preserve">. It discontinued the separate assessment of </w:t>
      </w:r>
      <w:r w:rsidRPr="00D0425C">
        <w:t xml:space="preserve">nickel royalties </w:t>
      </w:r>
      <w:r>
        <w:t>and assessed them in</w:t>
      </w:r>
      <w:r w:rsidRPr="00D0425C">
        <w:t xml:space="preserve"> the other minerals component</w:t>
      </w:r>
      <w:r>
        <w:t xml:space="preserve">. </w:t>
      </w:r>
    </w:p>
    <w:p w14:paraId="5B1BDB18" w14:textId="2C9FDBDC" w:rsidR="000324EF" w:rsidRDefault="000324EF" w:rsidP="000324EF">
      <w:pPr>
        <w:pStyle w:val="CGC2025ParaNumbers"/>
      </w:pPr>
      <w:r>
        <w:t>In the 2023 Update, the Commission determined a separate assessment of lithium royalties was material and was likely to remain material for the foreseeable future. It introduced a separate assessment of lithium royalties.</w:t>
      </w:r>
    </w:p>
    <w:p w14:paraId="56B0FB6A" w14:textId="77777777" w:rsidR="000324EF" w:rsidRPr="00505A01" w:rsidRDefault="000324EF" w:rsidP="000324EF">
      <w:pPr>
        <w:pStyle w:val="CGC2025ParaNumbers"/>
      </w:pPr>
      <w:r>
        <w:t>T</w:t>
      </w:r>
      <w:r w:rsidRPr="00D0425C">
        <w:t>he</w:t>
      </w:r>
      <w:r w:rsidRPr="00505A01">
        <w:t xml:space="preserve"> Commission</w:t>
      </w:r>
      <w:r>
        <w:t xml:space="preserve"> said in the 2020 Review that it</w:t>
      </w:r>
      <w:r w:rsidRPr="00505A01">
        <w:t xml:space="preserve"> consider</w:t>
      </w:r>
      <w:r>
        <w:t>ed</w:t>
      </w:r>
      <w:r w:rsidRPr="00505A01">
        <w:t xml:space="preserve"> </w:t>
      </w:r>
      <w:r>
        <w:t xml:space="preserve">the </w:t>
      </w:r>
      <w:proofErr w:type="gramStart"/>
      <w:r>
        <w:t>mineral by mineral</w:t>
      </w:r>
      <w:proofErr w:type="gramEnd"/>
      <w:r w:rsidRPr="00505A01">
        <w:t xml:space="preserve"> approach best capture</w:t>
      </w:r>
      <w:r>
        <w:t>d states</w:t>
      </w:r>
      <w:r w:rsidRPr="00505A01">
        <w:t xml:space="preserve">’ capacity to raise </w:t>
      </w:r>
      <w:r>
        <w:t>mining revenue</w:t>
      </w:r>
      <w:r w:rsidRPr="00505A01">
        <w:t xml:space="preserve"> because it</w:t>
      </w:r>
      <w:r>
        <w:t xml:space="preserve"> reflected</w:t>
      </w:r>
      <w:r w:rsidRPr="00505A01">
        <w:t>:</w:t>
      </w:r>
    </w:p>
    <w:p w14:paraId="5EA9E739" w14:textId="77777777" w:rsidR="000324EF" w:rsidRDefault="000324EF" w:rsidP="000324EF">
      <w:pPr>
        <w:pStyle w:val="CGC2025Bullet1"/>
      </w:pPr>
      <w:r>
        <w:t>the uneven distribution of minerals across states</w:t>
      </w:r>
    </w:p>
    <w:p w14:paraId="37186E1E" w14:textId="77777777" w:rsidR="000324EF" w:rsidRPr="00840581" w:rsidRDefault="000324EF" w:rsidP="000324EF">
      <w:pPr>
        <w:pStyle w:val="CGC2025Bullet1"/>
      </w:pPr>
      <w:r>
        <w:t>the different royalty rates that apply to different minerals (see Attachment A)</w:t>
      </w:r>
    </w:p>
    <w:p w14:paraId="3F454AC4" w14:textId="77777777" w:rsidR="000324EF" w:rsidRPr="00840581" w:rsidRDefault="000324EF" w:rsidP="000324EF">
      <w:pPr>
        <w:pStyle w:val="CGC2025Bullet1"/>
      </w:pPr>
      <w:r>
        <w:t>the volatility of commodity prices</w:t>
      </w:r>
      <w:r w:rsidRPr="00505A01">
        <w:t>.</w:t>
      </w:r>
    </w:p>
    <w:p w14:paraId="3182C9EC" w14:textId="150D0C9A" w:rsidR="007A0F3F" w:rsidRDefault="00D71528" w:rsidP="00E3102A">
      <w:pPr>
        <w:pStyle w:val="Heading3"/>
      </w:pPr>
      <w:bookmarkStart w:id="10" w:name="_Toc138927237"/>
      <w:r>
        <w:t xml:space="preserve">Data used in the </w:t>
      </w:r>
      <w:proofErr w:type="gramStart"/>
      <w:r>
        <w:t>assessment</w:t>
      </w:r>
      <w:bookmarkEnd w:id="8"/>
      <w:bookmarkEnd w:id="9"/>
      <w:bookmarkEnd w:id="10"/>
      <w:proofErr w:type="gramEnd"/>
    </w:p>
    <w:p w14:paraId="3E119A7C" w14:textId="77777777" w:rsidR="007822BA" w:rsidRDefault="007822BA" w:rsidP="007822BA">
      <w:pPr>
        <w:pStyle w:val="CGC2025ParaNumbers"/>
      </w:pPr>
      <w:r>
        <w:t xml:space="preserve">The Commission’s capacity measure for royalties is value of production. </w:t>
      </w:r>
      <w:r w:rsidRPr="0035039C">
        <w:t xml:space="preserve">While </w:t>
      </w:r>
      <w:proofErr w:type="gramStart"/>
      <w:r w:rsidRPr="0035039C">
        <w:t>the majority of</w:t>
      </w:r>
      <w:proofErr w:type="gramEnd"/>
      <w:r w:rsidRPr="0035039C">
        <w:t xml:space="preserve"> royalties are levied on </w:t>
      </w:r>
      <w:r>
        <w:t>a</w:t>
      </w:r>
      <w:r w:rsidRPr="0035039C">
        <w:t xml:space="preserve"> value of production</w:t>
      </w:r>
      <w:r>
        <w:t xml:space="preserve"> basis</w:t>
      </w:r>
      <w:r w:rsidRPr="0035039C">
        <w:t>, the point at which production is valued for royalty purposes can vary. For the</w:t>
      </w:r>
      <w:r w:rsidRPr="0035039C" w:rsidDel="00F21EB1">
        <w:t xml:space="preserve"> </w:t>
      </w:r>
      <w:r>
        <w:t>2</w:t>
      </w:r>
      <w:r w:rsidRPr="0035039C">
        <w:t xml:space="preserve"> major minerals (coal and iron ore), royalties are generally calculated on ‘free on board’ or sale values. To ensure value of production figures are comparable, </w:t>
      </w:r>
      <w:r>
        <w:t>the Commission</w:t>
      </w:r>
      <w:r w:rsidRPr="0035039C">
        <w:t xml:space="preserve"> ask</w:t>
      </w:r>
      <w:r>
        <w:t>s</w:t>
      </w:r>
      <w:r w:rsidRPr="0035039C">
        <w:t xml:space="preserve"> </w:t>
      </w:r>
      <w:r>
        <w:t>s</w:t>
      </w:r>
      <w:r w:rsidRPr="0035039C">
        <w:t xml:space="preserve">tates to provide </w:t>
      </w:r>
      <w:r>
        <w:t>it</w:t>
      </w:r>
      <w:r w:rsidRPr="0035039C">
        <w:t xml:space="preserve"> with </w:t>
      </w:r>
      <w:r>
        <w:t xml:space="preserve">free </w:t>
      </w:r>
      <w:proofErr w:type="gramStart"/>
      <w:r>
        <w:t>on board</w:t>
      </w:r>
      <w:proofErr w:type="gramEnd"/>
      <w:r>
        <w:t xml:space="preserve"> </w:t>
      </w:r>
      <w:r w:rsidRPr="0035039C">
        <w:t>values for all minerals</w:t>
      </w:r>
      <w:r>
        <w:t>.</w:t>
      </w:r>
    </w:p>
    <w:p w14:paraId="5604FE23" w14:textId="64241A7F" w:rsidR="009D4A65" w:rsidRPr="009D4A65" w:rsidRDefault="007822BA">
      <w:pPr>
        <w:pStyle w:val="CGC2025ParaNumbers"/>
      </w:pPr>
      <w:r>
        <w:t xml:space="preserve">The </w:t>
      </w:r>
      <w:r w:rsidRPr="002C5F89">
        <w:t>Commission</w:t>
      </w:r>
      <w:r>
        <w:t xml:space="preserve"> obtains revenue</w:t>
      </w:r>
      <w:r w:rsidRPr="002C5F89">
        <w:t xml:space="preserve"> data </w:t>
      </w:r>
      <w:r>
        <w:t>from the Australian Bureau of Statistics’</w:t>
      </w:r>
      <w:r w:rsidRPr="002C5F89">
        <w:t xml:space="preserve"> G</w:t>
      </w:r>
      <w:r>
        <w:t xml:space="preserve">overnment </w:t>
      </w:r>
      <w:r w:rsidRPr="002C5F89">
        <w:t>F</w:t>
      </w:r>
      <w:r>
        <w:t xml:space="preserve">inance </w:t>
      </w:r>
      <w:r w:rsidRPr="002C5F89">
        <w:t>S</w:t>
      </w:r>
      <w:r>
        <w:t>tatistics publication</w:t>
      </w:r>
      <w:r w:rsidRPr="002C5F89">
        <w:t xml:space="preserve"> and (for the latest year) </w:t>
      </w:r>
      <w:r>
        <w:t xml:space="preserve">the </w:t>
      </w:r>
      <w:r w:rsidRPr="002C5F89">
        <w:t xml:space="preserve">states. </w:t>
      </w:r>
      <w:r>
        <w:t>It also sources</w:t>
      </w:r>
      <w:r w:rsidRPr="002C5F89">
        <w:t xml:space="preserve"> data from </w:t>
      </w:r>
      <w:r>
        <w:t>s</w:t>
      </w:r>
      <w:r w:rsidRPr="002C5F89">
        <w:t xml:space="preserve">tates on royalties raised and value of production by mineral. </w:t>
      </w:r>
      <w:r>
        <w:t>It</w:t>
      </w:r>
      <w:r w:rsidRPr="002C5F89">
        <w:t xml:space="preserve"> use</w:t>
      </w:r>
      <w:r>
        <w:t>s</w:t>
      </w:r>
      <w:r w:rsidRPr="002C5F89">
        <w:t xml:space="preserve"> </w:t>
      </w:r>
      <w:r>
        <w:t>state</w:t>
      </w:r>
      <w:r w:rsidRPr="002C5F89">
        <w:t xml:space="preserve"> revenue data to allocate G</w:t>
      </w:r>
      <w:r>
        <w:t xml:space="preserve">overnment </w:t>
      </w:r>
      <w:r w:rsidRPr="002C5F89">
        <w:t>F</w:t>
      </w:r>
      <w:r>
        <w:t xml:space="preserve">inance </w:t>
      </w:r>
      <w:r w:rsidRPr="002C5F89">
        <w:t>S</w:t>
      </w:r>
      <w:r>
        <w:t>tatistics</w:t>
      </w:r>
      <w:r w:rsidRPr="002C5F89">
        <w:t xml:space="preserve"> </w:t>
      </w:r>
      <w:r>
        <w:t>mining</w:t>
      </w:r>
      <w:r w:rsidRPr="002C5F89">
        <w:t xml:space="preserve"> revenue to </w:t>
      </w:r>
      <w:r>
        <w:lastRenderedPageBreak/>
        <w:t>its</w:t>
      </w:r>
      <w:r w:rsidRPr="002C5F89">
        <w:t xml:space="preserve"> </w:t>
      </w:r>
      <w:r>
        <w:t xml:space="preserve">9 </w:t>
      </w:r>
      <w:r w:rsidRPr="002C5F89">
        <w:t>components</w:t>
      </w:r>
      <w:r>
        <w:t xml:space="preserve">. It obtains data on grants in lieu of royalties from the Commonwealth’s </w:t>
      </w:r>
      <w:r w:rsidRPr="00E33F00">
        <w:rPr>
          <w:i/>
          <w:iCs/>
        </w:rPr>
        <w:t>Final Budget Outcome</w:t>
      </w:r>
      <w:r>
        <w:t xml:space="preserve"> publication.</w:t>
      </w:r>
    </w:p>
    <w:p w14:paraId="0741F7F6" w14:textId="4A63FB31" w:rsidR="00361D06" w:rsidRDefault="00361D06" w:rsidP="00554A84">
      <w:pPr>
        <w:pStyle w:val="Heading3"/>
      </w:pPr>
      <w:bookmarkStart w:id="11" w:name="_Toc132729100"/>
      <w:bookmarkStart w:id="12" w:name="_Toc133236148"/>
      <w:bookmarkStart w:id="13" w:name="_Toc133236174"/>
      <w:bookmarkStart w:id="14" w:name="_Toc138927238"/>
      <w:r w:rsidRPr="00927945">
        <w:t xml:space="preserve">Category and component </w:t>
      </w:r>
      <w:bookmarkEnd w:id="11"/>
      <w:bookmarkEnd w:id="12"/>
      <w:bookmarkEnd w:id="13"/>
      <w:r w:rsidR="0078727E">
        <w:t>revenue</w:t>
      </w:r>
      <w:bookmarkEnd w:id="14"/>
    </w:p>
    <w:p w14:paraId="68D53E55" w14:textId="2BC2E81F" w:rsidR="0030232D" w:rsidRDefault="00D8655C" w:rsidP="000C4BF8">
      <w:pPr>
        <w:pStyle w:val="CGC2025ParaNumbers"/>
      </w:pPr>
      <w:r w:rsidRPr="00AE23DB">
        <w:t>States raised $</w:t>
      </w:r>
      <w:r>
        <w:t>25</w:t>
      </w:r>
      <w:r w:rsidRPr="00AE23DB">
        <w:t>.</w:t>
      </w:r>
      <w:r>
        <w:t xml:space="preserve">8 </w:t>
      </w:r>
      <w:r w:rsidRPr="00AE23DB">
        <w:t>billion in mining revenue in 20</w:t>
      </w:r>
      <w:r>
        <w:t>21</w:t>
      </w:r>
      <w:r w:rsidR="006B68F6">
        <w:t>–</w:t>
      </w:r>
      <w:r>
        <w:t>22</w:t>
      </w:r>
      <w:r w:rsidRPr="00AE23DB">
        <w:t xml:space="preserve">, representing </w:t>
      </w:r>
      <w:r>
        <w:t>15</w:t>
      </w:r>
      <w:r w:rsidRPr="00AE23DB">
        <w:t>.</w:t>
      </w:r>
      <w:r>
        <w:t>6</w:t>
      </w:r>
      <w:r w:rsidRPr="00AE23DB">
        <w:t>% of total own-source</w:t>
      </w:r>
      <w:r>
        <w:t xml:space="preserve"> </w:t>
      </w:r>
      <w:r w:rsidRPr="00AE23DB">
        <w:t>revenue (</w:t>
      </w:r>
      <w:r w:rsidR="002A00F9">
        <w:fldChar w:fldCharType="begin"/>
      </w:r>
      <w:r w:rsidR="002A00F9">
        <w:instrText xml:space="preserve"> REF _Ref136425757 \h </w:instrText>
      </w:r>
      <w:r w:rsidR="002A00F9">
        <w:fldChar w:fldCharType="separate"/>
      </w:r>
      <w:r w:rsidR="00A90833" w:rsidRPr="00F2332F">
        <w:t>Table</w:t>
      </w:r>
      <w:r w:rsidR="00A90833">
        <w:t> </w:t>
      </w:r>
      <w:r w:rsidR="00A90833">
        <w:rPr>
          <w:noProof/>
        </w:rPr>
        <w:t>1</w:t>
      </w:r>
      <w:r w:rsidR="002A00F9">
        <w:fldChar w:fldCharType="end"/>
      </w:r>
      <w:r w:rsidRPr="00AE23DB">
        <w:t xml:space="preserve">). </w:t>
      </w:r>
      <w:r w:rsidR="0030232D">
        <w:t>M</w:t>
      </w:r>
      <w:r w:rsidR="0030232D" w:rsidRPr="00AE23DB">
        <w:t xml:space="preserve">ining revenue is concentrated in </w:t>
      </w:r>
      <w:r w:rsidR="0030232D">
        <w:t>3</w:t>
      </w:r>
      <w:r w:rsidR="0030232D" w:rsidRPr="00AE23DB">
        <w:t xml:space="preserve"> </w:t>
      </w:r>
      <w:r w:rsidR="0030232D">
        <w:t>s</w:t>
      </w:r>
      <w:r w:rsidR="0030232D" w:rsidRPr="00AE23DB">
        <w:t xml:space="preserve">tates </w:t>
      </w:r>
      <w:r w:rsidR="00E16CE8">
        <w:t>–</w:t>
      </w:r>
      <w:r w:rsidR="0030232D">
        <w:t xml:space="preserve"> </w:t>
      </w:r>
      <w:r w:rsidR="0030232D" w:rsidRPr="00AE23DB">
        <w:t>New</w:t>
      </w:r>
      <w:r w:rsidR="0030232D">
        <w:t> </w:t>
      </w:r>
      <w:r w:rsidR="0030232D" w:rsidRPr="00AE23DB">
        <w:t>South</w:t>
      </w:r>
      <w:r w:rsidR="0030232D">
        <w:t> </w:t>
      </w:r>
      <w:r w:rsidR="0030232D" w:rsidRPr="00AE23DB">
        <w:t>Wales (</w:t>
      </w:r>
      <w:r w:rsidR="0030232D">
        <w:t>14</w:t>
      </w:r>
      <w:r w:rsidR="0030232D" w:rsidRPr="00AE23DB">
        <w:t>%), Queensland (</w:t>
      </w:r>
      <w:r w:rsidR="0030232D">
        <w:t>35</w:t>
      </w:r>
      <w:r w:rsidR="0030232D" w:rsidRPr="00AE23DB">
        <w:t>%) and Western</w:t>
      </w:r>
      <w:r w:rsidR="0030232D">
        <w:t xml:space="preserve"> </w:t>
      </w:r>
      <w:r w:rsidR="0030232D" w:rsidRPr="00AE23DB">
        <w:t>Australia (</w:t>
      </w:r>
      <w:r w:rsidR="0030232D">
        <w:t>47</w:t>
      </w:r>
      <w:r w:rsidR="0030232D" w:rsidRPr="00AE23DB">
        <w:t>%)</w:t>
      </w:r>
      <w:r w:rsidR="0030232D">
        <w:t xml:space="preserve">. This </w:t>
      </w:r>
      <w:r w:rsidR="0030232D" w:rsidRPr="00AE23DB">
        <w:t>reflect</w:t>
      </w:r>
      <w:r w:rsidR="0030232D">
        <w:t>s</w:t>
      </w:r>
      <w:r w:rsidR="0030232D" w:rsidRPr="00AE23DB">
        <w:t xml:space="preserve"> the dominance of </w:t>
      </w:r>
      <w:r w:rsidR="0030232D">
        <w:t xml:space="preserve">iron ore (39%) and </w:t>
      </w:r>
      <w:r w:rsidR="0030232D" w:rsidRPr="00AE23DB">
        <w:t xml:space="preserve">coal </w:t>
      </w:r>
      <w:r w:rsidR="0030232D">
        <w:t>(42%)</w:t>
      </w:r>
      <w:r w:rsidR="0030232D" w:rsidRPr="00AE23DB">
        <w:t xml:space="preserve"> royalties</w:t>
      </w:r>
      <w:r w:rsidR="0030232D">
        <w:t xml:space="preserve"> (see </w:t>
      </w:r>
      <w:r w:rsidR="00C14770">
        <w:fldChar w:fldCharType="begin"/>
      </w:r>
      <w:r w:rsidR="00C14770">
        <w:instrText xml:space="preserve"> REF _Ref136426894 \h </w:instrText>
      </w:r>
      <w:r w:rsidR="00C14770">
        <w:fldChar w:fldCharType="separate"/>
      </w:r>
      <w:r w:rsidR="00A90833" w:rsidRPr="00D52CDF">
        <w:t>Table</w:t>
      </w:r>
      <w:r w:rsidR="00A90833">
        <w:t> </w:t>
      </w:r>
      <w:r w:rsidR="00A90833">
        <w:rPr>
          <w:noProof/>
        </w:rPr>
        <w:t>3</w:t>
      </w:r>
      <w:r w:rsidR="00C14770">
        <w:fldChar w:fldCharType="end"/>
      </w:r>
      <w:r w:rsidR="0030232D">
        <w:t>).</w:t>
      </w:r>
    </w:p>
    <w:p w14:paraId="2507ED1A" w14:textId="5F0513BA" w:rsidR="00F2332F" w:rsidRPr="00F2332F" w:rsidRDefault="00884A43" w:rsidP="00F2332F">
      <w:pPr>
        <w:pStyle w:val="Caption"/>
        <w:rPr>
          <w:rFonts w:ascii="Work Sans" w:hAnsi="Work Sans"/>
        </w:rPr>
      </w:pPr>
      <w:bookmarkStart w:id="15" w:name="_Ref136425757"/>
      <w:r w:rsidRPr="00F2332F">
        <w:rPr>
          <w:rFonts w:ascii="Work Sans" w:hAnsi="Work Sans"/>
        </w:rPr>
        <w:t>Table</w:t>
      </w:r>
      <w:r>
        <w:rPr>
          <w:rFonts w:ascii="Work Sans" w:hAnsi="Work Sans"/>
        </w:rPr>
        <w:t> </w:t>
      </w:r>
      <w:r w:rsidR="00F2332F" w:rsidRPr="00F2332F">
        <w:rPr>
          <w:rFonts w:ascii="Work Sans" w:hAnsi="Work Sans"/>
        </w:rPr>
        <w:fldChar w:fldCharType="begin"/>
      </w:r>
      <w:r w:rsidR="00F2332F" w:rsidRPr="00F2332F">
        <w:rPr>
          <w:rFonts w:ascii="Work Sans" w:hAnsi="Work Sans"/>
        </w:rPr>
        <w:instrText xml:space="preserve"> SEQ Table \* ARABIC </w:instrText>
      </w:r>
      <w:r w:rsidR="00F2332F" w:rsidRPr="00F2332F">
        <w:rPr>
          <w:rFonts w:ascii="Work Sans" w:hAnsi="Work Sans"/>
        </w:rPr>
        <w:fldChar w:fldCharType="separate"/>
      </w:r>
      <w:r w:rsidR="00A90833">
        <w:rPr>
          <w:rFonts w:ascii="Work Sans" w:hAnsi="Work Sans"/>
          <w:noProof/>
        </w:rPr>
        <w:t>1</w:t>
      </w:r>
      <w:r w:rsidR="00F2332F" w:rsidRPr="00F2332F">
        <w:rPr>
          <w:rFonts w:ascii="Work Sans" w:hAnsi="Work Sans"/>
        </w:rPr>
        <w:fldChar w:fldCharType="end"/>
      </w:r>
      <w:bookmarkEnd w:id="15"/>
      <w:r w:rsidR="009F6FB1">
        <w:rPr>
          <w:rFonts w:ascii="Work Sans" w:hAnsi="Work Sans"/>
        </w:rPr>
        <w:tab/>
      </w:r>
      <w:r w:rsidR="00F2332F" w:rsidRPr="00F2332F">
        <w:rPr>
          <w:rFonts w:ascii="Work Sans" w:hAnsi="Work Sans"/>
        </w:rPr>
        <w:t>Mining revenue by state, 2021</w:t>
      </w:r>
      <w:r w:rsidR="00D20B2D">
        <w:rPr>
          <w:rFonts w:ascii="Work Sans" w:hAnsi="Work Sans"/>
        </w:rPr>
        <w:t>–</w:t>
      </w:r>
      <w:r w:rsidR="00F2332F" w:rsidRPr="00F2332F">
        <w:rPr>
          <w:rFonts w:ascii="Work Sans" w:hAnsi="Work Sans"/>
        </w:rPr>
        <w:t>22</w:t>
      </w:r>
    </w:p>
    <w:tbl>
      <w:tblPr>
        <w:tblW w:w="9500" w:type="dxa"/>
        <w:tblLook w:val="04A0" w:firstRow="1" w:lastRow="0" w:firstColumn="1" w:lastColumn="0" w:noHBand="0" w:noVBand="1"/>
      </w:tblPr>
      <w:tblGrid>
        <w:gridCol w:w="2300"/>
        <w:gridCol w:w="800"/>
        <w:gridCol w:w="800"/>
        <w:gridCol w:w="800"/>
        <w:gridCol w:w="800"/>
        <w:gridCol w:w="800"/>
        <w:gridCol w:w="800"/>
        <w:gridCol w:w="800"/>
        <w:gridCol w:w="800"/>
        <w:gridCol w:w="800"/>
      </w:tblGrid>
      <w:tr w:rsidR="00180755" w:rsidRPr="00180755" w14:paraId="3F3500DC" w14:textId="77777777" w:rsidTr="00180755">
        <w:trPr>
          <w:trHeight w:val="375"/>
        </w:trPr>
        <w:tc>
          <w:tcPr>
            <w:tcW w:w="2300" w:type="dxa"/>
            <w:tcBorders>
              <w:top w:val="single" w:sz="4" w:space="0" w:color="auto"/>
              <w:left w:val="nil"/>
              <w:bottom w:val="nil"/>
              <w:right w:val="nil"/>
            </w:tcBorders>
            <w:shd w:val="clear" w:color="000000" w:fill="006991"/>
            <w:noWrap/>
            <w:vAlign w:val="center"/>
            <w:hideMark/>
          </w:tcPr>
          <w:p w14:paraId="4BF21642" w14:textId="77777777" w:rsidR="00180755" w:rsidRPr="00180755" w:rsidRDefault="00180755" w:rsidP="00180755">
            <w:pPr>
              <w:tabs>
                <w:tab w:val="clear" w:pos="567"/>
              </w:tabs>
              <w:spacing w:before="0" w:line="240" w:lineRule="auto"/>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 </w:t>
            </w:r>
          </w:p>
        </w:tc>
        <w:tc>
          <w:tcPr>
            <w:tcW w:w="800" w:type="dxa"/>
            <w:tcBorders>
              <w:top w:val="single" w:sz="4" w:space="0" w:color="auto"/>
              <w:left w:val="nil"/>
              <w:bottom w:val="nil"/>
              <w:right w:val="nil"/>
            </w:tcBorders>
            <w:shd w:val="clear" w:color="000000" w:fill="006991"/>
            <w:noWrap/>
            <w:vAlign w:val="center"/>
            <w:hideMark/>
          </w:tcPr>
          <w:p w14:paraId="214CCF39"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000000" w:fill="006991"/>
            <w:noWrap/>
            <w:vAlign w:val="center"/>
            <w:hideMark/>
          </w:tcPr>
          <w:p w14:paraId="1AB6911B"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000000" w:fill="006991"/>
            <w:noWrap/>
            <w:vAlign w:val="center"/>
            <w:hideMark/>
          </w:tcPr>
          <w:p w14:paraId="68E972A7"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000000" w:fill="006991"/>
            <w:noWrap/>
            <w:vAlign w:val="center"/>
            <w:hideMark/>
          </w:tcPr>
          <w:p w14:paraId="5EE05332"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WA</w:t>
            </w:r>
          </w:p>
        </w:tc>
        <w:tc>
          <w:tcPr>
            <w:tcW w:w="800" w:type="dxa"/>
            <w:tcBorders>
              <w:top w:val="single" w:sz="4" w:space="0" w:color="auto"/>
              <w:left w:val="nil"/>
              <w:bottom w:val="nil"/>
              <w:right w:val="nil"/>
            </w:tcBorders>
            <w:shd w:val="clear" w:color="000000" w:fill="006991"/>
            <w:noWrap/>
            <w:vAlign w:val="center"/>
            <w:hideMark/>
          </w:tcPr>
          <w:p w14:paraId="5EE49FE5"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SA</w:t>
            </w:r>
          </w:p>
        </w:tc>
        <w:tc>
          <w:tcPr>
            <w:tcW w:w="800" w:type="dxa"/>
            <w:tcBorders>
              <w:top w:val="single" w:sz="4" w:space="0" w:color="auto"/>
              <w:left w:val="nil"/>
              <w:bottom w:val="nil"/>
              <w:right w:val="nil"/>
            </w:tcBorders>
            <w:shd w:val="clear" w:color="000000" w:fill="006991"/>
            <w:noWrap/>
            <w:vAlign w:val="center"/>
            <w:hideMark/>
          </w:tcPr>
          <w:p w14:paraId="03D70244"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Tas</w:t>
            </w:r>
          </w:p>
        </w:tc>
        <w:tc>
          <w:tcPr>
            <w:tcW w:w="800" w:type="dxa"/>
            <w:tcBorders>
              <w:top w:val="single" w:sz="4" w:space="0" w:color="auto"/>
              <w:left w:val="nil"/>
              <w:bottom w:val="nil"/>
              <w:right w:val="nil"/>
            </w:tcBorders>
            <w:shd w:val="clear" w:color="000000" w:fill="006991"/>
            <w:noWrap/>
            <w:vAlign w:val="center"/>
            <w:hideMark/>
          </w:tcPr>
          <w:p w14:paraId="6A7E97A8"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ACT</w:t>
            </w:r>
          </w:p>
        </w:tc>
        <w:tc>
          <w:tcPr>
            <w:tcW w:w="800" w:type="dxa"/>
            <w:tcBorders>
              <w:top w:val="single" w:sz="4" w:space="0" w:color="auto"/>
              <w:left w:val="nil"/>
              <w:bottom w:val="nil"/>
              <w:right w:val="nil"/>
            </w:tcBorders>
            <w:shd w:val="clear" w:color="000000" w:fill="006991"/>
            <w:noWrap/>
            <w:vAlign w:val="center"/>
            <w:hideMark/>
          </w:tcPr>
          <w:p w14:paraId="158D07A3"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000000" w:fill="006991"/>
            <w:noWrap/>
            <w:vAlign w:val="center"/>
            <w:hideMark/>
          </w:tcPr>
          <w:p w14:paraId="5E6AB880" w14:textId="77777777" w:rsidR="00180755" w:rsidRPr="00180755" w:rsidRDefault="00180755" w:rsidP="0018075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80755">
              <w:rPr>
                <w:rFonts w:ascii="Open Sans Semibold" w:eastAsia="Times New Roman" w:hAnsi="Open Sans Semibold" w:cs="Open Sans Semibold"/>
                <w:color w:val="FFFFFF"/>
                <w:sz w:val="16"/>
                <w:szCs w:val="16"/>
                <w:lang w:eastAsia="en-AU"/>
              </w:rPr>
              <w:t>Total</w:t>
            </w:r>
          </w:p>
        </w:tc>
      </w:tr>
      <w:tr w:rsidR="00180755" w:rsidRPr="00180755" w14:paraId="72A99555" w14:textId="77777777" w:rsidTr="00180755">
        <w:trPr>
          <w:trHeight w:val="315"/>
        </w:trPr>
        <w:tc>
          <w:tcPr>
            <w:tcW w:w="2300" w:type="dxa"/>
            <w:tcBorders>
              <w:top w:val="single" w:sz="4" w:space="0" w:color="ADD6EA"/>
              <w:left w:val="nil"/>
              <w:bottom w:val="single" w:sz="4" w:space="0" w:color="ADD6EA"/>
              <w:right w:val="nil"/>
            </w:tcBorders>
            <w:shd w:val="clear" w:color="auto" w:fill="auto"/>
            <w:noWrap/>
            <w:vAlign w:val="bottom"/>
            <w:hideMark/>
          </w:tcPr>
          <w:p w14:paraId="6F6EC326" w14:textId="77777777" w:rsidR="00180755" w:rsidRPr="00180755" w:rsidRDefault="00180755" w:rsidP="00180755">
            <w:pPr>
              <w:tabs>
                <w:tab w:val="clear" w:pos="567"/>
              </w:tabs>
              <w:spacing w:before="0" w:line="240" w:lineRule="auto"/>
              <w:rPr>
                <w:rFonts w:eastAsia="Times New Roman" w:cs="Open Sans Light"/>
                <w:sz w:val="16"/>
                <w:szCs w:val="16"/>
                <w:lang w:eastAsia="en-AU"/>
              </w:rPr>
            </w:pPr>
            <w:r w:rsidRPr="00180755">
              <w:rPr>
                <w:rFonts w:eastAsia="Times New Roman" w:cs="Open Sans Light"/>
                <w:sz w:val="16"/>
                <w:szCs w:val="16"/>
                <w:lang w:eastAsia="en-AU"/>
              </w:rPr>
              <w:t>Total revenue ($m)</w:t>
            </w:r>
          </w:p>
        </w:tc>
        <w:tc>
          <w:tcPr>
            <w:tcW w:w="800" w:type="dxa"/>
            <w:tcBorders>
              <w:top w:val="single" w:sz="4" w:space="0" w:color="ADD6EA"/>
              <w:left w:val="nil"/>
              <w:bottom w:val="single" w:sz="4" w:space="0" w:color="ADD6EA"/>
              <w:right w:val="nil"/>
            </w:tcBorders>
            <w:shd w:val="clear" w:color="auto" w:fill="auto"/>
            <w:noWrap/>
            <w:vAlign w:val="bottom"/>
            <w:hideMark/>
          </w:tcPr>
          <w:p w14:paraId="074170BC"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3,709</w:t>
            </w:r>
          </w:p>
        </w:tc>
        <w:tc>
          <w:tcPr>
            <w:tcW w:w="800" w:type="dxa"/>
            <w:tcBorders>
              <w:top w:val="single" w:sz="4" w:space="0" w:color="ADD6EA"/>
              <w:left w:val="nil"/>
              <w:bottom w:val="single" w:sz="4" w:space="0" w:color="ADD6EA"/>
              <w:right w:val="nil"/>
            </w:tcBorders>
            <w:shd w:val="clear" w:color="auto" w:fill="auto"/>
            <w:noWrap/>
            <w:vAlign w:val="bottom"/>
            <w:hideMark/>
          </w:tcPr>
          <w:p w14:paraId="748E8D5F"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140</w:t>
            </w:r>
          </w:p>
        </w:tc>
        <w:tc>
          <w:tcPr>
            <w:tcW w:w="800" w:type="dxa"/>
            <w:tcBorders>
              <w:top w:val="single" w:sz="4" w:space="0" w:color="ADD6EA"/>
              <w:left w:val="nil"/>
              <w:bottom w:val="single" w:sz="4" w:space="0" w:color="ADD6EA"/>
              <w:right w:val="nil"/>
            </w:tcBorders>
            <w:shd w:val="clear" w:color="auto" w:fill="auto"/>
            <w:noWrap/>
            <w:vAlign w:val="bottom"/>
            <w:hideMark/>
          </w:tcPr>
          <w:p w14:paraId="1BD274BE"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8,917</w:t>
            </w:r>
          </w:p>
        </w:tc>
        <w:tc>
          <w:tcPr>
            <w:tcW w:w="800" w:type="dxa"/>
            <w:tcBorders>
              <w:top w:val="single" w:sz="4" w:space="0" w:color="ADD6EA"/>
              <w:left w:val="nil"/>
              <w:bottom w:val="single" w:sz="4" w:space="0" w:color="ADD6EA"/>
              <w:right w:val="nil"/>
            </w:tcBorders>
            <w:shd w:val="clear" w:color="auto" w:fill="auto"/>
            <w:noWrap/>
            <w:vAlign w:val="bottom"/>
            <w:hideMark/>
          </w:tcPr>
          <w:p w14:paraId="73D560FB"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12,067</w:t>
            </w:r>
          </w:p>
        </w:tc>
        <w:tc>
          <w:tcPr>
            <w:tcW w:w="800" w:type="dxa"/>
            <w:tcBorders>
              <w:top w:val="single" w:sz="4" w:space="0" w:color="ADD6EA"/>
              <w:left w:val="nil"/>
              <w:bottom w:val="single" w:sz="4" w:space="0" w:color="ADD6EA"/>
              <w:right w:val="nil"/>
            </w:tcBorders>
            <w:shd w:val="clear" w:color="auto" w:fill="auto"/>
            <w:noWrap/>
            <w:vAlign w:val="bottom"/>
            <w:hideMark/>
          </w:tcPr>
          <w:p w14:paraId="5BF673B8"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383</w:t>
            </w:r>
          </w:p>
        </w:tc>
        <w:tc>
          <w:tcPr>
            <w:tcW w:w="800" w:type="dxa"/>
            <w:tcBorders>
              <w:top w:val="single" w:sz="4" w:space="0" w:color="ADD6EA"/>
              <w:left w:val="nil"/>
              <w:bottom w:val="single" w:sz="4" w:space="0" w:color="ADD6EA"/>
              <w:right w:val="nil"/>
            </w:tcBorders>
            <w:shd w:val="clear" w:color="auto" w:fill="auto"/>
            <w:noWrap/>
            <w:vAlign w:val="bottom"/>
            <w:hideMark/>
          </w:tcPr>
          <w:p w14:paraId="18C24179"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88</w:t>
            </w:r>
          </w:p>
        </w:tc>
        <w:tc>
          <w:tcPr>
            <w:tcW w:w="800" w:type="dxa"/>
            <w:tcBorders>
              <w:top w:val="single" w:sz="4" w:space="0" w:color="ADD6EA"/>
              <w:left w:val="nil"/>
              <w:bottom w:val="single" w:sz="4" w:space="0" w:color="ADD6EA"/>
              <w:right w:val="nil"/>
            </w:tcBorders>
            <w:shd w:val="clear" w:color="auto" w:fill="auto"/>
            <w:noWrap/>
            <w:vAlign w:val="bottom"/>
            <w:hideMark/>
          </w:tcPr>
          <w:p w14:paraId="6F567A73"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bottom"/>
            <w:hideMark/>
          </w:tcPr>
          <w:p w14:paraId="63A47028"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447</w:t>
            </w:r>
          </w:p>
        </w:tc>
        <w:tc>
          <w:tcPr>
            <w:tcW w:w="800" w:type="dxa"/>
            <w:tcBorders>
              <w:top w:val="single" w:sz="4" w:space="0" w:color="ADD6EA"/>
              <w:left w:val="nil"/>
              <w:bottom w:val="single" w:sz="4" w:space="0" w:color="ADD6EA"/>
              <w:right w:val="nil"/>
            </w:tcBorders>
            <w:shd w:val="clear" w:color="auto" w:fill="auto"/>
            <w:noWrap/>
            <w:vAlign w:val="bottom"/>
            <w:hideMark/>
          </w:tcPr>
          <w:p w14:paraId="366F9B67"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25,751</w:t>
            </w:r>
          </w:p>
        </w:tc>
      </w:tr>
      <w:tr w:rsidR="00180755" w:rsidRPr="00180755" w14:paraId="4F2229CA" w14:textId="77777777" w:rsidTr="00180755">
        <w:trPr>
          <w:trHeight w:val="315"/>
        </w:trPr>
        <w:tc>
          <w:tcPr>
            <w:tcW w:w="2300" w:type="dxa"/>
            <w:tcBorders>
              <w:top w:val="nil"/>
              <w:left w:val="nil"/>
              <w:bottom w:val="single" w:sz="4" w:space="0" w:color="ADD6EA"/>
              <w:right w:val="nil"/>
            </w:tcBorders>
            <w:shd w:val="clear" w:color="auto" w:fill="auto"/>
            <w:noWrap/>
            <w:vAlign w:val="bottom"/>
            <w:hideMark/>
          </w:tcPr>
          <w:p w14:paraId="6ED2D2B1" w14:textId="77777777" w:rsidR="00180755" w:rsidRPr="00180755" w:rsidRDefault="00180755" w:rsidP="00180755">
            <w:pPr>
              <w:tabs>
                <w:tab w:val="clear" w:pos="567"/>
              </w:tabs>
              <w:spacing w:before="0" w:line="240" w:lineRule="auto"/>
              <w:rPr>
                <w:rFonts w:eastAsia="Times New Roman" w:cs="Open Sans Light"/>
                <w:sz w:val="16"/>
                <w:szCs w:val="16"/>
                <w:lang w:eastAsia="en-AU"/>
              </w:rPr>
            </w:pPr>
            <w:r w:rsidRPr="00180755">
              <w:rPr>
                <w:rFonts w:eastAsia="Times New Roman" w:cs="Open Sans Light"/>
                <w:sz w:val="16"/>
                <w:szCs w:val="16"/>
                <w:lang w:eastAsia="en-AU"/>
              </w:rPr>
              <w:t>Total revenue ($pc)</w:t>
            </w:r>
          </w:p>
        </w:tc>
        <w:tc>
          <w:tcPr>
            <w:tcW w:w="800" w:type="dxa"/>
            <w:tcBorders>
              <w:top w:val="nil"/>
              <w:left w:val="nil"/>
              <w:bottom w:val="single" w:sz="4" w:space="0" w:color="ADD6EA"/>
              <w:right w:val="nil"/>
            </w:tcBorders>
            <w:shd w:val="clear" w:color="auto" w:fill="auto"/>
            <w:noWrap/>
            <w:vAlign w:val="bottom"/>
            <w:hideMark/>
          </w:tcPr>
          <w:p w14:paraId="28E9B109"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458</w:t>
            </w:r>
          </w:p>
        </w:tc>
        <w:tc>
          <w:tcPr>
            <w:tcW w:w="800" w:type="dxa"/>
            <w:tcBorders>
              <w:top w:val="nil"/>
              <w:left w:val="nil"/>
              <w:bottom w:val="single" w:sz="4" w:space="0" w:color="ADD6EA"/>
              <w:right w:val="nil"/>
            </w:tcBorders>
            <w:shd w:val="clear" w:color="auto" w:fill="auto"/>
            <w:noWrap/>
            <w:vAlign w:val="bottom"/>
            <w:hideMark/>
          </w:tcPr>
          <w:p w14:paraId="28396CEE"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21</w:t>
            </w:r>
          </w:p>
        </w:tc>
        <w:tc>
          <w:tcPr>
            <w:tcW w:w="800" w:type="dxa"/>
            <w:tcBorders>
              <w:top w:val="nil"/>
              <w:left w:val="nil"/>
              <w:bottom w:val="single" w:sz="4" w:space="0" w:color="ADD6EA"/>
              <w:right w:val="nil"/>
            </w:tcBorders>
            <w:shd w:val="clear" w:color="auto" w:fill="auto"/>
            <w:noWrap/>
            <w:vAlign w:val="bottom"/>
            <w:hideMark/>
          </w:tcPr>
          <w:p w14:paraId="3E14A4F4"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1,694</w:t>
            </w:r>
          </w:p>
        </w:tc>
        <w:tc>
          <w:tcPr>
            <w:tcW w:w="800" w:type="dxa"/>
            <w:tcBorders>
              <w:top w:val="nil"/>
              <w:left w:val="nil"/>
              <w:bottom w:val="single" w:sz="4" w:space="0" w:color="ADD6EA"/>
              <w:right w:val="nil"/>
            </w:tcBorders>
            <w:shd w:val="clear" w:color="auto" w:fill="auto"/>
            <w:noWrap/>
            <w:vAlign w:val="bottom"/>
            <w:hideMark/>
          </w:tcPr>
          <w:p w14:paraId="3908EAD9"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4,369</w:t>
            </w:r>
          </w:p>
        </w:tc>
        <w:tc>
          <w:tcPr>
            <w:tcW w:w="800" w:type="dxa"/>
            <w:tcBorders>
              <w:top w:val="nil"/>
              <w:left w:val="nil"/>
              <w:bottom w:val="single" w:sz="4" w:space="0" w:color="ADD6EA"/>
              <w:right w:val="nil"/>
            </w:tcBorders>
            <w:shd w:val="clear" w:color="auto" w:fill="auto"/>
            <w:noWrap/>
            <w:vAlign w:val="bottom"/>
            <w:hideMark/>
          </w:tcPr>
          <w:p w14:paraId="2626683E"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212</w:t>
            </w:r>
          </w:p>
        </w:tc>
        <w:tc>
          <w:tcPr>
            <w:tcW w:w="800" w:type="dxa"/>
            <w:tcBorders>
              <w:top w:val="nil"/>
              <w:left w:val="nil"/>
              <w:bottom w:val="single" w:sz="4" w:space="0" w:color="ADD6EA"/>
              <w:right w:val="nil"/>
            </w:tcBorders>
            <w:shd w:val="clear" w:color="auto" w:fill="auto"/>
            <w:noWrap/>
            <w:vAlign w:val="bottom"/>
            <w:hideMark/>
          </w:tcPr>
          <w:p w14:paraId="2A79CB19"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154</w:t>
            </w:r>
          </w:p>
        </w:tc>
        <w:tc>
          <w:tcPr>
            <w:tcW w:w="800" w:type="dxa"/>
            <w:tcBorders>
              <w:top w:val="nil"/>
              <w:left w:val="nil"/>
              <w:bottom w:val="single" w:sz="4" w:space="0" w:color="ADD6EA"/>
              <w:right w:val="nil"/>
            </w:tcBorders>
            <w:shd w:val="clear" w:color="auto" w:fill="auto"/>
            <w:noWrap/>
            <w:vAlign w:val="bottom"/>
            <w:hideMark/>
          </w:tcPr>
          <w:p w14:paraId="1D7136E1"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0</w:t>
            </w:r>
          </w:p>
        </w:tc>
        <w:tc>
          <w:tcPr>
            <w:tcW w:w="800" w:type="dxa"/>
            <w:tcBorders>
              <w:top w:val="nil"/>
              <w:left w:val="nil"/>
              <w:bottom w:val="single" w:sz="4" w:space="0" w:color="ADD6EA"/>
              <w:right w:val="nil"/>
            </w:tcBorders>
            <w:shd w:val="clear" w:color="auto" w:fill="auto"/>
            <w:noWrap/>
            <w:vAlign w:val="bottom"/>
            <w:hideMark/>
          </w:tcPr>
          <w:p w14:paraId="1B532371"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1,794</w:t>
            </w:r>
          </w:p>
        </w:tc>
        <w:tc>
          <w:tcPr>
            <w:tcW w:w="800" w:type="dxa"/>
            <w:tcBorders>
              <w:top w:val="nil"/>
              <w:left w:val="nil"/>
              <w:bottom w:val="single" w:sz="4" w:space="0" w:color="ADD6EA"/>
              <w:right w:val="nil"/>
            </w:tcBorders>
            <w:shd w:val="clear" w:color="auto" w:fill="auto"/>
            <w:noWrap/>
            <w:vAlign w:val="bottom"/>
            <w:hideMark/>
          </w:tcPr>
          <w:p w14:paraId="5F836763"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1,000</w:t>
            </w:r>
          </w:p>
        </w:tc>
      </w:tr>
      <w:tr w:rsidR="00180755" w:rsidRPr="00180755" w14:paraId="326B8A60" w14:textId="77777777" w:rsidTr="00180755">
        <w:trPr>
          <w:trHeight w:val="555"/>
        </w:trPr>
        <w:tc>
          <w:tcPr>
            <w:tcW w:w="2300" w:type="dxa"/>
            <w:tcBorders>
              <w:top w:val="nil"/>
              <w:left w:val="nil"/>
              <w:bottom w:val="single" w:sz="4" w:space="0" w:color="ADD6EA"/>
              <w:right w:val="nil"/>
            </w:tcBorders>
            <w:shd w:val="clear" w:color="auto" w:fill="auto"/>
            <w:vAlign w:val="bottom"/>
            <w:hideMark/>
          </w:tcPr>
          <w:p w14:paraId="6CAA08A4" w14:textId="77777777" w:rsidR="00180755" w:rsidRPr="00180755" w:rsidRDefault="00180755" w:rsidP="00180755">
            <w:pPr>
              <w:tabs>
                <w:tab w:val="clear" w:pos="567"/>
              </w:tabs>
              <w:spacing w:before="0" w:line="240" w:lineRule="auto"/>
              <w:rPr>
                <w:rFonts w:eastAsia="Times New Roman" w:cs="Open Sans Light"/>
                <w:sz w:val="16"/>
                <w:szCs w:val="16"/>
                <w:lang w:eastAsia="en-AU"/>
              </w:rPr>
            </w:pPr>
            <w:r w:rsidRPr="00180755">
              <w:rPr>
                <w:rFonts w:eastAsia="Times New Roman" w:cs="Open Sans Light"/>
                <w:sz w:val="16"/>
                <w:szCs w:val="16"/>
                <w:lang w:eastAsia="en-AU"/>
              </w:rPr>
              <w:t xml:space="preserve">Share of state </w:t>
            </w:r>
            <w:r w:rsidRPr="00180755">
              <w:rPr>
                <w:rFonts w:eastAsia="Times New Roman" w:cs="Open Sans Light"/>
                <w:sz w:val="16"/>
                <w:szCs w:val="16"/>
                <w:lang w:eastAsia="en-AU"/>
              </w:rPr>
              <w:br/>
              <w:t>own-source revenue (%)</w:t>
            </w:r>
          </w:p>
        </w:tc>
        <w:tc>
          <w:tcPr>
            <w:tcW w:w="800" w:type="dxa"/>
            <w:tcBorders>
              <w:top w:val="nil"/>
              <w:left w:val="nil"/>
              <w:bottom w:val="single" w:sz="4" w:space="0" w:color="ADD6EA"/>
              <w:right w:val="nil"/>
            </w:tcBorders>
            <w:shd w:val="clear" w:color="auto" w:fill="auto"/>
            <w:noWrap/>
            <w:vAlign w:val="bottom"/>
            <w:hideMark/>
          </w:tcPr>
          <w:p w14:paraId="521A68BF"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7.4</w:t>
            </w:r>
          </w:p>
        </w:tc>
        <w:tc>
          <w:tcPr>
            <w:tcW w:w="800" w:type="dxa"/>
            <w:tcBorders>
              <w:top w:val="nil"/>
              <w:left w:val="nil"/>
              <w:bottom w:val="single" w:sz="4" w:space="0" w:color="ADD6EA"/>
              <w:right w:val="nil"/>
            </w:tcBorders>
            <w:shd w:val="clear" w:color="auto" w:fill="auto"/>
            <w:noWrap/>
            <w:vAlign w:val="bottom"/>
            <w:hideMark/>
          </w:tcPr>
          <w:p w14:paraId="5A315A40"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0.4</w:t>
            </w:r>
          </w:p>
        </w:tc>
        <w:tc>
          <w:tcPr>
            <w:tcW w:w="800" w:type="dxa"/>
            <w:tcBorders>
              <w:top w:val="nil"/>
              <w:left w:val="nil"/>
              <w:bottom w:val="single" w:sz="4" w:space="0" w:color="ADD6EA"/>
              <w:right w:val="nil"/>
            </w:tcBorders>
            <w:shd w:val="clear" w:color="auto" w:fill="auto"/>
            <w:noWrap/>
            <w:vAlign w:val="bottom"/>
            <w:hideMark/>
          </w:tcPr>
          <w:p w14:paraId="3260348C"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25.9</w:t>
            </w:r>
          </w:p>
        </w:tc>
        <w:tc>
          <w:tcPr>
            <w:tcW w:w="800" w:type="dxa"/>
            <w:tcBorders>
              <w:top w:val="nil"/>
              <w:left w:val="nil"/>
              <w:bottom w:val="single" w:sz="4" w:space="0" w:color="ADD6EA"/>
              <w:right w:val="nil"/>
            </w:tcBorders>
            <w:shd w:val="clear" w:color="auto" w:fill="auto"/>
            <w:noWrap/>
            <w:vAlign w:val="bottom"/>
            <w:hideMark/>
          </w:tcPr>
          <w:p w14:paraId="2FCCBCE5"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44.9</w:t>
            </w:r>
          </w:p>
        </w:tc>
        <w:tc>
          <w:tcPr>
            <w:tcW w:w="800" w:type="dxa"/>
            <w:tcBorders>
              <w:top w:val="nil"/>
              <w:left w:val="nil"/>
              <w:bottom w:val="single" w:sz="4" w:space="0" w:color="ADD6EA"/>
              <w:right w:val="nil"/>
            </w:tcBorders>
            <w:shd w:val="clear" w:color="auto" w:fill="auto"/>
            <w:noWrap/>
            <w:vAlign w:val="bottom"/>
            <w:hideMark/>
          </w:tcPr>
          <w:p w14:paraId="5C777575"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4.3</w:t>
            </w:r>
          </w:p>
        </w:tc>
        <w:tc>
          <w:tcPr>
            <w:tcW w:w="800" w:type="dxa"/>
            <w:tcBorders>
              <w:top w:val="nil"/>
              <w:left w:val="nil"/>
              <w:bottom w:val="single" w:sz="4" w:space="0" w:color="ADD6EA"/>
              <w:right w:val="nil"/>
            </w:tcBorders>
            <w:shd w:val="clear" w:color="auto" w:fill="auto"/>
            <w:noWrap/>
            <w:vAlign w:val="bottom"/>
            <w:hideMark/>
          </w:tcPr>
          <w:p w14:paraId="6DE1E24B"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3.1</w:t>
            </w:r>
          </w:p>
        </w:tc>
        <w:tc>
          <w:tcPr>
            <w:tcW w:w="800" w:type="dxa"/>
            <w:tcBorders>
              <w:top w:val="nil"/>
              <w:left w:val="nil"/>
              <w:bottom w:val="single" w:sz="4" w:space="0" w:color="ADD6EA"/>
              <w:right w:val="nil"/>
            </w:tcBorders>
            <w:shd w:val="clear" w:color="auto" w:fill="auto"/>
            <w:noWrap/>
            <w:vAlign w:val="bottom"/>
            <w:hideMark/>
          </w:tcPr>
          <w:p w14:paraId="0DB33A74"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0.0</w:t>
            </w:r>
          </w:p>
        </w:tc>
        <w:tc>
          <w:tcPr>
            <w:tcW w:w="800" w:type="dxa"/>
            <w:tcBorders>
              <w:top w:val="nil"/>
              <w:left w:val="nil"/>
              <w:bottom w:val="single" w:sz="4" w:space="0" w:color="ADD6EA"/>
              <w:right w:val="nil"/>
            </w:tcBorders>
            <w:shd w:val="clear" w:color="auto" w:fill="auto"/>
            <w:noWrap/>
            <w:vAlign w:val="bottom"/>
            <w:hideMark/>
          </w:tcPr>
          <w:p w14:paraId="2FD63A80"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26.5</w:t>
            </w:r>
          </w:p>
        </w:tc>
        <w:tc>
          <w:tcPr>
            <w:tcW w:w="800" w:type="dxa"/>
            <w:tcBorders>
              <w:top w:val="nil"/>
              <w:left w:val="nil"/>
              <w:bottom w:val="single" w:sz="4" w:space="0" w:color="ADD6EA"/>
              <w:right w:val="nil"/>
            </w:tcBorders>
            <w:shd w:val="clear" w:color="auto" w:fill="auto"/>
            <w:noWrap/>
            <w:vAlign w:val="bottom"/>
            <w:hideMark/>
          </w:tcPr>
          <w:p w14:paraId="488F097B" w14:textId="77777777" w:rsidR="00180755" w:rsidRPr="00180755" w:rsidRDefault="00180755" w:rsidP="00180755">
            <w:pPr>
              <w:tabs>
                <w:tab w:val="clear" w:pos="567"/>
              </w:tabs>
              <w:spacing w:before="0" w:line="240" w:lineRule="auto"/>
              <w:jc w:val="right"/>
              <w:rPr>
                <w:rFonts w:eastAsia="Times New Roman" w:cs="Open Sans Light"/>
                <w:sz w:val="16"/>
                <w:szCs w:val="16"/>
                <w:lang w:eastAsia="en-AU"/>
              </w:rPr>
            </w:pPr>
            <w:r w:rsidRPr="00180755">
              <w:rPr>
                <w:rFonts w:eastAsia="Times New Roman" w:cs="Open Sans Light"/>
                <w:sz w:val="16"/>
                <w:szCs w:val="16"/>
                <w:lang w:eastAsia="en-AU"/>
              </w:rPr>
              <w:t>15.6</w:t>
            </w:r>
          </w:p>
        </w:tc>
      </w:tr>
    </w:tbl>
    <w:p w14:paraId="72C6B828" w14:textId="7C246563" w:rsidR="005058B7" w:rsidRPr="0094405D" w:rsidRDefault="009F6FB1" w:rsidP="0094405D">
      <w:pPr>
        <w:pStyle w:val="CGC2025Tablenote"/>
      </w:pPr>
      <w:r w:rsidRPr="0094405D">
        <w:t>Source: Commission calculation</w:t>
      </w:r>
      <w:r w:rsidR="00341D30" w:rsidRPr="0094405D">
        <w:t>.</w:t>
      </w:r>
    </w:p>
    <w:p w14:paraId="6648B773" w14:textId="69772FFC" w:rsidR="008E4E5B" w:rsidRDefault="008E4E5B" w:rsidP="008E4E5B">
      <w:pPr>
        <w:pStyle w:val="CGC2025ParaNumbers"/>
      </w:pPr>
      <w:r>
        <w:t>Mining revenue has increased as a share of total own-source revenue in recent years (</w:t>
      </w:r>
      <w:r w:rsidR="0007255A">
        <w:fldChar w:fldCharType="begin"/>
      </w:r>
      <w:r w:rsidR="0007255A">
        <w:instrText xml:space="preserve"> REF _Ref136426153 \h </w:instrText>
      </w:r>
      <w:r w:rsidR="0007255A">
        <w:fldChar w:fldCharType="separate"/>
      </w:r>
      <w:r w:rsidR="00A90833" w:rsidRPr="00FE712E">
        <w:t>Table</w:t>
      </w:r>
      <w:r w:rsidR="00A90833">
        <w:t> </w:t>
      </w:r>
      <w:r w:rsidR="00A90833">
        <w:rPr>
          <w:noProof/>
        </w:rPr>
        <w:t>2</w:t>
      </w:r>
      <w:r w:rsidR="0007255A">
        <w:fldChar w:fldCharType="end"/>
      </w:r>
      <w:r>
        <w:t xml:space="preserve">). </w:t>
      </w:r>
    </w:p>
    <w:p w14:paraId="2CCFF61F" w14:textId="58AE99D7" w:rsidR="00FE712E" w:rsidRPr="00FE712E" w:rsidRDefault="00884A43" w:rsidP="00FE712E">
      <w:pPr>
        <w:pStyle w:val="Caption"/>
        <w:rPr>
          <w:rFonts w:ascii="Work Sans" w:hAnsi="Work Sans"/>
        </w:rPr>
      </w:pPr>
      <w:bookmarkStart w:id="16" w:name="_Ref136426153"/>
      <w:r w:rsidRPr="00FE712E">
        <w:rPr>
          <w:rFonts w:ascii="Work Sans" w:hAnsi="Work Sans"/>
        </w:rPr>
        <w:t>Table</w:t>
      </w:r>
      <w:r>
        <w:rPr>
          <w:rFonts w:ascii="Work Sans" w:hAnsi="Work Sans"/>
        </w:rPr>
        <w:t> </w:t>
      </w:r>
      <w:r w:rsidR="00FE712E" w:rsidRPr="00FE712E">
        <w:rPr>
          <w:rFonts w:ascii="Work Sans" w:hAnsi="Work Sans"/>
        </w:rPr>
        <w:fldChar w:fldCharType="begin"/>
      </w:r>
      <w:r w:rsidR="00FE712E" w:rsidRPr="00FE712E">
        <w:rPr>
          <w:rFonts w:ascii="Work Sans" w:hAnsi="Work Sans"/>
        </w:rPr>
        <w:instrText xml:space="preserve"> SEQ Table \* ARABIC </w:instrText>
      </w:r>
      <w:r w:rsidR="00FE712E" w:rsidRPr="00FE712E">
        <w:rPr>
          <w:rFonts w:ascii="Work Sans" w:hAnsi="Work Sans"/>
        </w:rPr>
        <w:fldChar w:fldCharType="separate"/>
      </w:r>
      <w:r w:rsidR="00A90833">
        <w:rPr>
          <w:rFonts w:ascii="Work Sans" w:hAnsi="Work Sans"/>
          <w:noProof/>
        </w:rPr>
        <w:t>2</w:t>
      </w:r>
      <w:r w:rsidR="00FE712E" w:rsidRPr="00FE712E">
        <w:rPr>
          <w:rFonts w:ascii="Work Sans" w:hAnsi="Work Sans"/>
        </w:rPr>
        <w:fldChar w:fldCharType="end"/>
      </w:r>
      <w:bookmarkEnd w:id="16"/>
      <w:r w:rsidR="00EF5BEA">
        <w:rPr>
          <w:rFonts w:ascii="Work Sans" w:hAnsi="Work Sans"/>
        </w:rPr>
        <w:tab/>
        <w:t>T</w:t>
      </w:r>
      <w:r w:rsidR="00FE712E" w:rsidRPr="00FE712E">
        <w:rPr>
          <w:rFonts w:ascii="Work Sans" w:hAnsi="Work Sans"/>
        </w:rPr>
        <w:t>otal mining revenue, 2018</w:t>
      </w:r>
      <w:r w:rsidR="001E0983">
        <w:rPr>
          <w:rFonts w:ascii="Work Sans" w:hAnsi="Work Sans"/>
        </w:rPr>
        <w:t>–</w:t>
      </w:r>
      <w:r w:rsidR="00FE712E" w:rsidRPr="00FE712E">
        <w:rPr>
          <w:rFonts w:ascii="Work Sans" w:hAnsi="Work Sans"/>
        </w:rPr>
        <w:t>19 to 2021</w:t>
      </w:r>
      <w:r w:rsidR="001E0983">
        <w:rPr>
          <w:rFonts w:ascii="Work Sans" w:hAnsi="Work Sans"/>
        </w:rPr>
        <w:t>–</w:t>
      </w:r>
      <w:r w:rsidR="00FE712E" w:rsidRPr="00FE712E">
        <w:rPr>
          <w:rFonts w:ascii="Work Sans" w:hAnsi="Work Sans"/>
        </w:rPr>
        <w:t>22</w:t>
      </w:r>
    </w:p>
    <w:tbl>
      <w:tblPr>
        <w:tblW w:w="9400" w:type="dxa"/>
        <w:tblLook w:val="04A0" w:firstRow="1" w:lastRow="0" w:firstColumn="1" w:lastColumn="0" w:noHBand="0" w:noVBand="1"/>
      </w:tblPr>
      <w:tblGrid>
        <w:gridCol w:w="3080"/>
        <w:gridCol w:w="1580"/>
        <w:gridCol w:w="1580"/>
        <w:gridCol w:w="1580"/>
        <w:gridCol w:w="1580"/>
      </w:tblGrid>
      <w:tr w:rsidR="00FE712E" w:rsidRPr="00FE712E" w14:paraId="4EB15FB5" w14:textId="77777777" w:rsidTr="00FE712E">
        <w:trPr>
          <w:trHeight w:val="375"/>
        </w:trPr>
        <w:tc>
          <w:tcPr>
            <w:tcW w:w="3080" w:type="dxa"/>
            <w:tcBorders>
              <w:top w:val="single" w:sz="4" w:space="0" w:color="auto"/>
              <w:left w:val="nil"/>
              <w:bottom w:val="nil"/>
              <w:right w:val="nil"/>
            </w:tcBorders>
            <w:shd w:val="clear" w:color="000000" w:fill="006991"/>
            <w:noWrap/>
            <w:vAlign w:val="center"/>
            <w:hideMark/>
          </w:tcPr>
          <w:p w14:paraId="56C42945" w14:textId="77777777" w:rsidR="00FE712E" w:rsidRPr="00FE712E" w:rsidRDefault="00FE712E" w:rsidP="00FE712E">
            <w:pPr>
              <w:tabs>
                <w:tab w:val="clear" w:pos="567"/>
              </w:tabs>
              <w:spacing w:before="0" w:line="240" w:lineRule="auto"/>
              <w:rPr>
                <w:rFonts w:ascii="Open Sans Semibold" w:eastAsia="Times New Roman" w:hAnsi="Open Sans Semibold" w:cs="Open Sans Semibold"/>
                <w:color w:val="FFFFFF"/>
                <w:sz w:val="16"/>
                <w:szCs w:val="16"/>
                <w:lang w:eastAsia="en-AU"/>
              </w:rPr>
            </w:pPr>
            <w:r w:rsidRPr="00FE712E">
              <w:rPr>
                <w:rFonts w:ascii="Open Sans Semibold" w:eastAsia="Times New Roman" w:hAnsi="Open Sans Semibold" w:cs="Open Sans Semibold"/>
                <w:color w:val="FFFFFF"/>
                <w:sz w:val="16"/>
                <w:szCs w:val="16"/>
                <w:lang w:eastAsia="en-AU"/>
              </w:rPr>
              <w:t> </w:t>
            </w:r>
          </w:p>
        </w:tc>
        <w:tc>
          <w:tcPr>
            <w:tcW w:w="1580" w:type="dxa"/>
            <w:tcBorders>
              <w:top w:val="single" w:sz="4" w:space="0" w:color="auto"/>
              <w:left w:val="nil"/>
              <w:bottom w:val="nil"/>
              <w:right w:val="nil"/>
            </w:tcBorders>
            <w:shd w:val="clear" w:color="000000" w:fill="006991"/>
            <w:noWrap/>
            <w:vAlign w:val="center"/>
            <w:hideMark/>
          </w:tcPr>
          <w:p w14:paraId="3E703124" w14:textId="77777777" w:rsidR="00FE712E" w:rsidRPr="00FE712E" w:rsidRDefault="00FE712E" w:rsidP="00FE712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712E">
              <w:rPr>
                <w:rFonts w:ascii="Open Sans Semibold" w:eastAsia="Times New Roman" w:hAnsi="Open Sans Semibold" w:cs="Open Sans Semibold"/>
                <w:color w:val="FFFFFF"/>
                <w:sz w:val="16"/>
                <w:szCs w:val="16"/>
                <w:lang w:eastAsia="en-AU"/>
              </w:rPr>
              <w:t>2018-19</w:t>
            </w:r>
          </w:p>
        </w:tc>
        <w:tc>
          <w:tcPr>
            <w:tcW w:w="1580" w:type="dxa"/>
            <w:tcBorders>
              <w:top w:val="single" w:sz="4" w:space="0" w:color="auto"/>
              <w:left w:val="nil"/>
              <w:bottom w:val="nil"/>
              <w:right w:val="nil"/>
            </w:tcBorders>
            <w:shd w:val="clear" w:color="000000" w:fill="006991"/>
            <w:noWrap/>
            <w:vAlign w:val="center"/>
            <w:hideMark/>
          </w:tcPr>
          <w:p w14:paraId="711A17FA" w14:textId="77777777" w:rsidR="00FE712E" w:rsidRPr="00FE712E" w:rsidRDefault="00FE712E" w:rsidP="00FE712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712E">
              <w:rPr>
                <w:rFonts w:ascii="Open Sans Semibold" w:eastAsia="Times New Roman" w:hAnsi="Open Sans Semibold" w:cs="Open Sans Semibold"/>
                <w:color w:val="FFFFFF"/>
                <w:sz w:val="16"/>
                <w:szCs w:val="16"/>
                <w:lang w:eastAsia="en-AU"/>
              </w:rPr>
              <w:t>2019-20</w:t>
            </w:r>
          </w:p>
        </w:tc>
        <w:tc>
          <w:tcPr>
            <w:tcW w:w="1580" w:type="dxa"/>
            <w:tcBorders>
              <w:top w:val="single" w:sz="4" w:space="0" w:color="auto"/>
              <w:left w:val="nil"/>
              <w:bottom w:val="nil"/>
              <w:right w:val="nil"/>
            </w:tcBorders>
            <w:shd w:val="clear" w:color="000000" w:fill="006991"/>
            <w:noWrap/>
            <w:vAlign w:val="center"/>
            <w:hideMark/>
          </w:tcPr>
          <w:p w14:paraId="1116D33A" w14:textId="77777777" w:rsidR="00FE712E" w:rsidRPr="00FE712E" w:rsidRDefault="00FE712E" w:rsidP="00FE712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712E">
              <w:rPr>
                <w:rFonts w:ascii="Open Sans Semibold" w:eastAsia="Times New Roman" w:hAnsi="Open Sans Semibold" w:cs="Open Sans Semibold"/>
                <w:color w:val="FFFFFF"/>
                <w:sz w:val="16"/>
                <w:szCs w:val="16"/>
                <w:lang w:eastAsia="en-AU"/>
              </w:rPr>
              <w:t>2020-21</w:t>
            </w:r>
          </w:p>
        </w:tc>
        <w:tc>
          <w:tcPr>
            <w:tcW w:w="1580" w:type="dxa"/>
            <w:tcBorders>
              <w:top w:val="single" w:sz="4" w:space="0" w:color="auto"/>
              <w:left w:val="nil"/>
              <w:bottom w:val="nil"/>
              <w:right w:val="nil"/>
            </w:tcBorders>
            <w:shd w:val="clear" w:color="000000" w:fill="006991"/>
            <w:noWrap/>
            <w:vAlign w:val="center"/>
            <w:hideMark/>
          </w:tcPr>
          <w:p w14:paraId="33B1FFDC" w14:textId="77777777" w:rsidR="00FE712E" w:rsidRPr="00FE712E" w:rsidRDefault="00FE712E" w:rsidP="00FE712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712E">
              <w:rPr>
                <w:rFonts w:ascii="Open Sans Semibold" w:eastAsia="Times New Roman" w:hAnsi="Open Sans Semibold" w:cs="Open Sans Semibold"/>
                <w:color w:val="FFFFFF"/>
                <w:sz w:val="16"/>
                <w:szCs w:val="16"/>
                <w:lang w:eastAsia="en-AU"/>
              </w:rPr>
              <w:t>2021-22</w:t>
            </w:r>
          </w:p>
        </w:tc>
      </w:tr>
      <w:tr w:rsidR="00FE712E" w:rsidRPr="00FE712E" w14:paraId="7D8DF3E2" w14:textId="77777777" w:rsidTr="00FE712E">
        <w:trPr>
          <w:trHeight w:val="315"/>
        </w:trPr>
        <w:tc>
          <w:tcPr>
            <w:tcW w:w="3080" w:type="dxa"/>
            <w:tcBorders>
              <w:top w:val="single" w:sz="4" w:space="0" w:color="ADD6EA"/>
              <w:left w:val="nil"/>
              <w:bottom w:val="single" w:sz="4" w:space="0" w:color="ADD6EA"/>
              <w:right w:val="nil"/>
            </w:tcBorders>
            <w:shd w:val="clear" w:color="auto" w:fill="auto"/>
            <w:noWrap/>
            <w:vAlign w:val="bottom"/>
            <w:hideMark/>
          </w:tcPr>
          <w:p w14:paraId="05B172DB" w14:textId="77777777" w:rsidR="00FE712E" w:rsidRPr="00FE712E" w:rsidRDefault="00FE712E" w:rsidP="00FE712E">
            <w:pPr>
              <w:tabs>
                <w:tab w:val="clear" w:pos="567"/>
              </w:tabs>
              <w:spacing w:before="0" w:line="240" w:lineRule="auto"/>
              <w:rPr>
                <w:rFonts w:eastAsia="Times New Roman" w:cs="Open Sans Light"/>
                <w:sz w:val="16"/>
                <w:szCs w:val="16"/>
                <w:lang w:eastAsia="en-AU"/>
              </w:rPr>
            </w:pPr>
            <w:r w:rsidRPr="00FE712E">
              <w:rPr>
                <w:rFonts w:eastAsia="Times New Roman" w:cs="Open Sans Light"/>
                <w:sz w:val="16"/>
                <w:szCs w:val="16"/>
                <w:lang w:eastAsia="en-AU"/>
              </w:rPr>
              <w:t>Total revenue ($m)</w:t>
            </w:r>
          </w:p>
        </w:tc>
        <w:tc>
          <w:tcPr>
            <w:tcW w:w="1580" w:type="dxa"/>
            <w:tcBorders>
              <w:top w:val="single" w:sz="4" w:space="0" w:color="ADD6EA"/>
              <w:left w:val="nil"/>
              <w:bottom w:val="single" w:sz="4" w:space="0" w:color="ADD6EA"/>
              <w:right w:val="nil"/>
            </w:tcBorders>
            <w:shd w:val="clear" w:color="auto" w:fill="auto"/>
            <w:noWrap/>
            <w:vAlign w:val="bottom"/>
            <w:hideMark/>
          </w:tcPr>
          <w:p w14:paraId="038FF5B5"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15,506</w:t>
            </w:r>
          </w:p>
        </w:tc>
        <w:tc>
          <w:tcPr>
            <w:tcW w:w="1580" w:type="dxa"/>
            <w:tcBorders>
              <w:top w:val="single" w:sz="4" w:space="0" w:color="ADD6EA"/>
              <w:left w:val="nil"/>
              <w:bottom w:val="single" w:sz="4" w:space="0" w:color="ADD6EA"/>
              <w:right w:val="nil"/>
            </w:tcBorders>
            <w:shd w:val="clear" w:color="auto" w:fill="auto"/>
            <w:noWrap/>
            <w:vAlign w:val="bottom"/>
            <w:hideMark/>
          </w:tcPr>
          <w:p w14:paraId="44D1D26E"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16,136</w:t>
            </w:r>
          </w:p>
        </w:tc>
        <w:tc>
          <w:tcPr>
            <w:tcW w:w="1580" w:type="dxa"/>
            <w:tcBorders>
              <w:top w:val="single" w:sz="4" w:space="0" w:color="ADD6EA"/>
              <w:left w:val="nil"/>
              <w:bottom w:val="single" w:sz="4" w:space="0" w:color="ADD6EA"/>
              <w:right w:val="nil"/>
            </w:tcBorders>
            <w:shd w:val="clear" w:color="auto" w:fill="auto"/>
            <w:noWrap/>
            <w:vAlign w:val="bottom"/>
            <w:hideMark/>
          </w:tcPr>
          <w:p w14:paraId="4082B036"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17,404</w:t>
            </w:r>
          </w:p>
        </w:tc>
        <w:tc>
          <w:tcPr>
            <w:tcW w:w="1580" w:type="dxa"/>
            <w:tcBorders>
              <w:top w:val="single" w:sz="4" w:space="0" w:color="ADD6EA"/>
              <w:left w:val="nil"/>
              <w:bottom w:val="single" w:sz="4" w:space="0" w:color="ADD6EA"/>
              <w:right w:val="nil"/>
            </w:tcBorders>
            <w:shd w:val="clear" w:color="auto" w:fill="auto"/>
            <w:noWrap/>
            <w:vAlign w:val="bottom"/>
            <w:hideMark/>
          </w:tcPr>
          <w:p w14:paraId="70AED0D2"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25,751</w:t>
            </w:r>
          </w:p>
        </w:tc>
      </w:tr>
      <w:tr w:rsidR="00FE712E" w:rsidRPr="00FE712E" w14:paraId="7664A971" w14:textId="77777777" w:rsidTr="00FE712E">
        <w:trPr>
          <w:trHeight w:val="315"/>
        </w:trPr>
        <w:tc>
          <w:tcPr>
            <w:tcW w:w="3080" w:type="dxa"/>
            <w:tcBorders>
              <w:top w:val="nil"/>
              <w:left w:val="nil"/>
              <w:bottom w:val="single" w:sz="4" w:space="0" w:color="ADD6EA"/>
              <w:right w:val="nil"/>
            </w:tcBorders>
            <w:shd w:val="clear" w:color="auto" w:fill="auto"/>
            <w:vAlign w:val="bottom"/>
            <w:hideMark/>
          </w:tcPr>
          <w:p w14:paraId="49D21F02" w14:textId="77777777" w:rsidR="00FE712E" w:rsidRPr="00FE712E" w:rsidRDefault="00FE712E" w:rsidP="00FE712E">
            <w:pPr>
              <w:tabs>
                <w:tab w:val="clear" w:pos="567"/>
              </w:tabs>
              <w:spacing w:before="0" w:line="240" w:lineRule="auto"/>
              <w:rPr>
                <w:rFonts w:eastAsia="Times New Roman" w:cs="Open Sans Light"/>
                <w:sz w:val="16"/>
                <w:szCs w:val="16"/>
                <w:lang w:eastAsia="en-AU"/>
              </w:rPr>
            </w:pPr>
            <w:r w:rsidRPr="00FE712E">
              <w:rPr>
                <w:rFonts w:eastAsia="Times New Roman" w:cs="Open Sans Light"/>
                <w:sz w:val="16"/>
                <w:szCs w:val="16"/>
                <w:lang w:eastAsia="en-AU"/>
              </w:rPr>
              <w:t>Share of total own-source revenue (%)</w:t>
            </w:r>
          </w:p>
        </w:tc>
        <w:tc>
          <w:tcPr>
            <w:tcW w:w="1580" w:type="dxa"/>
            <w:tcBorders>
              <w:top w:val="nil"/>
              <w:left w:val="nil"/>
              <w:bottom w:val="single" w:sz="4" w:space="0" w:color="ADD6EA"/>
              <w:right w:val="nil"/>
            </w:tcBorders>
            <w:shd w:val="clear" w:color="auto" w:fill="auto"/>
            <w:noWrap/>
            <w:vAlign w:val="bottom"/>
            <w:hideMark/>
          </w:tcPr>
          <w:p w14:paraId="1CFC7DF3"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11.8</w:t>
            </w:r>
          </w:p>
        </w:tc>
        <w:tc>
          <w:tcPr>
            <w:tcW w:w="1580" w:type="dxa"/>
            <w:tcBorders>
              <w:top w:val="nil"/>
              <w:left w:val="nil"/>
              <w:bottom w:val="single" w:sz="4" w:space="0" w:color="ADD6EA"/>
              <w:right w:val="nil"/>
            </w:tcBorders>
            <w:shd w:val="clear" w:color="auto" w:fill="auto"/>
            <w:noWrap/>
            <w:vAlign w:val="bottom"/>
            <w:hideMark/>
          </w:tcPr>
          <w:p w14:paraId="1D788E2C"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12.7</w:t>
            </w:r>
          </w:p>
        </w:tc>
        <w:tc>
          <w:tcPr>
            <w:tcW w:w="1580" w:type="dxa"/>
            <w:tcBorders>
              <w:top w:val="nil"/>
              <w:left w:val="nil"/>
              <w:bottom w:val="single" w:sz="4" w:space="0" w:color="ADD6EA"/>
              <w:right w:val="nil"/>
            </w:tcBorders>
            <w:shd w:val="clear" w:color="auto" w:fill="auto"/>
            <w:noWrap/>
            <w:vAlign w:val="bottom"/>
            <w:hideMark/>
          </w:tcPr>
          <w:p w14:paraId="34F2FEFC"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12.6</w:t>
            </w:r>
          </w:p>
        </w:tc>
        <w:tc>
          <w:tcPr>
            <w:tcW w:w="1580" w:type="dxa"/>
            <w:tcBorders>
              <w:top w:val="nil"/>
              <w:left w:val="nil"/>
              <w:bottom w:val="single" w:sz="4" w:space="0" w:color="ADD6EA"/>
              <w:right w:val="nil"/>
            </w:tcBorders>
            <w:shd w:val="clear" w:color="auto" w:fill="auto"/>
            <w:noWrap/>
            <w:vAlign w:val="bottom"/>
            <w:hideMark/>
          </w:tcPr>
          <w:p w14:paraId="692CCA95" w14:textId="77777777" w:rsidR="00FE712E" w:rsidRPr="00FE712E" w:rsidRDefault="00FE712E" w:rsidP="00FE712E">
            <w:pPr>
              <w:tabs>
                <w:tab w:val="clear" w:pos="567"/>
              </w:tabs>
              <w:spacing w:before="0" w:line="240" w:lineRule="auto"/>
              <w:jc w:val="right"/>
              <w:rPr>
                <w:rFonts w:eastAsia="Times New Roman" w:cs="Open Sans Light"/>
                <w:sz w:val="16"/>
                <w:szCs w:val="16"/>
                <w:lang w:eastAsia="en-AU"/>
              </w:rPr>
            </w:pPr>
            <w:r w:rsidRPr="00FE712E">
              <w:rPr>
                <w:rFonts w:eastAsia="Times New Roman" w:cs="Open Sans Light"/>
                <w:sz w:val="16"/>
                <w:szCs w:val="16"/>
                <w:lang w:eastAsia="en-AU"/>
              </w:rPr>
              <w:t>15.6</w:t>
            </w:r>
          </w:p>
        </w:tc>
      </w:tr>
    </w:tbl>
    <w:p w14:paraId="51140090" w14:textId="27CD7D30" w:rsidR="008E4E5B" w:rsidRDefault="00385481" w:rsidP="00A33484">
      <w:pPr>
        <w:pStyle w:val="CGC2025Tablenote"/>
      </w:pPr>
      <w:r>
        <w:t>Source</w:t>
      </w:r>
      <w:r w:rsidR="0007255A">
        <w:t xml:space="preserve">: </w:t>
      </w:r>
      <w:r w:rsidR="0007255A" w:rsidRPr="00A33484">
        <w:t>Commission</w:t>
      </w:r>
      <w:r w:rsidR="0007255A">
        <w:t xml:space="preserve"> calculation</w:t>
      </w:r>
    </w:p>
    <w:p w14:paraId="5ECF3D62" w14:textId="7BF2DA87" w:rsidR="004057BC" w:rsidRDefault="006B7F2C" w:rsidP="004057BC">
      <w:pPr>
        <w:pStyle w:val="CGC2025ParaNumbers"/>
      </w:pPr>
      <w:r>
        <w:fldChar w:fldCharType="begin"/>
      </w:r>
      <w:r>
        <w:instrText xml:space="preserve"> REF _Ref136426894 \h </w:instrText>
      </w:r>
      <w:r>
        <w:fldChar w:fldCharType="separate"/>
      </w:r>
      <w:r w:rsidR="00A90833" w:rsidRPr="00D52CDF">
        <w:t>Table</w:t>
      </w:r>
      <w:r w:rsidR="00A90833">
        <w:t> </w:t>
      </w:r>
      <w:r w:rsidR="00A90833">
        <w:rPr>
          <w:noProof/>
        </w:rPr>
        <w:t>3</w:t>
      </w:r>
      <w:r>
        <w:fldChar w:fldCharType="end"/>
      </w:r>
      <w:r>
        <w:t xml:space="preserve"> </w:t>
      </w:r>
      <w:r w:rsidR="004057BC">
        <w:t xml:space="preserve">shows the relative size of each component in the </w:t>
      </w:r>
      <w:r w:rsidR="004057BC" w:rsidRPr="0081219B">
        <w:rPr>
          <w:noProof/>
        </w:rPr>
        <w:t>assessment.</w:t>
      </w:r>
    </w:p>
    <w:p w14:paraId="7C8524AA" w14:textId="30A5DDDA" w:rsidR="00D52CDF" w:rsidRPr="00D52CDF" w:rsidRDefault="00884A43" w:rsidP="00D52CDF">
      <w:pPr>
        <w:pStyle w:val="Caption"/>
        <w:rPr>
          <w:rFonts w:ascii="Work Sans" w:hAnsi="Work Sans"/>
        </w:rPr>
      </w:pPr>
      <w:bookmarkStart w:id="17" w:name="_Ref136426894"/>
      <w:r w:rsidRPr="00D52CDF">
        <w:rPr>
          <w:rFonts w:ascii="Work Sans" w:hAnsi="Work Sans"/>
        </w:rPr>
        <w:t>Table</w:t>
      </w:r>
      <w:r>
        <w:rPr>
          <w:rFonts w:ascii="Work Sans" w:hAnsi="Work Sans"/>
        </w:rPr>
        <w:t> </w:t>
      </w:r>
      <w:r w:rsidR="00D52CDF" w:rsidRPr="00D52CDF">
        <w:rPr>
          <w:rFonts w:ascii="Work Sans" w:hAnsi="Work Sans"/>
        </w:rPr>
        <w:fldChar w:fldCharType="begin"/>
      </w:r>
      <w:r w:rsidR="00D52CDF" w:rsidRPr="00D52CDF">
        <w:rPr>
          <w:rFonts w:ascii="Work Sans" w:hAnsi="Work Sans"/>
        </w:rPr>
        <w:instrText xml:space="preserve"> SEQ Table \* ARABIC </w:instrText>
      </w:r>
      <w:r w:rsidR="00D52CDF" w:rsidRPr="00D52CDF">
        <w:rPr>
          <w:rFonts w:ascii="Work Sans" w:hAnsi="Work Sans"/>
        </w:rPr>
        <w:fldChar w:fldCharType="separate"/>
      </w:r>
      <w:r w:rsidR="00A90833">
        <w:rPr>
          <w:rFonts w:ascii="Work Sans" w:hAnsi="Work Sans"/>
          <w:noProof/>
        </w:rPr>
        <w:t>3</w:t>
      </w:r>
      <w:r w:rsidR="00D52CDF" w:rsidRPr="00D52CDF">
        <w:rPr>
          <w:rFonts w:ascii="Work Sans" w:hAnsi="Work Sans"/>
        </w:rPr>
        <w:fldChar w:fldCharType="end"/>
      </w:r>
      <w:bookmarkEnd w:id="17"/>
      <w:r w:rsidR="00253ADA">
        <w:rPr>
          <w:rFonts w:ascii="Work Sans" w:hAnsi="Work Sans"/>
        </w:rPr>
        <w:tab/>
      </w:r>
      <w:r w:rsidR="00D52CDF" w:rsidRPr="00D52CDF">
        <w:rPr>
          <w:rFonts w:ascii="Work Sans" w:hAnsi="Work Sans"/>
        </w:rPr>
        <w:t>Structure of the mining revenue assessment, 2021</w:t>
      </w:r>
      <w:r w:rsidR="005C1AD0">
        <w:rPr>
          <w:rFonts w:ascii="Work Sans" w:hAnsi="Work Sans"/>
        </w:rPr>
        <w:t>–</w:t>
      </w:r>
      <w:r w:rsidR="00D52CDF" w:rsidRPr="00D52CDF">
        <w:rPr>
          <w:rFonts w:ascii="Work Sans" w:hAnsi="Work Sans"/>
        </w:rPr>
        <w:t>22</w:t>
      </w:r>
    </w:p>
    <w:tbl>
      <w:tblPr>
        <w:tblW w:w="9578" w:type="dxa"/>
        <w:tblLook w:val="04A0" w:firstRow="1" w:lastRow="0" w:firstColumn="1" w:lastColumn="0" w:noHBand="0" w:noVBand="1"/>
      </w:tblPr>
      <w:tblGrid>
        <w:gridCol w:w="1660"/>
        <w:gridCol w:w="1260"/>
        <w:gridCol w:w="258"/>
        <w:gridCol w:w="1900"/>
        <w:gridCol w:w="4500"/>
      </w:tblGrid>
      <w:tr w:rsidR="00D52CDF" w:rsidRPr="00D52CDF" w14:paraId="62BD697A" w14:textId="77777777" w:rsidTr="00D52CDF">
        <w:trPr>
          <w:trHeight w:val="480"/>
        </w:trPr>
        <w:tc>
          <w:tcPr>
            <w:tcW w:w="1660" w:type="dxa"/>
            <w:tcBorders>
              <w:top w:val="single" w:sz="4" w:space="0" w:color="auto"/>
              <w:left w:val="nil"/>
              <w:bottom w:val="nil"/>
              <w:right w:val="nil"/>
            </w:tcBorders>
            <w:shd w:val="clear" w:color="000000" w:fill="006991"/>
            <w:vAlign w:val="center"/>
            <w:hideMark/>
          </w:tcPr>
          <w:p w14:paraId="2AFF2451" w14:textId="77777777" w:rsidR="00D52CDF" w:rsidRPr="00D52CDF" w:rsidRDefault="00D52CDF" w:rsidP="00D52CDF">
            <w:pPr>
              <w:tabs>
                <w:tab w:val="clear" w:pos="567"/>
              </w:tabs>
              <w:spacing w:before="0" w:line="240" w:lineRule="auto"/>
              <w:rPr>
                <w:rFonts w:ascii="Open Sans Semibold" w:eastAsia="Times New Roman" w:hAnsi="Open Sans Semibold" w:cs="Open Sans Semibold"/>
                <w:color w:val="FFFFFF"/>
                <w:sz w:val="16"/>
                <w:szCs w:val="16"/>
                <w:lang w:eastAsia="en-AU"/>
              </w:rPr>
            </w:pPr>
            <w:r w:rsidRPr="00D52CDF">
              <w:rPr>
                <w:rFonts w:ascii="Open Sans Semibold" w:eastAsia="Times New Roman" w:hAnsi="Open Sans Semibold" w:cs="Open Sans Semibold"/>
                <w:color w:val="FFFFFF"/>
                <w:sz w:val="16"/>
                <w:szCs w:val="16"/>
                <w:lang w:eastAsia="en-AU"/>
              </w:rPr>
              <w:t>Component</w:t>
            </w:r>
          </w:p>
        </w:tc>
        <w:tc>
          <w:tcPr>
            <w:tcW w:w="1260" w:type="dxa"/>
            <w:tcBorders>
              <w:top w:val="single" w:sz="4" w:space="0" w:color="auto"/>
              <w:left w:val="nil"/>
              <w:bottom w:val="nil"/>
              <w:right w:val="nil"/>
            </w:tcBorders>
            <w:shd w:val="clear" w:color="000000" w:fill="006991"/>
            <w:vAlign w:val="center"/>
            <w:hideMark/>
          </w:tcPr>
          <w:p w14:paraId="19210AD3"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2CDF">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23A8FA80"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2CDF">
              <w:rPr>
                <w:rFonts w:ascii="Open Sans Semibold" w:eastAsia="Times New Roman" w:hAnsi="Open Sans Semibold" w:cs="Open Sans Semibold"/>
                <w:color w:val="FFFFFF"/>
                <w:sz w:val="16"/>
                <w:szCs w:val="16"/>
                <w:lang w:eastAsia="en-AU"/>
              </w:rPr>
              <w:t> </w:t>
            </w:r>
          </w:p>
        </w:tc>
        <w:tc>
          <w:tcPr>
            <w:tcW w:w="1900" w:type="dxa"/>
            <w:tcBorders>
              <w:top w:val="single" w:sz="4" w:space="0" w:color="auto"/>
              <w:left w:val="nil"/>
              <w:bottom w:val="nil"/>
              <w:right w:val="nil"/>
            </w:tcBorders>
            <w:shd w:val="clear" w:color="000000" w:fill="006991"/>
            <w:vAlign w:val="center"/>
            <w:hideMark/>
          </w:tcPr>
          <w:p w14:paraId="249EBCAB" w14:textId="77777777" w:rsidR="00D52CDF" w:rsidRPr="00D52CDF" w:rsidRDefault="00D52CDF" w:rsidP="00D52CDF">
            <w:pPr>
              <w:tabs>
                <w:tab w:val="clear" w:pos="567"/>
              </w:tabs>
              <w:spacing w:before="0" w:line="240" w:lineRule="auto"/>
              <w:rPr>
                <w:rFonts w:ascii="Open Sans Semibold" w:eastAsia="Times New Roman" w:hAnsi="Open Sans Semibold" w:cs="Open Sans Semibold"/>
                <w:color w:val="FFFFFF"/>
                <w:sz w:val="16"/>
                <w:szCs w:val="16"/>
                <w:lang w:eastAsia="en-AU"/>
              </w:rPr>
            </w:pPr>
            <w:r w:rsidRPr="00D52CDF">
              <w:rPr>
                <w:rFonts w:ascii="Open Sans Semibold" w:eastAsia="Times New Roman" w:hAnsi="Open Sans Semibold" w:cs="Open Sans Semibold"/>
                <w:color w:val="FFFFFF"/>
                <w:sz w:val="16"/>
                <w:szCs w:val="16"/>
                <w:lang w:eastAsia="en-AU"/>
              </w:rPr>
              <w:t>Driver</w:t>
            </w:r>
          </w:p>
        </w:tc>
        <w:tc>
          <w:tcPr>
            <w:tcW w:w="4500" w:type="dxa"/>
            <w:tcBorders>
              <w:top w:val="single" w:sz="4" w:space="0" w:color="auto"/>
              <w:left w:val="nil"/>
              <w:bottom w:val="nil"/>
              <w:right w:val="nil"/>
            </w:tcBorders>
            <w:shd w:val="clear" w:color="000000" w:fill="006991"/>
            <w:vAlign w:val="center"/>
            <w:hideMark/>
          </w:tcPr>
          <w:p w14:paraId="78B8C07D" w14:textId="77777777" w:rsidR="00D52CDF" w:rsidRPr="00D52CDF" w:rsidRDefault="00D52CDF" w:rsidP="00D52CDF">
            <w:pPr>
              <w:tabs>
                <w:tab w:val="clear" w:pos="567"/>
              </w:tabs>
              <w:spacing w:before="0" w:line="240" w:lineRule="auto"/>
              <w:rPr>
                <w:rFonts w:ascii="Open Sans Semibold" w:eastAsia="Times New Roman" w:hAnsi="Open Sans Semibold" w:cs="Open Sans Semibold"/>
                <w:color w:val="FFFFFF"/>
                <w:sz w:val="16"/>
                <w:szCs w:val="16"/>
                <w:lang w:eastAsia="en-AU"/>
              </w:rPr>
            </w:pPr>
            <w:r w:rsidRPr="00D52CDF">
              <w:rPr>
                <w:rFonts w:ascii="Open Sans Semibold" w:eastAsia="Times New Roman" w:hAnsi="Open Sans Semibold" w:cs="Open Sans Semibold"/>
                <w:color w:val="FFFFFF"/>
                <w:sz w:val="16"/>
                <w:szCs w:val="16"/>
                <w:lang w:eastAsia="en-AU"/>
              </w:rPr>
              <w:t>Influence measured by driver</w:t>
            </w:r>
          </w:p>
        </w:tc>
      </w:tr>
      <w:tr w:rsidR="00D52CDF" w:rsidRPr="00D52CDF" w14:paraId="081D481C" w14:textId="77777777" w:rsidTr="00D52CDF">
        <w:trPr>
          <w:trHeight w:val="240"/>
        </w:trPr>
        <w:tc>
          <w:tcPr>
            <w:tcW w:w="1660" w:type="dxa"/>
            <w:tcBorders>
              <w:top w:val="nil"/>
              <w:left w:val="nil"/>
              <w:bottom w:val="nil"/>
              <w:right w:val="nil"/>
            </w:tcBorders>
            <w:shd w:val="clear" w:color="000000" w:fill="B6D5E4"/>
            <w:noWrap/>
            <w:vAlign w:val="center"/>
            <w:hideMark/>
          </w:tcPr>
          <w:p w14:paraId="17846715"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sz w:val="16"/>
                <w:szCs w:val="16"/>
                <w:lang w:eastAsia="en-AU"/>
              </w:rPr>
            </w:pPr>
            <w:r w:rsidRPr="00D52CDF">
              <w:rPr>
                <w:rFonts w:ascii="Open Sans Semibold" w:eastAsia="Times New Roman" w:hAnsi="Open Sans Semibold" w:cs="Open Sans Semibold"/>
                <w:sz w:val="16"/>
                <w:szCs w:val="16"/>
                <w:lang w:eastAsia="en-AU"/>
              </w:rPr>
              <w:t> </w:t>
            </w:r>
          </w:p>
        </w:tc>
        <w:tc>
          <w:tcPr>
            <w:tcW w:w="1260" w:type="dxa"/>
            <w:tcBorders>
              <w:top w:val="nil"/>
              <w:left w:val="nil"/>
              <w:bottom w:val="nil"/>
              <w:right w:val="nil"/>
            </w:tcBorders>
            <w:shd w:val="clear" w:color="000000" w:fill="B6D5E4"/>
            <w:noWrap/>
            <w:vAlign w:val="center"/>
            <w:hideMark/>
          </w:tcPr>
          <w:p w14:paraId="4D734A79"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sz w:val="16"/>
                <w:szCs w:val="16"/>
                <w:lang w:eastAsia="en-AU"/>
              </w:rPr>
            </w:pPr>
            <w:r w:rsidRPr="00D52CDF">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5AFCE67D"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sz w:val="16"/>
                <w:szCs w:val="16"/>
                <w:lang w:eastAsia="en-AU"/>
              </w:rPr>
            </w:pPr>
            <w:r w:rsidRPr="00D52CDF">
              <w:rPr>
                <w:rFonts w:ascii="Open Sans Semibold" w:eastAsia="Times New Roman" w:hAnsi="Open Sans Semibold" w:cs="Open Sans Semibold"/>
                <w:sz w:val="16"/>
                <w:szCs w:val="16"/>
                <w:lang w:eastAsia="en-AU"/>
              </w:rPr>
              <w:t> </w:t>
            </w:r>
          </w:p>
        </w:tc>
        <w:tc>
          <w:tcPr>
            <w:tcW w:w="1900" w:type="dxa"/>
            <w:tcBorders>
              <w:top w:val="nil"/>
              <w:left w:val="nil"/>
              <w:bottom w:val="nil"/>
              <w:right w:val="nil"/>
            </w:tcBorders>
            <w:shd w:val="clear" w:color="000000" w:fill="B6D5E4"/>
            <w:noWrap/>
            <w:vAlign w:val="center"/>
            <w:hideMark/>
          </w:tcPr>
          <w:p w14:paraId="33231DC8"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sz w:val="16"/>
                <w:szCs w:val="16"/>
                <w:lang w:eastAsia="en-AU"/>
              </w:rPr>
            </w:pPr>
            <w:r w:rsidRPr="00D52CDF">
              <w:rPr>
                <w:rFonts w:ascii="Open Sans Semibold" w:eastAsia="Times New Roman" w:hAnsi="Open Sans Semibold" w:cs="Open Sans Semibold"/>
                <w:sz w:val="16"/>
                <w:szCs w:val="16"/>
                <w:lang w:eastAsia="en-AU"/>
              </w:rPr>
              <w:t> </w:t>
            </w:r>
          </w:p>
        </w:tc>
        <w:tc>
          <w:tcPr>
            <w:tcW w:w="4500" w:type="dxa"/>
            <w:tcBorders>
              <w:top w:val="nil"/>
              <w:left w:val="nil"/>
              <w:bottom w:val="nil"/>
              <w:right w:val="nil"/>
            </w:tcBorders>
            <w:shd w:val="clear" w:color="000000" w:fill="B6D5E4"/>
            <w:noWrap/>
            <w:vAlign w:val="center"/>
            <w:hideMark/>
          </w:tcPr>
          <w:p w14:paraId="653A495C" w14:textId="77777777" w:rsidR="00D52CDF" w:rsidRPr="00D52CDF" w:rsidRDefault="00D52CDF" w:rsidP="00D52CDF">
            <w:pPr>
              <w:tabs>
                <w:tab w:val="clear" w:pos="567"/>
              </w:tabs>
              <w:spacing w:before="0" w:line="240" w:lineRule="auto"/>
              <w:jc w:val="right"/>
              <w:rPr>
                <w:rFonts w:ascii="Open Sans Semibold" w:eastAsia="Times New Roman" w:hAnsi="Open Sans Semibold" w:cs="Open Sans Semibold"/>
                <w:sz w:val="16"/>
                <w:szCs w:val="16"/>
                <w:lang w:eastAsia="en-AU"/>
              </w:rPr>
            </w:pPr>
            <w:r w:rsidRPr="00D52CDF">
              <w:rPr>
                <w:rFonts w:ascii="Open Sans Semibold" w:eastAsia="Times New Roman" w:hAnsi="Open Sans Semibold" w:cs="Open Sans Semibold"/>
                <w:sz w:val="16"/>
                <w:szCs w:val="16"/>
                <w:lang w:eastAsia="en-AU"/>
              </w:rPr>
              <w:t> </w:t>
            </w:r>
          </w:p>
        </w:tc>
      </w:tr>
      <w:tr w:rsidR="00D52CDF" w:rsidRPr="00D52CDF" w14:paraId="4BA46882" w14:textId="77777777" w:rsidTr="00D52CDF">
        <w:trPr>
          <w:trHeight w:val="555"/>
        </w:trPr>
        <w:tc>
          <w:tcPr>
            <w:tcW w:w="1660" w:type="dxa"/>
            <w:tcBorders>
              <w:top w:val="single" w:sz="4" w:space="0" w:color="ADD6EA"/>
              <w:left w:val="nil"/>
              <w:bottom w:val="single" w:sz="4" w:space="0" w:color="ADD6EA"/>
              <w:right w:val="nil"/>
            </w:tcBorders>
            <w:shd w:val="clear" w:color="auto" w:fill="auto"/>
            <w:hideMark/>
          </w:tcPr>
          <w:p w14:paraId="66640D0C"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Iron ore</w:t>
            </w:r>
          </w:p>
        </w:tc>
        <w:tc>
          <w:tcPr>
            <w:tcW w:w="1260" w:type="dxa"/>
            <w:tcBorders>
              <w:top w:val="single" w:sz="4" w:space="0" w:color="ADD6EA"/>
              <w:left w:val="nil"/>
              <w:bottom w:val="single" w:sz="4" w:space="0" w:color="ADD6EA"/>
              <w:right w:val="nil"/>
            </w:tcBorders>
            <w:shd w:val="clear" w:color="auto" w:fill="auto"/>
            <w:noWrap/>
            <w:hideMark/>
          </w:tcPr>
          <w:p w14:paraId="27556C03"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9,934</w:t>
            </w:r>
          </w:p>
        </w:tc>
        <w:tc>
          <w:tcPr>
            <w:tcW w:w="258" w:type="dxa"/>
            <w:tcBorders>
              <w:top w:val="single" w:sz="4" w:space="0" w:color="ADD6EA"/>
              <w:left w:val="nil"/>
              <w:bottom w:val="single" w:sz="4" w:space="0" w:color="ADD6EA"/>
              <w:right w:val="nil"/>
            </w:tcBorders>
            <w:shd w:val="clear" w:color="auto" w:fill="auto"/>
            <w:noWrap/>
            <w:hideMark/>
          </w:tcPr>
          <w:p w14:paraId="131D8316"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single" w:sz="4" w:space="0" w:color="ADD6EA"/>
              <w:left w:val="nil"/>
              <w:bottom w:val="single" w:sz="4" w:space="0" w:color="ADD6EA"/>
              <w:right w:val="nil"/>
            </w:tcBorders>
            <w:shd w:val="clear" w:color="auto" w:fill="auto"/>
            <w:hideMark/>
          </w:tcPr>
          <w:p w14:paraId="6E3AAE38"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Value of production</w:t>
            </w:r>
          </w:p>
        </w:tc>
        <w:tc>
          <w:tcPr>
            <w:tcW w:w="4500" w:type="dxa"/>
            <w:tcBorders>
              <w:top w:val="single" w:sz="4" w:space="0" w:color="ADD6EA"/>
              <w:left w:val="nil"/>
              <w:bottom w:val="single" w:sz="4" w:space="0" w:color="ADD6EA"/>
              <w:right w:val="nil"/>
            </w:tcBorders>
            <w:shd w:val="clear" w:color="auto" w:fill="auto"/>
            <w:hideMark/>
          </w:tcPr>
          <w:p w14:paraId="5C3A8245"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greater value of production have greater revenue capacity.</w:t>
            </w:r>
          </w:p>
        </w:tc>
      </w:tr>
      <w:tr w:rsidR="00D52CDF" w:rsidRPr="00D52CDF" w14:paraId="30FA442A" w14:textId="77777777" w:rsidTr="00D52CDF">
        <w:trPr>
          <w:trHeight w:val="555"/>
        </w:trPr>
        <w:tc>
          <w:tcPr>
            <w:tcW w:w="1660" w:type="dxa"/>
            <w:tcBorders>
              <w:top w:val="nil"/>
              <w:left w:val="nil"/>
              <w:bottom w:val="single" w:sz="4" w:space="0" w:color="ADD6EA"/>
              <w:right w:val="nil"/>
            </w:tcBorders>
            <w:shd w:val="clear" w:color="auto" w:fill="auto"/>
            <w:hideMark/>
          </w:tcPr>
          <w:p w14:paraId="7D4A1C17"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Coal</w:t>
            </w:r>
          </w:p>
        </w:tc>
        <w:tc>
          <w:tcPr>
            <w:tcW w:w="1260" w:type="dxa"/>
            <w:tcBorders>
              <w:top w:val="nil"/>
              <w:left w:val="nil"/>
              <w:bottom w:val="single" w:sz="4" w:space="0" w:color="ADD6EA"/>
              <w:right w:val="nil"/>
            </w:tcBorders>
            <w:shd w:val="clear" w:color="auto" w:fill="auto"/>
            <w:noWrap/>
            <w:hideMark/>
          </w:tcPr>
          <w:p w14:paraId="1F248888"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10,890</w:t>
            </w:r>
          </w:p>
        </w:tc>
        <w:tc>
          <w:tcPr>
            <w:tcW w:w="258" w:type="dxa"/>
            <w:tcBorders>
              <w:top w:val="nil"/>
              <w:left w:val="nil"/>
              <w:bottom w:val="single" w:sz="4" w:space="0" w:color="ADD6EA"/>
              <w:right w:val="nil"/>
            </w:tcBorders>
            <w:shd w:val="clear" w:color="auto" w:fill="auto"/>
            <w:noWrap/>
            <w:vAlign w:val="bottom"/>
            <w:hideMark/>
          </w:tcPr>
          <w:p w14:paraId="57968BB7"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457AE22B"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Value of production</w:t>
            </w:r>
          </w:p>
        </w:tc>
        <w:tc>
          <w:tcPr>
            <w:tcW w:w="4500" w:type="dxa"/>
            <w:tcBorders>
              <w:top w:val="nil"/>
              <w:left w:val="nil"/>
              <w:bottom w:val="single" w:sz="4" w:space="0" w:color="ADD6EA"/>
              <w:right w:val="nil"/>
            </w:tcBorders>
            <w:shd w:val="clear" w:color="auto" w:fill="auto"/>
            <w:hideMark/>
          </w:tcPr>
          <w:p w14:paraId="16435AAC"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greater value of production have greater revenue capacity.</w:t>
            </w:r>
          </w:p>
        </w:tc>
      </w:tr>
      <w:tr w:rsidR="00D52CDF" w:rsidRPr="00D52CDF" w14:paraId="61F5A528" w14:textId="77777777" w:rsidTr="00D52CDF">
        <w:trPr>
          <w:trHeight w:val="555"/>
        </w:trPr>
        <w:tc>
          <w:tcPr>
            <w:tcW w:w="1660" w:type="dxa"/>
            <w:tcBorders>
              <w:top w:val="nil"/>
              <w:left w:val="nil"/>
              <w:bottom w:val="single" w:sz="4" w:space="0" w:color="ADD6EA"/>
              <w:right w:val="nil"/>
            </w:tcBorders>
            <w:shd w:val="clear" w:color="auto" w:fill="auto"/>
            <w:hideMark/>
          </w:tcPr>
          <w:p w14:paraId="0C15C445"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Gold</w:t>
            </w:r>
          </w:p>
        </w:tc>
        <w:tc>
          <w:tcPr>
            <w:tcW w:w="1260" w:type="dxa"/>
            <w:tcBorders>
              <w:top w:val="nil"/>
              <w:left w:val="nil"/>
              <w:bottom w:val="single" w:sz="4" w:space="0" w:color="ADD6EA"/>
              <w:right w:val="nil"/>
            </w:tcBorders>
            <w:shd w:val="clear" w:color="auto" w:fill="auto"/>
            <w:noWrap/>
            <w:hideMark/>
          </w:tcPr>
          <w:p w14:paraId="3A1749B5"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716</w:t>
            </w:r>
          </w:p>
        </w:tc>
        <w:tc>
          <w:tcPr>
            <w:tcW w:w="258" w:type="dxa"/>
            <w:tcBorders>
              <w:top w:val="nil"/>
              <w:left w:val="nil"/>
              <w:bottom w:val="single" w:sz="4" w:space="0" w:color="ADD6EA"/>
              <w:right w:val="nil"/>
            </w:tcBorders>
            <w:shd w:val="clear" w:color="auto" w:fill="auto"/>
            <w:noWrap/>
            <w:vAlign w:val="bottom"/>
            <w:hideMark/>
          </w:tcPr>
          <w:p w14:paraId="2A7378E6"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2AF1E8B9"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Value of production</w:t>
            </w:r>
          </w:p>
        </w:tc>
        <w:tc>
          <w:tcPr>
            <w:tcW w:w="4500" w:type="dxa"/>
            <w:tcBorders>
              <w:top w:val="nil"/>
              <w:left w:val="nil"/>
              <w:bottom w:val="single" w:sz="4" w:space="0" w:color="ADD6EA"/>
              <w:right w:val="nil"/>
            </w:tcBorders>
            <w:shd w:val="clear" w:color="auto" w:fill="auto"/>
            <w:hideMark/>
          </w:tcPr>
          <w:p w14:paraId="1D79BA88"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greater value of production have greater revenue capacity.</w:t>
            </w:r>
          </w:p>
        </w:tc>
      </w:tr>
      <w:tr w:rsidR="00D52CDF" w:rsidRPr="00D52CDF" w14:paraId="10F4C7C5" w14:textId="77777777" w:rsidTr="00D52CDF">
        <w:trPr>
          <w:trHeight w:val="555"/>
        </w:trPr>
        <w:tc>
          <w:tcPr>
            <w:tcW w:w="1660" w:type="dxa"/>
            <w:tcBorders>
              <w:top w:val="nil"/>
              <w:left w:val="nil"/>
              <w:bottom w:val="single" w:sz="4" w:space="0" w:color="ADD6EA"/>
              <w:right w:val="nil"/>
            </w:tcBorders>
            <w:shd w:val="clear" w:color="auto" w:fill="auto"/>
            <w:hideMark/>
          </w:tcPr>
          <w:p w14:paraId="27CDE0C0"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Copper</w:t>
            </w:r>
          </w:p>
        </w:tc>
        <w:tc>
          <w:tcPr>
            <w:tcW w:w="1260" w:type="dxa"/>
            <w:tcBorders>
              <w:top w:val="nil"/>
              <w:left w:val="nil"/>
              <w:bottom w:val="single" w:sz="4" w:space="0" w:color="ADD6EA"/>
              <w:right w:val="nil"/>
            </w:tcBorders>
            <w:shd w:val="clear" w:color="auto" w:fill="auto"/>
            <w:noWrap/>
            <w:hideMark/>
          </w:tcPr>
          <w:p w14:paraId="2033EAD6"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370</w:t>
            </w:r>
          </w:p>
        </w:tc>
        <w:tc>
          <w:tcPr>
            <w:tcW w:w="258" w:type="dxa"/>
            <w:tcBorders>
              <w:top w:val="nil"/>
              <w:left w:val="nil"/>
              <w:bottom w:val="single" w:sz="4" w:space="0" w:color="ADD6EA"/>
              <w:right w:val="nil"/>
            </w:tcBorders>
            <w:shd w:val="clear" w:color="auto" w:fill="auto"/>
            <w:noWrap/>
            <w:vAlign w:val="bottom"/>
            <w:hideMark/>
          </w:tcPr>
          <w:p w14:paraId="02C4D95B"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54D321B8"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Value of production</w:t>
            </w:r>
          </w:p>
        </w:tc>
        <w:tc>
          <w:tcPr>
            <w:tcW w:w="4500" w:type="dxa"/>
            <w:tcBorders>
              <w:top w:val="nil"/>
              <w:left w:val="nil"/>
              <w:bottom w:val="single" w:sz="4" w:space="0" w:color="ADD6EA"/>
              <w:right w:val="nil"/>
            </w:tcBorders>
            <w:shd w:val="clear" w:color="auto" w:fill="auto"/>
            <w:hideMark/>
          </w:tcPr>
          <w:p w14:paraId="42C16963"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greater value of production have greater revenue capacity.</w:t>
            </w:r>
          </w:p>
        </w:tc>
      </w:tr>
      <w:tr w:rsidR="00D52CDF" w:rsidRPr="00D52CDF" w14:paraId="4F8E957D" w14:textId="77777777" w:rsidTr="00D52CDF">
        <w:trPr>
          <w:trHeight w:val="555"/>
        </w:trPr>
        <w:tc>
          <w:tcPr>
            <w:tcW w:w="1660" w:type="dxa"/>
            <w:tcBorders>
              <w:top w:val="nil"/>
              <w:left w:val="nil"/>
              <w:bottom w:val="single" w:sz="4" w:space="0" w:color="ADD6EA"/>
              <w:right w:val="nil"/>
            </w:tcBorders>
            <w:shd w:val="clear" w:color="auto" w:fill="auto"/>
            <w:hideMark/>
          </w:tcPr>
          <w:p w14:paraId="19A08B03"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Other minerals (a)</w:t>
            </w:r>
          </w:p>
        </w:tc>
        <w:tc>
          <w:tcPr>
            <w:tcW w:w="1260" w:type="dxa"/>
            <w:tcBorders>
              <w:top w:val="nil"/>
              <w:left w:val="nil"/>
              <w:bottom w:val="single" w:sz="4" w:space="0" w:color="ADD6EA"/>
              <w:right w:val="nil"/>
            </w:tcBorders>
            <w:shd w:val="clear" w:color="auto" w:fill="auto"/>
            <w:noWrap/>
            <w:hideMark/>
          </w:tcPr>
          <w:p w14:paraId="3F01BFA4"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2,801</w:t>
            </w:r>
          </w:p>
        </w:tc>
        <w:tc>
          <w:tcPr>
            <w:tcW w:w="258" w:type="dxa"/>
            <w:tcBorders>
              <w:top w:val="nil"/>
              <w:left w:val="nil"/>
              <w:bottom w:val="single" w:sz="4" w:space="0" w:color="ADD6EA"/>
              <w:right w:val="nil"/>
            </w:tcBorders>
            <w:shd w:val="clear" w:color="auto" w:fill="auto"/>
            <w:noWrap/>
            <w:vAlign w:val="bottom"/>
            <w:hideMark/>
          </w:tcPr>
          <w:p w14:paraId="4121D058"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49428AAC"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Value of production</w:t>
            </w:r>
          </w:p>
        </w:tc>
        <w:tc>
          <w:tcPr>
            <w:tcW w:w="4500" w:type="dxa"/>
            <w:tcBorders>
              <w:top w:val="nil"/>
              <w:left w:val="nil"/>
              <w:bottom w:val="single" w:sz="4" w:space="0" w:color="ADD6EA"/>
              <w:right w:val="nil"/>
            </w:tcBorders>
            <w:shd w:val="clear" w:color="auto" w:fill="auto"/>
            <w:hideMark/>
          </w:tcPr>
          <w:p w14:paraId="18CEC5FF"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greater value of production have greater revenue capacity.</w:t>
            </w:r>
          </w:p>
        </w:tc>
      </w:tr>
      <w:tr w:rsidR="00D52CDF" w:rsidRPr="00D52CDF" w14:paraId="035DD473" w14:textId="77777777" w:rsidTr="00D52CDF">
        <w:trPr>
          <w:trHeight w:val="555"/>
        </w:trPr>
        <w:tc>
          <w:tcPr>
            <w:tcW w:w="1660" w:type="dxa"/>
            <w:tcBorders>
              <w:top w:val="nil"/>
              <w:left w:val="nil"/>
              <w:bottom w:val="single" w:sz="4" w:space="0" w:color="ADD6EA"/>
              <w:right w:val="nil"/>
            </w:tcBorders>
            <w:shd w:val="clear" w:color="auto" w:fill="auto"/>
            <w:hideMark/>
          </w:tcPr>
          <w:p w14:paraId="2C09ABB0"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Grants in lieu of royalties</w:t>
            </w:r>
          </w:p>
        </w:tc>
        <w:tc>
          <w:tcPr>
            <w:tcW w:w="1260" w:type="dxa"/>
            <w:tcBorders>
              <w:top w:val="nil"/>
              <w:left w:val="nil"/>
              <w:bottom w:val="single" w:sz="4" w:space="0" w:color="ADD6EA"/>
              <w:right w:val="nil"/>
            </w:tcBorders>
            <w:shd w:val="clear" w:color="auto" w:fill="auto"/>
            <w:noWrap/>
            <w:hideMark/>
          </w:tcPr>
          <w:p w14:paraId="0A0C3929" w14:textId="77777777" w:rsidR="00D52CDF" w:rsidRPr="00D52CDF" w:rsidRDefault="00D52CDF" w:rsidP="00D52CDF">
            <w:pPr>
              <w:tabs>
                <w:tab w:val="clear" w:pos="567"/>
              </w:tabs>
              <w:spacing w:before="0" w:line="240" w:lineRule="auto"/>
              <w:jc w:val="right"/>
              <w:rPr>
                <w:rFonts w:eastAsia="Times New Roman" w:cs="Open Sans Light"/>
                <w:sz w:val="16"/>
                <w:szCs w:val="16"/>
                <w:lang w:eastAsia="en-AU"/>
              </w:rPr>
            </w:pPr>
            <w:r w:rsidRPr="00D52CDF">
              <w:rPr>
                <w:rFonts w:eastAsia="Times New Roman" w:cs="Open Sans Light"/>
                <w:sz w:val="16"/>
                <w:szCs w:val="16"/>
                <w:lang w:eastAsia="en-AU"/>
              </w:rPr>
              <w:t>1,039</w:t>
            </w:r>
          </w:p>
        </w:tc>
        <w:tc>
          <w:tcPr>
            <w:tcW w:w="258" w:type="dxa"/>
            <w:tcBorders>
              <w:top w:val="nil"/>
              <w:left w:val="nil"/>
              <w:bottom w:val="single" w:sz="4" w:space="0" w:color="ADD6EA"/>
              <w:right w:val="nil"/>
            </w:tcBorders>
            <w:shd w:val="clear" w:color="auto" w:fill="auto"/>
            <w:noWrap/>
            <w:vAlign w:val="bottom"/>
            <w:hideMark/>
          </w:tcPr>
          <w:p w14:paraId="11F9928B"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noWrap/>
            <w:hideMark/>
          </w:tcPr>
          <w:p w14:paraId="2E779E43"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Revenue received</w:t>
            </w:r>
          </w:p>
        </w:tc>
        <w:tc>
          <w:tcPr>
            <w:tcW w:w="4500" w:type="dxa"/>
            <w:tcBorders>
              <w:top w:val="nil"/>
              <w:left w:val="nil"/>
              <w:bottom w:val="single" w:sz="4" w:space="0" w:color="ADD6EA"/>
              <w:right w:val="nil"/>
            </w:tcBorders>
            <w:shd w:val="clear" w:color="auto" w:fill="auto"/>
            <w:hideMark/>
          </w:tcPr>
          <w:p w14:paraId="3DFF39EB" w14:textId="77777777" w:rsidR="00D52CDF" w:rsidRPr="00D52CDF" w:rsidRDefault="00D52CDF" w:rsidP="00D52CDF">
            <w:pPr>
              <w:tabs>
                <w:tab w:val="clear" w:pos="567"/>
              </w:tabs>
              <w:spacing w:before="0" w:line="240" w:lineRule="auto"/>
              <w:rPr>
                <w:rFonts w:eastAsia="Times New Roman" w:cs="Open Sans Light"/>
                <w:sz w:val="16"/>
                <w:szCs w:val="16"/>
                <w:lang w:eastAsia="en-AU"/>
              </w:rPr>
            </w:pPr>
            <w:r w:rsidRPr="00D52CDF">
              <w:rPr>
                <w:rFonts w:eastAsia="Times New Roman" w:cs="Open Sans Light"/>
                <w:sz w:val="16"/>
                <w:szCs w:val="16"/>
                <w:lang w:eastAsia="en-AU"/>
              </w:rPr>
              <w:t>Recognises states with a greater share of these payments have greater revenue capacity.</w:t>
            </w:r>
          </w:p>
        </w:tc>
      </w:tr>
    </w:tbl>
    <w:p w14:paraId="0BF86940" w14:textId="0DC3110F" w:rsidR="00775DA6" w:rsidRDefault="00775DA6" w:rsidP="000823FB">
      <w:pPr>
        <w:pStyle w:val="CGC2025Tablenote"/>
        <w:numPr>
          <w:ilvl w:val="0"/>
          <w:numId w:val="44"/>
        </w:numPr>
      </w:pPr>
      <w:r>
        <w:t>Includes onshore oil and gas, bauxite</w:t>
      </w:r>
      <w:r w:rsidR="00EC168B">
        <w:t>,</w:t>
      </w:r>
      <w:r>
        <w:t xml:space="preserve"> and lithium royalties. These royalties are </w:t>
      </w:r>
      <w:r w:rsidRPr="00AC5F9B">
        <w:t xml:space="preserve">separately </w:t>
      </w:r>
      <w:proofErr w:type="gramStart"/>
      <w:r>
        <w:t>assessed</w:t>
      </w:r>
      <w:proofErr w:type="gramEnd"/>
      <w:r>
        <w:t xml:space="preserve"> and, </w:t>
      </w:r>
      <w:r w:rsidRPr="00AC5F9B">
        <w:t>for confidentiality reasons, the results are reported with the other minerals assessment</w:t>
      </w:r>
      <w:r>
        <w:t xml:space="preserve">. </w:t>
      </w:r>
    </w:p>
    <w:p w14:paraId="53EA7C9D" w14:textId="77777777" w:rsidR="00775DA6" w:rsidRDefault="00775DA6" w:rsidP="000823FB">
      <w:pPr>
        <w:pStyle w:val="CGC2025Tablenote"/>
      </w:pPr>
      <w:r>
        <w:t>Source:</w:t>
      </w:r>
      <w:r>
        <w:tab/>
        <w:t xml:space="preserve">Component revenue data provided by states for the 2023 Update. </w:t>
      </w:r>
    </w:p>
    <w:p w14:paraId="1C00CA33" w14:textId="32C05F3C" w:rsidR="00183391" w:rsidRPr="00183391" w:rsidRDefault="00183391" w:rsidP="00183391">
      <w:pPr>
        <w:pStyle w:val="Heading3"/>
      </w:pPr>
      <w:bookmarkStart w:id="18" w:name="_Toc138927239"/>
      <w:r>
        <w:lastRenderedPageBreak/>
        <w:t>GST distribution in the 2023 Update</w:t>
      </w:r>
      <w:bookmarkEnd w:id="18"/>
    </w:p>
    <w:p w14:paraId="14EDBF7A" w14:textId="2BF5D701" w:rsidR="00051664" w:rsidRDefault="00655715" w:rsidP="00051664">
      <w:pPr>
        <w:pStyle w:val="CGC2025ParaNumbers"/>
      </w:pPr>
      <w:r>
        <w:fldChar w:fldCharType="begin"/>
      </w:r>
      <w:r>
        <w:instrText xml:space="preserve"> REF _Ref136427121 \h </w:instrText>
      </w:r>
      <w:r>
        <w:fldChar w:fldCharType="separate"/>
      </w:r>
      <w:r w:rsidR="00A90833" w:rsidRPr="00587727">
        <w:t>Table</w:t>
      </w:r>
      <w:r w:rsidR="00A90833">
        <w:t> </w:t>
      </w:r>
      <w:r w:rsidR="00A90833">
        <w:rPr>
          <w:noProof/>
        </w:rPr>
        <w:t>4</w:t>
      </w:r>
      <w:r>
        <w:fldChar w:fldCharType="end"/>
      </w:r>
      <w:r w:rsidR="00051664">
        <w:t xml:space="preserve"> </w:t>
      </w:r>
      <w:r w:rsidR="00051664" w:rsidRPr="0DCB35A7">
        <w:t xml:space="preserve">shows the extent to which the assessment results in </w:t>
      </w:r>
      <w:r w:rsidR="00051664">
        <w:t>a different</w:t>
      </w:r>
      <w:r w:rsidR="00051664" w:rsidRPr="0DCB35A7">
        <w:t xml:space="preserve"> distribution of GST compared with an equal per capita distribution</w:t>
      </w:r>
      <w:r w:rsidR="00051664">
        <w:t xml:space="preserve">. In the 2023 Update, the distribution of GST from the mining assessment differed by $12.8 billion ($484 per capita) compared </w:t>
      </w:r>
      <w:r w:rsidR="00271163">
        <w:t>with</w:t>
      </w:r>
      <w:r w:rsidR="00051664">
        <w:t xml:space="preserve"> an equal per capita distribution. </w:t>
      </w:r>
      <w:r w:rsidR="00051664" w:rsidRPr="0DCB35A7">
        <w:t>States assessed to have above</w:t>
      </w:r>
      <w:r w:rsidR="00301F21">
        <w:t>-</w:t>
      </w:r>
      <w:r w:rsidR="00051664" w:rsidRPr="0DCB35A7">
        <w:t>average mining revenue capacity (Queensland, Western </w:t>
      </w:r>
      <w:proofErr w:type="gramStart"/>
      <w:r w:rsidR="00051664" w:rsidRPr="0DCB35A7">
        <w:t>Australia</w:t>
      </w:r>
      <w:proofErr w:type="gramEnd"/>
      <w:r w:rsidR="00051664" w:rsidRPr="0DCB35A7">
        <w:t xml:space="preserve"> and the Northern Territory) had lower </w:t>
      </w:r>
      <w:r w:rsidR="00DD4E60">
        <w:t>assessed</w:t>
      </w:r>
      <w:r w:rsidR="00051664" w:rsidRPr="0DCB35A7">
        <w:t xml:space="preserve"> GST needs. The remaining states were assessed to have below</w:t>
      </w:r>
      <w:r w:rsidR="002E777E">
        <w:t>-</w:t>
      </w:r>
      <w:r w:rsidR="00051664" w:rsidRPr="0DCB35A7">
        <w:t xml:space="preserve">average mining revenue capacity and higher </w:t>
      </w:r>
      <w:r w:rsidR="00EA1ECC">
        <w:t>assessed</w:t>
      </w:r>
      <w:r w:rsidR="00051664" w:rsidRPr="0DCB35A7">
        <w:t xml:space="preserve"> GST needs.</w:t>
      </w:r>
    </w:p>
    <w:p w14:paraId="7FD770A0" w14:textId="4FFAB2C2" w:rsidR="00051664" w:rsidRDefault="00216C84" w:rsidP="00051664">
      <w:pPr>
        <w:pStyle w:val="CGC2025ParaNumbers"/>
      </w:pPr>
      <w:r>
        <w:fldChar w:fldCharType="begin"/>
      </w:r>
      <w:r>
        <w:instrText xml:space="preserve"> REF _Ref136427121 \h </w:instrText>
      </w:r>
      <w:r>
        <w:fldChar w:fldCharType="separate"/>
      </w:r>
      <w:r w:rsidR="00A90833" w:rsidRPr="00587727">
        <w:t>Table</w:t>
      </w:r>
      <w:r w:rsidR="00A90833">
        <w:t> </w:t>
      </w:r>
      <w:r w:rsidR="00A90833">
        <w:rPr>
          <w:noProof/>
        </w:rPr>
        <w:t>4</w:t>
      </w:r>
      <w:r>
        <w:fldChar w:fldCharType="end"/>
      </w:r>
      <w:r>
        <w:t xml:space="preserve"> </w:t>
      </w:r>
      <w:r w:rsidR="00051664">
        <w:t>shows GST effects varied by mineral, reflecting differences in states’ value of production by mineral.</w:t>
      </w:r>
    </w:p>
    <w:p w14:paraId="69F1E50A" w14:textId="6756DFB5" w:rsidR="00587727" w:rsidRPr="00587727" w:rsidRDefault="00655715" w:rsidP="00587727">
      <w:pPr>
        <w:pStyle w:val="Caption"/>
        <w:rPr>
          <w:rFonts w:ascii="Work Sans" w:hAnsi="Work Sans"/>
        </w:rPr>
      </w:pPr>
      <w:bookmarkStart w:id="19" w:name="_Ref136427121"/>
      <w:r w:rsidRPr="00587727">
        <w:rPr>
          <w:rFonts w:ascii="Work Sans" w:hAnsi="Work Sans"/>
        </w:rPr>
        <w:t>Table</w:t>
      </w:r>
      <w:r>
        <w:rPr>
          <w:rFonts w:ascii="Work Sans" w:hAnsi="Work Sans"/>
        </w:rPr>
        <w:t> </w:t>
      </w:r>
      <w:r w:rsidR="00587727" w:rsidRPr="00587727">
        <w:rPr>
          <w:rFonts w:ascii="Work Sans" w:hAnsi="Work Sans"/>
        </w:rPr>
        <w:fldChar w:fldCharType="begin"/>
      </w:r>
      <w:r w:rsidR="00587727" w:rsidRPr="00587727">
        <w:rPr>
          <w:rFonts w:ascii="Work Sans" w:hAnsi="Work Sans"/>
        </w:rPr>
        <w:instrText xml:space="preserve"> SEQ Table \* ARABIC </w:instrText>
      </w:r>
      <w:r w:rsidR="00587727" w:rsidRPr="00587727">
        <w:rPr>
          <w:rFonts w:ascii="Work Sans" w:hAnsi="Work Sans"/>
        </w:rPr>
        <w:fldChar w:fldCharType="separate"/>
      </w:r>
      <w:r w:rsidR="00A90833">
        <w:rPr>
          <w:rFonts w:ascii="Work Sans" w:hAnsi="Work Sans"/>
          <w:noProof/>
        </w:rPr>
        <w:t>4</w:t>
      </w:r>
      <w:r w:rsidR="00587727" w:rsidRPr="00587727">
        <w:rPr>
          <w:rFonts w:ascii="Work Sans" w:hAnsi="Work Sans"/>
        </w:rPr>
        <w:fldChar w:fldCharType="end"/>
      </w:r>
      <w:bookmarkEnd w:id="19"/>
      <w:r w:rsidR="00216C84">
        <w:rPr>
          <w:rFonts w:ascii="Work Sans" w:hAnsi="Work Sans"/>
        </w:rPr>
        <w:tab/>
      </w:r>
      <w:r w:rsidR="00587727" w:rsidRPr="00587727">
        <w:rPr>
          <w:rFonts w:ascii="Work Sans" w:hAnsi="Work Sans"/>
        </w:rPr>
        <w:t xml:space="preserve">GST impact of the mining revenue assessment, 2023 </w:t>
      </w:r>
      <w:proofErr w:type="gramStart"/>
      <w:r w:rsidR="00587727" w:rsidRPr="00587727">
        <w:rPr>
          <w:rFonts w:ascii="Work Sans" w:hAnsi="Work Sans"/>
        </w:rPr>
        <w:t>Update</w:t>
      </w:r>
      <w:proofErr w:type="gramEnd"/>
    </w:p>
    <w:tbl>
      <w:tblPr>
        <w:tblW w:w="9340" w:type="dxa"/>
        <w:tblLook w:val="04A0" w:firstRow="1" w:lastRow="0" w:firstColumn="1" w:lastColumn="0" w:noHBand="0" w:noVBand="1"/>
      </w:tblPr>
      <w:tblGrid>
        <w:gridCol w:w="1600"/>
        <w:gridCol w:w="860"/>
        <w:gridCol w:w="860"/>
        <w:gridCol w:w="860"/>
        <w:gridCol w:w="860"/>
        <w:gridCol w:w="860"/>
        <w:gridCol w:w="860"/>
        <w:gridCol w:w="860"/>
        <w:gridCol w:w="860"/>
        <w:gridCol w:w="860"/>
      </w:tblGrid>
      <w:tr w:rsidR="008D2057" w:rsidRPr="008D2057" w14:paraId="29D40CF8" w14:textId="77777777" w:rsidTr="008D2057">
        <w:trPr>
          <w:trHeight w:val="375"/>
        </w:trPr>
        <w:tc>
          <w:tcPr>
            <w:tcW w:w="1600" w:type="dxa"/>
            <w:tcBorders>
              <w:top w:val="single" w:sz="4" w:space="0" w:color="auto"/>
              <w:left w:val="nil"/>
              <w:bottom w:val="nil"/>
              <w:right w:val="nil"/>
            </w:tcBorders>
            <w:shd w:val="clear" w:color="000000" w:fill="006991"/>
            <w:noWrap/>
            <w:vAlign w:val="center"/>
            <w:hideMark/>
          </w:tcPr>
          <w:p w14:paraId="0C21900D" w14:textId="77777777" w:rsidR="008D2057" w:rsidRPr="008D2057" w:rsidRDefault="008D2057" w:rsidP="008D2057">
            <w:pPr>
              <w:tabs>
                <w:tab w:val="clear" w:pos="567"/>
              </w:tabs>
              <w:spacing w:before="0" w:line="240" w:lineRule="auto"/>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 </w:t>
            </w:r>
          </w:p>
        </w:tc>
        <w:tc>
          <w:tcPr>
            <w:tcW w:w="860" w:type="dxa"/>
            <w:tcBorders>
              <w:top w:val="single" w:sz="4" w:space="0" w:color="auto"/>
              <w:left w:val="nil"/>
              <w:bottom w:val="nil"/>
              <w:right w:val="nil"/>
            </w:tcBorders>
            <w:shd w:val="clear" w:color="000000" w:fill="006991"/>
            <w:noWrap/>
            <w:vAlign w:val="center"/>
            <w:hideMark/>
          </w:tcPr>
          <w:p w14:paraId="7E9FFDB0"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NSW</w:t>
            </w:r>
          </w:p>
        </w:tc>
        <w:tc>
          <w:tcPr>
            <w:tcW w:w="860" w:type="dxa"/>
            <w:tcBorders>
              <w:top w:val="single" w:sz="4" w:space="0" w:color="auto"/>
              <w:left w:val="nil"/>
              <w:bottom w:val="nil"/>
              <w:right w:val="nil"/>
            </w:tcBorders>
            <w:shd w:val="clear" w:color="000000" w:fill="006991"/>
            <w:noWrap/>
            <w:vAlign w:val="center"/>
            <w:hideMark/>
          </w:tcPr>
          <w:p w14:paraId="5AD44744"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Vic</w:t>
            </w:r>
          </w:p>
        </w:tc>
        <w:tc>
          <w:tcPr>
            <w:tcW w:w="860" w:type="dxa"/>
            <w:tcBorders>
              <w:top w:val="single" w:sz="4" w:space="0" w:color="auto"/>
              <w:left w:val="nil"/>
              <w:bottom w:val="nil"/>
              <w:right w:val="nil"/>
            </w:tcBorders>
            <w:shd w:val="clear" w:color="000000" w:fill="006991"/>
            <w:noWrap/>
            <w:vAlign w:val="center"/>
            <w:hideMark/>
          </w:tcPr>
          <w:p w14:paraId="1CBEDF23"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Qld</w:t>
            </w:r>
          </w:p>
        </w:tc>
        <w:tc>
          <w:tcPr>
            <w:tcW w:w="860" w:type="dxa"/>
            <w:tcBorders>
              <w:top w:val="single" w:sz="4" w:space="0" w:color="auto"/>
              <w:left w:val="nil"/>
              <w:bottom w:val="nil"/>
              <w:right w:val="nil"/>
            </w:tcBorders>
            <w:shd w:val="clear" w:color="000000" w:fill="006991"/>
            <w:noWrap/>
            <w:vAlign w:val="center"/>
            <w:hideMark/>
          </w:tcPr>
          <w:p w14:paraId="6182F69D"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WA</w:t>
            </w:r>
          </w:p>
        </w:tc>
        <w:tc>
          <w:tcPr>
            <w:tcW w:w="860" w:type="dxa"/>
            <w:tcBorders>
              <w:top w:val="single" w:sz="4" w:space="0" w:color="auto"/>
              <w:left w:val="nil"/>
              <w:bottom w:val="nil"/>
              <w:right w:val="nil"/>
            </w:tcBorders>
            <w:shd w:val="clear" w:color="000000" w:fill="006991"/>
            <w:noWrap/>
            <w:vAlign w:val="center"/>
            <w:hideMark/>
          </w:tcPr>
          <w:p w14:paraId="783BC803"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SA</w:t>
            </w:r>
          </w:p>
        </w:tc>
        <w:tc>
          <w:tcPr>
            <w:tcW w:w="860" w:type="dxa"/>
            <w:tcBorders>
              <w:top w:val="single" w:sz="4" w:space="0" w:color="auto"/>
              <w:left w:val="nil"/>
              <w:bottom w:val="nil"/>
              <w:right w:val="nil"/>
            </w:tcBorders>
            <w:shd w:val="clear" w:color="000000" w:fill="006991"/>
            <w:noWrap/>
            <w:vAlign w:val="center"/>
            <w:hideMark/>
          </w:tcPr>
          <w:p w14:paraId="28751945"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Tas</w:t>
            </w:r>
          </w:p>
        </w:tc>
        <w:tc>
          <w:tcPr>
            <w:tcW w:w="860" w:type="dxa"/>
            <w:tcBorders>
              <w:top w:val="single" w:sz="4" w:space="0" w:color="auto"/>
              <w:left w:val="nil"/>
              <w:bottom w:val="nil"/>
              <w:right w:val="nil"/>
            </w:tcBorders>
            <w:shd w:val="clear" w:color="000000" w:fill="006991"/>
            <w:noWrap/>
            <w:vAlign w:val="center"/>
            <w:hideMark/>
          </w:tcPr>
          <w:p w14:paraId="2F574169"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ACT</w:t>
            </w:r>
          </w:p>
        </w:tc>
        <w:tc>
          <w:tcPr>
            <w:tcW w:w="860" w:type="dxa"/>
            <w:tcBorders>
              <w:top w:val="single" w:sz="4" w:space="0" w:color="auto"/>
              <w:left w:val="nil"/>
              <w:bottom w:val="nil"/>
              <w:right w:val="nil"/>
            </w:tcBorders>
            <w:shd w:val="clear" w:color="000000" w:fill="006991"/>
            <w:noWrap/>
            <w:vAlign w:val="center"/>
            <w:hideMark/>
          </w:tcPr>
          <w:p w14:paraId="41752EB6"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NT</w:t>
            </w:r>
          </w:p>
        </w:tc>
        <w:tc>
          <w:tcPr>
            <w:tcW w:w="860" w:type="dxa"/>
            <w:tcBorders>
              <w:top w:val="single" w:sz="4" w:space="0" w:color="auto"/>
              <w:left w:val="nil"/>
              <w:bottom w:val="nil"/>
              <w:right w:val="nil"/>
            </w:tcBorders>
            <w:shd w:val="clear" w:color="000000" w:fill="006991"/>
            <w:noWrap/>
            <w:vAlign w:val="center"/>
            <w:hideMark/>
          </w:tcPr>
          <w:p w14:paraId="478DE69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2057">
              <w:rPr>
                <w:rFonts w:ascii="Open Sans Semibold" w:eastAsia="Times New Roman" w:hAnsi="Open Sans Semibold" w:cs="Open Sans Semibold"/>
                <w:color w:val="FFFFFF"/>
                <w:sz w:val="16"/>
                <w:szCs w:val="16"/>
                <w:lang w:eastAsia="en-AU"/>
              </w:rPr>
              <w:t>Total</w:t>
            </w:r>
          </w:p>
        </w:tc>
      </w:tr>
      <w:tr w:rsidR="008D2057" w:rsidRPr="008D2057" w14:paraId="2C53862A" w14:textId="77777777" w:rsidTr="008D2057">
        <w:trPr>
          <w:trHeight w:val="315"/>
        </w:trPr>
        <w:tc>
          <w:tcPr>
            <w:tcW w:w="1600" w:type="dxa"/>
            <w:tcBorders>
              <w:top w:val="single" w:sz="4" w:space="0" w:color="ADD6EA"/>
              <w:left w:val="nil"/>
              <w:bottom w:val="single" w:sz="4" w:space="0" w:color="ADD6EA"/>
              <w:right w:val="nil"/>
            </w:tcBorders>
            <w:shd w:val="clear" w:color="auto" w:fill="auto"/>
            <w:noWrap/>
            <w:vAlign w:val="bottom"/>
            <w:hideMark/>
          </w:tcPr>
          <w:p w14:paraId="47023EF7"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Iron ore</w:t>
            </w:r>
          </w:p>
        </w:tc>
        <w:tc>
          <w:tcPr>
            <w:tcW w:w="860" w:type="dxa"/>
            <w:tcBorders>
              <w:top w:val="single" w:sz="4" w:space="0" w:color="ADD6EA"/>
              <w:left w:val="nil"/>
              <w:bottom w:val="single" w:sz="4" w:space="0" w:color="ADD6EA"/>
              <w:right w:val="nil"/>
            </w:tcBorders>
            <w:shd w:val="clear" w:color="auto" w:fill="auto"/>
            <w:noWrap/>
            <w:vAlign w:val="bottom"/>
            <w:hideMark/>
          </w:tcPr>
          <w:p w14:paraId="3C365E66"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3,753</w:t>
            </w:r>
          </w:p>
        </w:tc>
        <w:tc>
          <w:tcPr>
            <w:tcW w:w="860" w:type="dxa"/>
            <w:tcBorders>
              <w:top w:val="single" w:sz="4" w:space="0" w:color="ADD6EA"/>
              <w:left w:val="nil"/>
              <w:bottom w:val="single" w:sz="4" w:space="0" w:color="ADD6EA"/>
              <w:right w:val="nil"/>
            </w:tcBorders>
            <w:shd w:val="clear" w:color="auto" w:fill="auto"/>
            <w:noWrap/>
            <w:vAlign w:val="bottom"/>
            <w:hideMark/>
          </w:tcPr>
          <w:p w14:paraId="0CD052A3"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3,076</w:t>
            </w:r>
          </w:p>
        </w:tc>
        <w:tc>
          <w:tcPr>
            <w:tcW w:w="860" w:type="dxa"/>
            <w:tcBorders>
              <w:top w:val="single" w:sz="4" w:space="0" w:color="ADD6EA"/>
              <w:left w:val="nil"/>
              <w:bottom w:val="single" w:sz="4" w:space="0" w:color="ADD6EA"/>
              <w:right w:val="nil"/>
            </w:tcBorders>
            <w:shd w:val="clear" w:color="auto" w:fill="auto"/>
            <w:noWrap/>
            <w:vAlign w:val="bottom"/>
            <w:hideMark/>
          </w:tcPr>
          <w:p w14:paraId="2EFEFA0D"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2,462</w:t>
            </w:r>
          </w:p>
        </w:tc>
        <w:tc>
          <w:tcPr>
            <w:tcW w:w="860" w:type="dxa"/>
            <w:tcBorders>
              <w:top w:val="single" w:sz="4" w:space="0" w:color="ADD6EA"/>
              <w:left w:val="nil"/>
              <w:bottom w:val="single" w:sz="4" w:space="0" w:color="ADD6EA"/>
              <w:right w:val="nil"/>
            </w:tcBorders>
            <w:shd w:val="clear" w:color="auto" w:fill="auto"/>
            <w:noWrap/>
            <w:vAlign w:val="bottom"/>
            <w:hideMark/>
          </w:tcPr>
          <w:p w14:paraId="06CB9F77"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-10,586</w:t>
            </w:r>
          </w:p>
        </w:tc>
        <w:tc>
          <w:tcPr>
            <w:tcW w:w="860" w:type="dxa"/>
            <w:tcBorders>
              <w:top w:val="single" w:sz="4" w:space="0" w:color="ADD6EA"/>
              <w:left w:val="nil"/>
              <w:bottom w:val="single" w:sz="4" w:space="0" w:color="ADD6EA"/>
              <w:right w:val="nil"/>
            </w:tcBorders>
            <w:shd w:val="clear" w:color="auto" w:fill="auto"/>
            <w:noWrap/>
            <w:vAlign w:val="bottom"/>
            <w:hideMark/>
          </w:tcPr>
          <w:p w14:paraId="4CB14A6F"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742</w:t>
            </w:r>
          </w:p>
        </w:tc>
        <w:tc>
          <w:tcPr>
            <w:tcW w:w="860" w:type="dxa"/>
            <w:tcBorders>
              <w:top w:val="single" w:sz="4" w:space="0" w:color="ADD6EA"/>
              <w:left w:val="nil"/>
              <w:bottom w:val="single" w:sz="4" w:space="0" w:color="ADD6EA"/>
              <w:right w:val="nil"/>
            </w:tcBorders>
            <w:shd w:val="clear" w:color="auto" w:fill="auto"/>
            <w:noWrap/>
            <w:vAlign w:val="bottom"/>
            <w:hideMark/>
          </w:tcPr>
          <w:p w14:paraId="488152A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222</w:t>
            </w:r>
          </w:p>
        </w:tc>
        <w:tc>
          <w:tcPr>
            <w:tcW w:w="860" w:type="dxa"/>
            <w:tcBorders>
              <w:top w:val="single" w:sz="4" w:space="0" w:color="ADD6EA"/>
              <w:left w:val="nil"/>
              <w:bottom w:val="single" w:sz="4" w:space="0" w:color="ADD6EA"/>
              <w:right w:val="nil"/>
            </w:tcBorders>
            <w:shd w:val="clear" w:color="auto" w:fill="auto"/>
            <w:noWrap/>
            <w:vAlign w:val="bottom"/>
            <w:hideMark/>
          </w:tcPr>
          <w:p w14:paraId="244B96D9"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214</w:t>
            </w:r>
          </w:p>
        </w:tc>
        <w:tc>
          <w:tcPr>
            <w:tcW w:w="860" w:type="dxa"/>
            <w:tcBorders>
              <w:top w:val="single" w:sz="4" w:space="0" w:color="ADD6EA"/>
              <w:left w:val="nil"/>
              <w:bottom w:val="single" w:sz="4" w:space="0" w:color="ADD6EA"/>
              <w:right w:val="nil"/>
            </w:tcBorders>
            <w:shd w:val="clear" w:color="auto" w:fill="auto"/>
            <w:noWrap/>
            <w:vAlign w:val="bottom"/>
            <w:hideMark/>
          </w:tcPr>
          <w:p w14:paraId="02E6CAB1"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118</w:t>
            </w:r>
          </w:p>
        </w:tc>
        <w:tc>
          <w:tcPr>
            <w:tcW w:w="860" w:type="dxa"/>
            <w:tcBorders>
              <w:top w:val="single" w:sz="4" w:space="0" w:color="ADD6EA"/>
              <w:left w:val="nil"/>
              <w:bottom w:val="single" w:sz="4" w:space="0" w:color="ADD6EA"/>
              <w:right w:val="nil"/>
            </w:tcBorders>
            <w:shd w:val="clear" w:color="auto" w:fill="auto"/>
            <w:noWrap/>
            <w:vAlign w:val="bottom"/>
            <w:hideMark/>
          </w:tcPr>
          <w:p w14:paraId="6AFAA331"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10,586</w:t>
            </w:r>
          </w:p>
        </w:tc>
      </w:tr>
      <w:tr w:rsidR="008D2057" w:rsidRPr="008D2057" w14:paraId="6B6322D0" w14:textId="77777777" w:rsidTr="008D2057">
        <w:trPr>
          <w:trHeight w:val="315"/>
        </w:trPr>
        <w:tc>
          <w:tcPr>
            <w:tcW w:w="1600" w:type="dxa"/>
            <w:tcBorders>
              <w:top w:val="nil"/>
              <w:left w:val="nil"/>
              <w:bottom w:val="single" w:sz="4" w:space="0" w:color="ADD6EA"/>
              <w:right w:val="nil"/>
            </w:tcBorders>
            <w:shd w:val="clear" w:color="auto" w:fill="auto"/>
            <w:noWrap/>
            <w:vAlign w:val="bottom"/>
            <w:hideMark/>
          </w:tcPr>
          <w:p w14:paraId="1B4ED14D"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Coal</w:t>
            </w:r>
          </w:p>
        </w:tc>
        <w:tc>
          <w:tcPr>
            <w:tcW w:w="860" w:type="dxa"/>
            <w:tcBorders>
              <w:top w:val="nil"/>
              <w:left w:val="nil"/>
              <w:bottom w:val="single" w:sz="4" w:space="0" w:color="ADD6EA"/>
              <w:right w:val="nil"/>
            </w:tcBorders>
            <w:shd w:val="clear" w:color="auto" w:fill="auto"/>
            <w:noWrap/>
            <w:vAlign w:val="bottom"/>
            <w:hideMark/>
          </w:tcPr>
          <w:p w14:paraId="39C03ADC"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-315</w:t>
            </w:r>
          </w:p>
        </w:tc>
        <w:tc>
          <w:tcPr>
            <w:tcW w:w="860" w:type="dxa"/>
            <w:tcBorders>
              <w:top w:val="nil"/>
              <w:left w:val="nil"/>
              <w:bottom w:val="single" w:sz="4" w:space="0" w:color="ADD6EA"/>
              <w:right w:val="nil"/>
            </w:tcBorders>
            <w:shd w:val="clear" w:color="auto" w:fill="auto"/>
            <w:noWrap/>
            <w:vAlign w:val="bottom"/>
            <w:hideMark/>
          </w:tcPr>
          <w:p w14:paraId="1E9ED321"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1,846</w:t>
            </w:r>
          </w:p>
        </w:tc>
        <w:tc>
          <w:tcPr>
            <w:tcW w:w="860" w:type="dxa"/>
            <w:tcBorders>
              <w:top w:val="nil"/>
              <w:left w:val="nil"/>
              <w:bottom w:val="single" w:sz="4" w:space="0" w:color="ADD6EA"/>
              <w:right w:val="nil"/>
            </w:tcBorders>
            <w:shd w:val="clear" w:color="auto" w:fill="auto"/>
            <w:noWrap/>
            <w:vAlign w:val="bottom"/>
            <w:hideMark/>
          </w:tcPr>
          <w:p w14:paraId="4E165E39"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-3,273</w:t>
            </w:r>
          </w:p>
        </w:tc>
        <w:tc>
          <w:tcPr>
            <w:tcW w:w="860" w:type="dxa"/>
            <w:tcBorders>
              <w:top w:val="nil"/>
              <w:left w:val="nil"/>
              <w:bottom w:val="single" w:sz="4" w:space="0" w:color="ADD6EA"/>
              <w:right w:val="nil"/>
            </w:tcBorders>
            <w:shd w:val="clear" w:color="auto" w:fill="auto"/>
            <w:noWrap/>
            <w:vAlign w:val="bottom"/>
            <w:hideMark/>
          </w:tcPr>
          <w:p w14:paraId="4B29844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808</w:t>
            </w:r>
          </w:p>
        </w:tc>
        <w:tc>
          <w:tcPr>
            <w:tcW w:w="860" w:type="dxa"/>
            <w:tcBorders>
              <w:top w:val="nil"/>
              <w:left w:val="nil"/>
              <w:bottom w:val="single" w:sz="4" w:space="0" w:color="ADD6EA"/>
              <w:right w:val="nil"/>
            </w:tcBorders>
            <w:shd w:val="clear" w:color="auto" w:fill="auto"/>
            <w:noWrap/>
            <w:vAlign w:val="bottom"/>
            <w:hideMark/>
          </w:tcPr>
          <w:p w14:paraId="12C37966"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548</w:t>
            </w:r>
          </w:p>
        </w:tc>
        <w:tc>
          <w:tcPr>
            <w:tcW w:w="860" w:type="dxa"/>
            <w:tcBorders>
              <w:top w:val="nil"/>
              <w:left w:val="nil"/>
              <w:bottom w:val="single" w:sz="4" w:space="0" w:color="ADD6EA"/>
              <w:right w:val="nil"/>
            </w:tcBorders>
            <w:shd w:val="clear" w:color="auto" w:fill="auto"/>
            <w:noWrap/>
            <w:vAlign w:val="bottom"/>
            <w:hideMark/>
          </w:tcPr>
          <w:p w14:paraId="7014F1FA"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170</w:t>
            </w:r>
          </w:p>
        </w:tc>
        <w:tc>
          <w:tcPr>
            <w:tcW w:w="860" w:type="dxa"/>
            <w:tcBorders>
              <w:top w:val="nil"/>
              <w:left w:val="nil"/>
              <w:bottom w:val="single" w:sz="4" w:space="0" w:color="ADD6EA"/>
              <w:right w:val="nil"/>
            </w:tcBorders>
            <w:shd w:val="clear" w:color="auto" w:fill="auto"/>
            <w:noWrap/>
            <w:vAlign w:val="bottom"/>
            <w:hideMark/>
          </w:tcPr>
          <w:p w14:paraId="6E93FF4D"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139</w:t>
            </w:r>
          </w:p>
        </w:tc>
        <w:tc>
          <w:tcPr>
            <w:tcW w:w="860" w:type="dxa"/>
            <w:tcBorders>
              <w:top w:val="nil"/>
              <w:left w:val="nil"/>
              <w:bottom w:val="single" w:sz="4" w:space="0" w:color="ADD6EA"/>
              <w:right w:val="nil"/>
            </w:tcBorders>
            <w:shd w:val="clear" w:color="auto" w:fill="auto"/>
            <w:noWrap/>
            <w:vAlign w:val="bottom"/>
            <w:hideMark/>
          </w:tcPr>
          <w:p w14:paraId="3EB6140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77</w:t>
            </w:r>
          </w:p>
        </w:tc>
        <w:tc>
          <w:tcPr>
            <w:tcW w:w="860" w:type="dxa"/>
            <w:tcBorders>
              <w:top w:val="nil"/>
              <w:left w:val="nil"/>
              <w:bottom w:val="single" w:sz="4" w:space="0" w:color="ADD6EA"/>
              <w:right w:val="nil"/>
            </w:tcBorders>
            <w:shd w:val="clear" w:color="auto" w:fill="auto"/>
            <w:noWrap/>
            <w:vAlign w:val="bottom"/>
            <w:hideMark/>
          </w:tcPr>
          <w:p w14:paraId="6A2A148C"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3,588</w:t>
            </w:r>
          </w:p>
        </w:tc>
      </w:tr>
      <w:tr w:rsidR="008D2057" w:rsidRPr="008D2057" w14:paraId="4FE1C3E6" w14:textId="77777777" w:rsidTr="008D2057">
        <w:trPr>
          <w:trHeight w:val="315"/>
        </w:trPr>
        <w:tc>
          <w:tcPr>
            <w:tcW w:w="1600" w:type="dxa"/>
            <w:tcBorders>
              <w:top w:val="nil"/>
              <w:left w:val="nil"/>
              <w:bottom w:val="single" w:sz="4" w:space="0" w:color="ADD6EA"/>
              <w:right w:val="nil"/>
            </w:tcBorders>
            <w:shd w:val="clear" w:color="auto" w:fill="auto"/>
            <w:noWrap/>
            <w:vAlign w:val="bottom"/>
            <w:hideMark/>
          </w:tcPr>
          <w:p w14:paraId="553B6B3D"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Gold</w:t>
            </w:r>
          </w:p>
        </w:tc>
        <w:tc>
          <w:tcPr>
            <w:tcW w:w="860" w:type="dxa"/>
            <w:tcBorders>
              <w:top w:val="nil"/>
              <w:left w:val="nil"/>
              <w:bottom w:val="single" w:sz="4" w:space="0" w:color="ADD6EA"/>
              <w:right w:val="nil"/>
            </w:tcBorders>
            <w:shd w:val="clear" w:color="auto" w:fill="auto"/>
            <w:noWrap/>
            <w:vAlign w:val="bottom"/>
            <w:hideMark/>
          </w:tcPr>
          <w:p w14:paraId="638DEFBB"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168</w:t>
            </w:r>
          </w:p>
        </w:tc>
        <w:tc>
          <w:tcPr>
            <w:tcW w:w="860" w:type="dxa"/>
            <w:tcBorders>
              <w:top w:val="nil"/>
              <w:left w:val="nil"/>
              <w:bottom w:val="single" w:sz="4" w:space="0" w:color="ADD6EA"/>
              <w:right w:val="nil"/>
            </w:tcBorders>
            <w:shd w:val="clear" w:color="auto" w:fill="auto"/>
            <w:noWrap/>
            <w:vAlign w:val="bottom"/>
            <w:hideMark/>
          </w:tcPr>
          <w:p w14:paraId="5732BA57"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158</w:t>
            </w:r>
          </w:p>
        </w:tc>
        <w:tc>
          <w:tcPr>
            <w:tcW w:w="860" w:type="dxa"/>
            <w:tcBorders>
              <w:top w:val="nil"/>
              <w:left w:val="nil"/>
              <w:bottom w:val="single" w:sz="4" w:space="0" w:color="ADD6EA"/>
              <w:right w:val="nil"/>
            </w:tcBorders>
            <w:shd w:val="clear" w:color="auto" w:fill="auto"/>
            <w:noWrap/>
            <w:vAlign w:val="bottom"/>
            <w:hideMark/>
          </w:tcPr>
          <w:p w14:paraId="50237A8A"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135</w:t>
            </w:r>
          </w:p>
        </w:tc>
        <w:tc>
          <w:tcPr>
            <w:tcW w:w="860" w:type="dxa"/>
            <w:tcBorders>
              <w:top w:val="nil"/>
              <w:left w:val="nil"/>
              <w:bottom w:val="single" w:sz="4" w:space="0" w:color="ADD6EA"/>
              <w:right w:val="nil"/>
            </w:tcBorders>
            <w:shd w:val="clear" w:color="auto" w:fill="auto"/>
            <w:noWrap/>
            <w:vAlign w:val="bottom"/>
            <w:hideMark/>
          </w:tcPr>
          <w:p w14:paraId="7C20DF4A"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-502</w:t>
            </w:r>
          </w:p>
        </w:tc>
        <w:tc>
          <w:tcPr>
            <w:tcW w:w="860" w:type="dxa"/>
            <w:tcBorders>
              <w:top w:val="nil"/>
              <w:left w:val="nil"/>
              <w:bottom w:val="single" w:sz="4" w:space="0" w:color="ADD6EA"/>
              <w:right w:val="nil"/>
            </w:tcBorders>
            <w:shd w:val="clear" w:color="auto" w:fill="auto"/>
            <w:noWrap/>
            <w:vAlign w:val="bottom"/>
            <w:hideMark/>
          </w:tcPr>
          <w:p w14:paraId="14230DF3"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30</w:t>
            </w:r>
          </w:p>
        </w:tc>
        <w:tc>
          <w:tcPr>
            <w:tcW w:w="860" w:type="dxa"/>
            <w:tcBorders>
              <w:top w:val="nil"/>
              <w:left w:val="nil"/>
              <w:bottom w:val="single" w:sz="4" w:space="0" w:color="ADD6EA"/>
              <w:right w:val="nil"/>
            </w:tcBorders>
            <w:shd w:val="clear" w:color="auto" w:fill="auto"/>
            <w:noWrap/>
            <w:vAlign w:val="bottom"/>
            <w:hideMark/>
          </w:tcPr>
          <w:p w14:paraId="1FDAE4B1"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17</w:t>
            </w:r>
          </w:p>
        </w:tc>
        <w:tc>
          <w:tcPr>
            <w:tcW w:w="860" w:type="dxa"/>
            <w:tcBorders>
              <w:top w:val="nil"/>
              <w:left w:val="nil"/>
              <w:bottom w:val="single" w:sz="4" w:space="0" w:color="ADD6EA"/>
              <w:right w:val="nil"/>
            </w:tcBorders>
            <w:shd w:val="clear" w:color="auto" w:fill="auto"/>
            <w:noWrap/>
            <w:vAlign w:val="bottom"/>
            <w:hideMark/>
          </w:tcPr>
          <w:p w14:paraId="2B8423BB"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15</w:t>
            </w:r>
          </w:p>
        </w:tc>
        <w:tc>
          <w:tcPr>
            <w:tcW w:w="860" w:type="dxa"/>
            <w:tcBorders>
              <w:top w:val="nil"/>
              <w:left w:val="nil"/>
              <w:bottom w:val="single" w:sz="4" w:space="0" w:color="ADD6EA"/>
              <w:right w:val="nil"/>
            </w:tcBorders>
            <w:shd w:val="clear" w:color="auto" w:fill="auto"/>
            <w:noWrap/>
            <w:vAlign w:val="bottom"/>
            <w:hideMark/>
          </w:tcPr>
          <w:p w14:paraId="075B9713"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-21</w:t>
            </w:r>
          </w:p>
        </w:tc>
        <w:tc>
          <w:tcPr>
            <w:tcW w:w="860" w:type="dxa"/>
            <w:tcBorders>
              <w:top w:val="nil"/>
              <w:left w:val="nil"/>
              <w:bottom w:val="single" w:sz="4" w:space="0" w:color="ADD6EA"/>
              <w:right w:val="nil"/>
            </w:tcBorders>
            <w:shd w:val="clear" w:color="auto" w:fill="auto"/>
            <w:noWrap/>
            <w:vAlign w:val="bottom"/>
            <w:hideMark/>
          </w:tcPr>
          <w:p w14:paraId="5FBF7B15"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523</w:t>
            </w:r>
          </w:p>
        </w:tc>
      </w:tr>
      <w:tr w:rsidR="008D2057" w:rsidRPr="008D2057" w14:paraId="15C082AD" w14:textId="77777777" w:rsidTr="008D2057">
        <w:trPr>
          <w:trHeight w:val="315"/>
        </w:trPr>
        <w:tc>
          <w:tcPr>
            <w:tcW w:w="1600" w:type="dxa"/>
            <w:tcBorders>
              <w:top w:val="nil"/>
              <w:left w:val="nil"/>
              <w:bottom w:val="single" w:sz="4" w:space="0" w:color="ADD6EA"/>
              <w:right w:val="nil"/>
            </w:tcBorders>
            <w:shd w:val="clear" w:color="auto" w:fill="auto"/>
            <w:noWrap/>
            <w:vAlign w:val="bottom"/>
            <w:hideMark/>
          </w:tcPr>
          <w:p w14:paraId="23251E48"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Copper</w:t>
            </w:r>
          </w:p>
        </w:tc>
        <w:tc>
          <w:tcPr>
            <w:tcW w:w="860" w:type="dxa"/>
            <w:tcBorders>
              <w:top w:val="nil"/>
              <w:left w:val="nil"/>
              <w:bottom w:val="single" w:sz="4" w:space="0" w:color="ADD6EA"/>
              <w:right w:val="nil"/>
            </w:tcBorders>
            <w:shd w:val="clear" w:color="auto" w:fill="auto"/>
            <w:noWrap/>
            <w:vAlign w:val="bottom"/>
            <w:hideMark/>
          </w:tcPr>
          <w:p w14:paraId="62076DD2"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38</w:t>
            </w:r>
          </w:p>
        </w:tc>
        <w:tc>
          <w:tcPr>
            <w:tcW w:w="860" w:type="dxa"/>
            <w:tcBorders>
              <w:top w:val="nil"/>
              <w:left w:val="nil"/>
              <w:bottom w:val="single" w:sz="4" w:space="0" w:color="ADD6EA"/>
              <w:right w:val="nil"/>
            </w:tcBorders>
            <w:shd w:val="clear" w:color="auto" w:fill="auto"/>
            <w:noWrap/>
            <w:vAlign w:val="bottom"/>
            <w:hideMark/>
          </w:tcPr>
          <w:p w14:paraId="520CFDEF"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106</w:t>
            </w:r>
          </w:p>
        </w:tc>
        <w:tc>
          <w:tcPr>
            <w:tcW w:w="860" w:type="dxa"/>
            <w:tcBorders>
              <w:top w:val="nil"/>
              <w:left w:val="nil"/>
              <w:bottom w:val="single" w:sz="4" w:space="0" w:color="ADD6EA"/>
              <w:right w:val="nil"/>
            </w:tcBorders>
            <w:shd w:val="clear" w:color="auto" w:fill="auto"/>
            <w:noWrap/>
            <w:vAlign w:val="bottom"/>
            <w:hideMark/>
          </w:tcPr>
          <w:p w14:paraId="5776A233"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-22</w:t>
            </w:r>
          </w:p>
        </w:tc>
        <w:tc>
          <w:tcPr>
            <w:tcW w:w="860" w:type="dxa"/>
            <w:tcBorders>
              <w:top w:val="nil"/>
              <w:left w:val="nil"/>
              <w:bottom w:val="single" w:sz="4" w:space="0" w:color="ADD6EA"/>
              <w:right w:val="nil"/>
            </w:tcBorders>
            <w:shd w:val="clear" w:color="auto" w:fill="auto"/>
            <w:noWrap/>
            <w:vAlign w:val="bottom"/>
            <w:hideMark/>
          </w:tcPr>
          <w:p w14:paraId="7D395956"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-31</w:t>
            </w:r>
          </w:p>
        </w:tc>
        <w:tc>
          <w:tcPr>
            <w:tcW w:w="860" w:type="dxa"/>
            <w:tcBorders>
              <w:top w:val="nil"/>
              <w:left w:val="nil"/>
              <w:bottom w:val="single" w:sz="4" w:space="0" w:color="ADD6EA"/>
              <w:right w:val="nil"/>
            </w:tcBorders>
            <w:shd w:val="clear" w:color="auto" w:fill="auto"/>
            <w:noWrap/>
            <w:vAlign w:val="bottom"/>
            <w:hideMark/>
          </w:tcPr>
          <w:p w14:paraId="1C253E24"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-108</w:t>
            </w:r>
          </w:p>
        </w:tc>
        <w:tc>
          <w:tcPr>
            <w:tcW w:w="860" w:type="dxa"/>
            <w:tcBorders>
              <w:top w:val="nil"/>
              <w:left w:val="nil"/>
              <w:bottom w:val="single" w:sz="4" w:space="0" w:color="ADD6EA"/>
              <w:right w:val="nil"/>
            </w:tcBorders>
            <w:shd w:val="clear" w:color="auto" w:fill="auto"/>
            <w:noWrap/>
            <w:vAlign w:val="bottom"/>
            <w:hideMark/>
          </w:tcPr>
          <w:p w14:paraId="5BCDB555"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5</w:t>
            </w:r>
          </w:p>
        </w:tc>
        <w:tc>
          <w:tcPr>
            <w:tcW w:w="860" w:type="dxa"/>
            <w:tcBorders>
              <w:top w:val="nil"/>
              <w:left w:val="nil"/>
              <w:bottom w:val="single" w:sz="4" w:space="0" w:color="ADD6EA"/>
              <w:right w:val="nil"/>
            </w:tcBorders>
            <w:shd w:val="clear" w:color="auto" w:fill="auto"/>
            <w:noWrap/>
            <w:vAlign w:val="bottom"/>
            <w:hideMark/>
          </w:tcPr>
          <w:p w14:paraId="7DB257F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7</w:t>
            </w:r>
          </w:p>
        </w:tc>
        <w:tc>
          <w:tcPr>
            <w:tcW w:w="860" w:type="dxa"/>
            <w:tcBorders>
              <w:top w:val="nil"/>
              <w:left w:val="nil"/>
              <w:bottom w:val="single" w:sz="4" w:space="0" w:color="ADD6EA"/>
              <w:right w:val="nil"/>
            </w:tcBorders>
            <w:shd w:val="clear" w:color="auto" w:fill="auto"/>
            <w:noWrap/>
            <w:vAlign w:val="bottom"/>
            <w:hideMark/>
          </w:tcPr>
          <w:p w14:paraId="3DE49F21"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4</w:t>
            </w:r>
          </w:p>
        </w:tc>
        <w:tc>
          <w:tcPr>
            <w:tcW w:w="860" w:type="dxa"/>
            <w:tcBorders>
              <w:top w:val="nil"/>
              <w:left w:val="nil"/>
              <w:bottom w:val="single" w:sz="4" w:space="0" w:color="ADD6EA"/>
              <w:right w:val="nil"/>
            </w:tcBorders>
            <w:shd w:val="clear" w:color="auto" w:fill="auto"/>
            <w:noWrap/>
            <w:vAlign w:val="bottom"/>
            <w:hideMark/>
          </w:tcPr>
          <w:p w14:paraId="06B98218"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161</w:t>
            </w:r>
          </w:p>
        </w:tc>
      </w:tr>
      <w:tr w:rsidR="008D2057" w:rsidRPr="008D2057" w14:paraId="0D33479A" w14:textId="77777777" w:rsidTr="008D2057">
        <w:trPr>
          <w:trHeight w:val="315"/>
        </w:trPr>
        <w:tc>
          <w:tcPr>
            <w:tcW w:w="1600" w:type="dxa"/>
            <w:tcBorders>
              <w:top w:val="nil"/>
              <w:left w:val="nil"/>
              <w:bottom w:val="single" w:sz="4" w:space="0" w:color="ADD6EA"/>
              <w:right w:val="nil"/>
            </w:tcBorders>
            <w:shd w:val="clear" w:color="auto" w:fill="auto"/>
            <w:noWrap/>
            <w:vAlign w:val="bottom"/>
            <w:hideMark/>
          </w:tcPr>
          <w:p w14:paraId="1561E3EB"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Other minerals (a)</w:t>
            </w:r>
          </w:p>
        </w:tc>
        <w:tc>
          <w:tcPr>
            <w:tcW w:w="860" w:type="dxa"/>
            <w:tcBorders>
              <w:top w:val="nil"/>
              <w:left w:val="nil"/>
              <w:bottom w:val="single" w:sz="4" w:space="0" w:color="ADD6EA"/>
              <w:right w:val="nil"/>
            </w:tcBorders>
            <w:shd w:val="clear" w:color="auto" w:fill="auto"/>
            <w:noWrap/>
            <w:vAlign w:val="bottom"/>
            <w:hideMark/>
          </w:tcPr>
          <w:p w14:paraId="67716345"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775</w:t>
            </w:r>
          </w:p>
        </w:tc>
        <w:tc>
          <w:tcPr>
            <w:tcW w:w="860" w:type="dxa"/>
            <w:tcBorders>
              <w:top w:val="nil"/>
              <w:left w:val="nil"/>
              <w:bottom w:val="single" w:sz="4" w:space="0" w:color="ADD6EA"/>
              <w:right w:val="nil"/>
            </w:tcBorders>
            <w:shd w:val="clear" w:color="auto" w:fill="auto"/>
            <w:noWrap/>
            <w:vAlign w:val="bottom"/>
            <w:hideMark/>
          </w:tcPr>
          <w:p w14:paraId="03FA310D"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601</w:t>
            </w:r>
          </w:p>
        </w:tc>
        <w:tc>
          <w:tcPr>
            <w:tcW w:w="860" w:type="dxa"/>
            <w:tcBorders>
              <w:top w:val="nil"/>
              <w:left w:val="nil"/>
              <w:bottom w:val="single" w:sz="4" w:space="0" w:color="ADD6EA"/>
              <w:right w:val="nil"/>
            </w:tcBorders>
            <w:shd w:val="clear" w:color="auto" w:fill="auto"/>
            <w:noWrap/>
            <w:vAlign w:val="bottom"/>
            <w:hideMark/>
          </w:tcPr>
          <w:p w14:paraId="3038712D"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-731</w:t>
            </w:r>
          </w:p>
        </w:tc>
        <w:tc>
          <w:tcPr>
            <w:tcW w:w="860" w:type="dxa"/>
            <w:tcBorders>
              <w:top w:val="nil"/>
              <w:left w:val="nil"/>
              <w:bottom w:val="single" w:sz="4" w:space="0" w:color="ADD6EA"/>
              <w:right w:val="nil"/>
            </w:tcBorders>
            <w:shd w:val="clear" w:color="auto" w:fill="auto"/>
            <w:noWrap/>
            <w:vAlign w:val="bottom"/>
            <w:hideMark/>
          </w:tcPr>
          <w:p w14:paraId="005AA0B2"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-430</w:t>
            </w:r>
          </w:p>
        </w:tc>
        <w:tc>
          <w:tcPr>
            <w:tcW w:w="860" w:type="dxa"/>
            <w:tcBorders>
              <w:top w:val="nil"/>
              <w:left w:val="nil"/>
              <w:bottom w:val="single" w:sz="4" w:space="0" w:color="ADD6EA"/>
              <w:right w:val="nil"/>
            </w:tcBorders>
            <w:shd w:val="clear" w:color="auto" w:fill="auto"/>
            <w:noWrap/>
            <w:vAlign w:val="bottom"/>
            <w:hideMark/>
          </w:tcPr>
          <w:p w14:paraId="2FD37BDF"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-34</w:t>
            </w:r>
          </w:p>
        </w:tc>
        <w:tc>
          <w:tcPr>
            <w:tcW w:w="860" w:type="dxa"/>
            <w:tcBorders>
              <w:top w:val="nil"/>
              <w:left w:val="nil"/>
              <w:bottom w:val="single" w:sz="4" w:space="0" w:color="ADD6EA"/>
              <w:right w:val="nil"/>
            </w:tcBorders>
            <w:shd w:val="clear" w:color="auto" w:fill="auto"/>
            <w:noWrap/>
            <w:vAlign w:val="bottom"/>
            <w:hideMark/>
          </w:tcPr>
          <w:p w14:paraId="5F43DE1F"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-17</w:t>
            </w:r>
          </w:p>
        </w:tc>
        <w:tc>
          <w:tcPr>
            <w:tcW w:w="860" w:type="dxa"/>
            <w:tcBorders>
              <w:top w:val="nil"/>
              <w:left w:val="nil"/>
              <w:bottom w:val="single" w:sz="4" w:space="0" w:color="ADD6EA"/>
              <w:right w:val="nil"/>
            </w:tcBorders>
            <w:shd w:val="clear" w:color="auto" w:fill="auto"/>
            <w:noWrap/>
            <w:vAlign w:val="bottom"/>
            <w:hideMark/>
          </w:tcPr>
          <w:p w14:paraId="49AD37C2"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47</w:t>
            </w:r>
          </w:p>
        </w:tc>
        <w:tc>
          <w:tcPr>
            <w:tcW w:w="860" w:type="dxa"/>
            <w:tcBorders>
              <w:top w:val="nil"/>
              <w:left w:val="nil"/>
              <w:bottom w:val="single" w:sz="4" w:space="0" w:color="ADD6EA"/>
              <w:right w:val="nil"/>
            </w:tcBorders>
            <w:shd w:val="clear" w:color="auto" w:fill="auto"/>
            <w:noWrap/>
            <w:vAlign w:val="bottom"/>
            <w:hideMark/>
          </w:tcPr>
          <w:p w14:paraId="1540E7EB"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-210</w:t>
            </w:r>
          </w:p>
        </w:tc>
        <w:tc>
          <w:tcPr>
            <w:tcW w:w="860" w:type="dxa"/>
            <w:tcBorders>
              <w:top w:val="nil"/>
              <w:left w:val="nil"/>
              <w:bottom w:val="single" w:sz="4" w:space="0" w:color="ADD6EA"/>
              <w:right w:val="nil"/>
            </w:tcBorders>
            <w:shd w:val="clear" w:color="auto" w:fill="auto"/>
            <w:noWrap/>
            <w:vAlign w:val="bottom"/>
            <w:hideMark/>
          </w:tcPr>
          <w:p w14:paraId="760DDF0F"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1,422</w:t>
            </w:r>
          </w:p>
        </w:tc>
      </w:tr>
      <w:tr w:rsidR="008D2057" w:rsidRPr="008D2057" w14:paraId="7FE899D3" w14:textId="77777777" w:rsidTr="008D2057">
        <w:trPr>
          <w:trHeight w:val="555"/>
        </w:trPr>
        <w:tc>
          <w:tcPr>
            <w:tcW w:w="1600" w:type="dxa"/>
            <w:tcBorders>
              <w:top w:val="nil"/>
              <w:left w:val="nil"/>
              <w:bottom w:val="single" w:sz="4" w:space="0" w:color="ADD6EA"/>
              <w:right w:val="nil"/>
            </w:tcBorders>
            <w:shd w:val="clear" w:color="auto" w:fill="auto"/>
            <w:vAlign w:val="bottom"/>
            <w:hideMark/>
          </w:tcPr>
          <w:p w14:paraId="034E89E2" w14:textId="77777777" w:rsidR="008D2057" w:rsidRPr="008D2057" w:rsidRDefault="008D2057" w:rsidP="008D2057">
            <w:pPr>
              <w:tabs>
                <w:tab w:val="clear" w:pos="567"/>
              </w:tabs>
              <w:spacing w:before="0" w:line="240" w:lineRule="auto"/>
              <w:rPr>
                <w:rFonts w:eastAsia="Times New Roman" w:cs="Open Sans Light"/>
                <w:sz w:val="16"/>
                <w:szCs w:val="16"/>
                <w:lang w:eastAsia="en-AU"/>
              </w:rPr>
            </w:pPr>
            <w:r w:rsidRPr="008D2057">
              <w:rPr>
                <w:rFonts w:eastAsia="Times New Roman" w:cs="Open Sans Light"/>
                <w:sz w:val="16"/>
                <w:szCs w:val="16"/>
                <w:lang w:eastAsia="en-AU"/>
              </w:rPr>
              <w:t>Grants in lieu of royalties</w:t>
            </w:r>
          </w:p>
        </w:tc>
        <w:tc>
          <w:tcPr>
            <w:tcW w:w="860" w:type="dxa"/>
            <w:tcBorders>
              <w:top w:val="nil"/>
              <w:left w:val="nil"/>
              <w:bottom w:val="single" w:sz="4" w:space="0" w:color="ADD6EA"/>
              <w:right w:val="nil"/>
            </w:tcBorders>
            <w:shd w:val="clear" w:color="auto" w:fill="auto"/>
            <w:noWrap/>
            <w:vAlign w:val="bottom"/>
            <w:hideMark/>
          </w:tcPr>
          <w:p w14:paraId="770C59A5"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284</w:t>
            </w:r>
          </w:p>
        </w:tc>
        <w:tc>
          <w:tcPr>
            <w:tcW w:w="860" w:type="dxa"/>
            <w:tcBorders>
              <w:top w:val="nil"/>
              <w:left w:val="nil"/>
              <w:bottom w:val="single" w:sz="4" w:space="0" w:color="ADD6EA"/>
              <w:right w:val="nil"/>
            </w:tcBorders>
            <w:shd w:val="clear" w:color="auto" w:fill="auto"/>
            <w:noWrap/>
            <w:vAlign w:val="bottom"/>
            <w:hideMark/>
          </w:tcPr>
          <w:p w14:paraId="2FD81824"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233</w:t>
            </w:r>
          </w:p>
        </w:tc>
        <w:tc>
          <w:tcPr>
            <w:tcW w:w="860" w:type="dxa"/>
            <w:tcBorders>
              <w:top w:val="nil"/>
              <w:left w:val="nil"/>
              <w:bottom w:val="single" w:sz="4" w:space="0" w:color="ADD6EA"/>
              <w:right w:val="nil"/>
            </w:tcBorders>
            <w:shd w:val="clear" w:color="auto" w:fill="auto"/>
            <w:noWrap/>
            <w:vAlign w:val="bottom"/>
            <w:hideMark/>
          </w:tcPr>
          <w:p w14:paraId="1022D79A"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187</w:t>
            </w:r>
          </w:p>
        </w:tc>
        <w:tc>
          <w:tcPr>
            <w:tcW w:w="860" w:type="dxa"/>
            <w:tcBorders>
              <w:top w:val="nil"/>
              <w:left w:val="nil"/>
              <w:bottom w:val="single" w:sz="4" w:space="0" w:color="ADD6EA"/>
              <w:right w:val="nil"/>
            </w:tcBorders>
            <w:shd w:val="clear" w:color="auto" w:fill="auto"/>
            <w:noWrap/>
            <w:vAlign w:val="bottom"/>
            <w:hideMark/>
          </w:tcPr>
          <w:p w14:paraId="23B5DD1A"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-811</w:t>
            </w:r>
          </w:p>
        </w:tc>
        <w:tc>
          <w:tcPr>
            <w:tcW w:w="860" w:type="dxa"/>
            <w:tcBorders>
              <w:top w:val="nil"/>
              <w:left w:val="nil"/>
              <w:bottom w:val="single" w:sz="4" w:space="0" w:color="ADD6EA"/>
              <w:right w:val="nil"/>
            </w:tcBorders>
            <w:shd w:val="clear" w:color="auto" w:fill="auto"/>
            <w:noWrap/>
            <w:vAlign w:val="bottom"/>
            <w:hideMark/>
          </w:tcPr>
          <w:p w14:paraId="12F00417"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64</w:t>
            </w:r>
          </w:p>
        </w:tc>
        <w:tc>
          <w:tcPr>
            <w:tcW w:w="860" w:type="dxa"/>
            <w:tcBorders>
              <w:top w:val="nil"/>
              <w:left w:val="nil"/>
              <w:bottom w:val="single" w:sz="4" w:space="0" w:color="ADD6EA"/>
              <w:right w:val="nil"/>
            </w:tcBorders>
            <w:shd w:val="clear" w:color="auto" w:fill="auto"/>
            <w:noWrap/>
            <w:vAlign w:val="bottom"/>
            <w:hideMark/>
          </w:tcPr>
          <w:p w14:paraId="1CD9B17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20</w:t>
            </w:r>
          </w:p>
        </w:tc>
        <w:tc>
          <w:tcPr>
            <w:tcW w:w="860" w:type="dxa"/>
            <w:tcBorders>
              <w:top w:val="nil"/>
              <w:left w:val="nil"/>
              <w:bottom w:val="single" w:sz="4" w:space="0" w:color="ADD6EA"/>
              <w:right w:val="nil"/>
            </w:tcBorders>
            <w:shd w:val="clear" w:color="auto" w:fill="auto"/>
            <w:noWrap/>
            <w:vAlign w:val="bottom"/>
            <w:hideMark/>
          </w:tcPr>
          <w:p w14:paraId="6678C950"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16</w:t>
            </w:r>
          </w:p>
        </w:tc>
        <w:tc>
          <w:tcPr>
            <w:tcW w:w="860" w:type="dxa"/>
            <w:tcBorders>
              <w:top w:val="nil"/>
              <w:left w:val="nil"/>
              <w:bottom w:val="single" w:sz="4" w:space="0" w:color="ADD6EA"/>
              <w:right w:val="nil"/>
            </w:tcBorders>
            <w:shd w:val="clear" w:color="auto" w:fill="auto"/>
            <w:noWrap/>
            <w:vAlign w:val="bottom"/>
            <w:hideMark/>
          </w:tcPr>
          <w:p w14:paraId="42CFE1AC"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6</w:t>
            </w:r>
          </w:p>
        </w:tc>
        <w:tc>
          <w:tcPr>
            <w:tcW w:w="860" w:type="dxa"/>
            <w:tcBorders>
              <w:top w:val="nil"/>
              <w:left w:val="nil"/>
              <w:bottom w:val="single" w:sz="4" w:space="0" w:color="ADD6EA"/>
              <w:right w:val="nil"/>
            </w:tcBorders>
            <w:shd w:val="clear" w:color="auto" w:fill="auto"/>
            <w:noWrap/>
            <w:vAlign w:val="bottom"/>
            <w:hideMark/>
          </w:tcPr>
          <w:p w14:paraId="3C1154A2" w14:textId="77777777" w:rsidR="008D2057" w:rsidRPr="008D2057" w:rsidRDefault="008D2057" w:rsidP="008D2057">
            <w:pPr>
              <w:tabs>
                <w:tab w:val="clear" w:pos="567"/>
              </w:tabs>
              <w:spacing w:before="0" w:line="240" w:lineRule="auto"/>
              <w:jc w:val="right"/>
              <w:rPr>
                <w:rFonts w:eastAsia="Times New Roman" w:cs="Open Sans Light"/>
                <w:sz w:val="16"/>
                <w:szCs w:val="16"/>
                <w:lang w:eastAsia="en-AU"/>
              </w:rPr>
            </w:pPr>
            <w:r w:rsidRPr="008D2057">
              <w:rPr>
                <w:rFonts w:eastAsia="Times New Roman" w:cs="Open Sans Light"/>
                <w:sz w:val="16"/>
                <w:szCs w:val="16"/>
                <w:lang w:eastAsia="en-AU"/>
              </w:rPr>
              <w:t>811</w:t>
            </w:r>
          </w:p>
        </w:tc>
      </w:tr>
      <w:tr w:rsidR="008D2057" w:rsidRPr="008D2057" w14:paraId="49773167" w14:textId="77777777" w:rsidTr="008D2057">
        <w:trPr>
          <w:trHeight w:val="315"/>
        </w:trPr>
        <w:tc>
          <w:tcPr>
            <w:tcW w:w="1600" w:type="dxa"/>
            <w:tcBorders>
              <w:top w:val="nil"/>
              <w:left w:val="nil"/>
              <w:bottom w:val="single" w:sz="4" w:space="0" w:color="ADD6EA"/>
              <w:right w:val="nil"/>
            </w:tcBorders>
            <w:shd w:val="clear" w:color="000000" w:fill="D6E7F0"/>
            <w:noWrap/>
            <w:vAlign w:val="bottom"/>
            <w:hideMark/>
          </w:tcPr>
          <w:p w14:paraId="19621EBA" w14:textId="77777777" w:rsidR="008D2057" w:rsidRPr="008D2057" w:rsidRDefault="008D2057" w:rsidP="008D2057">
            <w:pPr>
              <w:tabs>
                <w:tab w:val="clear" w:pos="567"/>
              </w:tabs>
              <w:spacing w:before="0" w:line="240" w:lineRule="auto"/>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Total ($m)</w:t>
            </w:r>
          </w:p>
        </w:tc>
        <w:tc>
          <w:tcPr>
            <w:tcW w:w="860" w:type="dxa"/>
            <w:tcBorders>
              <w:top w:val="nil"/>
              <w:left w:val="nil"/>
              <w:bottom w:val="single" w:sz="4" w:space="0" w:color="ADD6EA"/>
              <w:right w:val="nil"/>
            </w:tcBorders>
            <w:shd w:val="clear" w:color="000000" w:fill="D6E7F0"/>
            <w:noWrap/>
            <w:vAlign w:val="bottom"/>
            <w:hideMark/>
          </w:tcPr>
          <w:p w14:paraId="64418EC6"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4,704</w:t>
            </w:r>
          </w:p>
        </w:tc>
        <w:tc>
          <w:tcPr>
            <w:tcW w:w="860" w:type="dxa"/>
            <w:tcBorders>
              <w:top w:val="nil"/>
              <w:left w:val="nil"/>
              <w:bottom w:val="single" w:sz="4" w:space="0" w:color="ADD6EA"/>
              <w:right w:val="nil"/>
            </w:tcBorders>
            <w:shd w:val="clear" w:color="000000" w:fill="D6E7F0"/>
            <w:noWrap/>
            <w:vAlign w:val="bottom"/>
            <w:hideMark/>
          </w:tcPr>
          <w:p w14:paraId="420F2D8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6,019</w:t>
            </w:r>
          </w:p>
        </w:tc>
        <w:tc>
          <w:tcPr>
            <w:tcW w:w="860" w:type="dxa"/>
            <w:tcBorders>
              <w:top w:val="nil"/>
              <w:left w:val="nil"/>
              <w:bottom w:val="single" w:sz="4" w:space="0" w:color="ADD6EA"/>
              <w:right w:val="nil"/>
            </w:tcBorders>
            <w:shd w:val="clear" w:color="000000" w:fill="D6E7F0"/>
            <w:noWrap/>
            <w:vAlign w:val="bottom"/>
            <w:hideMark/>
          </w:tcPr>
          <w:p w14:paraId="5B526796"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-1,242</w:t>
            </w:r>
          </w:p>
        </w:tc>
        <w:tc>
          <w:tcPr>
            <w:tcW w:w="860" w:type="dxa"/>
            <w:tcBorders>
              <w:top w:val="nil"/>
              <w:left w:val="nil"/>
              <w:bottom w:val="single" w:sz="4" w:space="0" w:color="ADD6EA"/>
              <w:right w:val="nil"/>
            </w:tcBorders>
            <w:shd w:val="clear" w:color="000000" w:fill="D6E7F0"/>
            <w:noWrap/>
            <w:vAlign w:val="bottom"/>
            <w:hideMark/>
          </w:tcPr>
          <w:p w14:paraId="035CD3A4"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-11,553</w:t>
            </w:r>
          </w:p>
        </w:tc>
        <w:tc>
          <w:tcPr>
            <w:tcW w:w="860" w:type="dxa"/>
            <w:tcBorders>
              <w:top w:val="nil"/>
              <w:left w:val="nil"/>
              <w:bottom w:val="single" w:sz="4" w:space="0" w:color="ADD6EA"/>
              <w:right w:val="nil"/>
            </w:tcBorders>
            <w:shd w:val="clear" w:color="000000" w:fill="D6E7F0"/>
            <w:noWrap/>
            <w:vAlign w:val="bottom"/>
            <w:hideMark/>
          </w:tcPr>
          <w:p w14:paraId="1B2FEE82"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1,242</w:t>
            </w:r>
          </w:p>
        </w:tc>
        <w:tc>
          <w:tcPr>
            <w:tcW w:w="860" w:type="dxa"/>
            <w:tcBorders>
              <w:top w:val="nil"/>
              <w:left w:val="nil"/>
              <w:bottom w:val="single" w:sz="4" w:space="0" w:color="ADD6EA"/>
              <w:right w:val="nil"/>
            </w:tcBorders>
            <w:shd w:val="clear" w:color="000000" w:fill="D6E7F0"/>
            <w:noWrap/>
            <w:vAlign w:val="bottom"/>
            <w:hideMark/>
          </w:tcPr>
          <w:p w14:paraId="18DD9FFC"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417</w:t>
            </w:r>
          </w:p>
        </w:tc>
        <w:tc>
          <w:tcPr>
            <w:tcW w:w="860" w:type="dxa"/>
            <w:tcBorders>
              <w:top w:val="nil"/>
              <w:left w:val="nil"/>
              <w:bottom w:val="single" w:sz="4" w:space="0" w:color="ADD6EA"/>
              <w:right w:val="nil"/>
            </w:tcBorders>
            <w:shd w:val="clear" w:color="000000" w:fill="D6E7F0"/>
            <w:noWrap/>
            <w:vAlign w:val="bottom"/>
            <w:hideMark/>
          </w:tcPr>
          <w:p w14:paraId="094F473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438</w:t>
            </w:r>
          </w:p>
        </w:tc>
        <w:tc>
          <w:tcPr>
            <w:tcW w:w="860" w:type="dxa"/>
            <w:tcBorders>
              <w:top w:val="nil"/>
              <w:left w:val="nil"/>
              <w:bottom w:val="single" w:sz="4" w:space="0" w:color="ADD6EA"/>
              <w:right w:val="nil"/>
            </w:tcBorders>
            <w:shd w:val="clear" w:color="000000" w:fill="D6E7F0"/>
            <w:noWrap/>
            <w:vAlign w:val="bottom"/>
            <w:hideMark/>
          </w:tcPr>
          <w:p w14:paraId="416BB31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-26</w:t>
            </w:r>
          </w:p>
        </w:tc>
        <w:tc>
          <w:tcPr>
            <w:tcW w:w="860" w:type="dxa"/>
            <w:tcBorders>
              <w:top w:val="nil"/>
              <w:left w:val="nil"/>
              <w:bottom w:val="single" w:sz="4" w:space="0" w:color="ADD6EA"/>
              <w:right w:val="nil"/>
            </w:tcBorders>
            <w:shd w:val="clear" w:color="000000" w:fill="D6E7F0"/>
            <w:noWrap/>
            <w:vAlign w:val="bottom"/>
            <w:hideMark/>
          </w:tcPr>
          <w:p w14:paraId="5BC2565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12,821</w:t>
            </w:r>
          </w:p>
        </w:tc>
      </w:tr>
      <w:tr w:rsidR="008D2057" w:rsidRPr="008D2057" w14:paraId="1B9B132F" w14:textId="77777777" w:rsidTr="008D2057">
        <w:trPr>
          <w:trHeight w:val="315"/>
        </w:trPr>
        <w:tc>
          <w:tcPr>
            <w:tcW w:w="1600" w:type="dxa"/>
            <w:tcBorders>
              <w:top w:val="nil"/>
              <w:left w:val="nil"/>
              <w:bottom w:val="single" w:sz="4" w:space="0" w:color="ADD6EA"/>
              <w:right w:val="nil"/>
            </w:tcBorders>
            <w:shd w:val="clear" w:color="000000" w:fill="D6E7F0"/>
            <w:noWrap/>
            <w:vAlign w:val="bottom"/>
            <w:hideMark/>
          </w:tcPr>
          <w:p w14:paraId="7CAF2889" w14:textId="77777777" w:rsidR="008D2057" w:rsidRPr="008D2057" w:rsidRDefault="008D2057" w:rsidP="008D2057">
            <w:pPr>
              <w:tabs>
                <w:tab w:val="clear" w:pos="567"/>
              </w:tabs>
              <w:spacing w:before="0" w:line="240" w:lineRule="auto"/>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Total ($pc)</w:t>
            </w:r>
          </w:p>
        </w:tc>
        <w:tc>
          <w:tcPr>
            <w:tcW w:w="860" w:type="dxa"/>
            <w:tcBorders>
              <w:top w:val="nil"/>
              <w:left w:val="nil"/>
              <w:bottom w:val="single" w:sz="4" w:space="0" w:color="ADD6EA"/>
              <w:right w:val="nil"/>
            </w:tcBorders>
            <w:shd w:val="clear" w:color="000000" w:fill="D6E7F0"/>
            <w:noWrap/>
            <w:vAlign w:val="bottom"/>
            <w:hideMark/>
          </w:tcPr>
          <w:p w14:paraId="66B3141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569</w:t>
            </w:r>
          </w:p>
        </w:tc>
        <w:tc>
          <w:tcPr>
            <w:tcW w:w="860" w:type="dxa"/>
            <w:tcBorders>
              <w:top w:val="nil"/>
              <w:left w:val="nil"/>
              <w:bottom w:val="single" w:sz="4" w:space="0" w:color="ADD6EA"/>
              <w:right w:val="nil"/>
            </w:tcBorders>
            <w:shd w:val="clear" w:color="000000" w:fill="D6E7F0"/>
            <w:noWrap/>
            <w:vAlign w:val="bottom"/>
            <w:hideMark/>
          </w:tcPr>
          <w:p w14:paraId="7F16AE2A"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888</w:t>
            </w:r>
          </w:p>
        </w:tc>
        <w:tc>
          <w:tcPr>
            <w:tcW w:w="860" w:type="dxa"/>
            <w:tcBorders>
              <w:top w:val="nil"/>
              <w:left w:val="nil"/>
              <w:bottom w:val="single" w:sz="4" w:space="0" w:color="ADD6EA"/>
              <w:right w:val="nil"/>
            </w:tcBorders>
            <w:shd w:val="clear" w:color="000000" w:fill="D6E7F0"/>
            <w:noWrap/>
            <w:vAlign w:val="bottom"/>
            <w:hideMark/>
          </w:tcPr>
          <w:p w14:paraId="24246C1C"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-229</w:t>
            </w:r>
          </w:p>
        </w:tc>
        <w:tc>
          <w:tcPr>
            <w:tcW w:w="860" w:type="dxa"/>
            <w:tcBorders>
              <w:top w:val="nil"/>
              <w:left w:val="nil"/>
              <w:bottom w:val="single" w:sz="4" w:space="0" w:color="ADD6EA"/>
              <w:right w:val="nil"/>
            </w:tcBorders>
            <w:shd w:val="clear" w:color="000000" w:fill="D6E7F0"/>
            <w:noWrap/>
            <w:vAlign w:val="bottom"/>
            <w:hideMark/>
          </w:tcPr>
          <w:p w14:paraId="2454228C"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-4,061</w:t>
            </w:r>
          </w:p>
        </w:tc>
        <w:tc>
          <w:tcPr>
            <w:tcW w:w="860" w:type="dxa"/>
            <w:tcBorders>
              <w:top w:val="nil"/>
              <w:left w:val="nil"/>
              <w:bottom w:val="single" w:sz="4" w:space="0" w:color="ADD6EA"/>
              <w:right w:val="nil"/>
            </w:tcBorders>
            <w:shd w:val="clear" w:color="000000" w:fill="D6E7F0"/>
            <w:noWrap/>
            <w:vAlign w:val="bottom"/>
            <w:hideMark/>
          </w:tcPr>
          <w:p w14:paraId="4ABE2D6D"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669</w:t>
            </w:r>
          </w:p>
        </w:tc>
        <w:tc>
          <w:tcPr>
            <w:tcW w:w="860" w:type="dxa"/>
            <w:tcBorders>
              <w:top w:val="nil"/>
              <w:left w:val="nil"/>
              <w:bottom w:val="single" w:sz="4" w:space="0" w:color="ADD6EA"/>
              <w:right w:val="nil"/>
            </w:tcBorders>
            <w:shd w:val="clear" w:color="000000" w:fill="D6E7F0"/>
            <w:noWrap/>
            <w:vAlign w:val="bottom"/>
            <w:hideMark/>
          </w:tcPr>
          <w:p w14:paraId="7CE17CE5"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713</w:t>
            </w:r>
          </w:p>
        </w:tc>
        <w:tc>
          <w:tcPr>
            <w:tcW w:w="860" w:type="dxa"/>
            <w:tcBorders>
              <w:top w:val="nil"/>
              <w:left w:val="nil"/>
              <w:bottom w:val="single" w:sz="4" w:space="0" w:color="ADD6EA"/>
              <w:right w:val="nil"/>
            </w:tcBorders>
            <w:shd w:val="clear" w:color="000000" w:fill="D6E7F0"/>
            <w:noWrap/>
            <w:vAlign w:val="bottom"/>
            <w:hideMark/>
          </w:tcPr>
          <w:p w14:paraId="71815646"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931</w:t>
            </w:r>
          </w:p>
        </w:tc>
        <w:tc>
          <w:tcPr>
            <w:tcW w:w="860" w:type="dxa"/>
            <w:tcBorders>
              <w:top w:val="nil"/>
              <w:left w:val="nil"/>
              <w:bottom w:val="single" w:sz="4" w:space="0" w:color="ADD6EA"/>
              <w:right w:val="nil"/>
            </w:tcBorders>
            <w:shd w:val="clear" w:color="000000" w:fill="D6E7F0"/>
            <w:noWrap/>
            <w:vAlign w:val="bottom"/>
            <w:hideMark/>
          </w:tcPr>
          <w:p w14:paraId="09D7A9A7"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-101</w:t>
            </w:r>
          </w:p>
        </w:tc>
        <w:tc>
          <w:tcPr>
            <w:tcW w:w="860" w:type="dxa"/>
            <w:tcBorders>
              <w:top w:val="nil"/>
              <w:left w:val="nil"/>
              <w:bottom w:val="single" w:sz="4" w:space="0" w:color="ADD6EA"/>
              <w:right w:val="nil"/>
            </w:tcBorders>
            <w:shd w:val="clear" w:color="000000" w:fill="D6E7F0"/>
            <w:noWrap/>
            <w:vAlign w:val="bottom"/>
            <w:hideMark/>
          </w:tcPr>
          <w:p w14:paraId="319426A3" w14:textId="77777777" w:rsidR="008D2057" w:rsidRPr="008D2057" w:rsidRDefault="008D2057" w:rsidP="008D2057">
            <w:pPr>
              <w:tabs>
                <w:tab w:val="clear" w:pos="567"/>
              </w:tabs>
              <w:spacing w:before="0" w:line="240" w:lineRule="auto"/>
              <w:jc w:val="right"/>
              <w:rPr>
                <w:rFonts w:ascii="Open Sans Semibold" w:eastAsia="Times New Roman" w:hAnsi="Open Sans Semibold" w:cs="Open Sans Semibold"/>
                <w:sz w:val="16"/>
                <w:szCs w:val="16"/>
                <w:lang w:eastAsia="en-AU"/>
              </w:rPr>
            </w:pPr>
            <w:r w:rsidRPr="008D2057">
              <w:rPr>
                <w:rFonts w:ascii="Open Sans Semibold" w:eastAsia="Times New Roman" w:hAnsi="Open Sans Semibold" w:cs="Open Sans Semibold"/>
                <w:sz w:val="16"/>
                <w:szCs w:val="16"/>
                <w:lang w:eastAsia="en-AU"/>
              </w:rPr>
              <w:t>484</w:t>
            </w:r>
          </w:p>
        </w:tc>
      </w:tr>
    </w:tbl>
    <w:p w14:paraId="4846FAA3" w14:textId="1254B939" w:rsidR="006D28DD" w:rsidRDefault="006D28DD" w:rsidP="006D28DD">
      <w:pPr>
        <w:pStyle w:val="CGC2025Tablenote"/>
        <w:keepNext/>
        <w:keepLines/>
        <w:widowControl w:val="0"/>
        <w:numPr>
          <w:ilvl w:val="0"/>
          <w:numId w:val="45"/>
        </w:numPr>
      </w:pPr>
      <w:r>
        <w:t>Includes the GST effects of the separate assessments of onshore oil and gas, bauxite</w:t>
      </w:r>
      <w:r w:rsidR="00EC168B">
        <w:t>,</w:t>
      </w:r>
      <w:r>
        <w:t xml:space="preserve"> and lithium royalties. These royalties are assessed </w:t>
      </w:r>
      <w:proofErr w:type="gramStart"/>
      <w:r w:rsidRPr="00AC5F9B">
        <w:t>separately</w:t>
      </w:r>
      <w:proofErr w:type="gramEnd"/>
      <w:r w:rsidRPr="00AC5F9B">
        <w:t xml:space="preserve"> </w:t>
      </w:r>
      <w:r>
        <w:t xml:space="preserve">and, </w:t>
      </w:r>
      <w:r w:rsidRPr="00AC5F9B">
        <w:t>for confidentiality reasons, the results are reported with the other minerals assessment</w:t>
      </w:r>
      <w:r>
        <w:t>.</w:t>
      </w:r>
    </w:p>
    <w:p w14:paraId="660A2843" w14:textId="77777777" w:rsidR="006D28DD" w:rsidRDefault="006D28DD" w:rsidP="006D28DD">
      <w:pPr>
        <w:pStyle w:val="CGC2025Tablenote"/>
        <w:keepNext/>
        <w:keepLines/>
        <w:widowControl w:val="0"/>
      </w:pPr>
      <w:r>
        <w:t>Source:</w:t>
      </w:r>
      <w:r>
        <w:tab/>
        <w:t xml:space="preserve">Commission calculation, 2023 Update. </w:t>
      </w:r>
    </w:p>
    <w:p w14:paraId="524655D4" w14:textId="3DF58464" w:rsidR="005522EA" w:rsidRPr="005522EA" w:rsidRDefault="00EB0125" w:rsidP="005E2AE2">
      <w:pPr>
        <w:pStyle w:val="CGC2025ParaNumbers"/>
      </w:pPr>
      <w:r>
        <w:t xml:space="preserve">Further detail on the mining revenue assessment, the scope of the adjusted budget and the underlying conceptual cases for assessment methods are explained in </w:t>
      </w:r>
      <w:r w:rsidR="00B15F62">
        <w:t>v</w:t>
      </w:r>
      <w:r>
        <w:t>olume 2</w:t>
      </w:r>
      <w:r w:rsidR="0032160E">
        <w:t>,</w:t>
      </w:r>
      <w:r>
        <w:t> </w:t>
      </w:r>
      <w:r w:rsidR="00B15F62">
        <w:t>c</w:t>
      </w:r>
      <w:r w:rsidRPr="00306E29">
        <w:t>hapter 11</w:t>
      </w:r>
      <w:r w:rsidR="00B15F62">
        <w:t>,</w:t>
      </w:r>
      <w:r w:rsidRPr="00C036B0">
        <w:rPr>
          <w:i/>
          <w:iCs/>
        </w:rPr>
        <w:t> </w:t>
      </w:r>
      <w:hyperlink r:id="rId17">
        <w:r w:rsidR="00C036B0" w:rsidRPr="3374507B">
          <w:rPr>
            <w:rStyle w:val="Hyperlink"/>
          </w:rPr>
          <w:t>Report on GST Revenue Sharing Relativities, 2020 Review.</w:t>
        </w:r>
      </w:hyperlink>
    </w:p>
    <w:p w14:paraId="04D1905F" w14:textId="77777777" w:rsidR="00D45001" w:rsidRPr="00D45001" w:rsidRDefault="00D45001" w:rsidP="001F458A">
      <w:pPr>
        <w:pStyle w:val="Heading2"/>
      </w:pPr>
      <w:bookmarkStart w:id="20" w:name="_Toc121741486"/>
      <w:bookmarkStart w:id="21" w:name="_Toc132729102"/>
      <w:bookmarkStart w:id="22" w:name="_Toc133236149"/>
      <w:bookmarkStart w:id="23" w:name="_Toc133236175"/>
      <w:bookmarkStart w:id="24" w:name="_Toc127428352"/>
      <w:bookmarkStart w:id="25" w:name="_Toc138927240"/>
      <w:r w:rsidRPr="00D45001">
        <w:t>What has changed since the 2020 Review?</w:t>
      </w:r>
      <w:bookmarkEnd w:id="20"/>
      <w:bookmarkEnd w:id="21"/>
      <w:bookmarkEnd w:id="22"/>
      <w:bookmarkEnd w:id="23"/>
      <w:bookmarkEnd w:id="25"/>
      <w:r w:rsidRPr="00D45001">
        <w:t xml:space="preserve"> </w:t>
      </w:r>
      <w:bookmarkEnd w:id="24"/>
    </w:p>
    <w:p w14:paraId="4AD22651" w14:textId="77777777" w:rsidR="00923668" w:rsidRDefault="00923668" w:rsidP="00923668">
      <w:pPr>
        <w:pStyle w:val="CGC2025ParaNumbers"/>
      </w:pPr>
      <w:bookmarkStart w:id="26" w:name="_Toc132729103"/>
      <w:bookmarkStart w:id="27" w:name="_Toc133236150"/>
      <w:bookmarkStart w:id="28" w:name="_Toc133236176"/>
      <w:r>
        <w:t>Supplementary terms of reference for the 2020 Review directed the Commission not to change its 2015 Review mining assessment method. The 2025 Review Terms of Reference allow the Commission to review the mining revenue assessment method.</w:t>
      </w:r>
    </w:p>
    <w:p w14:paraId="7B14D54D" w14:textId="77777777" w:rsidR="00923668" w:rsidRDefault="00923668" w:rsidP="00923668">
      <w:pPr>
        <w:pStyle w:val="CGC2025ParaNumbers"/>
      </w:pPr>
      <w:r>
        <w:t xml:space="preserve">Iron ore and coal prices have entered another price cycle, with iron ore reaching a record price in 2021 and metallurgical coal prices reaching an all-time high in 2022. The outlook for both iron ore and coal prices </w:t>
      </w:r>
      <w:proofErr w:type="gramStart"/>
      <w:r>
        <w:t>remains</w:t>
      </w:r>
      <w:proofErr w:type="gramEnd"/>
      <w:r>
        <w:t xml:space="preserve"> very uncertain.</w:t>
      </w:r>
    </w:p>
    <w:p w14:paraId="5D32FED0" w14:textId="77777777" w:rsidR="006A7358" w:rsidRDefault="006A7358" w:rsidP="006A7358">
      <w:pPr>
        <w:pStyle w:val="CGCBodyPara"/>
        <w:numPr>
          <w:ilvl w:val="0"/>
          <w:numId w:val="0"/>
        </w:numPr>
        <w:ind w:left="567" w:hanging="425"/>
      </w:pPr>
    </w:p>
    <w:p w14:paraId="68B766A8" w14:textId="77777777" w:rsidR="006A7358" w:rsidRDefault="006A7358" w:rsidP="006A7358">
      <w:pPr>
        <w:pStyle w:val="CGCBodyPara"/>
        <w:numPr>
          <w:ilvl w:val="0"/>
          <w:numId w:val="0"/>
        </w:numPr>
        <w:ind w:left="567" w:hanging="425"/>
      </w:pPr>
    </w:p>
    <w:p w14:paraId="480A29A0" w14:textId="77777777" w:rsidR="00BB7B9C" w:rsidRDefault="00BB7B9C" w:rsidP="009C0EA7">
      <w:pPr>
        <w:pStyle w:val="Heading2"/>
        <w:keepNext/>
        <w:keepLines/>
      </w:pPr>
      <w:bookmarkStart w:id="29" w:name="_Toc121741487"/>
      <w:bookmarkStart w:id="30" w:name="_Toc127428353"/>
      <w:bookmarkStart w:id="31" w:name="_Toc132729106"/>
      <w:bookmarkStart w:id="32" w:name="_Toc133236151"/>
      <w:bookmarkStart w:id="33" w:name="_Toc133236177"/>
      <w:bookmarkStart w:id="34" w:name="_Toc138927241"/>
      <w:bookmarkEnd w:id="26"/>
      <w:bookmarkEnd w:id="27"/>
      <w:bookmarkEnd w:id="28"/>
      <w:r w:rsidRPr="00BB7B9C">
        <w:lastRenderedPageBreak/>
        <w:t>Implications for assessment</w:t>
      </w:r>
      <w:bookmarkEnd w:id="29"/>
      <w:bookmarkEnd w:id="30"/>
      <w:bookmarkEnd w:id="31"/>
      <w:bookmarkEnd w:id="32"/>
      <w:bookmarkEnd w:id="33"/>
      <w:bookmarkEnd w:id="34"/>
    </w:p>
    <w:p w14:paraId="64296E95" w14:textId="3CC2F472" w:rsidR="008A21D9" w:rsidRPr="008A21D9" w:rsidRDefault="008A21D9" w:rsidP="008A21D9">
      <w:pPr>
        <w:pStyle w:val="Heading3"/>
      </w:pPr>
      <w:bookmarkStart w:id="35" w:name="_Toc138927242"/>
      <w:r>
        <w:t xml:space="preserve">Retaining the </w:t>
      </w:r>
      <w:proofErr w:type="gramStart"/>
      <w:r>
        <w:t>mineral by mineral</w:t>
      </w:r>
      <w:proofErr w:type="gramEnd"/>
      <w:r>
        <w:t xml:space="preserve"> approach</w:t>
      </w:r>
      <w:bookmarkEnd w:id="35"/>
    </w:p>
    <w:p w14:paraId="075BEB03" w14:textId="1A40A146" w:rsidR="00772F20" w:rsidRDefault="00772F20" w:rsidP="0027065E">
      <w:pPr>
        <w:pStyle w:val="CGC2025ParaNumbers"/>
      </w:pPr>
      <w:bookmarkStart w:id="36" w:name="_Toc132729107"/>
      <w:bookmarkStart w:id="37" w:name="_Toc133236152"/>
      <w:bookmarkStart w:id="38" w:name="_Toc133236178"/>
      <w:r>
        <w:t xml:space="preserve">In the 2020 Review, the Commission concluded that continuing with a </w:t>
      </w:r>
      <w:proofErr w:type="gramStart"/>
      <w:r>
        <w:t>mineral by mineral</w:t>
      </w:r>
      <w:proofErr w:type="gramEnd"/>
      <w:r>
        <w:t xml:space="preserve"> approach best captured states’ mining revenue capacities, even though it can give rise to policy neutrality concerns. For example, when a dominant producer changes its royalty rate. During the course of the 2020 Review, the Commission explored </w:t>
      </w:r>
      <w:r w:rsidR="00874AD4">
        <w:t xml:space="preserve">2 </w:t>
      </w:r>
      <w:r>
        <w:t xml:space="preserve">changes to improve the policy neutrality of the </w:t>
      </w:r>
      <w:proofErr w:type="gramStart"/>
      <w:r>
        <w:t>mineral by mineral</w:t>
      </w:r>
      <w:proofErr w:type="gramEnd"/>
      <w:r>
        <w:t xml:space="preserve"> assessment: an adjustment in the event of a royalty rate change by a dominant state</w:t>
      </w:r>
      <w:r w:rsidR="002701F5">
        <w:t>,</w:t>
      </w:r>
      <w:r>
        <w:t xml:space="preserve"> and a change to the assessment of revenue from banned mineral activity. However, no changes were made given the supplementary terms of reference for the 2020 Review directed the Commission not to change the mining assessment method. The </w:t>
      </w:r>
      <w:proofErr w:type="gramStart"/>
      <w:r>
        <w:t>mineral by mineral</w:t>
      </w:r>
      <w:proofErr w:type="gramEnd"/>
      <w:r>
        <w:t xml:space="preserve"> approach was retained in the 2020 Review.</w:t>
      </w:r>
    </w:p>
    <w:p w14:paraId="6C537BD3" w14:textId="77777777" w:rsidR="00772F20" w:rsidRDefault="00772F20" w:rsidP="0027065E">
      <w:pPr>
        <w:pStyle w:val="CGC2025ParaNumbers"/>
      </w:pPr>
      <w:r>
        <w:t xml:space="preserve">The Commission’s preliminary view is that the </w:t>
      </w:r>
      <w:proofErr w:type="gramStart"/>
      <w:r>
        <w:t>mineral by mineral</w:t>
      </w:r>
      <w:proofErr w:type="gramEnd"/>
      <w:r>
        <w:t xml:space="preserve"> approach remains the most appropriate way of capturing differences in states’ capacities to raise mining royalty revenue, given the uneven distribution of minerals, the application of different royalty rates to different minerals and the volatility of commodity prices.</w:t>
      </w:r>
    </w:p>
    <w:p w14:paraId="59C22E29" w14:textId="77777777" w:rsidR="00772F20" w:rsidRDefault="00772F20" w:rsidP="0027065E">
      <w:pPr>
        <w:pStyle w:val="CGC2025ParaNumbers"/>
      </w:pPr>
      <w:r>
        <w:t>Under this approach:</w:t>
      </w:r>
    </w:p>
    <w:p w14:paraId="0971B2F0" w14:textId="4D0A2FC5" w:rsidR="00772F20" w:rsidRDefault="00772F20" w:rsidP="0027065E">
      <w:pPr>
        <w:pStyle w:val="CGC2025Bullet1"/>
      </w:pPr>
      <w:r>
        <w:t xml:space="preserve">minerals are </w:t>
      </w:r>
      <w:r w:rsidRPr="00214324">
        <w:t>separate</w:t>
      </w:r>
      <w:r>
        <w:t>ly</w:t>
      </w:r>
      <w:r w:rsidRPr="00214324">
        <w:t xml:space="preserve"> assesse</w:t>
      </w:r>
      <w:r>
        <w:t>d</w:t>
      </w:r>
      <w:r w:rsidR="007E678F" w:rsidRPr="007E678F">
        <w:t xml:space="preserve"> </w:t>
      </w:r>
      <w:r w:rsidR="002967F5">
        <w:t>(</w:t>
      </w:r>
      <w:r w:rsidR="007E678F">
        <w:t>where it is material to do so</w:t>
      </w:r>
      <w:r w:rsidR="002967F5">
        <w:t>)</w:t>
      </w:r>
    </w:p>
    <w:p w14:paraId="69EA6512" w14:textId="77777777" w:rsidR="00772F20" w:rsidRDefault="00772F20" w:rsidP="0027065E">
      <w:pPr>
        <w:pStyle w:val="CGC2025Bullet1"/>
      </w:pPr>
      <w:r>
        <w:t>royalties for the r</w:t>
      </w:r>
      <w:r w:rsidRPr="00214324">
        <w:t>emaining minerals</w:t>
      </w:r>
      <w:r>
        <w:t xml:space="preserve"> are combined and assessed </w:t>
      </w:r>
      <w:proofErr w:type="gramStart"/>
      <w:r>
        <w:t>together</w:t>
      </w:r>
      <w:proofErr w:type="gramEnd"/>
    </w:p>
    <w:p w14:paraId="6034531B" w14:textId="77777777" w:rsidR="00772F20" w:rsidRDefault="00772F20" w:rsidP="0027065E">
      <w:pPr>
        <w:pStyle w:val="CGC2025Bullet1"/>
      </w:pPr>
      <w:r>
        <w:t>revenue paid to states under revenue sharing agreements is assessed using the revenue received.</w:t>
      </w:r>
    </w:p>
    <w:bookmarkEnd w:id="36"/>
    <w:bookmarkEnd w:id="37"/>
    <w:bookmarkEnd w:id="38"/>
    <w:p w14:paraId="7CE43415" w14:textId="77777777" w:rsidR="00F41E2A" w:rsidRDefault="00F41E2A" w:rsidP="00F41E2A">
      <w:pPr>
        <w:pStyle w:val="Heading4"/>
      </w:pPr>
      <w:r>
        <w:t>Consultation question</w:t>
      </w:r>
    </w:p>
    <w:p w14:paraId="59AEFAFF" w14:textId="77777777" w:rsidR="0049687E" w:rsidRPr="002F190D" w:rsidRDefault="001923ED" w:rsidP="0049687E">
      <w:r w:rsidRPr="001C4DF3">
        <w:rPr>
          <w:noProof/>
        </w:rPr>
        <mc:AlternateContent>
          <mc:Choice Requires="wps">
            <w:drawing>
              <wp:inline distT="0" distB="0" distL="0" distR="0" wp14:anchorId="6D3E4CDF" wp14:editId="45ED72D0">
                <wp:extent cx="5648325" cy="582421"/>
                <wp:effectExtent l="0" t="0" r="9525" b="8255"/>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82421"/>
                        </a:xfrm>
                        <a:prstGeom prst="rect">
                          <a:avLst/>
                        </a:prstGeom>
                        <a:solidFill>
                          <a:srgbClr val="EBF3F5"/>
                        </a:solidFill>
                        <a:ln w="25400" cap="flat" cmpd="sng" algn="ctr">
                          <a:noFill/>
                          <a:prstDash val="solid"/>
                        </a:ln>
                        <a:effectLst/>
                      </wps:spPr>
                      <wps:txbx>
                        <w:txbxContent>
                          <w:p w14:paraId="29CA6669" w14:textId="77777777" w:rsidR="0017687C" w:rsidRDefault="0017687C" w:rsidP="0017687C">
                            <w:pPr>
                              <w:pStyle w:val="CGC2025QuestionNumbers"/>
                            </w:pPr>
                            <w:r>
                              <w:t xml:space="preserve">Do states agree the Commission should continue to assess mining revenue capacity using a </w:t>
                            </w:r>
                            <w:proofErr w:type="gramStart"/>
                            <w:r>
                              <w:t>mineral by mineral</w:t>
                            </w:r>
                            <w:proofErr w:type="gramEnd"/>
                            <w:r>
                              <w:t xml:space="preserve"> approach?</w:t>
                            </w:r>
                          </w:p>
                          <w:p w14:paraId="78444ABF" w14:textId="6ECF8266" w:rsidR="00284B22" w:rsidRPr="00284B22" w:rsidRDefault="00284B22" w:rsidP="0017687C">
                            <w:pPr>
                              <w:pStyle w:val="CGC2025QuestionNumbers"/>
                              <w:numPr>
                                <w:ilvl w:val="0"/>
                                <w:numId w:val="0"/>
                              </w:num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E4CDF" id="Rectangle 23" o:spid="_x0000_s1029" alt="&quot;&quot;" style="width:444.75pt;height:4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" fillcolor="#ebf3f5" stroked="f" strokeweight="2pt">
                <v:textbox>
                  <w:txbxContent>
                    <w:p w14:paraId="29CA6669" w14:textId="77777777" w:rsidR="0017687C" w:rsidRDefault="0017687C" w:rsidP="0017687C">
                      <w:pPr>
                        <w:pStyle w:val="CGC2025QuestionNumbers"/>
                      </w:pPr>
                      <w:r>
                        <w:t xml:space="preserve">Do states agree the Commission should continue to assess mining revenue capacity using a </w:t>
                      </w:r>
                      <w:proofErr w:type="gramStart"/>
                      <w:r>
                        <w:t>mineral by mineral</w:t>
                      </w:r>
                      <w:proofErr w:type="gramEnd"/>
                      <w:r>
                        <w:t xml:space="preserve"> approach?</w:t>
                      </w:r>
                    </w:p>
                    <w:p w14:paraId="78444ABF" w14:textId="6ECF8266" w:rsidR="00284B22" w:rsidRPr="00284B22" w:rsidRDefault="00284B22" w:rsidP="0017687C">
                      <w:pPr>
                        <w:pStyle w:val="CGC2025QuestionNumbers"/>
                        <w:numPr>
                          <w:ilvl w:val="0"/>
                          <w:numId w:val="0"/>
                        </w:numPr>
                      </w:pPr>
                    </w:p>
                  </w:txbxContent>
                </v:textbox>
                <w10:anchorlock/>
              </v:rect>
            </w:pict>
          </mc:Fallback>
        </mc:AlternateContent>
      </w:r>
    </w:p>
    <w:p w14:paraId="2F15D43C" w14:textId="77777777" w:rsidR="004C4109" w:rsidRPr="00C062C1" w:rsidRDefault="004C4109" w:rsidP="004C4109">
      <w:pPr>
        <w:pStyle w:val="CGC2025ParaNumbers"/>
      </w:pPr>
      <w:r>
        <w:t xml:space="preserve">Given that changes to the mining revenue assessment method are not excluded from the 2025 Review, the Commission considers it appropriate to consider whether there are adjustments that can deal with the 2 policy neutrality concerns raised with the </w:t>
      </w:r>
      <w:proofErr w:type="gramStart"/>
      <w:r>
        <w:t>mineral by mineral</w:t>
      </w:r>
      <w:proofErr w:type="gramEnd"/>
      <w:r>
        <w:t xml:space="preserve"> approach in the 2020 Review. They relate to assessing revenue capacity</w:t>
      </w:r>
      <w:r w:rsidRPr="00E562EB">
        <w:t xml:space="preserve"> </w:t>
      </w:r>
      <w:r>
        <w:t>when:</w:t>
      </w:r>
    </w:p>
    <w:p w14:paraId="737BCE39" w14:textId="565F3DAD" w:rsidR="004C4109" w:rsidRPr="0092093C" w:rsidRDefault="004C4109" w:rsidP="004C4109">
      <w:pPr>
        <w:pStyle w:val="CGC2025Bullet1"/>
      </w:pPr>
      <w:r w:rsidRPr="0092093C">
        <w:t>a dominant state changes its royalty rate</w:t>
      </w:r>
      <w:r w:rsidR="00924DC6">
        <w:t>,</w:t>
      </w:r>
      <w:r w:rsidRPr="0092093C">
        <w:t xml:space="preserve"> </w:t>
      </w:r>
      <w:r w:rsidR="008E550F" w:rsidRPr="0092093C">
        <w:t>or</w:t>
      </w:r>
    </w:p>
    <w:p w14:paraId="6FA34509" w14:textId="0BB3CFD4" w:rsidR="004C4109" w:rsidRPr="0092093C" w:rsidRDefault="00301F87" w:rsidP="004C4109">
      <w:pPr>
        <w:pStyle w:val="CGC2025Bullet1"/>
      </w:pPr>
      <w:r w:rsidRPr="007A7B7E">
        <w:t>states place restrictions on</w:t>
      </w:r>
      <w:r w:rsidR="004C4109" w:rsidRPr="0092093C">
        <w:t xml:space="preserve"> certain mining activity. </w:t>
      </w:r>
    </w:p>
    <w:p w14:paraId="659C4C80" w14:textId="77777777" w:rsidR="004C4109" w:rsidRDefault="004C4109" w:rsidP="004C4109">
      <w:pPr>
        <w:pStyle w:val="CGC2025ParaNumbers"/>
      </w:pPr>
      <w:r>
        <w:t xml:space="preserve">While the Commission considers the </w:t>
      </w:r>
      <w:proofErr w:type="gramStart"/>
      <w:r>
        <w:t>mineral by mineral</w:t>
      </w:r>
      <w:proofErr w:type="gramEnd"/>
      <w:r>
        <w:t xml:space="preserve"> assessment is the most appropriate way to determine states’ relative capacities to raise mining royalty revenue, it is open to </w:t>
      </w:r>
      <w:r w:rsidRPr="00843D5A">
        <w:t>improving the policy neutrality of the assessment</w:t>
      </w:r>
      <w:r>
        <w:t>, providing that improvement can be achieved without unduly affecting its assessment of states’ relative fiscal capacities</w:t>
      </w:r>
      <w:r w:rsidRPr="00843D5A">
        <w:t>.</w:t>
      </w:r>
      <w:bookmarkStart w:id="39" w:name="_Hlk133997697"/>
    </w:p>
    <w:p w14:paraId="0AD3B254" w14:textId="274D4571" w:rsidR="00264FD6" w:rsidRDefault="00330D16" w:rsidP="00F17FC1">
      <w:pPr>
        <w:pStyle w:val="Heading3"/>
      </w:pPr>
      <w:bookmarkStart w:id="40" w:name="_Toc138927243"/>
      <w:bookmarkEnd w:id="39"/>
      <w:r>
        <w:lastRenderedPageBreak/>
        <w:t>Ass</w:t>
      </w:r>
      <w:r w:rsidR="00D12B01">
        <w:t>essing revenue capacity</w:t>
      </w:r>
      <w:r w:rsidR="00993D7A">
        <w:t xml:space="preserve"> when a domi</w:t>
      </w:r>
      <w:r w:rsidR="00165081">
        <w:t xml:space="preserve">nant state changes its royalty </w:t>
      </w:r>
      <w:proofErr w:type="gramStart"/>
      <w:r w:rsidR="00165081">
        <w:t>rate</w:t>
      </w:r>
      <w:bookmarkEnd w:id="40"/>
      <w:proofErr w:type="gramEnd"/>
    </w:p>
    <w:p w14:paraId="20900088" w14:textId="7C1F034B" w:rsidR="00170D65" w:rsidRDefault="00170D65" w:rsidP="00FE2E75">
      <w:pPr>
        <w:pStyle w:val="CGC2025ParaNumbers"/>
      </w:pPr>
      <w:r>
        <w:t>As noted above, there are policy neutrality concerns when a dominant producer of a mineral changes its royalty rate for that mineral. In such situations, the change in revenue experienced by the dominant state would be largely offset by a change in its GST distribution. This could act as a disincentive for it to change its royalty rate, conflicting with the Commission’s policy neutrality principle.</w:t>
      </w:r>
    </w:p>
    <w:p w14:paraId="2806D783" w14:textId="7D102AC0" w:rsidR="00E85976" w:rsidRDefault="007F5F67" w:rsidP="00FE2E75">
      <w:pPr>
        <w:pStyle w:val="CGC2025ParaNumbers"/>
      </w:pPr>
      <w:r w:rsidRPr="007A7B7E">
        <w:t>The Commission notes that</w:t>
      </w:r>
      <w:r w:rsidR="00E14F71" w:rsidRPr="007A7B7E">
        <w:t>,</w:t>
      </w:r>
      <w:r w:rsidRPr="007A7B7E">
        <w:t xml:space="preserve"> </w:t>
      </w:r>
      <w:r w:rsidR="0090464B" w:rsidRPr="007A7B7E">
        <w:t>i</w:t>
      </w:r>
      <w:r w:rsidR="00FE2E75" w:rsidRPr="007A7B7E">
        <w:t xml:space="preserve">n some situations, the introduction of a relativity floor and new ‘standard state’ benchmark in </w:t>
      </w:r>
      <w:r w:rsidR="00FE2E75" w:rsidRPr="007A7B7E">
        <w:rPr>
          <w:i/>
          <w:iCs/>
        </w:rPr>
        <w:t>Treasury Laws Amendment (Making Sure Every State and Territory Gets Their Fair Share of GST) Act 2018</w:t>
      </w:r>
      <w:r w:rsidR="00FE2E75" w:rsidRPr="007A7B7E">
        <w:t xml:space="preserve"> (2018 legislative changes) can mitigate the </w:t>
      </w:r>
      <w:r w:rsidR="00BD2BEA" w:rsidRPr="007A7B7E">
        <w:t xml:space="preserve">GST </w:t>
      </w:r>
      <w:r w:rsidR="00FE2E75" w:rsidRPr="007A7B7E">
        <w:t xml:space="preserve">impact of </w:t>
      </w:r>
      <w:r w:rsidR="00BD2BEA" w:rsidRPr="007A7B7E">
        <w:t>a</w:t>
      </w:r>
      <w:r w:rsidR="00FE2E75" w:rsidRPr="007A7B7E">
        <w:t xml:space="preserve"> royalty rate </w:t>
      </w:r>
      <w:r w:rsidR="00BD2BEA" w:rsidRPr="007A7B7E">
        <w:t xml:space="preserve">increase </w:t>
      </w:r>
      <w:r w:rsidR="00FE2E75" w:rsidRPr="007A7B7E">
        <w:t xml:space="preserve">by </w:t>
      </w:r>
      <w:r w:rsidR="00BD2BEA" w:rsidRPr="007A7B7E">
        <w:t>the</w:t>
      </w:r>
      <w:r w:rsidR="00FE2E75" w:rsidRPr="007A7B7E">
        <w:t xml:space="preserve"> dominant state</w:t>
      </w:r>
      <w:r w:rsidR="066FD924" w:rsidRPr="007A7B7E">
        <w:t xml:space="preserve">. </w:t>
      </w:r>
      <w:r w:rsidRPr="007A7B7E">
        <w:t>Nevertheless,</w:t>
      </w:r>
      <w:r>
        <w:t xml:space="preserve"> t</w:t>
      </w:r>
      <w:r w:rsidR="00FE2E75">
        <w:t xml:space="preserve">he Commission’s view is that it is appropriate to consider whether the policy neutrality concerns with the mining assessment can be improved. </w:t>
      </w:r>
    </w:p>
    <w:p w14:paraId="4255F1A9" w14:textId="0405EDDD" w:rsidR="00FE2E75" w:rsidRDefault="00FE2E75" w:rsidP="00FE2E75">
      <w:pPr>
        <w:pStyle w:val="CGC2025ParaNumbers"/>
      </w:pPr>
      <w:r>
        <w:t xml:space="preserve">The Commission’s </w:t>
      </w:r>
      <w:r w:rsidR="40A554D5">
        <w:t>position</w:t>
      </w:r>
      <w:r>
        <w:t xml:space="preserve"> paper for the 2025 Review </w:t>
      </w:r>
      <w:r w:rsidRPr="3EC830AA">
        <w:rPr>
          <w:i/>
          <w:iCs/>
        </w:rPr>
        <w:t xml:space="preserve">Fiscal </w:t>
      </w:r>
      <w:r w:rsidR="00584E56">
        <w:rPr>
          <w:i/>
          <w:iCs/>
        </w:rPr>
        <w:t>e</w:t>
      </w:r>
      <w:r w:rsidRPr="3EC830AA">
        <w:rPr>
          <w:i/>
          <w:iCs/>
        </w:rPr>
        <w:t xml:space="preserve">qualisation, supporting principles and assessment guidelines, </w:t>
      </w:r>
      <w:r w:rsidR="5DC71555">
        <w:t>note</w:t>
      </w:r>
      <w:r w:rsidR="6666DF92">
        <w:t>s</w:t>
      </w:r>
      <w:r>
        <w:t xml:space="preserve"> that the first step in determining states’ GST distributions under the 2018 legislative changes is to identify the fiscally stronger of New South Wales or Victoria. In doing this, the assessment of states’ relative fiscal capacities is undertaken applying the approach to </w:t>
      </w:r>
      <w:r w:rsidR="004F45C6">
        <w:t>h</w:t>
      </w:r>
      <w:r>
        <w:t xml:space="preserve">orizontal </w:t>
      </w:r>
      <w:r w:rsidR="004F45C6">
        <w:t>f</w:t>
      </w:r>
      <w:r>
        <w:t xml:space="preserve">iscal </w:t>
      </w:r>
      <w:r w:rsidR="004F45C6">
        <w:t>e</w:t>
      </w:r>
      <w:r>
        <w:t>qualisation, including supporting principles, as set out in the 2020 Review. In addition, the no worse off provisions of the 2018 legislative changes require the Commission to produce relativities as if that legislation had not been enacted. To support this, the mining assessment method must continue to appropriately capture states’ mining revenue capacities.</w:t>
      </w:r>
    </w:p>
    <w:p w14:paraId="31BD26A5" w14:textId="34297299" w:rsidR="00000CB6" w:rsidRDefault="00000CB6" w:rsidP="00CA5366">
      <w:pPr>
        <w:pStyle w:val="Heading4"/>
      </w:pPr>
      <w:r>
        <w:t>Identifying a ‘dominant state’</w:t>
      </w:r>
    </w:p>
    <w:p w14:paraId="5C212C17" w14:textId="77777777" w:rsidR="003F5556" w:rsidRDefault="003F5556" w:rsidP="003F5556">
      <w:pPr>
        <w:pStyle w:val="CGC2025ParaNumbers"/>
      </w:pPr>
      <w:proofErr w:type="gramStart"/>
      <w:r>
        <w:t>In the course of</w:t>
      </w:r>
      <w:proofErr w:type="gramEnd"/>
      <w:r>
        <w:t xml:space="preserve"> the 2020 Review, the Commission considered defining a dominant state in terms of</w:t>
      </w:r>
      <w:r w:rsidRPr="00120D57">
        <w:t xml:space="preserve"> the difference between its revenue base </w:t>
      </w:r>
      <w:r>
        <w:t>share</w:t>
      </w:r>
      <w:r w:rsidRPr="00120D57">
        <w:t xml:space="preserve"> </w:t>
      </w:r>
      <w:r>
        <w:t xml:space="preserve">and </w:t>
      </w:r>
      <w:r w:rsidRPr="00120D57">
        <w:t>its population share</w:t>
      </w:r>
      <w:r>
        <w:t>. This difference determines the extent to which its GST distribution is affected by a change in its royalty rate.</w:t>
      </w:r>
    </w:p>
    <w:p w14:paraId="7FA55EF8" w14:textId="507C9705" w:rsidR="003F5556" w:rsidRPr="00A20299" w:rsidRDefault="003F5556" w:rsidP="003F5556">
      <w:pPr>
        <w:pStyle w:val="CGC2025ParaNumbers"/>
      </w:pPr>
      <w:r>
        <w:t xml:space="preserve">The Commission examined the size of differences between states’ revenue base shares and their population shares for a range of minerals. For most states and minerals, the difference was less than 50%. Drawing on those comparisons, it defined a state to be dominant if the difference exceeded 50%. This definition meant the state would retain less than 50% of the revenue change if it changed its royalty rate. </w:t>
      </w:r>
      <w:r w:rsidR="00DD7B40" w:rsidRPr="00FE0028">
        <w:t xml:space="preserve">As the threshold relates to a difference between a </w:t>
      </w:r>
      <w:r w:rsidR="00D44B03" w:rsidRPr="00FE0028">
        <w:t>state</w:t>
      </w:r>
      <w:r w:rsidR="008908BD" w:rsidRPr="00FE0028">
        <w:t xml:space="preserve">’s </w:t>
      </w:r>
      <w:r w:rsidR="00DD7B40" w:rsidRPr="00FE0028">
        <w:t>population and revenue base share</w:t>
      </w:r>
      <w:r w:rsidR="00576DDF" w:rsidRPr="00FE0028">
        <w:t>,</w:t>
      </w:r>
      <w:r w:rsidR="00DD7B40" w:rsidRPr="00FE0028">
        <w:t xml:space="preserve"> the threshold is at a different point for each state. </w:t>
      </w:r>
      <w:r w:rsidR="00074627">
        <w:fldChar w:fldCharType="begin"/>
      </w:r>
      <w:r w:rsidR="00074627">
        <w:instrText xml:space="preserve"> REF _Ref136531868 \h </w:instrText>
      </w:r>
      <w:r w:rsidR="00074627">
        <w:fldChar w:fldCharType="separate"/>
      </w:r>
      <w:r w:rsidR="00A90833" w:rsidRPr="00A15C38">
        <w:t>Figure</w:t>
      </w:r>
      <w:r w:rsidR="00A90833">
        <w:t> </w:t>
      </w:r>
      <w:r w:rsidR="00A90833">
        <w:rPr>
          <w:noProof/>
        </w:rPr>
        <w:t>1</w:t>
      </w:r>
      <w:r w:rsidR="00074627">
        <w:fldChar w:fldCharType="end"/>
      </w:r>
      <w:r w:rsidR="0063468B">
        <w:t xml:space="preserve"> </w:t>
      </w:r>
      <w:r w:rsidR="00DD7B40" w:rsidRPr="00FE0028">
        <w:t xml:space="preserve">shows that for New South Wales to be </w:t>
      </w:r>
      <w:r w:rsidR="00F23F97" w:rsidRPr="00FE0028">
        <w:t xml:space="preserve">a </w:t>
      </w:r>
      <w:r w:rsidR="003959B2" w:rsidRPr="00FE0028">
        <w:t>dominant</w:t>
      </w:r>
      <w:r w:rsidR="00DD7B40" w:rsidRPr="00FE0028">
        <w:t xml:space="preserve"> state it would need to have more than 80% of the national revenue base</w:t>
      </w:r>
      <w:r w:rsidR="00F23F97" w:rsidRPr="00FE0028">
        <w:t xml:space="preserve">, Victoria 75%, Queensland </w:t>
      </w:r>
      <w:proofErr w:type="gramStart"/>
      <w:r w:rsidR="00F23F97" w:rsidRPr="00FE0028">
        <w:t>70%</w:t>
      </w:r>
      <w:proofErr w:type="gramEnd"/>
      <w:r w:rsidR="00DD7B40" w:rsidRPr="00FE0028">
        <w:t xml:space="preserve"> and Western Australia 60%. </w:t>
      </w:r>
      <w:r w:rsidR="004B3775" w:rsidRPr="00074627">
        <w:fldChar w:fldCharType="begin"/>
      </w:r>
      <w:r w:rsidR="004B3775" w:rsidRPr="00FE0028">
        <w:instrText xml:space="preserve"> REF _Ref136531868 \h  \* MERGEFORMAT </w:instrText>
      </w:r>
      <w:r w:rsidR="004B3775" w:rsidRPr="00074627">
        <w:fldChar w:fldCharType="separate"/>
      </w:r>
      <w:r w:rsidR="00A90833" w:rsidRPr="00A15C38">
        <w:t>Figure</w:t>
      </w:r>
      <w:r w:rsidR="00A90833">
        <w:t> 1</w:t>
      </w:r>
      <w:r w:rsidR="004B3775" w:rsidRPr="00074627">
        <w:fldChar w:fldCharType="end"/>
      </w:r>
      <w:r w:rsidR="00DD7B40" w:rsidRPr="00FE0028">
        <w:t xml:space="preserve"> also shows that</w:t>
      </w:r>
      <w:r w:rsidR="006D2288">
        <w:t xml:space="preserve">, </w:t>
      </w:r>
      <w:r w:rsidR="007802F7">
        <w:t>u</w:t>
      </w:r>
      <w:r>
        <w:t xml:space="preserve">nder this definition, Queensland would be classified as a dominant state in relation to onshore oil and gas and </w:t>
      </w:r>
      <w:r>
        <w:lastRenderedPageBreak/>
        <w:t xml:space="preserve">Western Australia would be classified as a dominant state in relation to iron ore, </w:t>
      </w:r>
      <w:proofErr w:type="gramStart"/>
      <w:r>
        <w:t>lithium</w:t>
      </w:r>
      <w:proofErr w:type="gramEnd"/>
      <w:r>
        <w:t xml:space="preserve"> and gold.</w:t>
      </w:r>
      <w:r>
        <w:rPr>
          <w:rStyle w:val="FootnoteReference"/>
        </w:rPr>
        <w:footnoteReference w:id="6"/>
      </w:r>
    </w:p>
    <w:p w14:paraId="7842B11D" w14:textId="3EAF9B73" w:rsidR="00A15C38" w:rsidRPr="00A15C38" w:rsidRDefault="004B3775" w:rsidP="00A15C38">
      <w:pPr>
        <w:pStyle w:val="Caption"/>
        <w:rPr>
          <w:rFonts w:ascii="Work Sans" w:hAnsi="Work Sans"/>
        </w:rPr>
      </w:pPr>
      <w:bookmarkStart w:id="41" w:name="_Ref136531868"/>
      <w:r w:rsidRPr="00A15C38">
        <w:rPr>
          <w:rFonts w:ascii="Work Sans" w:hAnsi="Work Sans"/>
        </w:rPr>
        <w:t>Figure</w:t>
      </w:r>
      <w:r>
        <w:rPr>
          <w:rFonts w:ascii="Work Sans" w:hAnsi="Work Sans"/>
        </w:rPr>
        <w:t> </w:t>
      </w:r>
      <w:r w:rsidR="00A15C38" w:rsidRPr="00A15C38">
        <w:rPr>
          <w:rFonts w:ascii="Work Sans" w:hAnsi="Work Sans"/>
        </w:rPr>
        <w:fldChar w:fldCharType="begin"/>
      </w:r>
      <w:r w:rsidR="00A15C38" w:rsidRPr="00A15C38">
        <w:rPr>
          <w:rFonts w:ascii="Work Sans" w:hAnsi="Work Sans"/>
        </w:rPr>
        <w:instrText xml:space="preserve"> SEQ Figure \* ARABIC </w:instrText>
      </w:r>
      <w:r w:rsidR="00A15C38" w:rsidRPr="00A15C38">
        <w:rPr>
          <w:rFonts w:ascii="Work Sans" w:hAnsi="Work Sans"/>
        </w:rPr>
        <w:fldChar w:fldCharType="separate"/>
      </w:r>
      <w:r w:rsidR="00A90833">
        <w:rPr>
          <w:rFonts w:ascii="Work Sans" w:hAnsi="Work Sans"/>
          <w:noProof/>
        </w:rPr>
        <w:t>1</w:t>
      </w:r>
      <w:r w:rsidR="00A15C38" w:rsidRPr="00A15C38">
        <w:rPr>
          <w:rFonts w:ascii="Work Sans" w:hAnsi="Work Sans"/>
        </w:rPr>
        <w:fldChar w:fldCharType="end"/>
      </w:r>
      <w:bookmarkEnd w:id="41"/>
      <w:r w:rsidR="001147B3">
        <w:rPr>
          <w:rFonts w:ascii="Work Sans" w:hAnsi="Work Sans"/>
        </w:rPr>
        <w:tab/>
      </w:r>
      <w:r w:rsidR="00A15C38" w:rsidRPr="00A15C38">
        <w:rPr>
          <w:rFonts w:ascii="Work Sans" w:hAnsi="Work Sans"/>
        </w:rPr>
        <w:t xml:space="preserve">States with a dominant share of production, 2023 </w:t>
      </w:r>
      <w:proofErr w:type="gramStart"/>
      <w:r w:rsidR="00A15C38" w:rsidRPr="00A15C38">
        <w:rPr>
          <w:rFonts w:ascii="Work Sans" w:hAnsi="Work Sans"/>
        </w:rPr>
        <w:t>Update</w:t>
      </w:r>
      <w:proofErr w:type="gramEnd"/>
    </w:p>
    <w:p w14:paraId="090858AD" w14:textId="3BB9B9EB" w:rsidR="00F55C66" w:rsidRDefault="00F55C66" w:rsidP="00566F65">
      <w:pPr>
        <w:pStyle w:val="CGCTableFootnote"/>
        <w:rPr>
          <w:sz w:val="14"/>
          <w:szCs w:val="14"/>
        </w:rPr>
      </w:pPr>
      <w:r w:rsidRPr="00F55C66">
        <w:rPr>
          <w:noProof/>
        </w:rPr>
        <w:drawing>
          <wp:inline distT="0" distB="0" distL="0" distR="0" wp14:anchorId="7B40E55A" wp14:editId="622EE2A5">
            <wp:extent cx="5666740" cy="35744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6740" cy="3574415"/>
                    </a:xfrm>
                    <a:prstGeom prst="rect">
                      <a:avLst/>
                    </a:prstGeom>
                    <a:noFill/>
                    <a:ln>
                      <a:noFill/>
                    </a:ln>
                  </pic:spPr>
                </pic:pic>
              </a:graphicData>
            </a:graphic>
          </wp:inline>
        </w:drawing>
      </w:r>
    </w:p>
    <w:p w14:paraId="0817B13F" w14:textId="488CAC3A" w:rsidR="00AE6694" w:rsidRPr="00A40C89" w:rsidRDefault="00AE6694" w:rsidP="00436C98">
      <w:pPr>
        <w:pStyle w:val="CGC2025Tablenote"/>
      </w:pPr>
      <w:r w:rsidRPr="00A40C89">
        <w:t xml:space="preserve">Source: </w:t>
      </w:r>
      <w:r w:rsidR="00F8729E" w:rsidRPr="00A40C89">
        <w:t>State provided data, 2023 Update.</w:t>
      </w:r>
    </w:p>
    <w:p w14:paraId="45A61C36" w14:textId="0BA25DB8" w:rsidR="00FE2E75" w:rsidRPr="00FE2E75" w:rsidRDefault="003F5556">
      <w:pPr>
        <w:pStyle w:val="CGC2025ParaNumbers"/>
      </w:pPr>
      <w:bookmarkStart w:id="42" w:name="_Hlk135231378"/>
      <w:r>
        <w:t xml:space="preserve">The Commission’s preliminary view is that a ‘dominant state’ for a mineral be identified </w:t>
      </w:r>
      <w:r w:rsidR="004C352D">
        <w:t xml:space="preserve">after </w:t>
      </w:r>
      <w:r>
        <w:t>having regard to the following: a state’s share of the relevant revenue base (its share of production)</w:t>
      </w:r>
      <w:r w:rsidR="00C82FB2">
        <w:t>,</w:t>
      </w:r>
      <w:r>
        <w:t xml:space="preserve"> its population share</w:t>
      </w:r>
      <w:r w:rsidR="00F76EEC">
        <w:t>,</w:t>
      </w:r>
      <w:r>
        <w:t xml:space="preserve"> and the extent to which its GST distribution would be impacted by a change in the royalty rate for that mineral.</w:t>
      </w:r>
      <w:bookmarkEnd w:id="42"/>
    </w:p>
    <w:p w14:paraId="766CE66D" w14:textId="77777777" w:rsidR="00B42EA7" w:rsidRDefault="00B42EA7" w:rsidP="00B42EA7">
      <w:pPr>
        <w:pStyle w:val="Heading4"/>
      </w:pPr>
      <w:r>
        <w:t>Consultation question</w:t>
      </w:r>
    </w:p>
    <w:p w14:paraId="4AD0E05A" w14:textId="77777777" w:rsidR="00B42EA7" w:rsidRPr="00571F9E" w:rsidRDefault="00B42EA7" w:rsidP="00B42EA7">
      <w:r w:rsidRPr="001C4DF3">
        <w:rPr>
          <w:noProof/>
        </w:rPr>
        <mc:AlternateContent>
          <mc:Choice Requires="wps">
            <w:drawing>
              <wp:inline distT="0" distB="0" distL="0" distR="0" wp14:anchorId="561343BA" wp14:editId="534D0DF9">
                <wp:extent cx="5648325" cy="914400"/>
                <wp:effectExtent l="0" t="0" r="9525" b="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914400"/>
                        </a:xfrm>
                        <a:prstGeom prst="rect">
                          <a:avLst/>
                        </a:prstGeom>
                        <a:solidFill>
                          <a:srgbClr val="EBF3F5"/>
                        </a:solidFill>
                        <a:ln w="25400" cap="flat" cmpd="sng" algn="ctr">
                          <a:noFill/>
                          <a:prstDash val="solid"/>
                        </a:ln>
                        <a:effectLst/>
                      </wps:spPr>
                      <wps:txbx>
                        <w:txbxContent>
                          <w:p w14:paraId="52F23162" w14:textId="57B0615B" w:rsidR="006917F1" w:rsidRDefault="006917F1" w:rsidP="002477A3">
                            <w:pPr>
                              <w:pStyle w:val="CGC2025QuestionNumbers"/>
                            </w:pPr>
                            <w:r w:rsidRPr="00AB52C7">
                              <w:t xml:space="preserve">Do states </w:t>
                            </w:r>
                            <w:r>
                              <w:t>support the dominant state</w:t>
                            </w:r>
                            <w:r w:rsidR="004B2FB7">
                              <w:t xml:space="preserve"> for a mineral be</w:t>
                            </w:r>
                            <w:r w:rsidR="0097318E">
                              <w:t>ing</w:t>
                            </w:r>
                            <w:r w:rsidR="004B2FB7">
                              <w:t xml:space="preserve"> identified </w:t>
                            </w:r>
                            <w:r w:rsidR="00141D0B">
                              <w:t xml:space="preserve">having regard to a state’s share of the </w:t>
                            </w:r>
                            <w:r w:rsidR="00C77222">
                              <w:t xml:space="preserve">revenue </w:t>
                            </w:r>
                            <w:r w:rsidR="00141D0B">
                              <w:t>base</w:t>
                            </w:r>
                            <w:r w:rsidR="0042457D">
                              <w:t xml:space="preserve">, its population share, and the extent to which </w:t>
                            </w:r>
                            <w:r w:rsidR="00596C0E">
                              <w:t xml:space="preserve">its GST distribution would be impacted by a change in the </w:t>
                            </w:r>
                            <w:r w:rsidR="00107099">
                              <w:t>royalty rate for that mineral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1343BA" id="Rectangle 8" o:spid="_x0000_s1030" alt="&quot;&quot;" style="width:444.7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" fillcolor="#ebf3f5" stroked="f" strokeweight="2pt">
                <v:textbox>
                  <w:txbxContent>
                    <w:p w14:paraId="52F23162" w14:textId="57B0615B" w:rsidR="006917F1" w:rsidRDefault="006917F1" w:rsidP="002477A3">
                      <w:pPr>
                        <w:pStyle w:val="CGC2025QuestionNumbers"/>
                      </w:pPr>
                      <w:r w:rsidRPr="00AB52C7">
                        <w:t xml:space="preserve">Do states </w:t>
                      </w:r>
                      <w:r>
                        <w:t>support the dominant state</w:t>
                      </w:r>
                      <w:r w:rsidR="004B2FB7">
                        <w:t xml:space="preserve"> for a mineral be</w:t>
                      </w:r>
                      <w:r w:rsidR="0097318E">
                        <w:t>ing</w:t>
                      </w:r>
                      <w:r w:rsidR="004B2FB7">
                        <w:t xml:space="preserve"> identified </w:t>
                      </w:r>
                      <w:r w:rsidR="00141D0B">
                        <w:t xml:space="preserve">having regard to a state’s share of the </w:t>
                      </w:r>
                      <w:r w:rsidR="00C77222">
                        <w:t xml:space="preserve">revenue </w:t>
                      </w:r>
                      <w:r w:rsidR="00141D0B">
                        <w:t>base</w:t>
                      </w:r>
                      <w:r w:rsidR="0042457D">
                        <w:t xml:space="preserve">, its population share, and the extent to which </w:t>
                      </w:r>
                      <w:r w:rsidR="00596C0E">
                        <w:t xml:space="preserve">its GST distribution would be impacted by a change in the </w:t>
                      </w:r>
                      <w:r w:rsidR="00107099">
                        <w:t>royalty rate for that mineral</w:t>
                      </w:r>
                      <w:r>
                        <w:t>?</w:t>
                      </w:r>
                    </w:p>
                  </w:txbxContent>
                </v:textbox>
                <w10:anchorlock/>
              </v:rect>
            </w:pict>
          </mc:Fallback>
        </mc:AlternateContent>
      </w:r>
    </w:p>
    <w:p w14:paraId="7B0E23E3" w14:textId="77777777" w:rsidR="001C7F02" w:rsidRDefault="001C7F02">
      <w:pPr>
        <w:tabs>
          <w:tab w:val="clear" w:pos="567"/>
        </w:tabs>
        <w:spacing w:before="0" w:after="200" w:line="276" w:lineRule="auto"/>
        <w:rPr>
          <w:rFonts w:ascii="Work Sans" w:eastAsiaTheme="majorEastAsia" w:hAnsi="Work Sans" w:cstheme="majorBidi"/>
          <w:b/>
          <w:bCs/>
          <w:iCs/>
          <w:color w:val="006991"/>
          <w:sz w:val="24"/>
        </w:rPr>
      </w:pPr>
      <w:bookmarkStart w:id="43" w:name="_Toc121741490"/>
      <w:bookmarkStart w:id="44" w:name="_Toc127428359"/>
      <w:bookmarkStart w:id="45" w:name="_Toc132729113"/>
      <w:bookmarkStart w:id="46" w:name="_Toc133236154"/>
      <w:bookmarkStart w:id="47" w:name="_Toc133236180"/>
      <w:r>
        <w:br w:type="page"/>
      </w:r>
    </w:p>
    <w:p w14:paraId="08963E76" w14:textId="3DEE53B5" w:rsidR="00CC79D6" w:rsidRDefault="00CC79D6" w:rsidP="003270F4">
      <w:pPr>
        <w:pStyle w:val="Heading4"/>
      </w:pPr>
      <w:r>
        <w:lastRenderedPageBreak/>
        <w:t>Possible responses to the dominant state issue</w:t>
      </w:r>
    </w:p>
    <w:p w14:paraId="38F5E5F6" w14:textId="0A896258" w:rsidR="00F47221" w:rsidRDefault="00F47221" w:rsidP="00F47221">
      <w:pPr>
        <w:pStyle w:val="CGC2025ParaNumbers"/>
      </w:pPr>
      <w:r>
        <w:t>In previous reviews, the Commission explored whether there were other ways of assessing mining capacity that might better resolve this conflict. Options included:</w:t>
      </w:r>
    </w:p>
    <w:p w14:paraId="4C83D732" w14:textId="77777777" w:rsidR="00F47221" w:rsidRDefault="00F47221" w:rsidP="00F47221">
      <w:pPr>
        <w:pStyle w:val="CGCBullet1"/>
        <w:numPr>
          <w:ilvl w:val="0"/>
          <w:numId w:val="3"/>
        </w:numPr>
      </w:pPr>
      <w:r>
        <w:t xml:space="preserve">a profitability measure applied to all state mining </w:t>
      </w:r>
      <w:proofErr w:type="gramStart"/>
      <w:r>
        <w:t>activity</w:t>
      </w:r>
      <w:proofErr w:type="gramEnd"/>
      <w:r>
        <w:t xml:space="preserve"> </w:t>
      </w:r>
    </w:p>
    <w:p w14:paraId="78E38848" w14:textId="77777777" w:rsidR="00F47221" w:rsidRDefault="00F47221" w:rsidP="00F47221">
      <w:pPr>
        <w:pStyle w:val="CGCBullet1"/>
        <w:numPr>
          <w:ilvl w:val="0"/>
          <w:numId w:val="3"/>
        </w:numPr>
      </w:pPr>
      <w:r>
        <w:t xml:space="preserve">grouping minerals </w:t>
      </w:r>
    </w:p>
    <w:p w14:paraId="4BF01A4E" w14:textId="77777777" w:rsidR="00F47221" w:rsidRDefault="00F47221" w:rsidP="00F47221">
      <w:pPr>
        <w:pStyle w:val="CGCBullet1"/>
        <w:numPr>
          <w:ilvl w:val="0"/>
          <w:numId w:val="3"/>
        </w:numPr>
      </w:pPr>
      <w:r>
        <w:t>an external standard</w:t>
      </w:r>
      <w:r>
        <w:rPr>
          <w:rStyle w:val="FootnoteReference"/>
        </w:rPr>
        <w:footnoteReference w:id="7"/>
      </w:r>
    </w:p>
    <w:p w14:paraId="552E0EC2" w14:textId="77777777" w:rsidR="00F47221" w:rsidRDefault="00F47221" w:rsidP="00F47221">
      <w:pPr>
        <w:pStyle w:val="CGCBullet1"/>
        <w:numPr>
          <w:ilvl w:val="0"/>
          <w:numId w:val="3"/>
        </w:numPr>
      </w:pPr>
      <w:r>
        <w:t>assessing part of the dominant state’s revenue from a royalty rate change equal per capita.</w:t>
      </w:r>
    </w:p>
    <w:p w14:paraId="62F8FBF2" w14:textId="77777777" w:rsidR="00F47221" w:rsidRDefault="00F47221" w:rsidP="00F47221">
      <w:pPr>
        <w:pStyle w:val="CGC2025ParaNumbers"/>
      </w:pPr>
      <w:r>
        <w:t xml:space="preserve">A profitability approach lessens the effect of large tax base concentrations by assessing all minerals together. However, this is not what states do, as most states do not impose royalties on a </w:t>
      </w:r>
      <w:proofErr w:type="gramStart"/>
      <w:r>
        <w:t>profits</w:t>
      </w:r>
      <w:proofErr w:type="gramEnd"/>
      <w:r>
        <w:t xml:space="preserve"> basis. While they might consider profitability when setting their royalty rates, they impose rates on value of production. In addition, the Commission has not been able to obtain the data required to develop a profitability measure. If this option is to be considered, it would depend on states being able to reliably provide relevant data to develop and maintain a profitability measure.</w:t>
      </w:r>
    </w:p>
    <w:p w14:paraId="04E65A18" w14:textId="77777777" w:rsidR="00F47221" w:rsidRDefault="00F47221" w:rsidP="00F47221">
      <w:pPr>
        <w:pStyle w:val="CGC2025ParaNumbers"/>
      </w:pPr>
      <w:r>
        <w:t>Grouping minerals also lessens the effect of large tax base concentrations. However, grouping minerals with different royalty rates tends to:</w:t>
      </w:r>
    </w:p>
    <w:p w14:paraId="141B02C5" w14:textId="77777777" w:rsidR="00F47221" w:rsidRDefault="00F47221" w:rsidP="00F47221">
      <w:pPr>
        <w:pStyle w:val="CGCBullet1"/>
        <w:numPr>
          <w:ilvl w:val="0"/>
          <w:numId w:val="3"/>
        </w:numPr>
      </w:pPr>
      <w:r>
        <w:t xml:space="preserve">reduce the assessed revenue raising capacity of states with high value mineral </w:t>
      </w:r>
      <w:proofErr w:type="gramStart"/>
      <w:r>
        <w:t>endowments</w:t>
      </w:r>
      <w:proofErr w:type="gramEnd"/>
      <w:r>
        <w:t xml:space="preserve"> </w:t>
      </w:r>
    </w:p>
    <w:p w14:paraId="6B45EDF2" w14:textId="77777777" w:rsidR="00F47221" w:rsidRDefault="00F47221" w:rsidP="00F47221">
      <w:pPr>
        <w:pStyle w:val="CGCBullet1"/>
        <w:numPr>
          <w:ilvl w:val="0"/>
          <w:numId w:val="3"/>
        </w:numPr>
      </w:pPr>
      <w:r>
        <w:t>increase the assessed revenue raising capacity of states with low value mineral endowments.</w:t>
      </w:r>
    </w:p>
    <w:p w14:paraId="75B05F18" w14:textId="445B8674" w:rsidR="00F47221" w:rsidRPr="00EB1F09" w:rsidRDefault="00F47221" w:rsidP="001B7388">
      <w:pPr>
        <w:pStyle w:val="CGC2025ParaNumbers"/>
      </w:pPr>
      <w:r>
        <w:t>Grouping minerals does not mean a dominant state’s assessed revenue raising capacity will be lower. For example, had the Commission grouped all minerals together in the 2023 Update, Western Australia’s assessed capacity would have been higher, and its GST lower.</w:t>
      </w:r>
      <w:r>
        <w:rPr>
          <w:rStyle w:val="FootnoteReference"/>
        </w:rPr>
        <w:footnoteReference w:id="8"/>
      </w:r>
      <w:r>
        <w:t xml:space="preserve"> Its effective royalty rate (across all its minerals) was less than </w:t>
      </w:r>
      <w:proofErr w:type="gramStart"/>
      <w:r>
        <w:t>the all</w:t>
      </w:r>
      <w:proofErr w:type="gramEnd"/>
      <w:r>
        <w:t xml:space="preserve"> state average royalty rate for all minerals.</w:t>
      </w:r>
    </w:p>
    <w:p w14:paraId="0A3D04D9" w14:textId="2112878E" w:rsidR="00F47221" w:rsidRDefault="00F47221" w:rsidP="00F47221">
      <w:pPr>
        <w:pStyle w:val="CGC2025ParaNumbers"/>
      </w:pPr>
      <w:r>
        <w:t xml:space="preserve">Under an external standard approach, the dominant state’s royalty rate would be replaced with an </w:t>
      </w:r>
      <w:r w:rsidR="004A71FF">
        <w:t>externally sourced</w:t>
      </w:r>
      <w:r>
        <w:t xml:space="preserve"> rate, for example an international rate. If the external rate is higher than the dominant state’s rate, this approach will overstate the dominant state’s revenue raising capacity. If the external rate is lower, it will understate its revenue raising capacity. In addition, when the rates differ, the total assessed revenue will not sum to states’ total actual revenue. To balance the </w:t>
      </w:r>
      <w:r>
        <w:lastRenderedPageBreak/>
        <w:t>assessed budget with the actual budget,</w:t>
      </w:r>
      <w:r w:rsidR="0053421C">
        <w:rPr>
          <w:rStyle w:val="FootnoteReference"/>
        </w:rPr>
        <w:footnoteReference w:id="9"/>
      </w:r>
      <w:r>
        <w:t xml:space="preserve"> the Commission would need to make an adjustment by assessing any difference equal per capita in a new mining component.</w:t>
      </w:r>
    </w:p>
    <w:p w14:paraId="61EFA650" w14:textId="0FA2D6F0" w:rsidR="00F47221" w:rsidRDefault="00F47221" w:rsidP="00F47221">
      <w:pPr>
        <w:pStyle w:val="CGC2025ParaNumbers"/>
      </w:pPr>
      <w:r>
        <w:t xml:space="preserve">During the 2020 Review, one state proposed alternative assessment approaches that would give more weight to policy neutrality, including a global revenue assessment, a uniform fixed standard royalty rate, a policy neutral measure (land area) and a rotating standard. This state also expressed concern that the observed value of production </w:t>
      </w:r>
      <w:r w:rsidRPr="00A06AA7">
        <w:t xml:space="preserve">data </w:t>
      </w:r>
      <w:proofErr w:type="gramStart"/>
      <w:r w:rsidRPr="00A06AA7">
        <w:t>w</w:t>
      </w:r>
      <w:r w:rsidR="00BE4157" w:rsidRPr="00A06AA7">
        <w:t>ere</w:t>
      </w:r>
      <w:proofErr w:type="gramEnd"/>
      <w:r w:rsidRPr="00A06AA7">
        <w:t xml:space="preserve"> not fit for purpose because </w:t>
      </w:r>
      <w:r w:rsidR="00A06AA7">
        <w:t>they were</w:t>
      </w:r>
      <w:r w:rsidRPr="00A06AA7">
        <w:t xml:space="preserve"> affected</w:t>
      </w:r>
      <w:r>
        <w:t xml:space="preserve"> by state policies, such as the level and stability of royalty rates, regional developments and approval processes. In response, the Commission noted that these alternative proposed approaches would represent a different form of revenue equalisation</w:t>
      </w:r>
      <w:r w:rsidR="00FD6BB9">
        <w:t>,</w:t>
      </w:r>
      <w:r>
        <w:t xml:space="preserve"> which would significantly understate the revenue raising capacity of states with significant high value mineral endowments. In addition, the Commission did not agree that the value of production data </w:t>
      </w:r>
      <w:proofErr w:type="gramStart"/>
      <w:r>
        <w:t>are</w:t>
      </w:r>
      <w:proofErr w:type="gramEnd"/>
      <w:r>
        <w:t xml:space="preserve"> too policy influenced to be used. The Commission noted the main drivers of value of production are states’ natural endowments, commodity prices and mining company production decisions. The Commission’s view is that these drivers are likely to exert substantially larger effects on state value of production than state policy settings.</w:t>
      </w:r>
    </w:p>
    <w:p w14:paraId="41CC2EB8" w14:textId="77777777" w:rsidR="00F47221" w:rsidRDefault="00F47221" w:rsidP="00F47221">
      <w:pPr>
        <w:pStyle w:val="CGC2025ParaNumbers"/>
      </w:pPr>
      <w:r>
        <w:t xml:space="preserve">The Commission considers that grouping minerals is not an appropriate way to deal with the policy neutrality concerns when mineral production is concentrated in one state. The </w:t>
      </w:r>
      <w:proofErr w:type="gramStart"/>
      <w:r>
        <w:t>mineral by mineral</w:t>
      </w:r>
      <w:proofErr w:type="gramEnd"/>
      <w:r>
        <w:t xml:space="preserve"> approach provides an accurate reflection of states’ capacities to raise mining revenue, including in cases where mining activity is concentrated. Grouping minerals would undermine the accuracy of the mining assessment for all states every year, irrespective of whether the dominant producer state changed its royalty rate. </w:t>
      </w:r>
    </w:p>
    <w:p w14:paraId="4E694E83" w14:textId="18ECD35F" w:rsidR="00F47221" w:rsidRDefault="001B7388" w:rsidP="00EB29E8">
      <w:pPr>
        <w:pStyle w:val="Heading4"/>
      </w:pPr>
      <w:r>
        <w:t>Preferred app</w:t>
      </w:r>
      <w:r w:rsidR="0011092B">
        <w:t>roach to the dominant state issue</w:t>
      </w:r>
    </w:p>
    <w:p w14:paraId="0EACE61D" w14:textId="78C2495D" w:rsidR="00AC4F8A" w:rsidRDefault="00AC4F8A" w:rsidP="00AC4F8A">
      <w:pPr>
        <w:pStyle w:val="CGC2025ParaNumbers"/>
      </w:pPr>
      <w:r>
        <w:t xml:space="preserve">The Commission’s preliminary view is that the most appropriate and direct way to deal with the situation where a dominant state changes its royalty rate would be for </w:t>
      </w:r>
      <w:r w:rsidR="009C6B3E">
        <w:t>a proportion</w:t>
      </w:r>
      <w:r>
        <w:t xml:space="preserve"> of the dominant state’s revenue change, arising from the royalty rate change, to be assessed equal per capita. This would apply to both rate increases and rate decreases.</w:t>
      </w:r>
      <w:r w:rsidR="007019D8">
        <w:t xml:space="preserve"> While judgment is required, </w:t>
      </w:r>
      <w:r>
        <w:t>the Commission considers that a proportion of 50% would strike an appropriate balance between the Commission’s objectives of appropriately assessing relative state fiscal capacities and addressing policy neutrality concerns.</w:t>
      </w:r>
    </w:p>
    <w:p w14:paraId="1A087E03" w14:textId="474DB020" w:rsidR="00D9533C" w:rsidRDefault="00D9533C" w:rsidP="00D9533C">
      <w:pPr>
        <w:pStyle w:val="Heading4"/>
      </w:pPr>
      <w:r>
        <w:lastRenderedPageBreak/>
        <w:t>Consultation question</w:t>
      </w:r>
    </w:p>
    <w:p w14:paraId="50BE8D00" w14:textId="6E1200C9" w:rsidR="00A06AA7" w:rsidRDefault="009331E4" w:rsidP="001B5F90">
      <w:r w:rsidRPr="001C4DF3">
        <w:rPr>
          <w:noProof/>
        </w:rPr>
        <mc:AlternateContent>
          <mc:Choice Requires="wps">
            <w:drawing>
              <wp:inline distT="0" distB="0" distL="0" distR="0" wp14:anchorId="024537FC" wp14:editId="130069E2">
                <wp:extent cx="5731510" cy="854406"/>
                <wp:effectExtent l="0" t="0" r="2540" b="317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854406"/>
                        </a:xfrm>
                        <a:prstGeom prst="rect">
                          <a:avLst/>
                        </a:prstGeom>
                        <a:solidFill>
                          <a:srgbClr val="EBF3F5"/>
                        </a:solidFill>
                        <a:ln w="25400" cap="flat" cmpd="sng" algn="ctr">
                          <a:noFill/>
                          <a:prstDash val="solid"/>
                        </a:ln>
                        <a:effectLst/>
                      </wps:spPr>
                      <wps:txbx>
                        <w:txbxContent>
                          <w:p w14:paraId="2C8E02E5" w14:textId="1ADDCD79" w:rsidR="009331E4" w:rsidRDefault="009331E4" w:rsidP="0065137A">
                            <w:pPr>
                              <w:pStyle w:val="CGC2025QuestionNumbers"/>
                              <w:rPr>
                                <w:rFonts w:eastAsiaTheme="majorEastAsia" w:cs="Open Sans"/>
                              </w:rPr>
                            </w:pPr>
                            <w:r w:rsidRPr="00AB52C7">
                              <w:rPr>
                                <w:rFonts w:eastAsiaTheme="majorEastAsia" w:cs="Open Sans"/>
                              </w:rPr>
                              <w:t xml:space="preserve">Do states agree </w:t>
                            </w:r>
                            <w:r>
                              <w:rPr>
                                <w:rFonts w:eastAsiaTheme="majorEastAsia" w:cs="Open Sans"/>
                              </w:rPr>
                              <w:t xml:space="preserve">that </w:t>
                            </w:r>
                            <w:r w:rsidRPr="00F01F52">
                              <w:t>where a dominant state changes its relevant royalty rate</w:t>
                            </w:r>
                            <w:r>
                              <w:t xml:space="preserve">, assessing </w:t>
                            </w:r>
                            <w:r w:rsidRPr="00F01F52">
                              <w:t>50% of th</w:t>
                            </w:r>
                            <w:r>
                              <w:t xml:space="preserve">at </w:t>
                            </w:r>
                            <w:r w:rsidRPr="00F01F52">
                              <w:t xml:space="preserve">state’s revenue arising from </w:t>
                            </w:r>
                            <w:r>
                              <w:t>the</w:t>
                            </w:r>
                            <w:r w:rsidRPr="00F01F52">
                              <w:t xml:space="preserve"> royalty rate chang</w:t>
                            </w:r>
                            <w:r>
                              <w:t>e</w:t>
                            </w:r>
                            <w:r w:rsidRPr="00F01F52">
                              <w:t xml:space="preserve"> equal per capita</w:t>
                            </w:r>
                            <w:r>
                              <w:t xml:space="preserve"> would represent an appropriate balance between assessing relative state fiscal capacities and policy neutrality concerns?</w:t>
                            </w:r>
                          </w:p>
                          <w:p w14:paraId="5F11E04F" w14:textId="77777777" w:rsidR="009331E4" w:rsidRDefault="009331E4" w:rsidP="009331E4">
                            <w:pPr>
                              <w:spacing w:after="120"/>
                              <w:jc w:val="both"/>
                              <w:rPr>
                                <w:rFonts w:ascii="Work Sans" w:eastAsiaTheme="majorEastAsia" w:hAnsi="Work Sans" w:cs="Open Sans"/>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4537FC" id="Rectangle 2" o:spid="_x0000_s1031" alt="&quot;&quot;" style="width:451.3pt;height:6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" fillcolor="#ebf3f5" stroked="f" strokeweight="2pt">
                <v:textbox>
                  <w:txbxContent>
                    <w:p w14:paraId="2C8E02E5" w14:textId="1ADDCD79" w:rsidR="009331E4" w:rsidRDefault="009331E4" w:rsidP="0065137A">
                      <w:pPr>
                        <w:pStyle w:val="CGC2025QuestionNumbers"/>
                        <w:rPr>
                          <w:rFonts w:eastAsiaTheme="majorEastAsia" w:cs="Open Sans"/>
                        </w:rPr>
                      </w:pPr>
                      <w:r w:rsidRPr="00AB52C7">
                        <w:rPr>
                          <w:rFonts w:eastAsiaTheme="majorEastAsia" w:cs="Open Sans"/>
                        </w:rPr>
                        <w:t xml:space="preserve">Do states agree </w:t>
                      </w:r>
                      <w:r>
                        <w:rPr>
                          <w:rFonts w:eastAsiaTheme="majorEastAsia" w:cs="Open Sans"/>
                        </w:rPr>
                        <w:t xml:space="preserve">that </w:t>
                      </w:r>
                      <w:r w:rsidRPr="00F01F52">
                        <w:t>where a dominant state changes its relevant royalty rate</w:t>
                      </w:r>
                      <w:r>
                        <w:t xml:space="preserve">, assessing </w:t>
                      </w:r>
                      <w:r w:rsidRPr="00F01F52">
                        <w:t>50% of th</w:t>
                      </w:r>
                      <w:r>
                        <w:t xml:space="preserve">at </w:t>
                      </w:r>
                      <w:r w:rsidRPr="00F01F52">
                        <w:t xml:space="preserve">state’s revenue arising from </w:t>
                      </w:r>
                      <w:r>
                        <w:t>the</w:t>
                      </w:r>
                      <w:r w:rsidRPr="00F01F52">
                        <w:t xml:space="preserve"> royalty rate chang</w:t>
                      </w:r>
                      <w:r>
                        <w:t>e</w:t>
                      </w:r>
                      <w:r w:rsidRPr="00F01F52">
                        <w:t xml:space="preserve"> equal per capita</w:t>
                      </w:r>
                      <w:r>
                        <w:t xml:space="preserve"> would represent an appropriate balance between assessing relative state fiscal capacities and policy neutrality concerns?</w:t>
                      </w:r>
                    </w:p>
                    <w:p w14:paraId="5F11E04F" w14:textId="77777777" w:rsidR="009331E4" w:rsidRDefault="009331E4" w:rsidP="009331E4">
                      <w:pPr>
                        <w:spacing w:after="120"/>
                        <w:jc w:val="both"/>
                        <w:rPr>
                          <w:rFonts w:ascii="Work Sans" w:eastAsiaTheme="majorEastAsia" w:hAnsi="Work Sans" w:cs="Open Sans"/>
                          <w:szCs w:val="20"/>
                        </w:rPr>
                      </w:pPr>
                    </w:p>
                  </w:txbxContent>
                </v:textbox>
                <w10:anchorlock/>
              </v:rect>
            </w:pict>
          </mc:Fallback>
        </mc:AlternateContent>
      </w:r>
    </w:p>
    <w:p w14:paraId="45B02E3C" w14:textId="68D71457" w:rsidR="00AC4F8A" w:rsidRDefault="363BB116" w:rsidP="003F2866">
      <w:pPr>
        <w:pStyle w:val="Heading3"/>
        <w:keepNext/>
        <w:rPr>
          <w:highlight w:val="yellow"/>
        </w:rPr>
      </w:pPr>
      <w:bookmarkStart w:id="48" w:name="_Toc138927244"/>
      <w:r>
        <w:t>Assessing revenue capacity when</w:t>
      </w:r>
      <w:r w:rsidR="006628E3">
        <w:t xml:space="preserve"> revenue bases are uncertain or policy </w:t>
      </w:r>
      <w:proofErr w:type="gramStart"/>
      <w:r w:rsidR="006628E3">
        <w:t>influenced</w:t>
      </w:r>
      <w:bookmarkEnd w:id="48"/>
      <w:proofErr w:type="gramEnd"/>
      <w:r>
        <w:t xml:space="preserve"> </w:t>
      </w:r>
    </w:p>
    <w:p w14:paraId="5FA48680" w14:textId="127E4072" w:rsidR="00B5440A" w:rsidRPr="00170D65" w:rsidRDefault="00B5440A" w:rsidP="00B5440A">
      <w:pPr>
        <w:pStyle w:val="CGC2025ParaNumbers"/>
      </w:pPr>
      <w:r w:rsidRPr="00170D65">
        <w:t xml:space="preserve">When states choose to either restrict taxable activity or not to tax activity, it can affect the Commission’s choice of capacity measure. For example, </w:t>
      </w:r>
      <w:r w:rsidR="003E4E40" w:rsidRPr="00170D65">
        <w:t xml:space="preserve">when </w:t>
      </w:r>
      <w:r w:rsidRPr="00170D65">
        <w:t xml:space="preserve">states </w:t>
      </w:r>
      <w:r w:rsidR="003E4E40" w:rsidRPr="00170D65">
        <w:t xml:space="preserve">do </w:t>
      </w:r>
      <w:r w:rsidRPr="00170D65">
        <w:t>not tax activity, the size of their tax bases</w:t>
      </w:r>
      <w:r w:rsidR="006101FF" w:rsidRPr="00170D65">
        <w:t xml:space="preserve"> is</w:t>
      </w:r>
      <w:r w:rsidR="000A3150" w:rsidRPr="00170D65">
        <w:t xml:space="preserve"> </w:t>
      </w:r>
      <w:r w:rsidR="001A1EC7" w:rsidRPr="00170D65">
        <w:t xml:space="preserve">not </w:t>
      </w:r>
      <w:r w:rsidR="00877BBF" w:rsidRPr="00170D65">
        <w:t>readily</w:t>
      </w:r>
      <w:r w:rsidR="007F4C48" w:rsidRPr="00170D65">
        <w:t xml:space="preserve"> identifiable.</w:t>
      </w:r>
      <w:r w:rsidR="00CD54BD" w:rsidRPr="00170D65">
        <w:rPr>
          <w:rStyle w:val="FootnoteReference"/>
        </w:rPr>
        <w:footnoteReference w:id="10"/>
      </w:r>
      <w:r w:rsidRPr="00170D65">
        <w:t xml:space="preserve"> In these situations, the Commission </w:t>
      </w:r>
      <w:r w:rsidR="007F4C48" w:rsidRPr="00170D65">
        <w:t xml:space="preserve">generally </w:t>
      </w:r>
      <w:r w:rsidRPr="00170D65">
        <w:t>has 3 assessment options:</w:t>
      </w:r>
    </w:p>
    <w:p w14:paraId="45C8CC98" w14:textId="77777777" w:rsidR="00B5440A" w:rsidRPr="00046714" w:rsidRDefault="00B5440A" w:rsidP="00B5440A">
      <w:pPr>
        <w:pStyle w:val="CGC2025Bullet1"/>
      </w:pPr>
      <w:r w:rsidRPr="00046714">
        <w:t>Option 1 – to assess capacity for states that tax the activity, but to assess no capacity for states that do not. This is the current approach for coal seam gas and uranium.</w:t>
      </w:r>
    </w:p>
    <w:p w14:paraId="435DB2DE" w14:textId="77777777" w:rsidR="00B5440A" w:rsidRPr="00046714" w:rsidRDefault="00B5440A" w:rsidP="00B5440A">
      <w:pPr>
        <w:pStyle w:val="CGC2025Bullet1"/>
      </w:pPr>
      <w:r w:rsidRPr="00046714">
        <w:t>Option 2 – to estimate the missing tax base for states that do not tax the activity. This is the approach taken for the Northern Territory in the land tax assessment.</w:t>
      </w:r>
    </w:p>
    <w:p w14:paraId="7CA3CBB5" w14:textId="5A66EACB" w:rsidR="00B5440A" w:rsidRPr="00046714" w:rsidRDefault="00B5440A" w:rsidP="00B5440A">
      <w:pPr>
        <w:pStyle w:val="CGC2025Bullet1"/>
      </w:pPr>
      <w:r w:rsidRPr="00046714">
        <w:t xml:space="preserve">Option 3 – to assess every state to have the same revenue </w:t>
      </w:r>
      <w:r w:rsidR="00762367" w:rsidRPr="00046714">
        <w:t xml:space="preserve">capacity </w:t>
      </w:r>
      <w:r w:rsidR="00536710">
        <w:t>–</w:t>
      </w:r>
      <w:r w:rsidR="00762367" w:rsidRPr="00046714">
        <w:t xml:space="preserve"> that is</w:t>
      </w:r>
      <w:r w:rsidR="005F406E" w:rsidRPr="00046714">
        <w:t>,</w:t>
      </w:r>
      <w:r w:rsidR="00762367" w:rsidRPr="00046714">
        <w:t xml:space="preserve"> an equal per capita assessment</w:t>
      </w:r>
      <w:r w:rsidRPr="00046714">
        <w:t>. This is the approach taken for non</w:t>
      </w:r>
      <w:r w:rsidRPr="00046714">
        <w:noBreakHyphen/>
        <w:t>real property transfers in the conveyances assessment.</w:t>
      </w:r>
    </w:p>
    <w:p w14:paraId="32CACF86" w14:textId="75A765BD" w:rsidR="00B5440A" w:rsidRPr="00046714" w:rsidRDefault="00B5440A" w:rsidP="00B5440A">
      <w:pPr>
        <w:pStyle w:val="CGC2025ParaNumbers"/>
      </w:pPr>
      <w:r w:rsidRPr="00046714">
        <w:t>The Commission’s choice will depend on the circumstances in each case</w:t>
      </w:r>
      <w:r w:rsidR="007C3F41" w:rsidRPr="00046714">
        <w:t xml:space="preserve">, </w:t>
      </w:r>
      <w:r w:rsidR="00A14B1E" w:rsidRPr="00046714">
        <w:t xml:space="preserve">taking into </w:t>
      </w:r>
      <w:r w:rsidRPr="00046714">
        <w:t>consideration</w:t>
      </w:r>
      <w:r w:rsidR="00574CF5" w:rsidRPr="00046714">
        <w:t xml:space="preserve">, for example, </w:t>
      </w:r>
      <w:r w:rsidRPr="00046714">
        <w:t>the number of states not taxing the activity and the reliability and materiality of estimating missing tax bases. Option 3 may be appropriate when it is difficult to reliably estimate the missing tax bases.</w:t>
      </w:r>
    </w:p>
    <w:p w14:paraId="29880965" w14:textId="07EB8312" w:rsidR="00B5440A" w:rsidRPr="00046714" w:rsidRDefault="00B5440A" w:rsidP="00B5440A">
      <w:pPr>
        <w:pStyle w:val="CGC2025ParaNumbers"/>
      </w:pPr>
      <w:r w:rsidRPr="00046714">
        <w:t xml:space="preserve">The Commission’s preferred capacity measure for mining </w:t>
      </w:r>
      <w:r w:rsidR="00FB562E" w:rsidRPr="00046714">
        <w:t xml:space="preserve">revenue </w:t>
      </w:r>
      <w:r w:rsidRPr="00046714">
        <w:t xml:space="preserve">is value of production. </w:t>
      </w:r>
      <w:r w:rsidR="00895552" w:rsidRPr="00046714">
        <w:t xml:space="preserve">However, </w:t>
      </w:r>
      <w:r w:rsidR="00B7056F" w:rsidRPr="00046714">
        <w:t>w</w:t>
      </w:r>
      <w:r w:rsidRPr="00046714">
        <w:t>hen states</w:t>
      </w:r>
      <w:r w:rsidR="008128C1" w:rsidRPr="00046714">
        <w:t xml:space="preserve">’ policies </w:t>
      </w:r>
      <w:r w:rsidRPr="00046714">
        <w:t xml:space="preserve">impose restrictions on mining activity (for example, bans or moratoriums) those restrictions can materially affect their value of production. </w:t>
      </w:r>
      <w:r w:rsidR="009C343E" w:rsidRPr="00046714">
        <w:t xml:space="preserve">This </w:t>
      </w:r>
      <w:r w:rsidR="00DC7DB2" w:rsidRPr="00046714">
        <w:t>means</w:t>
      </w:r>
      <w:r w:rsidRPr="00046714">
        <w:t xml:space="preserve"> their value of production </w:t>
      </w:r>
      <w:r w:rsidR="00BC4234" w:rsidRPr="00046714">
        <w:t>is</w:t>
      </w:r>
      <w:r w:rsidRPr="00046714">
        <w:t xml:space="preserve"> no longer a reliable indicator of </w:t>
      </w:r>
      <w:r w:rsidR="00A0499B" w:rsidRPr="00046714">
        <w:t>their</w:t>
      </w:r>
      <w:r w:rsidR="00A85013" w:rsidRPr="00046714">
        <w:t xml:space="preserve"> mining</w:t>
      </w:r>
      <w:r w:rsidRPr="00046714">
        <w:t xml:space="preserve"> capacity. </w:t>
      </w:r>
      <w:r w:rsidR="00812C83" w:rsidRPr="00046714">
        <w:t>These situations also confl</w:t>
      </w:r>
      <w:r w:rsidR="002F291C" w:rsidRPr="00046714">
        <w:t>i</w:t>
      </w:r>
      <w:r w:rsidR="00812C83" w:rsidRPr="00046714">
        <w:t xml:space="preserve">ct with the Commission’s policy neutrality supporting </w:t>
      </w:r>
      <w:r w:rsidR="00EA01AF" w:rsidRPr="00046714">
        <w:t>principle</w:t>
      </w:r>
      <w:r w:rsidR="00812C83" w:rsidRPr="00046714">
        <w:t xml:space="preserve"> </w:t>
      </w:r>
      <w:r w:rsidR="002B74DF" w:rsidRPr="00046714">
        <w:t xml:space="preserve">which </w:t>
      </w:r>
      <w:r w:rsidR="00DB7D58" w:rsidRPr="00046714">
        <w:t>aims to ensure a state</w:t>
      </w:r>
      <w:r w:rsidR="001A70BC" w:rsidRPr="00046714">
        <w:t>’s policy choice do</w:t>
      </w:r>
      <w:r w:rsidR="00464105" w:rsidRPr="00046714">
        <w:t>es</w:t>
      </w:r>
      <w:r w:rsidR="001A70BC" w:rsidRPr="00046714">
        <w:t xml:space="preserve"> not impact the Commission’s assessments an</w:t>
      </w:r>
      <w:r w:rsidR="002F291C" w:rsidRPr="00046714">
        <w:t xml:space="preserve">d GST distribution. </w:t>
      </w:r>
    </w:p>
    <w:p w14:paraId="6F48CB07" w14:textId="7963103D" w:rsidR="00F74D0B" w:rsidRPr="00170D65" w:rsidRDefault="00B5440A" w:rsidP="00B5440A">
      <w:pPr>
        <w:pStyle w:val="CGC2025ParaNumbers"/>
      </w:pPr>
      <w:r w:rsidRPr="00046714">
        <w:t xml:space="preserve">For the 2025 Review the Commission needs to decide the most appropriate option for assessing coal seam gas and uranium royalties. </w:t>
      </w:r>
      <w:r w:rsidR="005D4217" w:rsidRPr="00046714">
        <w:t xml:space="preserve">These </w:t>
      </w:r>
      <w:r w:rsidR="00A0499B" w:rsidRPr="00046714">
        <w:t xml:space="preserve">are </w:t>
      </w:r>
      <w:r w:rsidR="00337FFD">
        <w:t>2</w:t>
      </w:r>
      <w:r w:rsidR="005D4217" w:rsidRPr="00046714">
        <w:t xml:space="preserve"> </w:t>
      </w:r>
      <w:r w:rsidR="00177324" w:rsidRPr="00046714">
        <w:t xml:space="preserve">revenue streams </w:t>
      </w:r>
      <w:r w:rsidR="00392345">
        <w:t xml:space="preserve">extensively </w:t>
      </w:r>
      <w:r w:rsidR="00177324" w:rsidRPr="00046714">
        <w:t xml:space="preserve">affected by state </w:t>
      </w:r>
      <w:r w:rsidR="00EA01AF" w:rsidRPr="00046714">
        <w:t xml:space="preserve">policy </w:t>
      </w:r>
      <w:r w:rsidR="00177324" w:rsidRPr="00170D65">
        <w:t xml:space="preserve">restrictions. </w:t>
      </w:r>
      <w:r w:rsidR="00700431" w:rsidRPr="00170D65">
        <w:t xml:space="preserve">Most states have uranium endowments, but production occurs only in </w:t>
      </w:r>
      <w:r w:rsidR="009207D7">
        <w:t>2</w:t>
      </w:r>
      <w:r w:rsidR="00700431" w:rsidRPr="00170D65">
        <w:t xml:space="preserve"> states. </w:t>
      </w:r>
      <w:r w:rsidR="008114EB" w:rsidRPr="00170D65">
        <w:t xml:space="preserve">New South Wales, Victoria, </w:t>
      </w:r>
      <w:proofErr w:type="gramStart"/>
      <w:r w:rsidR="008114EB" w:rsidRPr="00170D65">
        <w:t>Queensland</w:t>
      </w:r>
      <w:proofErr w:type="gramEnd"/>
      <w:r w:rsidR="008114EB" w:rsidRPr="00170D65">
        <w:t xml:space="preserve"> and Western Australia currently </w:t>
      </w:r>
      <w:r w:rsidR="0015543D" w:rsidRPr="00170D65">
        <w:t>prohibit</w:t>
      </w:r>
      <w:r w:rsidR="008114EB" w:rsidRPr="00170D65">
        <w:t xml:space="preserve"> uranium mining</w:t>
      </w:r>
      <w:r w:rsidR="0015543D" w:rsidRPr="00170D65">
        <w:t xml:space="preserve"> meaning their lack of production is a </w:t>
      </w:r>
      <w:r w:rsidR="00DB50E1" w:rsidRPr="00170D65">
        <w:t xml:space="preserve">reflection of their </w:t>
      </w:r>
      <w:r w:rsidR="0015543D" w:rsidRPr="00170D65">
        <w:t>policy choice</w:t>
      </w:r>
      <w:r w:rsidR="008114EB" w:rsidRPr="00170D65">
        <w:t xml:space="preserve">. </w:t>
      </w:r>
      <w:r w:rsidR="0015543D" w:rsidRPr="00170D65">
        <w:t xml:space="preserve">Similarly, coal seam gas </w:t>
      </w:r>
      <w:r w:rsidR="0015543D" w:rsidRPr="00170D65">
        <w:lastRenderedPageBreak/>
        <w:t>endowments exist in most states</w:t>
      </w:r>
      <w:r w:rsidR="009B30AD" w:rsidRPr="00170D65">
        <w:t xml:space="preserve">, but </w:t>
      </w:r>
      <w:r w:rsidR="00011676" w:rsidRPr="00170D65">
        <w:t xml:space="preserve">production is limited to New South Wales and Queensland. </w:t>
      </w:r>
      <w:r w:rsidR="004A7DB3" w:rsidRPr="00170D65">
        <w:t>R</w:t>
      </w:r>
      <w:r w:rsidR="00BC703B" w:rsidRPr="00170D65">
        <w:t xml:space="preserve">estrictions </w:t>
      </w:r>
      <w:r w:rsidR="004A7DB3" w:rsidRPr="00170D65">
        <w:t xml:space="preserve">exist </w:t>
      </w:r>
      <w:r w:rsidR="00BC703B" w:rsidRPr="00170D65">
        <w:t xml:space="preserve">in most states, with New South Wales having coal seam gas exclusion zones, Victoria prohibiting </w:t>
      </w:r>
      <w:r w:rsidR="007D6773" w:rsidRPr="00170D65">
        <w:t xml:space="preserve">all </w:t>
      </w:r>
      <w:r w:rsidR="00082395" w:rsidRPr="00170D65">
        <w:t>onshore unconventional exploration and development</w:t>
      </w:r>
      <w:r w:rsidR="00BC703B" w:rsidRPr="00170D65">
        <w:t xml:space="preserve">, Western Australia prohibiting fracking across 98% of its land area, South Australia prohibiting </w:t>
      </w:r>
      <w:r w:rsidR="007178A4" w:rsidRPr="00170D65">
        <w:t xml:space="preserve">fracking </w:t>
      </w:r>
      <w:r w:rsidR="00BC703B" w:rsidRPr="00170D65">
        <w:t>across the Limestone Coast Region</w:t>
      </w:r>
      <w:r w:rsidR="007178A4" w:rsidRPr="00170D65">
        <w:t>,</w:t>
      </w:r>
      <w:r w:rsidR="00BC703B" w:rsidRPr="00170D65">
        <w:t xml:space="preserve"> Tasmania </w:t>
      </w:r>
      <w:r w:rsidR="00A571CE" w:rsidRPr="00170D65">
        <w:t xml:space="preserve">having </w:t>
      </w:r>
      <w:r w:rsidR="00BC703B" w:rsidRPr="00170D65">
        <w:t>a moratorium on the use of fracking</w:t>
      </w:r>
      <w:r w:rsidR="008755E7" w:rsidRPr="00170D65">
        <w:t xml:space="preserve"> </w:t>
      </w:r>
      <w:r w:rsidR="0045788A" w:rsidRPr="00170D65">
        <w:t xml:space="preserve">until 2025 </w:t>
      </w:r>
      <w:r w:rsidR="008755E7" w:rsidRPr="00170D65">
        <w:t xml:space="preserve">and the Northern Territory </w:t>
      </w:r>
      <w:r w:rsidR="00A571CE" w:rsidRPr="00170D65">
        <w:t xml:space="preserve">prohibiting </w:t>
      </w:r>
      <w:r w:rsidR="007178A4" w:rsidRPr="00170D65">
        <w:t>fracking across 49% of its land area.</w:t>
      </w:r>
    </w:p>
    <w:p w14:paraId="54011E87" w14:textId="7BE29647" w:rsidR="00B27DCB" w:rsidRPr="00046714" w:rsidRDefault="00A571CE" w:rsidP="0062213F">
      <w:pPr>
        <w:pStyle w:val="CGC2025ParaNumbers"/>
      </w:pPr>
      <w:r w:rsidRPr="00170D65">
        <w:t>T</w:t>
      </w:r>
      <w:r w:rsidR="00F74D0B" w:rsidRPr="00170D65">
        <w:t>h</w:t>
      </w:r>
      <w:r w:rsidR="00DA3429" w:rsidRPr="00170D65">
        <w:t xml:space="preserve">e current </w:t>
      </w:r>
      <w:r w:rsidR="00F74D0B" w:rsidRPr="00170D65">
        <w:t xml:space="preserve">assessment </w:t>
      </w:r>
      <w:r w:rsidR="00DA3429" w:rsidRPr="00170D65">
        <w:t>approach</w:t>
      </w:r>
      <w:r w:rsidR="00177324" w:rsidRPr="00170D65">
        <w:t xml:space="preserve"> </w:t>
      </w:r>
      <w:r w:rsidRPr="00170D65">
        <w:t xml:space="preserve">assesses </w:t>
      </w:r>
      <w:r w:rsidR="00B5440A" w:rsidRPr="00170D65">
        <w:t xml:space="preserve">revenue capacity for states that </w:t>
      </w:r>
      <w:r w:rsidRPr="00170D65">
        <w:t xml:space="preserve">allow </w:t>
      </w:r>
      <w:r w:rsidR="00B5440A" w:rsidRPr="00170D65">
        <w:t xml:space="preserve">uranium and coal seam gas </w:t>
      </w:r>
      <w:r w:rsidR="00F2196B" w:rsidRPr="00170D65">
        <w:t>production</w:t>
      </w:r>
      <w:r w:rsidR="007D1DF4" w:rsidRPr="00170D65">
        <w:t xml:space="preserve"> </w:t>
      </w:r>
      <w:r w:rsidR="00A345D5" w:rsidRPr="00170D65">
        <w:t>using</w:t>
      </w:r>
      <w:r w:rsidR="00B5440A" w:rsidRPr="00170D65">
        <w:t xml:space="preserve"> their value of production. </w:t>
      </w:r>
      <w:r w:rsidR="007D1DF4" w:rsidRPr="00170D65">
        <w:t>S</w:t>
      </w:r>
      <w:r w:rsidR="00B5440A" w:rsidRPr="00170D65">
        <w:t xml:space="preserve">tates that </w:t>
      </w:r>
      <w:r w:rsidR="00DA3429" w:rsidRPr="00170D65">
        <w:t>prohibit</w:t>
      </w:r>
      <w:r w:rsidR="00B5440A" w:rsidRPr="00170D65">
        <w:t xml:space="preserve"> </w:t>
      </w:r>
      <w:r w:rsidR="007D1DF4" w:rsidRPr="00170D65">
        <w:t>production</w:t>
      </w:r>
      <w:r w:rsidR="00B5440A" w:rsidRPr="00170D65">
        <w:t xml:space="preserve"> are assessed to have no capacity because they have no value of production. </w:t>
      </w:r>
      <w:r w:rsidR="007D1DF4" w:rsidRPr="00170D65">
        <w:t>In these circumstances, states</w:t>
      </w:r>
      <w:r w:rsidR="00A345D5" w:rsidRPr="00170D65">
        <w:t>’</w:t>
      </w:r>
      <w:r w:rsidR="007D1DF4" w:rsidRPr="00170D65">
        <w:t xml:space="preserve"> value of production</w:t>
      </w:r>
      <w:r w:rsidR="00C73074" w:rsidRPr="00170D65">
        <w:t xml:space="preserve"> </w:t>
      </w:r>
      <w:r w:rsidR="00D96AE6" w:rsidRPr="00170D65">
        <w:t>may</w:t>
      </w:r>
      <w:r w:rsidR="00C73074" w:rsidRPr="00170D65">
        <w:t xml:space="preserve"> not appropriately capture </w:t>
      </w:r>
      <w:r w:rsidR="00FD3EA2" w:rsidRPr="00170D65">
        <w:t xml:space="preserve">their </w:t>
      </w:r>
      <w:r w:rsidR="00C73074" w:rsidRPr="00170D65">
        <w:t xml:space="preserve">mining capacities. </w:t>
      </w:r>
      <w:r w:rsidR="00B5440A" w:rsidRPr="00170D65">
        <w:t xml:space="preserve">The Commission considers </w:t>
      </w:r>
      <w:r w:rsidR="000F5B2B" w:rsidRPr="00170D65">
        <w:t>it cannot</w:t>
      </w:r>
      <w:r w:rsidR="00B5440A" w:rsidRPr="00170D65">
        <w:t xml:space="preserve"> reliably estimate the missing tax bases. </w:t>
      </w:r>
      <w:r w:rsidR="00C86EAF" w:rsidRPr="00170D65">
        <w:t>This is because where exploration has been banned or discouraged, known reserves</w:t>
      </w:r>
      <w:r w:rsidR="00C86EAF" w:rsidRPr="00046714">
        <w:t xml:space="preserve"> may be incomplete</w:t>
      </w:r>
      <w:r w:rsidR="00513450" w:rsidRPr="00046714">
        <w:t>, and not all reserves have the same economic value.</w:t>
      </w:r>
      <w:r w:rsidR="00513450" w:rsidRPr="00046714">
        <w:rPr>
          <w:rStyle w:val="FootnoteReference"/>
        </w:rPr>
        <w:footnoteReference w:id="11"/>
      </w:r>
    </w:p>
    <w:p w14:paraId="51BA238C" w14:textId="1CC7AD9B" w:rsidR="00847B4C" w:rsidRPr="00046714" w:rsidRDefault="00A23276" w:rsidP="00847B4C">
      <w:pPr>
        <w:pStyle w:val="CGC2025ParaNumbers"/>
      </w:pPr>
      <w:r w:rsidRPr="00046714">
        <w:t>Given that it is</w:t>
      </w:r>
      <w:r w:rsidR="004A7E95" w:rsidRPr="00046714">
        <w:t xml:space="preserve"> not possible</w:t>
      </w:r>
      <w:r w:rsidRPr="00046714">
        <w:t xml:space="preserve"> to reliably estimate the revenue bases of states that prohibit uranium and coal seam gas production, and the influence of state policies </w:t>
      </w:r>
      <w:r w:rsidR="00A15006" w:rsidRPr="00046714">
        <w:t xml:space="preserve">on actual production, </w:t>
      </w:r>
      <w:r w:rsidRPr="00046714">
        <w:t xml:space="preserve">the Commission’s preliminary view is to assess </w:t>
      </w:r>
      <w:r w:rsidR="00E85F23" w:rsidRPr="00046714">
        <w:t xml:space="preserve">coal seam gas and uranium </w:t>
      </w:r>
      <w:r w:rsidRPr="00046714">
        <w:t>revenue equal per capita.</w:t>
      </w:r>
      <w:r w:rsidR="00847B4C" w:rsidRPr="00046714">
        <w:t xml:space="preserve"> Assessing these revenues equal per capita would require the Commission to introduce a new equal per capita component into the mining assessment for these royalties.</w:t>
      </w:r>
    </w:p>
    <w:p w14:paraId="36A7E9E8" w14:textId="77777777" w:rsidR="00B5440A" w:rsidRPr="00046714" w:rsidRDefault="00B5440A" w:rsidP="00B5440A">
      <w:pPr>
        <w:pStyle w:val="CGC2025ParaNumbers"/>
      </w:pPr>
      <w:r w:rsidRPr="00046714">
        <w:t>There is an additional issue in relation to uranium because these royalties are raised by both the Commonwealth (in the Northern Territory) and states. Currently only South Australia raises uranium royalties, but other states have considered approving uranium projects.</w:t>
      </w:r>
      <w:r w:rsidRPr="00046714">
        <w:rPr>
          <w:rStyle w:val="FootnoteReference"/>
        </w:rPr>
        <w:footnoteReference w:id="12"/>
      </w:r>
      <w:r w:rsidRPr="00046714">
        <w:t xml:space="preserve"> The Commonwealth’s payment to the Northern Territory is assessed as grants in lieu of royalties. South Australia’s uranium royalties are assessed in the other minerals component.</w:t>
      </w:r>
    </w:p>
    <w:p w14:paraId="62C54A76" w14:textId="77777777" w:rsidR="00B5440A" w:rsidRPr="00046714" w:rsidRDefault="00B5440A" w:rsidP="00B5440A">
      <w:pPr>
        <w:pStyle w:val="CGC2025ParaNumbers"/>
      </w:pPr>
      <w:r w:rsidRPr="00046714">
        <w:t xml:space="preserve">Changing the assessment of state uranium royalties requires the Commission to consider changing the treatment of the </w:t>
      </w:r>
      <w:r w:rsidRPr="00046714">
        <w:rPr>
          <w:rFonts w:cs="Open Sans Light"/>
        </w:rPr>
        <w:t>Northern Territory’s grants in lieu of royalties</w:t>
      </w:r>
      <w:r w:rsidRPr="00046714">
        <w:t xml:space="preserve">. Assessing state uranium royalties equal per capita would suggest the Commission should relocate the </w:t>
      </w:r>
      <w:r w:rsidRPr="00046714">
        <w:rPr>
          <w:rFonts w:cs="Open Sans Light"/>
        </w:rPr>
        <w:t>Northern Territory’s grants in lieu of royalties to the new component and assess them equal per capita</w:t>
      </w:r>
      <w:r w:rsidRPr="00046714">
        <w:t>.</w:t>
      </w:r>
      <w:r w:rsidRPr="00046714">
        <w:rPr>
          <w:rStyle w:val="FootnoteReference"/>
          <w:rFonts w:cs="Open Sans Light"/>
        </w:rPr>
        <w:footnoteReference w:id="13"/>
      </w:r>
    </w:p>
    <w:p w14:paraId="2937D3EB" w14:textId="60D963E0" w:rsidR="00C01FDE" w:rsidRDefault="04680CD2" w:rsidP="005C3F69">
      <w:pPr>
        <w:pStyle w:val="Heading4"/>
      </w:pPr>
      <w:r>
        <w:lastRenderedPageBreak/>
        <w:t>Consultation question</w:t>
      </w:r>
    </w:p>
    <w:p w14:paraId="357A607B" w14:textId="493C6D10" w:rsidR="00A24C3F" w:rsidRDefault="004A32EE" w:rsidP="00306E29">
      <w:r w:rsidRPr="001C4DF3">
        <w:rPr>
          <w:noProof/>
        </w:rPr>
        <mc:AlternateContent>
          <mc:Choice Requires="wps">
            <w:drawing>
              <wp:inline distT="0" distB="0" distL="0" distR="0" wp14:anchorId="0D15C33D" wp14:editId="0A6BE174">
                <wp:extent cx="5731510" cy="679999"/>
                <wp:effectExtent l="0" t="0" r="2540" b="635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679999"/>
                        </a:xfrm>
                        <a:prstGeom prst="rect">
                          <a:avLst/>
                        </a:prstGeom>
                        <a:solidFill>
                          <a:srgbClr val="EBF3F5"/>
                        </a:solidFill>
                        <a:ln w="25400" cap="flat" cmpd="sng" algn="ctr">
                          <a:noFill/>
                          <a:prstDash val="solid"/>
                        </a:ln>
                        <a:effectLst/>
                      </wps:spPr>
                      <wps:txbx>
                        <w:txbxContent>
                          <w:p w14:paraId="54BBB5C3" w14:textId="07A9202C" w:rsidR="004A32EE" w:rsidRDefault="004A32EE" w:rsidP="004A32EE">
                            <w:pPr>
                              <w:pStyle w:val="CGC2025QuestionNumbers"/>
                              <w:rPr>
                                <w:rFonts w:eastAsiaTheme="majorEastAsia" w:cs="Open Sans"/>
                              </w:rPr>
                            </w:pPr>
                            <w:r>
                              <w:rPr>
                                <w:rFonts w:eastAsiaTheme="majorEastAsia" w:cs="Open Sans"/>
                              </w:rPr>
                              <w:t>Do states agree that</w:t>
                            </w:r>
                            <w:r w:rsidRPr="005879EF">
                              <w:rPr>
                                <w:rFonts w:eastAsiaTheme="majorEastAsia" w:cs="Open Sans"/>
                              </w:rPr>
                              <w:t xml:space="preserve"> </w:t>
                            </w:r>
                            <w:r>
                              <w:t xml:space="preserve">uranium and coal seam gas royalty </w:t>
                            </w:r>
                            <w:r w:rsidRPr="004C5F43">
                              <w:t>revenue</w:t>
                            </w:r>
                            <w:r w:rsidR="00562F5C">
                              <w:t xml:space="preserve"> </w:t>
                            </w:r>
                            <w:r w:rsidRPr="004C5F43">
                              <w:t>should be assessed equal per capita</w:t>
                            </w:r>
                            <w:r>
                              <w:rPr>
                                <w:rFonts w:eastAsiaTheme="majorEastAsia"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15C33D" id="Rectangle 4" o:spid="_x0000_s1032" alt="&quot;&quot;" style="width:451.3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" fillcolor="#ebf3f5" stroked="f" strokeweight="2pt">
                <v:textbox>
                  <w:txbxContent>
                    <w:p w14:paraId="54BBB5C3" w14:textId="07A9202C" w:rsidR="004A32EE" w:rsidRDefault="004A32EE" w:rsidP="004A32EE">
                      <w:pPr>
                        <w:pStyle w:val="CGC2025QuestionNumbers"/>
                        <w:rPr>
                          <w:rFonts w:eastAsiaTheme="majorEastAsia" w:cs="Open Sans"/>
                        </w:rPr>
                      </w:pPr>
                      <w:r>
                        <w:rPr>
                          <w:rFonts w:eastAsiaTheme="majorEastAsia" w:cs="Open Sans"/>
                        </w:rPr>
                        <w:t>Do states agree that</w:t>
                      </w:r>
                      <w:r w:rsidRPr="005879EF">
                        <w:rPr>
                          <w:rFonts w:eastAsiaTheme="majorEastAsia" w:cs="Open Sans"/>
                        </w:rPr>
                        <w:t xml:space="preserve"> </w:t>
                      </w:r>
                      <w:r>
                        <w:t xml:space="preserve">uranium and coal seam gas royalty </w:t>
                      </w:r>
                      <w:r w:rsidRPr="004C5F43">
                        <w:t>revenue</w:t>
                      </w:r>
                      <w:r w:rsidR="00562F5C">
                        <w:t xml:space="preserve"> </w:t>
                      </w:r>
                      <w:r w:rsidRPr="004C5F43">
                        <w:t>should be assessed equal per capita</w:t>
                      </w:r>
                      <w:r>
                        <w:rPr>
                          <w:rFonts w:eastAsiaTheme="majorEastAsia" w:cs="Open Sans"/>
                        </w:rPr>
                        <w:t>?</w:t>
                      </w:r>
                    </w:p>
                  </w:txbxContent>
                </v:textbox>
                <w10:anchorlock/>
              </v:rect>
            </w:pict>
          </mc:Fallback>
        </mc:AlternateContent>
      </w:r>
    </w:p>
    <w:p w14:paraId="72549ABA" w14:textId="1CC32F11" w:rsidR="00F427F0" w:rsidRPr="00FE3C19" w:rsidRDefault="004A32EE" w:rsidP="005F2F2A">
      <w:pPr>
        <w:pStyle w:val="Heading2"/>
      </w:pPr>
      <w:bookmarkStart w:id="49" w:name="_Toc138927245"/>
      <w:r>
        <w:t>P</w:t>
      </w:r>
      <w:r w:rsidR="00F427F0" w:rsidRPr="00FE3C19">
        <w:t>roposed assessment</w:t>
      </w:r>
      <w:bookmarkEnd w:id="43"/>
      <w:bookmarkEnd w:id="44"/>
      <w:bookmarkEnd w:id="45"/>
      <w:bookmarkEnd w:id="46"/>
      <w:bookmarkEnd w:id="47"/>
      <w:bookmarkEnd w:id="49"/>
    </w:p>
    <w:p w14:paraId="2D61DEE8" w14:textId="77777777" w:rsidR="002C10EB" w:rsidRPr="00AB6FFE" w:rsidRDefault="002C10EB" w:rsidP="002C10EB">
      <w:pPr>
        <w:pStyle w:val="Heading3"/>
        <w:keepNext/>
        <w:keepLines/>
      </w:pPr>
      <w:bookmarkStart w:id="50" w:name="_Toc132729115"/>
      <w:bookmarkStart w:id="51" w:name="_Toc133236156"/>
      <w:bookmarkStart w:id="52" w:name="_Toc133236182"/>
      <w:bookmarkStart w:id="53" w:name="_Toc138927246"/>
      <w:r>
        <w:t>Differences from the 2020 Review approach</w:t>
      </w:r>
      <w:bookmarkEnd w:id="53"/>
    </w:p>
    <w:p w14:paraId="1EB128EC" w14:textId="77777777" w:rsidR="002C10EB" w:rsidRPr="00170D65" w:rsidRDefault="002C10EB" w:rsidP="002C10EB">
      <w:pPr>
        <w:pStyle w:val="CGC2025ParaNumbers"/>
        <w:keepNext/>
        <w:keepLines/>
      </w:pPr>
      <w:r>
        <w:t xml:space="preserve">Subject to state comments, the </w:t>
      </w:r>
      <w:r w:rsidRPr="304D73AE">
        <w:t>Commission proposes to retain the 2020 Review assessment method with 2 changes. The first change is that</w:t>
      </w:r>
      <w:r>
        <w:t xml:space="preserve"> where a dominant state changes its royalty rate, 50% of any revenue change would be assessed equal per </w:t>
      </w:r>
      <w:r w:rsidRPr="00170D65">
        <w:t xml:space="preserve">capita. The second change is to assess revenue from mining activity that is materially affected by production restrictions in some states equal per capita. </w:t>
      </w:r>
    </w:p>
    <w:p w14:paraId="306F1E31" w14:textId="77777777" w:rsidR="00F427F0" w:rsidRPr="00FE3C19" w:rsidRDefault="00F427F0" w:rsidP="001F4B1F">
      <w:pPr>
        <w:pStyle w:val="Heading3"/>
      </w:pPr>
      <w:bookmarkStart w:id="54" w:name="_Toc138927247"/>
      <w:r w:rsidRPr="00FE3C19">
        <w:t>Proposed assessment structure</w:t>
      </w:r>
      <w:bookmarkEnd w:id="50"/>
      <w:bookmarkEnd w:id="51"/>
      <w:bookmarkEnd w:id="52"/>
      <w:bookmarkEnd w:id="54"/>
    </w:p>
    <w:p w14:paraId="4B9B21DB" w14:textId="7768EA11" w:rsidR="007329E5" w:rsidRDefault="007329E5" w:rsidP="007329E5">
      <w:pPr>
        <w:pStyle w:val="CGC2025ParaNumbers"/>
      </w:pPr>
      <w:bookmarkStart w:id="55" w:name="_Toc132729116"/>
      <w:bookmarkStart w:id="56" w:name="_Toc133236157"/>
      <w:bookmarkStart w:id="57" w:name="_Toc133236183"/>
      <w:r>
        <w:t xml:space="preserve">Subject to state views, </w:t>
      </w:r>
      <w:r w:rsidR="00EB410A">
        <w:fldChar w:fldCharType="begin"/>
      </w:r>
      <w:r w:rsidR="00EB410A">
        <w:instrText xml:space="preserve"> REF _Ref136433368 \h </w:instrText>
      </w:r>
      <w:r w:rsidR="00EB410A">
        <w:fldChar w:fldCharType="separate"/>
      </w:r>
      <w:r w:rsidR="00A90833" w:rsidRPr="00750A52">
        <w:t>Table</w:t>
      </w:r>
      <w:r w:rsidR="00A90833">
        <w:t> </w:t>
      </w:r>
      <w:r w:rsidR="00A90833">
        <w:rPr>
          <w:noProof/>
        </w:rPr>
        <w:t>5</w:t>
      </w:r>
      <w:r w:rsidR="00EB410A">
        <w:fldChar w:fldCharType="end"/>
      </w:r>
      <w:r w:rsidR="00EB410A">
        <w:t xml:space="preserve"> </w:t>
      </w:r>
      <w:r>
        <w:t>presents the proposed structure of the mining assessment for the 2025 Review.</w:t>
      </w:r>
    </w:p>
    <w:p w14:paraId="50CDE1AA" w14:textId="45B42E3B" w:rsidR="00750A52" w:rsidRPr="00750A52" w:rsidRDefault="00655715" w:rsidP="00750A52">
      <w:pPr>
        <w:pStyle w:val="Caption"/>
        <w:rPr>
          <w:rFonts w:ascii="Work Sans" w:hAnsi="Work Sans"/>
        </w:rPr>
      </w:pPr>
      <w:bookmarkStart w:id="58" w:name="_Ref136433368"/>
      <w:r w:rsidRPr="00750A52">
        <w:rPr>
          <w:rFonts w:ascii="Work Sans" w:hAnsi="Work Sans"/>
        </w:rPr>
        <w:t>Table</w:t>
      </w:r>
      <w:r>
        <w:rPr>
          <w:rFonts w:ascii="Work Sans" w:hAnsi="Work Sans"/>
        </w:rPr>
        <w:t> </w:t>
      </w:r>
      <w:r w:rsidR="00750A52" w:rsidRPr="00750A52">
        <w:rPr>
          <w:rFonts w:ascii="Work Sans" w:hAnsi="Work Sans"/>
        </w:rPr>
        <w:fldChar w:fldCharType="begin"/>
      </w:r>
      <w:r w:rsidR="00750A52" w:rsidRPr="00750A52">
        <w:rPr>
          <w:rFonts w:ascii="Work Sans" w:hAnsi="Work Sans"/>
        </w:rPr>
        <w:instrText xml:space="preserve"> SEQ Table \* ARABIC </w:instrText>
      </w:r>
      <w:r w:rsidR="00750A52" w:rsidRPr="00750A52">
        <w:rPr>
          <w:rFonts w:ascii="Work Sans" w:hAnsi="Work Sans"/>
        </w:rPr>
        <w:fldChar w:fldCharType="separate"/>
      </w:r>
      <w:r w:rsidR="00A90833">
        <w:rPr>
          <w:rFonts w:ascii="Work Sans" w:hAnsi="Work Sans"/>
          <w:noProof/>
        </w:rPr>
        <w:t>5</w:t>
      </w:r>
      <w:r w:rsidR="00750A52" w:rsidRPr="00750A52">
        <w:rPr>
          <w:rFonts w:ascii="Work Sans" w:hAnsi="Work Sans"/>
        </w:rPr>
        <w:fldChar w:fldCharType="end"/>
      </w:r>
      <w:bookmarkEnd w:id="58"/>
      <w:r w:rsidR="00AF6B2F">
        <w:rPr>
          <w:rFonts w:ascii="Work Sans" w:hAnsi="Work Sans"/>
        </w:rPr>
        <w:tab/>
      </w:r>
      <w:r w:rsidR="00750A52" w:rsidRPr="00750A52">
        <w:rPr>
          <w:rFonts w:ascii="Work Sans" w:hAnsi="Work Sans"/>
        </w:rPr>
        <w:t xml:space="preserve">Proposed assessment structure, mining </w:t>
      </w:r>
      <w:proofErr w:type="gramStart"/>
      <w:r w:rsidR="00750A52" w:rsidRPr="00750A52">
        <w:rPr>
          <w:rFonts w:ascii="Work Sans" w:hAnsi="Work Sans"/>
        </w:rPr>
        <w:t>revenue</w:t>
      </w:r>
      <w:proofErr w:type="gramEnd"/>
    </w:p>
    <w:tbl>
      <w:tblPr>
        <w:tblW w:w="8960" w:type="dxa"/>
        <w:tblLook w:val="04A0" w:firstRow="1" w:lastRow="0" w:firstColumn="1" w:lastColumn="0" w:noHBand="0" w:noVBand="1"/>
      </w:tblPr>
      <w:tblGrid>
        <w:gridCol w:w="1660"/>
        <w:gridCol w:w="1660"/>
        <w:gridCol w:w="4440"/>
        <w:gridCol w:w="1200"/>
      </w:tblGrid>
      <w:tr w:rsidR="00750A52" w:rsidRPr="00750A52" w14:paraId="513607C9" w14:textId="77777777">
        <w:trPr>
          <w:trHeight w:val="570"/>
        </w:trPr>
        <w:tc>
          <w:tcPr>
            <w:tcW w:w="1660" w:type="dxa"/>
            <w:tcBorders>
              <w:top w:val="single" w:sz="4" w:space="0" w:color="auto"/>
              <w:left w:val="nil"/>
              <w:bottom w:val="nil"/>
              <w:right w:val="nil"/>
            </w:tcBorders>
            <w:shd w:val="clear" w:color="000000" w:fill="006991"/>
            <w:vAlign w:val="center"/>
            <w:hideMark/>
          </w:tcPr>
          <w:p w14:paraId="30F164CB" w14:textId="77777777" w:rsidR="00750A52" w:rsidRPr="00750A52" w:rsidRDefault="00750A52" w:rsidP="00750A5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750A52">
              <w:rPr>
                <w:rFonts w:ascii="Open Sans Semibold" w:eastAsia="Times New Roman" w:hAnsi="Open Sans Semibold" w:cs="Open Sans Semibold"/>
                <w:color w:val="FFFFFF"/>
                <w:sz w:val="16"/>
                <w:szCs w:val="16"/>
                <w:lang w:eastAsia="en-AU"/>
              </w:rPr>
              <w:t>Component</w:t>
            </w:r>
          </w:p>
        </w:tc>
        <w:tc>
          <w:tcPr>
            <w:tcW w:w="1660" w:type="dxa"/>
            <w:tcBorders>
              <w:top w:val="single" w:sz="4" w:space="0" w:color="auto"/>
              <w:left w:val="nil"/>
              <w:bottom w:val="nil"/>
              <w:right w:val="nil"/>
            </w:tcBorders>
            <w:shd w:val="clear" w:color="000000" w:fill="006991"/>
            <w:vAlign w:val="center"/>
            <w:hideMark/>
          </w:tcPr>
          <w:p w14:paraId="37B47AA4" w14:textId="77777777" w:rsidR="00750A52" w:rsidRPr="00750A52" w:rsidRDefault="00750A52" w:rsidP="00750A5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750A52">
              <w:rPr>
                <w:rFonts w:ascii="Open Sans Semibold" w:eastAsia="Times New Roman" w:hAnsi="Open Sans Semibold" w:cs="Open Sans Semibold"/>
                <w:color w:val="FFFFFF"/>
                <w:sz w:val="16"/>
                <w:szCs w:val="16"/>
                <w:lang w:eastAsia="en-AU"/>
              </w:rPr>
              <w:t>Driver</w:t>
            </w:r>
          </w:p>
        </w:tc>
        <w:tc>
          <w:tcPr>
            <w:tcW w:w="4440" w:type="dxa"/>
            <w:tcBorders>
              <w:top w:val="single" w:sz="4" w:space="0" w:color="auto"/>
              <w:left w:val="nil"/>
              <w:bottom w:val="nil"/>
              <w:right w:val="nil"/>
            </w:tcBorders>
            <w:shd w:val="clear" w:color="000000" w:fill="006991"/>
            <w:vAlign w:val="center"/>
            <w:hideMark/>
          </w:tcPr>
          <w:p w14:paraId="21D1B694" w14:textId="77777777" w:rsidR="00750A52" w:rsidRPr="00750A52" w:rsidRDefault="00750A52" w:rsidP="00750A5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750A52">
              <w:rPr>
                <w:rFonts w:ascii="Open Sans Semibold" w:eastAsia="Times New Roman" w:hAnsi="Open Sans Semibold" w:cs="Open Sans Semibold"/>
                <w:color w:val="FFFFFF"/>
                <w:sz w:val="16"/>
                <w:szCs w:val="16"/>
                <w:lang w:eastAsia="en-AU"/>
              </w:rPr>
              <w:t>Influence measured by driver</w:t>
            </w:r>
          </w:p>
        </w:tc>
        <w:tc>
          <w:tcPr>
            <w:tcW w:w="1200" w:type="dxa"/>
            <w:tcBorders>
              <w:top w:val="single" w:sz="4" w:space="0" w:color="auto"/>
              <w:left w:val="nil"/>
              <w:bottom w:val="nil"/>
              <w:right w:val="nil"/>
            </w:tcBorders>
            <w:shd w:val="clear" w:color="000000" w:fill="006991"/>
            <w:vAlign w:val="center"/>
            <w:hideMark/>
          </w:tcPr>
          <w:p w14:paraId="05560CCF" w14:textId="77777777" w:rsidR="00750A52" w:rsidRPr="00750A52" w:rsidRDefault="00750A52" w:rsidP="00750A5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750A52">
              <w:rPr>
                <w:rFonts w:ascii="Open Sans Semibold" w:eastAsia="Times New Roman" w:hAnsi="Open Sans Semibold" w:cs="Open Sans Semibold"/>
                <w:color w:val="FFFFFF"/>
                <w:sz w:val="16"/>
                <w:szCs w:val="16"/>
                <w:lang w:eastAsia="en-AU"/>
              </w:rPr>
              <w:t>Change since 2020 Review</w:t>
            </w:r>
          </w:p>
        </w:tc>
      </w:tr>
      <w:tr w:rsidR="00750A52" w:rsidRPr="00750A52" w14:paraId="197D3142" w14:textId="77777777">
        <w:trPr>
          <w:trHeight w:val="510"/>
        </w:trPr>
        <w:tc>
          <w:tcPr>
            <w:tcW w:w="1660" w:type="dxa"/>
            <w:tcBorders>
              <w:top w:val="single" w:sz="4" w:space="0" w:color="ADD6EA"/>
              <w:left w:val="nil"/>
              <w:bottom w:val="single" w:sz="4" w:space="0" w:color="ADD6EA"/>
              <w:right w:val="nil"/>
            </w:tcBorders>
            <w:shd w:val="clear" w:color="auto" w:fill="auto"/>
            <w:hideMark/>
          </w:tcPr>
          <w:p w14:paraId="20D598C4"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Iron ore</w:t>
            </w:r>
          </w:p>
        </w:tc>
        <w:tc>
          <w:tcPr>
            <w:tcW w:w="1660" w:type="dxa"/>
            <w:tcBorders>
              <w:top w:val="single" w:sz="4" w:space="0" w:color="ADD6EA"/>
              <w:left w:val="nil"/>
              <w:bottom w:val="single" w:sz="4" w:space="0" w:color="ADD6EA"/>
              <w:right w:val="nil"/>
            </w:tcBorders>
            <w:shd w:val="clear" w:color="auto" w:fill="auto"/>
            <w:hideMark/>
          </w:tcPr>
          <w:p w14:paraId="3D525C8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Value of production</w:t>
            </w:r>
          </w:p>
        </w:tc>
        <w:tc>
          <w:tcPr>
            <w:tcW w:w="4440" w:type="dxa"/>
            <w:tcBorders>
              <w:top w:val="single" w:sz="4" w:space="0" w:color="ADD6EA"/>
              <w:left w:val="nil"/>
              <w:bottom w:val="single" w:sz="4" w:space="0" w:color="ADD6EA"/>
              <w:right w:val="nil"/>
            </w:tcBorders>
            <w:shd w:val="clear" w:color="auto" w:fill="auto"/>
            <w:hideMark/>
          </w:tcPr>
          <w:p w14:paraId="1BB3E81B"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greater value of production have greater revenue capacity.</w:t>
            </w:r>
          </w:p>
        </w:tc>
        <w:tc>
          <w:tcPr>
            <w:tcW w:w="1200" w:type="dxa"/>
            <w:tcBorders>
              <w:top w:val="single" w:sz="4" w:space="0" w:color="ADD6EA"/>
              <w:left w:val="nil"/>
              <w:bottom w:val="single" w:sz="4" w:space="0" w:color="ADD6EA"/>
              <w:right w:val="nil"/>
            </w:tcBorders>
            <w:shd w:val="clear" w:color="auto" w:fill="auto"/>
            <w:hideMark/>
          </w:tcPr>
          <w:p w14:paraId="5FDC1778"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No</w:t>
            </w:r>
          </w:p>
        </w:tc>
      </w:tr>
      <w:tr w:rsidR="00750A52" w:rsidRPr="00750A52" w14:paraId="1CAA2FBD" w14:textId="77777777">
        <w:trPr>
          <w:trHeight w:val="510"/>
        </w:trPr>
        <w:tc>
          <w:tcPr>
            <w:tcW w:w="1660" w:type="dxa"/>
            <w:tcBorders>
              <w:top w:val="nil"/>
              <w:left w:val="nil"/>
              <w:bottom w:val="single" w:sz="4" w:space="0" w:color="ADD6EA"/>
              <w:right w:val="nil"/>
            </w:tcBorders>
            <w:shd w:val="clear" w:color="auto" w:fill="auto"/>
            <w:hideMark/>
          </w:tcPr>
          <w:p w14:paraId="72D78292"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Coal</w:t>
            </w:r>
          </w:p>
        </w:tc>
        <w:tc>
          <w:tcPr>
            <w:tcW w:w="1660" w:type="dxa"/>
            <w:tcBorders>
              <w:top w:val="nil"/>
              <w:left w:val="nil"/>
              <w:bottom w:val="single" w:sz="4" w:space="0" w:color="ADD6EA"/>
              <w:right w:val="nil"/>
            </w:tcBorders>
            <w:shd w:val="clear" w:color="auto" w:fill="auto"/>
            <w:hideMark/>
          </w:tcPr>
          <w:p w14:paraId="50B913D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Value of production</w:t>
            </w:r>
          </w:p>
        </w:tc>
        <w:tc>
          <w:tcPr>
            <w:tcW w:w="4440" w:type="dxa"/>
            <w:tcBorders>
              <w:top w:val="nil"/>
              <w:left w:val="nil"/>
              <w:bottom w:val="single" w:sz="4" w:space="0" w:color="ADD6EA"/>
              <w:right w:val="nil"/>
            </w:tcBorders>
            <w:shd w:val="clear" w:color="auto" w:fill="auto"/>
            <w:hideMark/>
          </w:tcPr>
          <w:p w14:paraId="673A57FF"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greater value of production have greater revenue capacity.</w:t>
            </w:r>
          </w:p>
        </w:tc>
        <w:tc>
          <w:tcPr>
            <w:tcW w:w="1200" w:type="dxa"/>
            <w:tcBorders>
              <w:top w:val="nil"/>
              <w:left w:val="nil"/>
              <w:bottom w:val="single" w:sz="4" w:space="0" w:color="ADD6EA"/>
              <w:right w:val="nil"/>
            </w:tcBorders>
            <w:shd w:val="clear" w:color="auto" w:fill="auto"/>
            <w:hideMark/>
          </w:tcPr>
          <w:p w14:paraId="444EC361"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No</w:t>
            </w:r>
          </w:p>
        </w:tc>
      </w:tr>
      <w:tr w:rsidR="00750A52" w:rsidRPr="00750A52" w14:paraId="7012586E" w14:textId="77777777">
        <w:trPr>
          <w:trHeight w:val="510"/>
        </w:trPr>
        <w:tc>
          <w:tcPr>
            <w:tcW w:w="1660" w:type="dxa"/>
            <w:tcBorders>
              <w:top w:val="nil"/>
              <w:left w:val="nil"/>
              <w:bottom w:val="single" w:sz="4" w:space="0" w:color="ADD6EA"/>
              <w:right w:val="nil"/>
            </w:tcBorders>
            <w:shd w:val="clear" w:color="auto" w:fill="auto"/>
            <w:hideMark/>
          </w:tcPr>
          <w:p w14:paraId="47F634C9"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Gold</w:t>
            </w:r>
          </w:p>
        </w:tc>
        <w:tc>
          <w:tcPr>
            <w:tcW w:w="1660" w:type="dxa"/>
            <w:tcBorders>
              <w:top w:val="nil"/>
              <w:left w:val="nil"/>
              <w:bottom w:val="single" w:sz="4" w:space="0" w:color="ADD6EA"/>
              <w:right w:val="nil"/>
            </w:tcBorders>
            <w:shd w:val="clear" w:color="auto" w:fill="auto"/>
            <w:hideMark/>
          </w:tcPr>
          <w:p w14:paraId="4B53D5AA"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Value of production</w:t>
            </w:r>
          </w:p>
        </w:tc>
        <w:tc>
          <w:tcPr>
            <w:tcW w:w="4440" w:type="dxa"/>
            <w:tcBorders>
              <w:top w:val="nil"/>
              <w:left w:val="nil"/>
              <w:bottom w:val="single" w:sz="4" w:space="0" w:color="ADD6EA"/>
              <w:right w:val="nil"/>
            </w:tcBorders>
            <w:shd w:val="clear" w:color="auto" w:fill="auto"/>
            <w:hideMark/>
          </w:tcPr>
          <w:p w14:paraId="6A38C202"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greater value of production have greater revenue capacity.</w:t>
            </w:r>
          </w:p>
        </w:tc>
        <w:tc>
          <w:tcPr>
            <w:tcW w:w="1200" w:type="dxa"/>
            <w:tcBorders>
              <w:top w:val="nil"/>
              <w:left w:val="nil"/>
              <w:bottom w:val="single" w:sz="4" w:space="0" w:color="ADD6EA"/>
              <w:right w:val="nil"/>
            </w:tcBorders>
            <w:shd w:val="clear" w:color="auto" w:fill="auto"/>
            <w:hideMark/>
          </w:tcPr>
          <w:p w14:paraId="1E77AC1B"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No</w:t>
            </w:r>
          </w:p>
        </w:tc>
      </w:tr>
      <w:tr w:rsidR="00750A52" w:rsidRPr="00750A52" w14:paraId="5D146E65" w14:textId="77777777">
        <w:trPr>
          <w:trHeight w:val="510"/>
        </w:trPr>
        <w:tc>
          <w:tcPr>
            <w:tcW w:w="1660" w:type="dxa"/>
            <w:tcBorders>
              <w:top w:val="nil"/>
              <w:left w:val="nil"/>
              <w:bottom w:val="single" w:sz="4" w:space="0" w:color="ADD6EA"/>
              <w:right w:val="nil"/>
            </w:tcBorders>
            <w:shd w:val="clear" w:color="auto" w:fill="auto"/>
            <w:hideMark/>
          </w:tcPr>
          <w:p w14:paraId="0AD75EE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Copper</w:t>
            </w:r>
          </w:p>
        </w:tc>
        <w:tc>
          <w:tcPr>
            <w:tcW w:w="1660" w:type="dxa"/>
            <w:tcBorders>
              <w:top w:val="nil"/>
              <w:left w:val="nil"/>
              <w:bottom w:val="single" w:sz="4" w:space="0" w:color="ADD6EA"/>
              <w:right w:val="nil"/>
            </w:tcBorders>
            <w:shd w:val="clear" w:color="auto" w:fill="auto"/>
            <w:hideMark/>
          </w:tcPr>
          <w:p w14:paraId="035FE5BD"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Value of production</w:t>
            </w:r>
          </w:p>
        </w:tc>
        <w:tc>
          <w:tcPr>
            <w:tcW w:w="4440" w:type="dxa"/>
            <w:tcBorders>
              <w:top w:val="nil"/>
              <w:left w:val="nil"/>
              <w:bottom w:val="single" w:sz="4" w:space="0" w:color="ADD6EA"/>
              <w:right w:val="nil"/>
            </w:tcBorders>
            <w:shd w:val="clear" w:color="auto" w:fill="auto"/>
            <w:hideMark/>
          </w:tcPr>
          <w:p w14:paraId="10FD2AC7"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greater value of production have greater revenue capacity.</w:t>
            </w:r>
          </w:p>
        </w:tc>
        <w:tc>
          <w:tcPr>
            <w:tcW w:w="1200" w:type="dxa"/>
            <w:tcBorders>
              <w:top w:val="nil"/>
              <w:left w:val="nil"/>
              <w:bottom w:val="single" w:sz="4" w:space="0" w:color="ADD6EA"/>
              <w:right w:val="nil"/>
            </w:tcBorders>
            <w:shd w:val="clear" w:color="auto" w:fill="auto"/>
            <w:hideMark/>
          </w:tcPr>
          <w:p w14:paraId="5B5EC0B9"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No</w:t>
            </w:r>
          </w:p>
        </w:tc>
      </w:tr>
      <w:tr w:rsidR="00750A52" w:rsidRPr="00750A52" w14:paraId="0AABDFC0" w14:textId="77777777">
        <w:trPr>
          <w:trHeight w:val="510"/>
        </w:trPr>
        <w:tc>
          <w:tcPr>
            <w:tcW w:w="1660" w:type="dxa"/>
            <w:tcBorders>
              <w:top w:val="nil"/>
              <w:left w:val="nil"/>
              <w:bottom w:val="single" w:sz="4" w:space="0" w:color="ADD6EA"/>
              <w:right w:val="nil"/>
            </w:tcBorders>
            <w:shd w:val="clear" w:color="auto" w:fill="auto"/>
            <w:hideMark/>
          </w:tcPr>
          <w:p w14:paraId="73DBF5D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Coal seam gas and uranium</w:t>
            </w:r>
          </w:p>
        </w:tc>
        <w:tc>
          <w:tcPr>
            <w:tcW w:w="1660" w:type="dxa"/>
            <w:tcBorders>
              <w:top w:val="nil"/>
              <w:left w:val="nil"/>
              <w:bottom w:val="single" w:sz="4" w:space="0" w:color="ADD6EA"/>
              <w:right w:val="nil"/>
            </w:tcBorders>
            <w:shd w:val="clear" w:color="auto" w:fill="auto"/>
            <w:hideMark/>
          </w:tcPr>
          <w:p w14:paraId="5872976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Population</w:t>
            </w:r>
          </w:p>
        </w:tc>
        <w:tc>
          <w:tcPr>
            <w:tcW w:w="4440" w:type="dxa"/>
            <w:tcBorders>
              <w:top w:val="nil"/>
              <w:left w:val="nil"/>
              <w:bottom w:val="single" w:sz="4" w:space="0" w:color="ADD6EA"/>
              <w:right w:val="nil"/>
            </w:tcBorders>
            <w:shd w:val="clear" w:color="auto" w:fill="auto"/>
            <w:hideMark/>
          </w:tcPr>
          <w:p w14:paraId="3F2694FF"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These revenues are assessed equal per capita. They do not differentially affect states' relative fiscal capacities.</w:t>
            </w:r>
          </w:p>
        </w:tc>
        <w:tc>
          <w:tcPr>
            <w:tcW w:w="1200" w:type="dxa"/>
            <w:tcBorders>
              <w:top w:val="nil"/>
              <w:left w:val="nil"/>
              <w:bottom w:val="single" w:sz="4" w:space="0" w:color="ADD6EA"/>
              <w:right w:val="nil"/>
            </w:tcBorders>
            <w:shd w:val="clear" w:color="auto" w:fill="auto"/>
            <w:hideMark/>
          </w:tcPr>
          <w:p w14:paraId="462EC0EB"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Yes</w:t>
            </w:r>
          </w:p>
        </w:tc>
      </w:tr>
      <w:tr w:rsidR="00750A52" w:rsidRPr="00750A52" w14:paraId="208969BD" w14:textId="77777777">
        <w:trPr>
          <w:trHeight w:val="510"/>
        </w:trPr>
        <w:tc>
          <w:tcPr>
            <w:tcW w:w="1660" w:type="dxa"/>
            <w:tcBorders>
              <w:top w:val="nil"/>
              <w:left w:val="nil"/>
              <w:bottom w:val="single" w:sz="4" w:space="0" w:color="ADD6EA"/>
              <w:right w:val="nil"/>
            </w:tcBorders>
            <w:shd w:val="clear" w:color="auto" w:fill="auto"/>
            <w:hideMark/>
          </w:tcPr>
          <w:p w14:paraId="7EB37D32"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Other minerals (a)</w:t>
            </w:r>
          </w:p>
        </w:tc>
        <w:tc>
          <w:tcPr>
            <w:tcW w:w="1660" w:type="dxa"/>
            <w:tcBorders>
              <w:top w:val="nil"/>
              <w:left w:val="nil"/>
              <w:bottom w:val="single" w:sz="4" w:space="0" w:color="ADD6EA"/>
              <w:right w:val="nil"/>
            </w:tcBorders>
            <w:shd w:val="clear" w:color="auto" w:fill="auto"/>
            <w:hideMark/>
          </w:tcPr>
          <w:p w14:paraId="46D6ED10"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Value of production</w:t>
            </w:r>
          </w:p>
        </w:tc>
        <w:tc>
          <w:tcPr>
            <w:tcW w:w="4440" w:type="dxa"/>
            <w:tcBorders>
              <w:top w:val="nil"/>
              <w:left w:val="nil"/>
              <w:bottom w:val="single" w:sz="4" w:space="0" w:color="ADD6EA"/>
              <w:right w:val="nil"/>
            </w:tcBorders>
            <w:shd w:val="clear" w:color="auto" w:fill="auto"/>
            <w:hideMark/>
          </w:tcPr>
          <w:p w14:paraId="3E514911"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greater value of production have greater revenue capacity.</w:t>
            </w:r>
          </w:p>
        </w:tc>
        <w:tc>
          <w:tcPr>
            <w:tcW w:w="1200" w:type="dxa"/>
            <w:tcBorders>
              <w:top w:val="nil"/>
              <w:left w:val="nil"/>
              <w:bottom w:val="single" w:sz="4" w:space="0" w:color="ADD6EA"/>
              <w:right w:val="nil"/>
            </w:tcBorders>
            <w:shd w:val="clear" w:color="auto" w:fill="auto"/>
            <w:hideMark/>
          </w:tcPr>
          <w:p w14:paraId="4F6CEB3D"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No</w:t>
            </w:r>
          </w:p>
        </w:tc>
      </w:tr>
      <w:tr w:rsidR="00750A52" w:rsidRPr="00750A52" w14:paraId="26BB7C1A" w14:textId="77777777">
        <w:trPr>
          <w:trHeight w:val="510"/>
        </w:trPr>
        <w:tc>
          <w:tcPr>
            <w:tcW w:w="1660" w:type="dxa"/>
            <w:tcBorders>
              <w:top w:val="nil"/>
              <w:left w:val="nil"/>
              <w:bottom w:val="single" w:sz="4" w:space="0" w:color="ADD6EA"/>
              <w:right w:val="nil"/>
            </w:tcBorders>
            <w:shd w:val="clear" w:color="auto" w:fill="auto"/>
            <w:hideMark/>
          </w:tcPr>
          <w:p w14:paraId="52AA44B0"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Grants in lieu of royalties</w:t>
            </w:r>
          </w:p>
        </w:tc>
        <w:tc>
          <w:tcPr>
            <w:tcW w:w="1660" w:type="dxa"/>
            <w:tcBorders>
              <w:top w:val="nil"/>
              <w:left w:val="nil"/>
              <w:bottom w:val="single" w:sz="4" w:space="0" w:color="ADD6EA"/>
              <w:right w:val="nil"/>
            </w:tcBorders>
            <w:shd w:val="clear" w:color="auto" w:fill="auto"/>
            <w:hideMark/>
          </w:tcPr>
          <w:p w14:paraId="6919E349"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Revenue received</w:t>
            </w:r>
          </w:p>
        </w:tc>
        <w:tc>
          <w:tcPr>
            <w:tcW w:w="4440" w:type="dxa"/>
            <w:tcBorders>
              <w:top w:val="nil"/>
              <w:left w:val="nil"/>
              <w:bottom w:val="single" w:sz="4" w:space="0" w:color="ADD6EA"/>
              <w:right w:val="nil"/>
            </w:tcBorders>
            <w:shd w:val="clear" w:color="auto" w:fill="auto"/>
            <w:hideMark/>
          </w:tcPr>
          <w:p w14:paraId="21314F13"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Recognises states with a greater share of these payments have greater revenue capacity.</w:t>
            </w:r>
          </w:p>
        </w:tc>
        <w:tc>
          <w:tcPr>
            <w:tcW w:w="1200" w:type="dxa"/>
            <w:tcBorders>
              <w:top w:val="nil"/>
              <w:left w:val="nil"/>
              <w:bottom w:val="single" w:sz="4" w:space="0" w:color="ADD6EA"/>
              <w:right w:val="nil"/>
            </w:tcBorders>
            <w:shd w:val="clear" w:color="auto" w:fill="auto"/>
            <w:hideMark/>
          </w:tcPr>
          <w:p w14:paraId="7BB3406C" w14:textId="77777777" w:rsidR="00750A52" w:rsidRPr="00750A52" w:rsidRDefault="00750A52" w:rsidP="00750A52">
            <w:pPr>
              <w:keepNext/>
              <w:tabs>
                <w:tab w:val="clear" w:pos="567"/>
              </w:tabs>
              <w:spacing w:before="0" w:line="240" w:lineRule="auto"/>
              <w:rPr>
                <w:rFonts w:eastAsia="Times New Roman" w:cs="Open Sans Light"/>
                <w:sz w:val="16"/>
                <w:szCs w:val="16"/>
                <w:lang w:eastAsia="en-AU"/>
              </w:rPr>
            </w:pPr>
            <w:r w:rsidRPr="00750A52">
              <w:rPr>
                <w:rFonts w:eastAsia="Times New Roman" w:cs="Open Sans Light"/>
                <w:sz w:val="16"/>
                <w:szCs w:val="16"/>
                <w:lang w:eastAsia="en-AU"/>
              </w:rPr>
              <w:t>Yes (b)</w:t>
            </w:r>
          </w:p>
        </w:tc>
      </w:tr>
    </w:tbl>
    <w:p w14:paraId="14FC7525" w14:textId="7140C02C" w:rsidR="00D255FC" w:rsidRDefault="00D255FC" w:rsidP="007825DA">
      <w:pPr>
        <w:pStyle w:val="CGC2025Tablenote"/>
        <w:keepNext/>
        <w:numPr>
          <w:ilvl w:val="0"/>
          <w:numId w:val="46"/>
        </w:numPr>
        <w:tabs>
          <w:tab w:val="clear" w:pos="680"/>
          <w:tab w:val="clear" w:pos="851"/>
          <w:tab w:val="left" w:pos="426"/>
        </w:tabs>
      </w:pPr>
      <w:r>
        <w:tab/>
        <w:t xml:space="preserve">Includes assessed royalties for bauxite, onshore oil and gas and lithium. These royalties are assessed </w:t>
      </w:r>
      <w:r w:rsidRPr="00AC5F9B">
        <w:t xml:space="preserve">separately </w:t>
      </w:r>
      <w:r>
        <w:t xml:space="preserve">and, </w:t>
      </w:r>
      <w:r w:rsidRPr="00AC5F9B">
        <w:t xml:space="preserve">for </w:t>
      </w:r>
      <w:r>
        <w:br/>
      </w:r>
      <w:r w:rsidRPr="00AC5F9B">
        <w:t>confidentiality reasons, the results are reported with the other minerals assessment</w:t>
      </w:r>
      <w:r>
        <w:t xml:space="preserve">. </w:t>
      </w:r>
    </w:p>
    <w:p w14:paraId="3426BC3F" w14:textId="1B7B4385" w:rsidR="00D255FC" w:rsidRDefault="007825DA" w:rsidP="007825DA">
      <w:pPr>
        <w:pStyle w:val="CGC2025Tablenote"/>
        <w:keepNext/>
        <w:numPr>
          <w:ilvl w:val="0"/>
          <w:numId w:val="46"/>
        </w:numPr>
        <w:tabs>
          <w:tab w:val="clear" w:pos="680"/>
          <w:tab w:val="clear" w:pos="851"/>
          <w:tab w:val="left" w:pos="567"/>
        </w:tabs>
        <w:ind w:left="426" w:hanging="313"/>
      </w:pPr>
      <w:r>
        <w:t xml:space="preserve"> </w:t>
      </w:r>
      <w:r w:rsidR="00D255FC">
        <w:t xml:space="preserve">Northern Territory’s uranium payment would be relocated and assessed in the coal seam gas and uranium component. Part </w:t>
      </w:r>
      <w:r>
        <w:t xml:space="preserve">    </w:t>
      </w:r>
      <w:r w:rsidR="00A177E1">
        <w:t xml:space="preserve"> </w:t>
      </w:r>
      <w:r w:rsidR="00A177E1">
        <w:br/>
        <w:t xml:space="preserve"> </w:t>
      </w:r>
      <w:r w:rsidR="00D255FC">
        <w:t>of the revenues from a dominant state’s royalty rate change would also be relocated to that component.</w:t>
      </w:r>
    </w:p>
    <w:p w14:paraId="1F7E8F8F" w14:textId="77777777" w:rsidR="001C7F02" w:rsidRDefault="001C7F02">
      <w:pPr>
        <w:tabs>
          <w:tab w:val="clear" w:pos="567"/>
        </w:tabs>
        <w:spacing w:before="0" w:after="200" w:line="276" w:lineRule="auto"/>
        <w:rPr>
          <w:rFonts w:ascii="Work Sans" w:eastAsia="Times New Roman" w:hAnsi="Work Sans" w:cs="Open Sans"/>
          <w:b/>
          <w:bCs/>
          <w:color w:val="006991"/>
          <w:sz w:val="36"/>
          <w:szCs w:val="36"/>
        </w:rPr>
      </w:pPr>
      <w:bookmarkStart w:id="59" w:name="_Toc121741493"/>
      <w:bookmarkStart w:id="60" w:name="_Toc127428362"/>
      <w:bookmarkStart w:id="61" w:name="_Toc132729117"/>
      <w:bookmarkStart w:id="62" w:name="_Toc133236158"/>
      <w:bookmarkStart w:id="63" w:name="_Toc133236184"/>
      <w:bookmarkEnd w:id="55"/>
      <w:bookmarkEnd w:id="56"/>
      <w:bookmarkEnd w:id="57"/>
      <w:r>
        <w:br w:type="page"/>
      </w:r>
    </w:p>
    <w:p w14:paraId="5C65E41E" w14:textId="6883B333" w:rsidR="00AB6FFE" w:rsidRDefault="00AB6FFE" w:rsidP="00F971B0">
      <w:pPr>
        <w:pStyle w:val="Heading2"/>
      </w:pPr>
      <w:bookmarkStart w:id="64" w:name="_Toc138927248"/>
      <w:r w:rsidRPr="00AB6FFE">
        <w:lastRenderedPageBreak/>
        <w:t>Consultation</w:t>
      </w:r>
      <w:bookmarkEnd w:id="59"/>
      <w:bookmarkEnd w:id="60"/>
      <w:bookmarkEnd w:id="61"/>
      <w:bookmarkEnd w:id="62"/>
      <w:bookmarkEnd w:id="63"/>
      <w:bookmarkEnd w:id="64"/>
    </w:p>
    <w:p w14:paraId="16AFBAE6" w14:textId="340B4CAE" w:rsidR="008170C5" w:rsidRDefault="008170C5" w:rsidP="008170C5">
      <w:pPr>
        <w:pStyle w:val="CGC2025ParaNumbers"/>
      </w:pPr>
      <w:r>
        <w:t xml:space="preserve">The Commission </w:t>
      </w:r>
      <w:r w:rsidRPr="00505A01">
        <w:t>welcome</w:t>
      </w:r>
      <w:r>
        <w:t>s</w:t>
      </w:r>
      <w:r w:rsidRPr="00505A01">
        <w:t xml:space="preserve"> state views</w:t>
      </w:r>
      <w:r>
        <w:t xml:space="preserve"> on the consultation questions identified in this paper (outlined below) and the proposed assessment. State </w:t>
      </w:r>
      <w:r w:rsidR="00A521E7">
        <w:t>submissions</w:t>
      </w:r>
      <w:r>
        <w:t xml:space="preserve"> should </w:t>
      </w:r>
      <w:r w:rsidR="00AA0DA4">
        <w:t>accord</w:t>
      </w:r>
      <w:r>
        <w:t xml:space="preserve"> with the 2025 Review framework. States</w:t>
      </w:r>
      <w:r w:rsidRPr="001B2348">
        <w:t xml:space="preserve"> </w:t>
      </w:r>
      <w:r w:rsidRPr="0020009F">
        <w:t xml:space="preserve">are welcome to raise other </w:t>
      </w:r>
      <w:r>
        <w:t xml:space="preserve">relevant </w:t>
      </w:r>
      <w:r w:rsidRPr="0020009F">
        <w:t>issues with the Commission</w:t>
      </w:r>
      <w:r>
        <w:t>.</w:t>
      </w:r>
    </w:p>
    <w:p w14:paraId="6EA1B78F" w14:textId="03ECC1C1" w:rsidR="008170C5" w:rsidRDefault="008170C5" w:rsidP="008170C5">
      <w:pPr>
        <w:pStyle w:val="CGC2025ParaNumbers"/>
      </w:pPr>
      <w:r>
        <w:t xml:space="preserve">The Commission will seek to expand its mining data request to collect information on royalties and value of production </w:t>
      </w:r>
      <w:r w:rsidR="00170D65">
        <w:t>for uranium and coal seam gas.</w:t>
      </w:r>
    </w:p>
    <w:p w14:paraId="64AC2266" w14:textId="77777777" w:rsidR="00B17FBC" w:rsidRDefault="00B17FBC" w:rsidP="00A5102B">
      <w:pPr>
        <w:rPr>
          <w:rFonts w:ascii="Work Sans" w:hAnsi="Work Sans"/>
          <w:szCs w:val="20"/>
        </w:rPr>
      </w:pPr>
      <w:r w:rsidRPr="001C4DF3">
        <w:rPr>
          <w:noProof/>
        </w:rPr>
        <mc:AlternateContent>
          <mc:Choice Requires="wps">
            <w:drawing>
              <wp:inline distT="0" distB="0" distL="0" distR="0" wp14:anchorId="4D988D77" wp14:editId="0496BFFC">
                <wp:extent cx="5648325" cy="2519363"/>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2519363"/>
                        </a:xfrm>
                        <a:prstGeom prst="rect">
                          <a:avLst/>
                        </a:prstGeom>
                        <a:solidFill>
                          <a:srgbClr val="EBF3F5"/>
                        </a:solidFill>
                        <a:ln w="25400" cap="flat" cmpd="sng" algn="ctr">
                          <a:noFill/>
                          <a:prstDash val="solid"/>
                        </a:ln>
                        <a:effectLst/>
                      </wps:spPr>
                      <wps:txbx>
                        <w:txbxContent>
                          <w:p w14:paraId="05FDCB58" w14:textId="77777777" w:rsidR="00662681" w:rsidRDefault="004F5B6E" w:rsidP="00662681">
                            <w:pPr>
                              <w:pStyle w:val="CGC2025Questionsnumbers2"/>
                            </w:pPr>
                            <w:r>
                              <w:t xml:space="preserve">Do states agree the Commission should continue to assess mining revenue capacity using a </w:t>
                            </w:r>
                            <w:proofErr w:type="gramStart"/>
                            <w:r>
                              <w:t>mineral by mineral</w:t>
                            </w:r>
                            <w:proofErr w:type="gramEnd"/>
                            <w:r>
                              <w:t xml:space="preserve"> approach?</w:t>
                            </w:r>
                          </w:p>
                          <w:p w14:paraId="70EF2789" w14:textId="77777777" w:rsidR="00146899" w:rsidRDefault="00146899" w:rsidP="00146899">
                            <w:pPr>
                              <w:pStyle w:val="CGC2025Questionsnumbers2"/>
                            </w:pPr>
                            <w:r w:rsidRPr="00AB52C7">
                              <w:t xml:space="preserve">Do states </w:t>
                            </w:r>
                            <w:r>
                              <w:t>support the dominant state for a mineral being identified having regard to a state’s share of the revenue base, its population share, and the extent to which its GST distribution would be impacted by a change in the royalty rate for that mineral?</w:t>
                            </w:r>
                          </w:p>
                          <w:p w14:paraId="35FB5E20" w14:textId="3A21FA3A" w:rsidR="004F5B6E" w:rsidRDefault="004F5B6E" w:rsidP="00662681">
                            <w:pPr>
                              <w:pStyle w:val="CGC2025Questionsnumbers2"/>
                            </w:pPr>
                            <w:r w:rsidRPr="00AB52C7">
                              <w:t xml:space="preserve">Do states agree </w:t>
                            </w:r>
                            <w:r>
                              <w:t xml:space="preserve">that </w:t>
                            </w:r>
                            <w:r w:rsidRPr="00F01F52">
                              <w:t>where a dominant state changes its relevant royalty rate</w:t>
                            </w:r>
                            <w:r>
                              <w:t xml:space="preserve">, assessing </w:t>
                            </w:r>
                            <w:r w:rsidRPr="00F01F52">
                              <w:t>50% of th</w:t>
                            </w:r>
                            <w:r>
                              <w:t xml:space="preserve">at </w:t>
                            </w:r>
                            <w:r w:rsidRPr="00F01F52">
                              <w:t xml:space="preserve">state’s revenue arising from </w:t>
                            </w:r>
                            <w:r>
                              <w:t>the</w:t>
                            </w:r>
                            <w:r w:rsidRPr="00F01F52">
                              <w:t xml:space="preserve"> royalty rate change equal per capita</w:t>
                            </w:r>
                            <w:r>
                              <w:t xml:space="preserve"> would represent an appropriate balance between assessing relative state fiscal capacities and policy neutrality concerns?</w:t>
                            </w:r>
                          </w:p>
                          <w:p w14:paraId="0756C9E5" w14:textId="20840106" w:rsidR="004F5B6E" w:rsidRDefault="004F5B6E" w:rsidP="00662681">
                            <w:pPr>
                              <w:pStyle w:val="CGC2025Questionsnumbers2"/>
                            </w:pPr>
                            <w:r>
                              <w:t>Do states agree that</w:t>
                            </w:r>
                            <w:r w:rsidRPr="005879EF">
                              <w:t xml:space="preserve"> </w:t>
                            </w:r>
                            <w:r>
                              <w:t>uranium and coal seam gas royalt</w:t>
                            </w:r>
                            <w:r w:rsidR="005623AB">
                              <w:t>y revenue</w:t>
                            </w:r>
                            <w:r w:rsidRPr="004C5F43">
                              <w:t xml:space="preserve"> should be assessed equal per capita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88D77" id="Rectangle 1" o:spid="_x0000_s1033" alt="&quot;&quot;" style="width:444.75pt;height:19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" fillcolor="#ebf3f5" stroked="f" strokeweight="2pt">
                <v:textbox>
                  <w:txbxContent>
                    <w:p w14:paraId="05FDCB58" w14:textId="77777777" w:rsidR="00662681" w:rsidRDefault="004F5B6E" w:rsidP="00662681">
                      <w:pPr>
                        <w:pStyle w:val="CGC2025Questionsnumbers2"/>
                      </w:pPr>
                      <w:r>
                        <w:t xml:space="preserve">Do states agree the Commission should continue to assess mining revenue capacity using a </w:t>
                      </w:r>
                      <w:proofErr w:type="gramStart"/>
                      <w:r>
                        <w:t>mineral by mineral</w:t>
                      </w:r>
                      <w:proofErr w:type="gramEnd"/>
                      <w:r>
                        <w:t xml:space="preserve"> approach?</w:t>
                      </w:r>
                    </w:p>
                    <w:p w14:paraId="70EF2789" w14:textId="77777777" w:rsidR="00146899" w:rsidRDefault="00146899" w:rsidP="00146899">
                      <w:pPr>
                        <w:pStyle w:val="CGC2025Questionsnumbers2"/>
                      </w:pPr>
                      <w:r w:rsidRPr="00AB52C7">
                        <w:t xml:space="preserve">Do states </w:t>
                      </w:r>
                      <w:r>
                        <w:t>support the dominant state for a mineral being identified having regard to a state’s share of the revenue base, its population share, and the extent to which its GST distribution would be impacted by a change in the royalty rate for that mineral?</w:t>
                      </w:r>
                    </w:p>
                    <w:p w14:paraId="35FB5E20" w14:textId="3A21FA3A" w:rsidR="004F5B6E" w:rsidRDefault="004F5B6E" w:rsidP="00662681">
                      <w:pPr>
                        <w:pStyle w:val="CGC2025Questionsnumbers2"/>
                      </w:pPr>
                      <w:r w:rsidRPr="00AB52C7">
                        <w:t xml:space="preserve">Do states agree </w:t>
                      </w:r>
                      <w:r>
                        <w:t xml:space="preserve">that </w:t>
                      </w:r>
                      <w:r w:rsidRPr="00F01F52">
                        <w:t>where a dominant state changes its relevant royalty rate</w:t>
                      </w:r>
                      <w:r>
                        <w:t xml:space="preserve">, assessing </w:t>
                      </w:r>
                      <w:r w:rsidRPr="00F01F52">
                        <w:t>50% of th</w:t>
                      </w:r>
                      <w:r>
                        <w:t xml:space="preserve">at </w:t>
                      </w:r>
                      <w:r w:rsidRPr="00F01F52">
                        <w:t xml:space="preserve">state’s revenue arising from </w:t>
                      </w:r>
                      <w:r>
                        <w:t>the</w:t>
                      </w:r>
                      <w:r w:rsidRPr="00F01F52">
                        <w:t xml:space="preserve"> royalty rate change equal per capita</w:t>
                      </w:r>
                      <w:r>
                        <w:t xml:space="preserve"> would represent an appropriate balance between assessing relative state fiscal capacities and policy neutrality concerns?</w:t>
                      </w:r>
                    </w:p>
                    <w:p w14:paraId="0756C9E5" w14:textId="20840106" w:rsidR="004F5B6E" w:rsidRDefault="004F5B6E" w:rsidP="00662681">
                      <w:pPr>
                        <w:pStyle w:val="CGC2025Questionsnumbers2"/>
                      </w:pPr>
                      <w:r>
                        <w:t>Do states agree that</w:t>
                      </w:r>
                      <w:r w:rsidRPr="005879EF">
                        <w:t xml:space="preserve"> </w:t>
                      </w:r>
                      <w:r>
                        <w:t>uranium and coal seam gas royalt</w:t>
                      </w:r>
                      <w:r w:rsidR="005623AB">
                        <w:t>y revenue</w:t>
                      </w:r>
                      <w:r w:rsidRPr="004C5F43">
                        <w:t xml:space="preserve"> should be assessed equal per capita</w:t>
                      </w:r>
                      <w:r>
                        <w:t>?</w:t>
                      </w:r>
                    </w:p>
                  </w:txbxContent>
                </v:textbox>
                <w10:anchorlock/>
              </v:rect>
            </w:pict>
          </mc:Fallback>
        </mc:AlternateContent>
      </w:r>
    </w:p>
    <w:p w14:paraId="3AB09805" w14:textId="77777777" w:rsidR="00377F68" w:rsidRDefault="00377F68" w:rsidP="00A5102B">
      <w:pPr>
        <w:rPr>
          <w:rFonts w:ascii="Work Sans" w:hAnsi="Work Sans"/>
          <w:szCs w:val="20"/>
        </w:rPr>
      </w:pPr>
    </w:p>
    <w:p w14:paraId="23C4C00D" w14:textId="77777777" w:rsidR="00377F68" w:rsidRPr="00294D2F" w:rsidRDefault="00377F68" w:rsidP="00294D2F"/>
    <w:p w14:paraId="14E3AC99" w14:textId="77777777" w:rsidR="00A36143" w:rsidRDefault="00A36143">
      <w:pPr>
        <w:tabs>
          <w:tab w:val="clear" w:pos="567"/>
        </w:tabs>
        <w:spacing w:before="0" w:after="200" w:line="276" w:lineRule="auto"/>
        <w:sectPr w:rsidR="00A36143" w:rsidSect="007E71EC">
          <w:footerReference w:type="default" r:id="rId19"/>
          <w:pgSz w:w="11906" w:h="16838" w:code="9"/>
          <w:pgMar w:top="1440" w:right="1440" w:bottom="1440" w:left="1440" w:header="720" w:footer="720" w:gutter="0"/>
          <w:cols w:space="720"/>
          <w:docGrid w:linePitch="272"/>
        </w:sectPr>
      </w:pPr>
      <w:bookmarkStart w:id="65" w:name="_Toc133236159"/>
      <w:bookmarkStart w:id="66" w:name="_Toc133236185"/>
    </w:p>
    <w:p w14:paraId="6DA4A84D" w14:textId="77777777" w:rsidR="00BF1AC1" w:rsidRDefault="00BE1694" w:rsidP="002C4EE1">
      <w:pPr>
        <w:pStyle w:val="Heading1"/>
      </w:pPr>
      <w:bookmarkStart w:id="67" w:name="_Toc138927249"/>
      <w:r>
        <w:lastRenderedPageBreak/>
        <w:t xml:space="preserve">Attachment A: </w:t>
      </w:r>
      <w:r w:rsidRPr="00A521E7">
        <w:rPr>
          <w:b w:val="0"/>
          <w:bCs w:val="0"/>
        </w:rPr>
        <w:t>State royalty rates</w:t>
      </w:r>
      <w:bookmarkEnd w:id="67"/>
    </w:p>
    <w:p w14:paraId="7C8894B8" w14:textId="771A81F5" w:rsidR="004C26D3" w:rsidRDefault="00655715" w:rsidP="004C26D3">
      <w:pPr>
        <w:pStyle w:val="Caption"/>
      </w:pPr>
      <w:r w:rsidRPr="00B031DB">
        <w:rPr>
          <w:rFonts w:ascii="Work Sans" w:hAnsi="Work Sans"/>
        </w:rPr>
        <w:t>Table </w:t>
      </w:r>
      <w:r w:rsidR="004C26D3" w:rsidRPr="00B031DB">
        <w:rPr>
          <w:rFonts w:ascii="Work Sans" w:hAnsi="Work Sans"/>
        </w:rPr>
        <w:t>A1</w:t>
      </w:r>
      <w:r w:rsidR="00604839" w:rsidRPr="00B031DB">
        <w:rPr>
          <w:rFonts w:ascii="Work Sans" w:hAnsi="Work Sans"/>
        </w:rPr>
        <w:tab/>
      </w:r>
      <w:r w:rsidR="004C26D3" w:rsidRPr="00B031DB">
        <w:rPr>
          <w:rFonts w:ascii="Work Sans" w:hAnsi="Work Sans"/>
        </w:rPr>
        <w:t>State royalty rates</w:t>
      </w:r>
      <w:r w:rsidR="004C26D3">
        <w:t xml:space="preserve"> </w:t>
      </w:r>
    </w:p>
    <w:tbl>
      <w:tblPr>
        <w:tblW w:w="12980" w:type="dxa"/>
        <w:tblLook w:val="04A0" w:firstRow="1" w:lastRow="0" w:firstColumn="1" w:lastColumn="0" w:noHBand="0" w:noVBand="1"/>
      </w:tblPr>
      <w:tblGrid>
        <w:gridCol w:w="1360"/>
        <w:gridCol w:w="1660"/>
        <w:gridCol w:w="1660"/>
        <w:gridCol w:w="1660"/>
        <w:gridCol w:w="1660"/>
        <w:gridCol w:w="1660"/>
        <w:gridCol w:w="1660"/>
        <w:gridCol w:w="1660"/>
      </w:tblGrid>
      <w:tr w:rsidR="004C26D3" w:rsidRPr="00D8196C" w14:paraId="309DAB09" w14:textId="77777777">
        <w:trPr>
          <w:trHeight w:val="375"/>
        </w:trPr>
        <w:tc>
          <w:tcPr>
            <w:tcW w:w="1360" w:type="dxa"/>
            <w:tcBorders>
              <w:top w:val="single" w:sz="4" w:space="0" w:color="auto"/>
              <w:left w:val="nil"/>
              <w:bottom w:val="nil"/>
              <w:right w:val="nil"/>
            </w:tcBorders>
            <w:shd w:val="clear" w:color="000000" w:fill="006991"/>
            <w:noWrap/>
            <w:vAlign w:val="center"/>
            <w:hideMark/>
          </w:tcPr>
          <w:p w14:paraId="30FBF980"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Mineral</w:t>
            </w:r>
          </w:p>
        </w:tc>
        <w:tc>
          <w:tcPr>
            <w:tcW w:w="1660" w:type="dxa"/>
            <w:tcBorders>
              <w:top w:val="single" w:sz="4" w:space="0" w:color="auto"/>
              <w:left w:val="nil"/>
              <w:bottom w:val="nil"/>
              <w:right w:val="nil"/>
            </w:tcBorders>
            <w:shd w:val="clear" w:color="000000" w:fill="006991"/>
            <w:noWrap/>
            <w:vAlign w:val="center"/>
            <w:hideMark/>
          </w:tcPr>
          <w:p w14:paraId="4D9F7698"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NSW</w:t>
            </w:r>
          </w:p>
        </w:tc>
        <w:tc>
          <w:tcPr>
            <w:tcW w:w="1660" w:type="dxa"/>
            <w:tcBorders>
              <w:top w:val="single" w:sz="4" w:space="0" w:color="auto"/>
              <w:left w:val="nil"/>
              <w:bottom w:val="nil"/>
              <w:right w:val="nil"/>
            </w:tcBorders>
            <w:shd w:val="clear" w:color="000000" w:fill="006991"/>
            <w:noWrap/>
            <w:vAlign w:val="center"/>
            <w:hideMark/>
          </w:tcPr>
          <w:p w14:paraId="79958FEA"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Vic</w:t>
            </w:r>
          </w:p>
        </w:tc>
        <w:tc>
          <w:tcPr>
            <w:tcW w:w="1660" w:type="dxa"/>
            <w:tcBorders>
              <w:top w:val="single" w:sz="4" w:space="0" w:color="auto"/>
              <w:left w:val="nil"/>
              <w:bottom w:val="nil"/>
              <w:right w:val="nil"/>
            </w:tcBorders>
            <w:shd w:val="clear" w:color="000000" w:fill="006991"/>
            <w:noWrap/>
            <w:vAlign w:val="center"/>
            <w:hideMark/>
          </w:tcPr>
          <w:p w14:paraId="79BEF705"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Qld</w:t>
            </w:r>
          </w:p>
        </w:tc>
        <w:tc>
          <w:tcPr>
            <w:tcW w:w="1660" w:type="dxa"/>
            <w:tcBorders>
              <w:top w:val="single" w:sz="4" w:space="0" w:color="auto"/>
              <w:left w:val="nil"/>
              <w:bottom w:val="nil"/>
              <w:right w:val="nil"/>
            </w:tcBorders>
            <w:shd w:val="clear" w:color="000000" w:fill="006991"/>
            <w:noWrap/>
            <w:vAlign w:val="center"/>
            <w:hideMark/>
          </w:tcPr>
          <w:p w14:paraId="2E177420"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WA</w:t>
            </w:r>
          </w:p>
        </w:tc>
        <w:tc>
          <w:tcPr>
            <w:tcW w:w="1660" w:type="dxa"/>
            <w:tcBorders>
              <w:top w:val="single" w:sz="4" w:space="0" w:color="auto"/>
              <w:left w:val="nil"/>
              <w:bottom w:val="nil"/>
              <w:right w:val="nil"/>
            </w:tcBorders>
            <w:shd w:val="clear" w:color="000000" w:fill="006991"/>
            <w:noWrap/>
            <w:vAlign w:val="center"/>
            <w:hideMark/>
          </w:tcPr>
          <w:p w14:paraId="54CECC76"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SA</w:t>
            </w:r>
          </w:p>
        </w:tc>
        <w:tc>
          <w:tcPr>
            <w:tcW w:w="1660" w:type="dxa"/>
            <w:tcBorders>
              <w:top w:val="single" w:sz="4" w:space="0" w:color="auto"/>
              <w:left w:val="nil"/>
              <w:bottom w:val="nil"/>
              <w:right w:val="nil"/>
            </w:tcBorders>
            <w:shd w:val="clear" w:color="000000" w:fill="006991"/>
            <w:noWrap/>
            <w:vAlign w:val="center"/>
            <w:hideMark/>
          </w:tcPr>
          <w:p w14:paraId="1C86A6BB"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Tas</w:t>
            </w:r>
          </w:p>
        </w:tc>
        <w:tc>
          <w:tcPr>
            <w:tcW w:w="1660" w:type="dxa"/>
            <w:tcBorders>
              <w:top w:val="single" w:sz="4" w:space="0" w:color="auto"/>
              <w:left w:val="nil"/>
              <w:bottom w:val="nil"/>
              <w:right w:val="nil"/>
            </w:tcBorders>
            <w:shd w:val="clear" w:color="000000" w:fill="006991"/>
            <w:noWrap/>
            <w:vAlign w:val="center"/>
            <w:hideMark/>
          </w:tcPr>
          <w:p w14:paraId="74B721EE" w14:textId="77777777" w:rsidR="004C26D3" w:rsidRPr="00D8196C" w:rsidRDefault="004C26D3">
            <w:pPr>
              <w:tabs>
                <w:tab w:val="clear" w:pos="567"/>
              </w:tabs>
              <w:spacing w:before="0" w:line="240" w:lineRule="auto"/>
              <w:rPr>
                <w:rFonts w:ascii="Open Sans Semibold" w:eastAsia="Times New Roman" w:hAnsi="Open Sans Semibold" w:cs="Open Sans Semibold"/>
                <w:color w:val="FFFFFF"/>
                <w:sz w:val="16"/>
                <w:szCs w:val="16"/>
                <w:lang w:eastAsia="en-AU"/>
              </w:rPr>
            </w:pPr>
            <w:r w:rsidRPr="00D8196C">
              <w:rPr>
                <w:rFonts w:ascii="Open Sans Semibold" w:eastAsia="Times New Roman" w:hAnsi="Open Sans Semibold" w:cs="Open Sans Semibold"/>
                <w:color w:val="FFFFFF"/>
                <w:sz w:val="16"/>
                <w:szCs w:val="16"/>
                <w:lang w:eastAsia="en-AU"/>
              </w:rPr>
              <w:t>NT</w:t>
            </w:r>
          </w:p>
        </w:tc>
      </w:tr>
      <w:tr w:rsidR="004C26D3" w:rsidRPr="00D8196C" w14:paraId="7EA3E7DB" w14:textId="77777777">
        <w:trPr>
          <w:trHeight w:val="765"/>
        </w:trPr>
        <w:tc>
          <w:tcPr>
            <w:tcW w:w="1360" w:type="dxa"/>
            <w:tcBorders>
              <w:top w:val="single" w:sz="4" w:space="0" w:color="ADD6EA"/>
              <w:left w:val="nil"/>
              <w:bottom w:val="single" w:sz="4" w:space="0" w:color="ADD6EA"/>
              <w:right w:val="nil"/>
            </w:tcBorders>
            <w:shd w:val="clear" w:color="auto" w:fill="auto"/>
            <w:noWrap/>
            <w:hideMark/>
          </w:tcPr>
          <w:p w14:paraId="2BB7509D"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Iron ore</w:t>
            </w:r>
          </w:p>
        </w:tc>
        <w:tc>
          <w:tcPr>
            <w:tcW w:w="1660" w:type="dxa"/>
            <w:tcBorders>
              <w:top w:val="single" w:sz="4" w:space="0" w:color="ADD6EA"/>
              <w:left w:val="nil"/>
              <w:bottom w:val="single" w:sz="4" w:space="0" w:color="ADD6EA"/>
              <w:right w:val="nil"/>
            </w:tcBorders>
            <w:shd w:val="clear" w:color="auto" w:fill="auto"/>
            <w:hideMark/>
          </w:tcPr>
          <w:p w14:paraId="329C506E" w14:textId="4BE03473"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4.0% of ex-mine value (value less allowable deductions)</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31C66B0C" w14:textId="304132E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2.75% of net market value</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24057218" w14:textId="2E199AA4"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$1.25 per tonne plus 2.5% of value above $100 per tonne</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7FF6C82C" w14:textId="2F72E728"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Beneficiated 5%, Direct shipping 7.5%</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396A4ECC" w14:textId="1332D7D6"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5.0% of ex-</w:t>
            </w:r>
            <w:proofErr w:type="gramStart"/>
            <w:r w:rsidRPr="00D8196C">
              <w:rPr>
                <w:rFonts w:eastAsia="Times New Roman" w:cs="Open Sans Light"/>
                <w:sz w:val="16"/>
                <w:szCs w:val="16"/>
                <w:lang w:eastAsia="en-AU"/>
              </w:rPr>
              <w:t>mine</w:t>
            </w:r>
            <w:proofErr w:type="gramEnd"/>
            <w:r w:rsidRPr="00D8196C">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3E5DCA0B" w14:textId="31533961"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1.9% on net sales plus profit royalty up to max of 5.35% of net sales</w:t>
            </w:r>
            <w:r w:rsidR="00005531">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2F1CCAFC" w14:textId="68ADB0E2"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Greater of 20% of net value (less $10,000) or 1% to 2.5% of gross revenue</w:t>
            </w:r>
            <w:r w:rsidR="00005531">
              <w:rPr>
                <w:rFonts w:eastAsia="Times New Roman" w:cs="Open Sans Light"/>
                <w:sz w:val="16"/>
                <w:szCs w:val="16"/>
                <w:lang w:eastAsia="en-AU"/>
              </w:rPr>
              <w:t>.</w:t>
            </w:r>
          </w:p>
        </w:tc>
      </w:tr>
      <w:tr w:rsidR="004C26D3" w:rsidRPr="00D8196C" w14:paraId="71D1C2E3" w14:textId="77777777">
        <w:trPr>
          <w:trHeight w:val="1275"/>
        </w:trPr>
        <w:tc>
          <w:tcPr>
            <w:tcW w:w="1360" w:type="dxa"/>
            <w:tcBorders>
              <w:top w:val="nil"/>
              <w:left w:val="nil"/>
              <w:bottom w:val="single" w:sz="4" w:space="0" w:color="ADD6EA"/>
              <w:right w:val="nil"/>
            </w:tcBorders>
            <w:shd w:val="clear" w:color="auto" w:fill="auto"/>
            <w:noWrap/>
            <w:hideMark/>
          </w:tcPr>
          <w:p w14:paraId="7102B33E"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Coal</w:t>
            </w:r>
          </w:p>
        </w:tc>
        <w:tc>
          <w:tcPr>
            <w:tcW w:w="1660" w:type="dxa"/>
            <w:tcBorders>
              <w:top w:val="nil"/>
              <w:left w:val="nil"/>
              <w:bottom w:val="single" w:sz="4" w:space="0" w:color="ADD6EA"/>
              <w:right w:val="nil"/>
            </w:tcBorders>
            <w:shd w:val="clear" w:color="auto" w:fill="auto"/>
            <w:hideMark/>
          </w:tcPr>
          <w:p w14:paraId="0FA346F0"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Open cut: 8.2% of ex-</w:t>
            </w:r>
            <w:proofErr w:type="gramStart"/>
            <w:r w:rsidRPr="00D8196C">
              <w:rPr>
                <w:rFonts w:eastAsia="Times New Roman" w:cs="Open Sans Light"/>
                <w:sz w:val="16"/>
                <w:szCs w:val="16"/>
                <w:lang w:eastAsia="en-AU"/>
              </w:rPr>
              <w:t>mine</w:t>
            </w:r>
            <w:proofErr w:type="gramEnd"/>
            <w:r w:rsidRPr="00D8196C">
              <w:rPr>
                <w:rFonts w:eastAsia="Times New Roman" w:cs="Open Sans Light"/>
                <w:sz w:val="16"/>
                <w:szCs w:val="16"/>
                <w:lang w:eastAsia="en-AU"/>
              </w:rPr>
              <w:t xml:space="preserve"> value. Underground: 7.2% of ex-</w:t>
            </w:r>
            <w:proofErr w:type="gramStart"/>
            <w:r w:rsidRPr="00D8196C">
              <w:rPr>
                <w:rFonts w:eastAsia="Times New Roman" w:cs="Open Sans Light"/>
                <w:sz w:val="16"/>
                <w:szCs w:val="16"/>
                <w:lang w:eastAsia="en-AU"/>
              </w:rPr>
              <w:t>mine</w:t>
            </w:r>
            <w:proofErr w:type="gramEnd"/>
            <w:r w:rsidRPr="00D8196C">
              <w:rPr>
                <w:rFonts w:eastAsia="Times New Roman" w:cs="Open Sans Light"/>
                <w:sz w:val="16"/>
                <w:szCs w:val="16"/>
                <w:lang w:eastAsia="en-AU"/>
              </w:rPr>
              <w:t xml:space="preserve"> value. Deep underground: 6.2% of ex-</w:t>
            </w:r>
            <w:proofErr w:type="gramStart"/>
            <w:r w:rsidRPr="00D8196C">
              <w:rPr>
                <w:rFonts w:eastAsia="Times New Roman" w:cs="Open Sans Light"/>
                <w:sz w:val="16"/>
                <w:szCs w:val="16"/>
                <w:lang w:eastAsia="en-AU"/>
              </w:rPr>
              <w:t>mine</w:t>
            </w:r>
            <w:proofErr w:type="gramEnd"/>
            <w:r w:rsidRPr="00D8196C">
              <w:rPr>
                <w:rFonts w:eastAsia="Times New Roman" w:cs="Open Sans Light"/>
                <w:sz w:val="16"/>
                <w:szCs w:val="16"/>
                <w:lang w:eastAsia="en-AU"/>
              </w:rPr>
              <w:t xml:space="preserve"> value.</w:t>
            </w:r>
          </w:p>
        </w:tc>
        <w:tc>
          <w:tcPr>
            <w:tcW w:w="1660" w:type="dxa"/>
            <w:tcBorders>
              <w:top w:val="nil"/>
              <w:left w:val="nil"/>
              <w:bottom w:val="single" w:sz="4" w:space="0" w:color="ADD6EA"/>
              <w:right w:val="nil"/>
            </w:tcBorders>
            <w:shd w:val="clear" w:color="auto" w:fill="auto"/>
            <w:hideMark/>
          </w:tcPr>
          <w:p w14:paraId="05E530F2"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Brown coal: 22.8c per kilojoule of energy, adjusted by CPI.</w:t>
            </w:r>
            <w:r>
              <w:rPr>
                <w:rFonts w:eastAsia="Times New Roman" w:cs="Open Sans Light"/>
                <w:sz w:val="16"/>
                <w:szCs w:val="16"/>
                <w:lang w:eastAsia="en-AU"/>
              </w:rPr>
              <w:br/>
            </w:r>
            <w:r w:rsidRPr="00D8196C">
              <w:rPr>
                <w:rFonts w:eastAsia="Times New Roman" w:cs="Open Sans Light"/>
                <w:sz w:val="16"/>
                <w:szCs w:val="16"/>
                <w:lang w:eastAsia="en-AU"/>
              </w:rPr>
              <w:t>Other than brown coal: 2.75% of net market value.</w:t>
            </w:r>
          </w:p>
        </w:tc>
        <w:tc>
          <w:tcPr>
            <w:tcW w:w="1660" w:type="dxa"/>
            <w:tcBorders>
              <w:top w:val="nil"/>
              <w:left w:val="nil"/>
              <w:bottom w:val="single" w:sz="4" w:space="0" w:color="ADD6EA"/>
              <w:right w:val="nil"/>
            </w:tcBorders>
            <w:shd w:val="clear" w:color="auto" w:fill="auto"/>
            <w:hideMark/>
          </w:tcPr>
          <w:p w14:paraId="44935987" w14:textId="0D44D5D8"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Tiered rate based on average sales price and volume of coal produced</w:t>
            </w:r>
            <w:r w:rsidR="006A3377">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63DE70EC"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If exported: 7.5%. If not exported: $1 per tonne, adjusted with price increases.</w:t>
            </w:r>
          </w:p>
        </w:tc>
        <w:tc>
          <w:tcPr>
            <w:tcW w:w="1660" w:type="dxa"/>
            <w:tcBorders>
              <w:top w:val="nil"/>
              <w:left w:val="nil"/>
              <w:bottom w:val="single" w:sz="4" w:space="0" w:color="ADD6EA"/>
              <w:right w:val="nil"/>
            </w:tcBorders>
            <w:shd w:val="clear" w:color="auto" w:fill="auto"/>
            <w:hideMark/>
          </w:tcPr>
          <w:p w14:paraId="679F089D" w14:textId="09AFBAF8"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3.5% of net market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5B1A6B0A" w14:textId="39EF6325"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1.9% on net sales plus profit royalty up to max of 5.35% of net sales</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1F895014" w14:textId="204D1A33"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Greater of 20% of net value (less $10,000) or 1% to 2.5% of gross revenue</w:t>
            </w:r>
            <w:r w:rsidR="00005531">
              <w:rPr>
                <w:rFonts w:eastAsia="Times New Roman" w:cs="Open Sans Light"/>
                <w:sz w:val="16"/>
                <w:szCs w:val="16"/>
                <w:lang w:eastAsia="en-AU"/>
              </w:rPr>
              <w:t>.</w:t>
            </w:r>
          </w:p>
        </w:tc>
      </w:tr>
      <w:tr w:rsidR="004C26D3" w:rsidRPr="00D8196C" w14:paraId="4E9FC41A" w14:textId="77777777">
        <w:trPr>
          <w:trHeight w:val="765"/>
        </w:trPr>
        <w:tc>
          <w:tcPr>
            <w:tcW w:w="1360" w:type="dxa"/>
            <w:tcBorders>
              <w:top w:val="nil"/>
              <w:left w:val="nil"/>
              <w:bottom w:val="single" w:sz="4" w:space="0" w:color="ADD6EA"/>
              <w:right w:val="nil"/>
            </w:tcBorders>
            <w:shd w:val="clear" w:color="auto" w:fill="auto"/>
            <w:hideMark/>
          </w:tcPr>
          <w:p w14:paraId="172E8470"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Onshore oil and gas</w:t>
            </w:r>
          </w:p>
        </w:tc>
        <w:tc>
          <w:tcPr>
            <w:tcW w:w="1660" w:type="dxa"/>
            <w:tcBorders>
              <w:top w:val="nil"/>
              <w:left w:val="nil"/>
              <w:bottom w:val="single" w:sz="4" w:space="0" w:color="ADD6EA"/>
              <w:right w:val="nil"/>
            </w:tcBorders>
            <w:shd w:val="clear" w:color="auto" w:fill="auto"/>
            <w:hideMark/>
          </w:tcPr>
          <w:p w14:paraId="6E9B8DD5" w14:textId="5F9BB1FF"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10% </w:t>
            </w:r>
            <w:r>
              <w:rPr>
                <w:rFonts w:eastAsia="Times New Roman" w:cs="Open Sans Light"/>
                <w:sz w:val="16"/>
                <w:szCs w:val="16"/>
                <w:lang w:eastAsia="en-AU"/>
              </w:rPr>
              <w:t>of</w:t>
            </w:r>
            <w:r w:rsidRPr="00D8196C">
              <w:rPr>
                <w:rFonts w:eastAsia="Times New Roman" w:cs="Open Sans Light"/>
                <w:sz w:val="16"/>
                <w:szCs w:val="16"/>
                <w:lang w:eastAsia="en-AU"/>
              </w:rPr>
              <w:t xml:space="preserve"> the well</w:t>
            </w:r>
            <w:r>
              <w:rPr>
                <w:rFonts w:eastAsia="Times New Roman" w:cs="Open Sans Light"/>
                <w:sz w:val="16"/>
                <w:szCs w:val="16"/>
                <w:lang w:eastAsia="en-AU"/>
              </w:rPr>
              <w:noBreakHyphen/>
            </w:r>
            <w:r w:rsidRPr="00D8196C">
              <w:rPr>
                <w:rFonts w:eastAsia="Times New Roman" w:cs="Open Sans Light"/>
                <w:sz w:val="16"/>
                <w:szCs w:val="16"/>
                <w:lang w:eastAsia="en-AU"/>
              </w:rPr>
              <w:t>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609D19B7" w14:textId="37A6A299"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10% </w:t>
            </w:r>
            <w:r>
              <w:rPr>
                <w:rFonts w:eastAsia="Times New Roman" w:cs="Open Sans Light"/>
                <w:sz w:val="16"/>
                <w:szCs w:val="16"/>
                <w:lang w:eastAsia="en-AU"/>
              </w:rPr>
              <w:t>of</w:t>
            </w:r>
            <w:r w:rsidRPr="00D8196C">
              <w:rPr>
                <w:rFonts w:eastAsia="Times New Roman" w:cs="Open Sans Light"/>
                <w:sz w:val="16"/>
                <w:szCs w:val="16"/>
                <w:lang w:eastAsia="en-AU"/>
              </w:rPr>
              <w:t xml:space="preserve"> the </w:t>
            </w:r>
            <w:r>
              <w:rPr>
                <w:rFonts w:eastAsia="Times New Roman" w:cs="Open Sans Light"/>
                <w:sz w:val="16"/>
                <w:szCs w:val="16"/>
                <w:lang w:eastAsia="en-AU"/>
              </w:rPr>
              <w:t xml:space="preserve">net </w:t>
            </w:r>
            <w:r w:rsidRPr="00D8196C">
              <w:rPr>
                <w:rFonts w:eastAsia="Times New Roman" w:cs="Open Sans Light"/>
                <w:sz w:val="16"/>
                <w:szCs w:val="16"/>
                <w:lang w:eastAsia="en-AU"/>
              </w:rPr>
              <w:t>well</w:t>
            </w:r>
            <w:r>
              <w:rPr>
                <w:rFonts w:eastAsia="Times New Roman" w:cs="Open Sans Light"/>
                <w:sz w:val="16"/>
                <w:szCs w:val="16"/>
                <w:lang w:eastAsia="en-AU"/>
              </w:rPr>
              <w:noBreakHyphen/>
            </w:r>
            <w:r w:rsidRPr="00D8196C">
              <w:rPr>
                <w:rFonts w:eastAsia="Times New Roman" w:cs="Open Sans Light"/>
                <w:sz w:val="16"/>
                <w:szCs w:val="16"/>
                <w:lang w:eastAsia="en-AU"/>
              </w:rPr>
              <w:t>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05F06CB5" w14:textId="005EC035"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Sliding rate scale based on average sales price and volume of gas produced</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3870C74" w14:textId="17D4FC1F"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10% or 12.5% </w:t>
            </w:r>
            <w:r>
              <w:rPr>
                <w:rFonts w:eastAsia="Times New Roman" w:cs="Open Sans Light"/>
                <w:sz w:val="16"/>
                <w:szCs w:val="16"/>
                <w:lang w:eastAsia="en-AU"/>
              </w:rPr>
              <w:t>of</w:t>
            </w:r>
            <w:r w:rsidRPr="00D8196C">
              <w:rPr>
                <w:rFonts w:eastAsia="Times New Roman" w:cs="Open Sans Light"/>
                <w:sz w:val="16"/>
                <w:szCs w:val="16"/>
                <w:lang w:eastAsia="en-AU"/>
              </w:rPr>
              <w:t xml:space="preserve"> the well-head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1EF5C0E5" w14:textId="1F7975FE"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10% </w:t>
            </w:r>
            <w:r>
              <w:rPr>
                <w:rFonts w:eastAsia="Times New Roman" w:cs="Open Sans Light"/>
                <w:sz w:val="16"/>
                <w:szCs w:val="16"/>
                <w:lang w:eastAsia="en-AU"/>
              </w:rPr>
              <w:t>of</w:t>
            </w:r>
            <w:r w:rsidRPr="00D8196C">
              <w:rPr>
                <w:rFonts w:eastAsia="Times New Roman" w:cs="Open Sans Light"/>
                <w:sz w:val="16"/>
                <w:szCs w:val="16"/>
                <w:lang w:eastAsia="en-AU"/>
              </w:rPr>
              <w:t xml:space="preserve"> the </w:t>
            </w:r>
            <w:r>
              <w:rPr>
                <w:rFonts w:eastAsia="Times New Roman" w:cs="Open Sans Light"/>
                <w:sz w:val="16"/>
                <w:szCs w:val="16"/>
                <w:lang w:eastAsia="en-AU"/>
              </w:rPr>
              <w:t xml:space="preserve">net </w:t>
            </w:r>
            <w:r w:rsidRPr="00D8196C">
              <w:rPr>
                <w:rFonts w:eastAsia="Times New Roman" w:cs="Open Sans Light"/>
                <w:sz w:val="16"/>
                <w:szCs w:val="16"/>
                <w:lang w:eastAsia="en-AU"/>
              </w:rPr>
              <w:t>well</w:t>
            </w:r>
            <w:r>
              <w:rPr>
                <w:rFonts w:eastAsia="Times New Roman" w:cs="Open Sans Light"/>
                <w:sz w:val="16"/>
                <w:szCs w:val="16"/>
                <w:lang w:eastAsia="en-AU"/>
              </w:rPr>
              <w:noBreakHyphen/>
            </w:r>
            <w:r w:rsidRPr="00D8196C">
              <w:rPr>
                <w:rFonts w:eastAsia="Times New Roman" w:cs="Open Sans Light"/>
                <w:sz w:val="16"/>
                <w:szCs w:val="16"/>
                <w:lang w:eastAsia="en-AU"/>
              </w:rPr>
              <w:t>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54F5C351" w14:textId="4808744B"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12% </w:t>
            </w:r>
            <w:r>
              <w:rPr>
                <w:rFonts w:eastAsia="Times New Roman" w:cs="Open Sans Light"/>
                <w:sz w:val="16"/>
                <w:szCs w:val="16"/>
                <w:lang w:eastAsia="en-AU"/>
              </w:rPr>
              <w:t>of</w:t>
            </w:r>
            <w:r w:rsidRPr="00D8196C">
              <w:rPr>
                <w:rFonts w:eastAsia="Times New Roman" w:cs="Open Sans Light"/>
                <w:sz w:val="16"/>
                <w:szCs w:val="16"/>
                <w:lang w:eastAsia="en-AU"/>
              </w:rPr>
              <w:t xml:space="preserve"> the well</w:t>
            </w:r>
            <w:r>
              <w:rPr>
                <w:rFonts w:eastAsia="Times New Roman" w:cs="Open Sans Light"/>
                <w:sz w:val="16"/>
                <w:szCs w:val="16"/>
                <w:lang w:eastAsia="en-AU"/>
              </w:rPr>
              <w:noBreakHyphen/>
            </w:r>
            <w:r w:rsidRPr="00D8196C">
              <w:rPr>
                <w:rFonts w:eastAsia="Times New Roman" w:cs="Open Sans Light"/>
                <w:sz w:val="16"/>
                <w:szCs w:val="16"/>
                <w:lang w:eastAsia="en-AU"/>
              </w:rPr>
              <w:t>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352E81E" w14:textId="60540C6B"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 xml:space="preserve">10% </w:t>
            </w:r>
            <w:r>
              <w:rPr>
                <w:rFonts w:eastAsia="Times New Roman" w:cs="Open Sans Light"/>
                <w:sz w:val="16"/>
                <w:szCs w:val="16"/>
                <w:lang w:eastAsia="en-AU"/>
              </w:rPr>
              <w:t>of</w:t>
            </w:r>
            <w:r w:rsidRPr="00D8196C">
              <w:rPr>
                <w:rFonts w:eastAsia="Times New Roman" w:cs="Open Sans Light"/>
                <w:sz w:val="16"/>
                <w:szCs w:val="16"/>
                <w:lang w:eastAsia="en-AU"/>
              </w:rPr>
              <w:t xml:space="preserve"> the well</w:t>
            </w:r>
            <w:r>
              <w:rPr>
                <w:rFonts w:eastAsia="Times New Roman" w:cs="Open Sans Light"/>
                <w:sz w:val="16"/>
                <w:szCs w:val="16"/>
                <w:lang w:eastAsia="en-AU"/>
              </w:rPr>
              <w:noBreakHyphen/>
            </w:r>
            <w:r w:rsidRPr="00D8196C">
              <w:rPr>
                <w:rFonts w:eastAsia="Times New Roman" w:cs="Open Sans Light"/>
                <w:sz w:val="16"/>
                <w:szCs w:val="16"/>
                <w:lang w:eastAsia="en-AU"/>
              </w:rPr>
              <w:t>head</w:t>
            </w:r>
            <w:r>
              <w:rPr>
                <w:rFonts w:eastAsia="Times New Roman" w:cs="Open Sans Light"/>
                <w:sz w:val="16"/>
                <w:szCs w:val="16"/>
                <w:lang w:eastAsia="en-AU"/>
              </w:rPr>
              <w:t xml:space="preserve"> value</w:t>
            </w:r>
            <w:r w:rsidR="00005531">
              <w:rPr>
                <w:rFonts w:eastAsia="Times New Roman" w:cs="Open Sans Light"/>
                <w:sz w:val="16"/>
                <w:szCs w:val="16"/>
                <w:lang w:eastAsia="en-AU"/>
              </w:rPr>
              <w:t>.</w:t>
            </w:r>
          </w:p>
        </w:tc>
      </w:tr>
      <w:tr w:rsidR="004C26D3" w:rsidRPr="00D8196C" w14:paraId="1D493F5C" w14:textId="77777777">
        <w:trPr>
          <w:trHeight w:val="1785"/>
        </w:trPr>
        <w:tc>
          <w:tcPr>
            <w:tcW w:w="1360" w:type="dxa"/>
            <w:tcBorders>
              <w:top w:val="nil"/>
              <w:left w:val="nil"/>
              <w:bottom w:val="single" w:sz="4" w:space="0" w:color="ADD6EA"/>
              <w:right w:val="nil"/>
            </w:tcBorders>
            <w:shd w:val="clear" w:color="auto" w:fill="auto"/>
            <w:noWrap/>
            <w:hideMark/>
          </w:tcPr>
          <w:p w14:paraId="6233075D"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Bauxite</w:t>
            </w:r>
          </w:p>
        </w:tc>
        <w:tc>
          <w:tcPr>
            <w:tcW w:w="1660" w:type="dxa"/>
            <w:tcBorders>
              <w:top w:val="nil"/>
              <w:left w:val="nil"/>
              <w:bottom w:val="single" w:sz="4" w:space="0" w:color="ADD6EA"/>
              <w:right w:val="nil"/>
            </w:tcBorders>
            <w:shd w:val="clear" w:color="auto" w:fill="auto"/>
            <w:hideMark/>
          </w:tcPr>
          <w:p w14:paraId="5AAE6688" w14:textId="6604AC89"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35c per tonne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6FA050E3" w14:textId="71426EE8"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2.75% of net market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44BFA5D" w14:textId="74EEC8AA"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Non-domestic: the higher of 10% of the val</w:t>
            </w:r>
            <w:r>
              <w:rPr>
                <w:rFonts w:eastAsia="Times New Roman" w:cs="Open Sans Light"/>
                <w:sz w:val="16"/>
                <w:szCs w:val="16"/>
                <w:lang w:eastAsia="en-AU"/>
              </w:rPr>
              <w:t>u</w:t>
            </w:r>
            <w:r w:rsidRPr="00D8196C">
              <w:rPr>
                <w:rFonts w:eastAsia="Times New Roman" w:cs="Open Sans Light"/>
                <w:sz w:val="16"/>
                <w:szCs w:val="16"/>
                <w:lang w:eastAsia="en-AU"/>
              </w:rPr>
              <w:t>e of the bauxite or $2/tonne. Domestic: the higher of 75% of the calculated rate for non-domestic bauxite or $1.5</w:t>
            </w:r>
            <w:r>
              <w:rPr>
                <w:rFonts w:eastAsia="Times New Roman" w:cs="Open Sans Light"/>
                <w:sz w:val="16"/>
                <w:szCs w:val="16"/>
                <w:lang w:eastAsia="en-AU"/>
              </w:rPr>
              <w:t>0</w:t>
            </w:r>
            <w:r w:rsidRPr="00D8196C">
              <w:rPr>
                <w:rFonts w:eastAsia="Times New Roman" w:cs="Open Sans Light"/>
                <w:sz w:val="16"/>
                <w:szCs w:val="16"/>
                <w:lang w:eastAsia="en-AU"/>
              </w:rPr>
              <w:t xml:space="preserve"> per tonne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21D0C330" w14:textId="32AB26C0"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Bauxite 7.5%, Alumina 1.65%</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60DCD696" w14:textId="088E3F1D"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3.5% of net market value if in a metal form, concentrates at 5.0%</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132123A5" w14:textId="717559A6"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1.9% on net sales plus profit royalty up to max of 5.35% of net sales</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9611AAC" w14:textId="33A0ED68"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Greater of 20% of net value (less $10,000) or 1% to 2.5% of gross revenue</w:t>
            </w:r>
            <w:r w:rsidR="00005531">
              <w:rPr>
                <w:rFonts w:eastAsia="Times New Roman" w:cs="Open Sans Light"/>
                <w:sz w:val="16"/>
                <w:szCs w:val="16"/>
                <w:lang w:eastAsia="en-AU"/>
              </w:rPr>
              <w:t>.</w:t>
            </w:r>
          </w:p>
        </w:tc>
      </w:tr>
      <w:tr w:rsidR="004C26D3" w:rsidRPr="00D8196C" w14:paraId="57ED9BA5" w14:textId="77777777">
        <w:trPr>
          <w:trHeight w:val="765"/>
        </w:trPr>
        <w:tc>
          <w:tcPr>
            <w:tcW w:w="1360" w:type="dxa"/>
            <w:tcBorders>
              <w:top w:val="nil"/>
              <w:left w:val="nil"/>
              <w:bottom w:val="single" w:sz="4" w:space="0" w:color="ADD6EA"/>
              <w:right w:val="nil"/>
            </w:tcBorders>
            <w:shd w:val="clear" w:color="auto" w:fill="auto"/>
            <w:noWrap/>
            <w:hideMark/>
          </w:tcPr>
          <w:p w14:paraId="1E105E1A" w14:textId="77777777"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Gold</w:t>
            </w:r>
          </w:p>
        </w:tc>
        <w:tc>
          <w:tcPr>
            <w:tcW w:w="1660" w:type="dxa"/>
            <w:tcBorders>
              <w:top w:val="nil"/>
              <w:left w:val="nil"/>
              <w:bottom w:val="single" w:sz="4" w:space="0" w:color="ADD6EA"/>
              <w:right w:val="nil"/>
            </w:tcBorders>
            <w:shd w:val="clear" w:color="auto" w:fill="auto"/>
            <w:hideMark/>
          </w:tcPr>
          <w:p w14:paraId="74F6CF54" w14:textId="1E855D3C"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4.0% of ex-mine value (value less allowable deductions)</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3B7CB916" w14:textId="7137749D"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2.75% of net market value</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3AD5464D" w14:textId="01B17E80"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Variable rate (between 2.5% and 5.0%) depending on average metal prices</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22F6D27D" w14:textId="5E9B09CE"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2.5% of royalty value</w:t>
            </w:r>
            <w:r w:rsidR="00C47D83">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1F5C911" w14:textId="39EE732F"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3.5% of net market value if in a metal form, concentrates at 5.0%</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D2F9233" w14:textId="79BDC0C9"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1.9% on net sales plus profit royalty up to max of 5.35% of net sales</w:t>
            </w:r>
            <w:r w:rsidR="00005531">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2508A6A4" w14:textId="62B7D635" w:rsidR="004C26D3" w:rsidRPr="00D8196C" w:rsidRDefault="004C26D3">
            <w:pPr>
              <w:tabs>
                <w:tab w:val="clear" w:pos="567"/>
              </w:tabs>
              <w:spacing w:before="0" w:line="240" w:lineRule="auto"/>
              <w:rPr>
                <w:rFonts w:eastAsia="Times New Roman" w:cs="Open Sans Light"/>
                <w:sz w:val="16"/>
                <w:szCs w:val="16"/>
                <w:lang w:eastAsia="en-AU"/>
              </w:rPr>
            </w:pPr>
            <w:r w:rsidRPr="00D8196C">
              <w:rPr>
                <w:rFonts w:eastAsia="Times New Roman" w:cs="Open Sans Light"/>
                <w:sz w:val="16"/>
                <w:szCs w:val="16"/>
                <w:lang w:eastAsia="en-AU"/>
              </w:rPr>
              <w:t>Greater of 20% of net value (less $10,000) or 1% to 2.5% of gross revenue</w:t>
            </w:r>
            <w:r w:rsidR="00005531">
              <w:rPr>
                <w:rFonts w:eastAsia="Times New Roman" w:cs="Open Sans Light"/>
                <w:sz w:val="16"/>
                <w:szCs w:val="16"/>
                <w:lang w:eastAsia="en-AU"/>
              </w:rPr>
              <w:t>.</w:t>
            </w:r>
          </w:p>
        </w:tc>
      </w:tr>
    </w:tbl>
    <w:p w14:paraId="05AE0F90" w14:textId="4EF89BC6" w:rsidR="00A410A7" w:rsidRPr="00A410A7" w:rsidRDefault="00655715" w:rsidP="00A410A7">
      <w:pPr>
        <w:pStyle w:val="Caption"/>
        <w:rPr>
          <w:rFonts w:ascii="Work Sans" w:hAnsi="Work Sans"/>
        </w:rPr>
      </w:pPr>
      <w:r w:rsidRPr="00A410A7">
        <w:rPr>
          <w:rFonts w:ascii="Work Sans" w:hAnsi="Work Sans"/>
        </w:rPr>
        <w:lastRenderedPageBreak/>
        <w:t>Table</w:t>
      </w:r>
      <w:r>
        <w:rPr>
          <w:rFonts w:ascii="Work Sans" w:hAnsi="Work Sans"/>
        </w:rPr>
        <w:t> </w:t>
      </w:r>
      <w:r w:rsidR="00A410A7" w:rsidRPr="00A410A7">
        <w:rPr>
          <w:rFonts w:ascii="Work Sans" w:hAnsi="Work Sans"/>
        </w:rPr>
        <w:t>A1</w:t>
      </w:r>
      <w:r w:rsidR="00A410A7" w:rsidRPr="00A410A7">
        <w:rPr>
          <w:rFonts w:ascii="Work Sans" w:hAnsi="Work Sans"/>
        </w:rPr>
        <w:tab/>
        <w:t xml:space="preserve">State royalty rates </w:t>
      </w:r>
    </w:p>
    <w:tbl>
      <w:tblPr>
        <w:tblW w:w="12980" w:type="dxa"/>
        <w:tblLook w:val="04A0" w:firstRow="1" w:lastRow="0" w:firstColumn="1" w:lastColumn="0" w:noHBand="0" w:noVBand="1"/>
      </w:tblPr>
      <w:tblGrid>
        <w:gridCol w:w="1360"/>
        <w:gridCol w:w="1660"/>
        <w:gridCol w:w="1660"/>
        <w:gridCol w:w="1660"/>
        <w:gridCol w:w="1660"/>
        <w:gridCol w:w="1660"/>
        <w:gridCol w:w="1660"/>
        <w:gridCol w:w="1660"/>
      </w:tblGrid>
      <w:tr w:rsidR="00A410A7" w:rsidRPr="002B5269" w14:paraId="2B66F98A" w14:textId="77777777">
        <w:trPr>
          <w:trHeight w:val="375"/>
        </w:trPr>
        <w:tc>
          <w:tcPr>
            <w:tcW w:w="1360" w:type="dxa"/>
            <w:tcBorders>
              <w:top w:val="single" w:sz="4" w:space="0" w:color="auto"/>
              <w:left w:val="nil"/>
              <w:bottom w:val="nil"/>
              <w:right w:val="nil"/>
            </w:tcBorders>
            <w:shd w:val="clear" w:color="000000" w:fill="006991"/>
            <w:noWrap/>
            <w:vAlign w:val="center"/>
            <w:hideMark/>
          </w:tcPr>
          <w:p w14:paraId="27BFFF58"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Mineral</w:t>
            </w:r>
          </w:p>
        </w:tc>
        <w:tc>
          <w:tcPr>
            <w:tcW w:w="1660" w:type="dxa"/>
            <w:tcBorders>
              <w:top w:val="single" w:sz="4" w:space="0" w:color="auto"/>
              <w:left w:val="nil"/>
              <w:bottom w:val="nil"/>
              <w:right w:val="nil"/>
            </w:tcBorders>
            <w:shd w:val="clear" w:color="000000" w:fill="006991"/>
            <w:noWrap/>
            <w:vAlign w:val="center"/>
            <w:hideMark/>
          </w:tcPr>
          <w:p w14:paraId="0BB3A7CB"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NSW</w:t>
            </w:r>
          </w:p>
        </w:tc>
        <w:tc>
          <w:tcPr>
            <w:tcW w:w="1660" w:type="dxa"/>
            <w:tcBorders>
              <w:top w:val="single" w:sz="4" w:space="0" w:color="auto"/>
              <w:left w:val="nil"/>
              <w:bottom w:val="nil"/>
              <w:right w:val="nil"/>
            </w:tcBorders>
            <w:shd w:val="clear" w:color="000000" w:fill="006991"/>
            <w:noWrap/>
            <w:vAlign w:val="center"/>
            <w:hideMark/>
          </w:tcPr>
          <w:p w14:paraId="0638BB8A"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Vic</w:t>
            </w:r>
          </w:p>
        </w:tc>
        <w:tc>
          <w:tcPr>
            <w:tcW w:w="1660" w:type="dxa"/>
            <w:tcBorders>
              <w:top w:val="single" w:sz="4" w:space="0" w:color="auto"/>
              <w:left w:val="nil"/>
              <w:bottom w:val="nil"/>
              <w:right w:val="nil"/>
            </w:tcBorders>
            <w:shd w:val="clear" w:color="000000" w:fill="006991"/>
            <w:noWrap/>
            <w:vAlign w:val="center"/>
            <w:hideMark/>
          </w:tcPr>
          <w:p w14:paraId="497F57BA"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Qld</w:t>
            </w:r>
          </w:p>
        </w:tc>
        <w:tc>
          <w:tcPr>
            <w:tcW w:w="1660" w:type="dxa"/>
            <w:tcBorders>
              <w:top w:val="single" w:sz="4" w:space="0" w:color="auto"/>
              <w:left w:val="nil"/>
              <w:bottom w:val="nil"/>
              <w:right w:val="nil"/>
            </w:tcBorders>
            <w:shd w:val="clear" w:color="000000" w:fill="006991"/>
            <w:noWrap/>
            <w:vAlign w:val="center"/>
            <w:hideMark/>
          </w:tcPr>
          <w:p w14:paraId="3555560F"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WA</w:t>
            </w:r>
          </w:p>
        </w:tc>
        <w:tc>
          <w:tcPr>
            <w:tcW w:w="1660" w:type="dxa"/>
            <w:tcBorders>
              <w:top w:val="single" w:sz="4" w:space="0" w:color="auto"/>
              <w:left w:val="nil"/>
              <w:bottom w:val="nil"/>
              <w:right w:val="nil"/>
            </w:tcBorders>
            <w:shd w:val="clear" w:color="000000" w:fill="006991"/>
            <w:noWrap/>
            <w:vAlign w:val="center"/>
            <w:hideMark/>
          </w:tcPr>
          <w:p w14:paraId="25D34EF9"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SA</w:t>
            </w:r>
          </w:p>
        </w:tc>
        <w:tc>
          <w:tcPr>
            <w:tcW w:w="1660" w:type="dxa"/>
            <w:tcBorders>
              <w:top w:val="single" w:sz="4" w:space="0" w:color="auto"/>
              <w:left w:val="nil"/>
              <w:bottom w:val="nil"/>
              <w:right w:val="nil"/>
            </w:tcBorders>
            <w:shd w:val="clear" w:color="000000" w:fill="006991"/>
            <w:noWrap/>
            <w:vAlign w:val="center"/>
            <w:hideMark/>
          </w:tcPr>
          <w:p w14:paraId="368971E9"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Tas</w:t>
            </w:r>
          </w:p>
        </w:tc>
        <w:tc>
          <w:tcPr>
            <w:tcW w:w="1660" w:type="dxa"/>
            <w:tcBorders>
              <w:top w:val="single" w:sz="4" w:space="0" w:color="auto"/>
              <w:left w:val="nil"/>
              <w:bottom w:val="nil"/>
              <w:right w:val="nil"/>
            </w:tcBorders>
            <w:shd w:val="clear" w:color="000000" w:fill="006991"/>
            <w:noWrap/>
            <w:vAlign w:val="center"/>
            <w:hideMark/>
          </w:tcPr>
          <w:p w14:paraId="51E3CE1C" w14:textId="77777777" w:rsidR="00A410A7" w:rsidRPr="002B5269" w:rsidRDefault="00A410A7">
            <w:pPr>
              <w:tabs>
                <w:tab w:val="clear" w:pos="567"/>
              </w:tabs>
              <w:spacing w:before="0" w:line="240" w:lineRule="auto"/>
              <w:rPr>
                <w:rFonts w:ascii="Open Sans Semibold" w:eastAsia="Times New Roman" w:hAnsi="Open Sans Semibold" w:cs="Open Sans Semibold"/>
                <w:color w:val="FFFFFF"/>
                <w:sz w:val="16"/>
                <w:szCs w:val="16"/>
                <w:lang w:eastAsia="en-AU"/>
              </w:rPr>
            </w:pPr>
            <w:r w:rsidRPr="002B5269">
              <w:rPr>
                <w:rFonts w:ascii="Open Sans Semibold" w:eastAsia="Times New Roman" w:hAnsi="Open Sans Semibold" w:cs="Open Sans Semibold"/>
                <w:color w:val="FFFFFF"/>
                <w:sz w:val="16"/>
                <w:szCs w:val="16"/>
                <w:lang w:eastAsia="en-AU"/>
              </w:rPr>
              <w:t>NT</w:t>
            </w:r>
          </w:p>
        </w:tc>
      </w:tr>
      <w:tr w:rsidR="00A410A7" w:rsidRPr="002B5269" w14:paraId="5486456B" w14:textId="77777777">
        <w:trPr>
          <w:trHeight w:val="1275"/>
        </w:trPr>
        <w:tc>
          <w:tcPr>
            <w:tcW w:w="1360" w:type="dxa"/>
            <w:tcBorders>
              <w:top w:val="single" w:sz="4" w:space="0" w:color="ADD6EA"/>
              <w:left w:val="nil"/>
              <w:bottom w:val="single" w:sz="4" w:space="0" w:color="ADD6EA"/>
              <w:right w:val="nil"/>
            </w:tcBorders>
            <w:shd w:val="clear" w:color="auto" w:fill="auto"/>
            <w:hideMark/>
          </w:tcPr>
          <w:p w14:paraId="287FF628" w14:textId="77777777"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Copper</w:t>
            </w:r>
          </w:p>
        </w:tc>
        <w:tc>
          <w:tcPr>
            <w:tcW w:w="1660" w:type="dxa"/>
            <w:tcBorders>
              <w:top w:val="single" w:sz="4" w:space="0" w:color="ADD6EA"/>
              <w:left w:val="nil"/>
              <w:bottom w:val="single" w:sz="4" w:space="0" w:color="ADD6EA"/>
              <w:right w:val="nil"/>
            </w:tcBorders>
            <w:shd w:val="clear" w:color="auto" w:fill="auto"/>
            <w:hideMark/>
          </w:tcPr>
          <w:p w14:paraId="501319E6" w14:textId="5939942B"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4.0% of ex-mine value (value less allowable deductions)</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07D55D55" w14:textId="531627A7"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2.75% of net market value</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1F6A3204" w14:textId="27D6E4CF"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Variable rate (between 2.5% and 5.0%) depending on average metal prices</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480D7667" w14:textId="5FDC8A4F"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Crushed and screened ore: 7.5%. Concentrate: 5%. Metallic form 2.5%</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47843B0A" w14:textId="21D8B15B"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3.5% of net market value if in a metal form, concentrates at 5.0%</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36D9BE82" w14:textId="7B536582"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1.9% on net sales plus profit royalty up to max of 5.35% of net sales</w:t>
            </w:r>
            <w:r w:rsidR="00EB6A96">
              <w:rPr>
                <w:rFonts w:eastAsia="Times New Roman" w:cs="Open Sans Light"/>
                <w:sz w:val="16"/>
                <w:szCs w:val="16"/>
                <w:lang w:eastAsia="en-AU"/>
              </w:rPr>
              <w:t>.</w:t>
            </w:r>
          </w:p>
        </w:tc>
        <w:tc>
          <w:tcPr>
            <w:tcW w:w="1660" w:type="dxa"/>
            <w:tcBorders>
              <w:top w:val="single" w:sz="4" w:space="0" w:color="ADD6EA"/>
              <w:left w:val="nil"/>
              <w:bottom w:val="single" w:sz="4" w:space="0" w:color="ADD6EA"/>
              <w:right w:val="nil"/>
            </w:tcBorders>
            <w:shd w:val="clear" w:color="auto" w:fill="auto"/>
            <w:hideMark/>
          </w:tcPr>
          <w:p w14:paraId="5A6E4CD4" w14:textId="5C06A540"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Greater of 20% of net value (less $10,000) or 1% to 2.5% of gross revenue</w:t>
            </w:r>
            <w:r w:rsidR="00EB6A96">
              <w:rPr>
                <w:rFonts w:eastAsia="Times New Roman" w:cs="Open Sans Light"/>
                <w:sz w:val="16"/>
                <w:szCs w:val="16"/>
                <w:lang w:eastAsia="en-AU"/>
              </w:rPr>
              <w:t>.</w:t>
            </w:r>
          </w:p>
        </w:tc>
      </w:tr>
      <w:tr w:rsidR="00A410A7" w:rsidRPr="002B5269" w14:paraId="5553B8A4" w14:textId="77777777">
        <w:trPr>
          <w:trHeight w:val="1275"/>
        </w:trPr>
        <w:tc>
          <w:tcPr>
            <w:tcW w:w="1360" w:type="dxa"/>
            <w:tcBorders>
              <w:top w:val="nil"/>
              <w:left w:val="nil"/>
              <w:bottom w:val="single" w:sz="4" w:space="0" w:color="ADD6EA"/>
              <w:right w:val="nil"/>
            </w:tcBorders>
            <w:shd w:val="clear" w:color="auto" w:fill="auto"/>
            <w:noWrap/>
            <w:hideMark/>
          </w:tcPr>
          <w:p w14:paraId="3E2202FF" w14:textId="77777777"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Lithium</w:t>
            </w:r>
          </w:p>
        </w:tc>
        <w:tc>
          <w:tcPr>
            <w:tcW w:w="1660" w:type="dxa"/>
            <w:tcBorders>
              <w:top w:val="nil"/>
              <w:left w:val="nil"/>
              <w:bottom w:val="single" w:sz="4" w:space="0" w:color="ADD6EA"/>
              <w:right w:val="nil"/>
            </w:tcBorders>
            <w:shd w:val="clear" w:color="auto" w:fill="auto"/>
            <w:hideMark/>
          </w:tcPr>
          <w:p w14:paraId="39D9C468" w14:textId="2E9DD49A"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4.0% of ex-mine value (value less allowable deductions)</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7250A677" w14:textId="11B2C226"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2.75% of net market value</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1B0F1786" w14:textId="4F823ADB"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2.5%</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2D061F8F" w14:textId="2FA7DD0D"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5% feedstock royalty, 7.5% direct shipping</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5EF58D69" w14:textId="224FDD2D"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3.5% of net market value if in a metal form, concentrates at 5.0%</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0D3ED488" w14:textId="66EC0784"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1.9% on net sales plus profit royalty up to max of 5.35% of net sales</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3E6C21A6" w14:textId="5B330531"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Greater of 20% of net value (less $10,000) or 1% to 2.5% of gross revenue</w:t>
            </w:r>
            <w:r w:rsidR="00EB6A96">
              <w:rPr>
                <w:rFonts w:eastAsia="Times New Roman" w:cs="Open Sans Light"/>
                <w:sz w:val="16"/>
                <w:szCs w:val="16"/>
                <w:lang w:eastAsia="en-AU"/>
              </w:rPr>
              <w:t>.</w:t>
            </w:r>
          </w:p>
        </w:tc>
      </w:tr>
      <w:tr w:rsidR="00A410A7" w:rsidRPr="002B5269" w14:paraId="57D853A8" w14:textId="77777777">
        <w:trPr>
          <w:trHeight w:val="1275"/>
        </w:trPr>
        <w:tc>
          <w:tcPr>
            <w:tcW w:w="1360" w:type="dxa"/>
            <w:tcBorders>
              <w:top w:val="nil"/>
              <w:left w:val="nil"/>
              <w:bottom w:val="single" w:sz="4" w:space="0" w:color="ADD6EA"/>
              <w:right w:val="nil"/>
            </w:tcBorders>
            <w:shd w:val="clear" w:color="auto" w:fill="auto"/>
            <w:noWrap/>
            <w:hideMark/>
          </w:tcPr>
          <w:p w14:paraId="07DF5588" w14:textId="77777777"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Nickel</w:t>
            </w:r>
          </w:p>
        </w:tc>
        <w:tc>
          <w:tcPr>
            <w:tcW w:w="1660" w:type="dxa"/>
            <w:tcBorders>
              <w:top w:val="nil"/>
              <w:left w:val="nil"/>
              <w:bottom w:val="single" w:sz="4" w:space="0" w:color="ADD6EA"/>
              <w:right w:val="nil"/>
            </w:tcBorders>
            <w:shd w:val="clear" w:color="auto" w:fill="auto"/>
            <w:hideMark/>
          </w:tcPr>
          <w:p w14:paraId="1DE0EFBE" w14:textId="024976DE"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4.0% of ex-mine value (value less allowable deductions)</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5959FB60" w14:textId="3E3E8827"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2.75% of net market value</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6C0D8A48" w14:textId="2E294D54"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Variable rate (between 2.5% and 5.0%) depending on average metal prices</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5E7EE863" w14:textId="5F1895DB"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2.5% of royalty value</w:t>
            </w:r>
            <w:r w:rsidR="00EB6A96">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45A5FE19" w14:textId="2A9671F2"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3.5% of net market value if in a metal form, concentrates at 5.0%</w:t>
            </w:r>
            <w:r w:rsidR="00C2668B">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0C11E0A6" w14:textId="701C0278"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1.9% on net sales plus profit royalty up to max of 5.35% of net sales</w:t>
            </w:r>
            <w:r w:rsidR="00C2668B">
              <w:rPr>
                <w:rFonts w:eastAsia="Times New Roman" w:cs="Open Sans Light"/>
                <w:sz w:val="16"/>
                <w:szCs w:val="16"/>
                <w:lang w:eastAsia="en-AU"/>
              </w:rPr>
              <w:t>.</w:t>
            </w:r>
          </w:p>
        </w:tc>
        <w:tc>
          <w:tcPr>
            <w:tcW w:w="1660" w:type="dxa"/>
            <w:tcBorders>
              <w:top w:val="nil"/>
              <w:left w:val="nil"/>
              <w:bottom w:val="single" w:sz="4" w:space="0" w:color="ADD6EA"/>
              <w:right w:val="nil"/>
            </w:tcBorders>
            <w:shd w:val="clear" w:color="auto" w:fill="auto"/>
            <w:hideMark/>
          </w:tcPr>
          <w:p w14:paraId="24E3F26F" w14:textId="0F9DF142" w:rsidR="00A410A7" w:rsidRPr="002B5269" w:rsidRDefault="00A410A7">
            <w:pPr>
              <w:tabs>
                <w:tab w:val="clear" w:pos="567"/>
              </w:tabs>
              <w:spacing w:before="0" w:line="240" w:lineRule="auto"/>
              <w:rPr>
                <w:rFonts w:eastAsia="Times New Roman" w:cs="Open Sans Light"/>
                <w:sz w:val="16"/>
                <w:szCs w:val="16"/>
                <w:lang w:eastAsia="en-AU"/>
              </w:rPr>
            </w:pPr>
            <w:r w:rsidRPr="002B5269">
              <w:rPr>
                <w:rFonts w:eastAsia="Times New Roman" w:cs="Open Sans Light"/>
                <w:sz w:val="16"/>
                <w:szCs w:val="16"/>
                <w:lang w:eastAsia="en-AU"/>
              </w:rPr>
              <w:t>Greater of 20% of net value (less $10,000) or 1% to 2.5% of gross revenue</w:t>
            </w:r>
            <w:r w:rsidR="00C2668B">
              <w:rPr>
                <w:rFonts w:eastAsia="Times New Roman" w:cs="Open Sans Light"/>
                <w:sz w:val="16"/>
                <w:szCs w:val="16"/>
                <w:lang w:eastAsia="en-AU"/>
              </w:rPr>
              <w:t>.</w:t>
            </w:r>
          </w:p>
        </w:tc>
      </w:tr>
    </w:tbl>
    <w:p w14:paraId="7A25974E" w14:textId="77777777" w:rsidR="00E231EC" w:rsidRPr="00E231EC" w:rsidRDefault="00E231EC" w:rsidP="00E231EC">
      <w:pPr>
        <w:pStyle w:val="CGC2025Tablenote"/>
      </w:pPr>
      <w:r>
        <w:t>Source:</w:t>
      </w:r>
      <w:r>
        <w:tab/>
        <w:t xml:space="preserve">Government of Western Australia, Department of Treasury, </w:t>
      </w:r>
      <w:r w:rsidRPr="00975F31">
        <w:rPr>
          <w:i/>
        </w:rPr>
        <w:t>Overview of State Taxes and Royalties 2022-23</w:t>
      </w:r>
      <w:r>
        <w:t xml:space="preserve">, December 2022. </w:t>
      </w:r>
    </w:p>
    <w:p w14:paraId="0F2A87A5" w14:textId="77777777" w:rsidR="00E231EC" w:rsidRDefault="00E231EC" w:rsidP="00E231EC">
      <w:pPr>
        <w:pStyle w:val="CGCParaNumber"/>
        <w:numPr>
          <w:ilvl w:val="0"/>
          <w:numId w:val="0"/>
        </w:numPr>
      </w:pPr>
    </w:p>
    <w:p w14:paraId="799DFADC" w14:textId="77777777" w:rsidR="00A410A7" w:rsidRPr="00A410A7" w:rsidRDefault="00A410A7" w:rsidP="00A410A7"/>
    <w:p w14:paraId="0A6089CA" w14:textId="77777777" w:rsidR="00B02AAF" w:rsidRDefault="00B02AAF">
      <w:pPr>
        <w:tabs>
          <w:tab w:val="clear" w:pos="567"/>
        </w:tabs>
        <w:spacing w:before="0" w:after="200" w:line="276" w:lineRule="auto"/>
      </w:pPr>
    </w:p>
    <w:bookmarkEnd w:id="65"/>
    <w:bookmarkEnd w:id="66"/>
    <w:p w14:paraId="34833D0C" w14:textId="77777777" w:rsidR="004F0684" w:rsidRDefault="004F0684">
      <w:pPr>
        <w:tabs>
          <w:tab w:val="clear" w:pos="567"/>
        </w:tabs>
        <w:spacing w:before="0" w:after="200" w:line="276" w:lineRule="auto"/>
        <w:rPr>
          <w:rFonts w:ascii="Work Sans" w:eastAsia="Times New Roman" w:hAnsi="Work Sans" w:cs="Open Sans"/>
          <w:b/>
          <w:bCs/>
          <w:color w:val="006991"/>
          <w:sz w:val="36"/>
          <w:szCs w:val="36"/>
        </w:rPr>
      </w:pPr>
    </w:p>
    <w:sectPr w:rsidR="004F0684" w:rsidSect="00A36143">
      <w:pgSz w:w="16838" w:h="11906" w:orient="landscape"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BC33" w14:textId="77777777" w:rsidR="00201173" w:rsidRDefault="00201173">
      <w:r>
        <w:separator/>
      </w:r>
    </w:p>
    <w:p w14:paraId="5DFBF1A1" w14:textId="77777777" w:rsidR="00201173" w:rsidRDefault="00201173"/>
  </w:endnote>
  <w:endnote w:type="continuationSeparator" w:id="0">
    <w:p w14:paraId="0F337543" w14:textId="77777777" w:rsidR="00201173" w:rsidRDefault="00201173">
      <w:r>
        <w:continuationSeparator/>
      </w:r>
    </w:p>
    <w:p w14:paraId="44263394" w14:textId="77777777" w:rsidR="00201173" w:rsidRDefault="00201173"/>
  </w:endnote>
  <w:endnote w:type="continuationNotice" w:id="1">
    <w:p w14:paraId="69E9205F" w14:textId="77777777" w:rsidR="00201173" w:rsidRDefault="00201173">
      <w:pPr>
        <w:spacing w:before="0" w:line="240" w:lineRule="auto"/>
      </w:pPr>
    </w:p>
    <w:p w14:paraId="2F8BBF45" w14:textId="77777777" w:rsidR="00201173" w:rsidRDefault="00201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EBCF"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16878"/>
      <w:docPartObj>
        <w:docPartGallery w:val="Page Numbers (Bottom of Page)"/>
        <w:docPartUnique/>
      </w:docPartObj>
    </w:sdtPr>
    <w:sdtEndPr>
      <w:rPr>
        <w:noProof/>
      </w:rPr>
    </w:sdtEndPr>
    <w:sdtContent>
      <w:p w14:paraId="2D26611E" w14:textId="1F951155" w:rsidR="007E71EC" w:rsidRDefault="007E71EC">
        <w:pPr>
          <w:pStyle w:val="Footer"/>
        </w:pPr>
        <w:r>
          <w:fldChar w:fldCharType="begin"/>
        </w:r>
        <w:r>
          <w:instrText xml:space="preserve"> PAGE   \* MERGEFORMAT </w:instrText>
        </w:r>
        <w:r>
          <w:fldChar w:fldCharType="separate"/>
        </w:r>
        <w:r>
          <w:rPr>
            <w:noProof/>
          </w:rPr>
          <w:t>2</w:t>
        </w:r>
        <w:r>
          <w:rPr>
            <w:noProof/>
          </w:rPr>
          <w:fldChar w:fldCharType="end"/>
        </w:r>
      </w:p>
    </w:sdtContent>
  </w:sdt>
  <w:p w14:paraId="7B594307"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33486"/>
      <w:docPartObj>
        <w:docPartGallery w:val="Page Numbers (Bottom of Page)"/>
        <w:docPartUnique/>
      </w:docPartObj>
    </w:sdtPr>
    <w:sdtEndPr>
      <w:rPr>
        <w:noProof/>
      </w:rPr>
    </w:sdtEndPr>
    <w:sdtContent>
      <w:p w14:paraId="23D5052D" w14:textId="7A43947E" w:rsidR="007E71EC" w:rsidRDefault="007E71EC">
        <w:pPr>
          <w:pStyle w:val="Footer"/>
        </w:pPr>
        <w:r>
          <w:fldChar w:fldCharType="begin"/>
        </w:r>
        <w:r>
          <w:instrText xml:space="preserve"> PAGE   \* MERGEFORMAT </w:instrText>
        </w:r>
        <w:r>
          <w:fldChar w:fldCharType="separate"/>
        </w:r>
        <w:r>
          <w:rPr>
            <w:noProof/>
          </w:rPr>
          <w:t>2</w:t>
        </w:r>
        <w:r>
          <w:rPr>
            <w:noProof/>
          </w:rPr>
          <w:fldChar w:fldCharType="end"/>
        </w:r>
      </w:p>
    </w:sdtContent>
  </w:sdt>
  <w:p w14:paraId="680C2D1F" w14:textId="77777777" w:rsidR="008D6C9E" w:rsidRDefault="008D6C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2E1C" w14:textId="77777777" w:rsidR="00201173" w:rsidRPr="001C1AC5" w:rsidRDefault="00201173">
      <w:pPr>
        <w:rPr>
          <w:color w:val="ADD6EA"/>
        </w:rPr>
      </w:pPr>
      <w:r w:rsidRPr="001C1AC5">
        <w:rPr>
          <w:color w:val="ADD6EA"/>
        </w:rPr>
        <w:separator/>
      </w:r>
    </w:p>
    <w:p w14:paraId="4F53A17E" w14:textId="77777777" w:rsidR="00201173" w:rsidRDefault="00201173"/>
  </w:footnote>
  <w:footnote w:type="continuationSeparator" w:id="0">
    <w:p w14:paraId="50B193AE" w14:textId="77777777" w:rsidR="00201173" w:rsidRDefault="00201173">
      <w:r>
        <w:continuationSeparator/>
      </w:r>
    </w:p>
    <w:p w14:paraId="477B65A8" w14:textId="77777777" w:rsidR="00201173" w:rsidRDefault="00201173"/>
  </w:footnote>
  <w:footnote w:type="continuationNotice" w:id="1">
    <w:p w14:paraId="340D5863" w14:textId="77777777" w:rsidR="00201173" w:rsidRDefault="00201173">
      <w:pPr>
        <w:spacing w:before="0" w:line="240" w:lineRule="auto"/>
      </w:pPr>
    </w:p>
    <w:p w14:paraId="7F04A780" w14:textId="77777777" w:rsidR="00201173" w:rsidRDefault="00201173"/>
  </w:footnote>
  <w:footnote w:id="2">
    <w:p w14:paraId="43D0E1BB" w14:textId="5E253E0D" w:rsidR="00316835" w:rsidRDefault="00316835" w:rsidP="0087428A">
      <w:pPr>
        <w:pStyle w:val="FootnoteText"/>
      </w:pPr>
      <w:r>
        <w:rPr>
          <w:rStyle w:val="FootnoteReference"/>
        </w:rPr>
        <w:footnoteRef/>
      </w:r>
      <w:r>
        <w:t xml:space="preserve"> </w:t>
      </w:r>
      <w:r>
        <w:tab/>
        <w:t xml:space="preserve">State coastal waters refers to a belt of water that extends </w:t>
      </w:r>
      <w:r w:rsidR="00C97286">
        <w:t>3</w:t>
      </w:r>
      <w:r w:rsidRPr="00327515">
        <w:t xml:space="preserve"> nautical miles </w:t>
      </w:r>
      <w:r>
        <w:t>from the coast of each state.</w:t>
      </w:r>
    </w:p>
  </w:footnote>
  <w:footnote w:id="3">
    <w:p w14:paraId="3F708E50" w14:textId="77777777" w:rsidR="00316835" w:rsidRDefault="00316835" w:rsidP="0087428A">
      <w:pPr>
        <w:pStyle w:val="FootnoteText"/>
      </w:pPr>
      <w:r>
        <w:rPr>
          <w:rStyle w:val="FootnoteReference"/>
        </w:rPr>
        <w:footnoteRef/>
      </w:r>
      <w:r>
        <w:t xml:space="preserve"> </w:t>
      </w:r>
      <w:r>
        <w:tab/>
        <w:t xml:space="preserve">Western Australia receives a payment in relation to royalties from the </w:t>
      </w:r>
      <w:proofErr w:type="gramStart"/>
      <w:r w:rsidRPr="0087428A">
        <w:t>North West</w:t>
      </w:r>
      <w:proofErr w:type="gramEnd"/>
      <w:r w:rsidRPr="0087428A">
        <w:t> Shelf</w:t>
      </w:r>
      <w:r>
        <w:t xml:space="preserve"> project and a payment for the loss of royalty revenue as a result of the Commonwealth’s removal of the exemption on condensate from crude oil excise. The Northern Territory receives a payment in relation to uranium.</w:t>
      </w:r>
    </w:p>
  </w:footnote>
  <w:footnote w:id="4">
    <w:p w14:paraId="0EB0E7C6" w14:textId="262F03C2" w:rsidR="007E5655" w:rsidRDefault="007E5655" w:rsidP="0087428A">
      <w:pPr>
        <w:pStyle w:val="FootnoteText"/>
      </w:pPr>
      <w:r>
        <w:rPr>
          <w:rStyle w:val="FootnoteReference"/>
        </w:rPr>
        <w:footnoteRef/>
      </w:r>
      <w:r>
        <w:t xml:space="preserve"> </w:t>
      </w:r>
      <w:r>
        <w:tab/>
        <w:t xml:space="preserve">Materiality was determined by comparing a mineral’s assessment with other minerals against its separate assessment. A separate assessment was material if it changed at least one state’s GST outcome by $35 per capita compared </w:t>
      </w:r>
      <w:r w:rsidR="00EC58FB">
        <w:t>with</w:t>
      </w:r>
      <w:r>
        <w:t xml:space="preserve"> the combined assessment.</w:t>
      </w:r>
    </w:p>
  </w:footnote>
  <w:footnote w:id="5">
    <w:p w14:paraId="3C16E934" w14:textId="77777777" w:rsidR="00177D10" w:rsidRDefault="00177D10" w:rsidP="0087428A">
      <w:pPr>
        <w:pStyle w:val="FootnoteText"/>
      </w:pPr>
      <w:r>
        <w:rPr>
          <w:rStyle w:val="FootnoteReference"/>
        </w:rPr>
        <w:footnoteRef/>
      </w:r>
      <w:r>
        <w:t xml:space="preserve"> </w:t>
      </w:r>
      <w:r>
        <w:tab/>
        <w:t>Even though onshore oil and gas, bauxite and lithium royalties are separately assessed, for confidentiality reasons, the results are reported with the other minerals assessment.</w:t>
      </w:r>
    </w:p>
  </w:footnote>
  <w:footnote w:id="6">
    <w:p w14:paraId="5515363A" w14:textId="77777777" w:rsidR="004972FE" w:rsidRDefault="003F5556" w:rsidP="0087428A">
      <w:pPr>
        <w:pStyle w:val="FootnoteText"/>
      </w:pPr>
      <w:r>
        <w:rPr>
          <w:rStyle w:val="FootnoteReference"/>
        </w:rPr>
        <w:footnoteRef/>
      </w:r>
      <w:r>
        <w:t xml:space="preserve"> </w:t>
      </w:r>
      <w:r>
        <w:tab/>
        <w:t>Western Australia would also be classified as a dominant state in relation to nickel, if it was separately assessed. However, nickel royalties are assessed in the other minerals component.</w:t>
      </w:r>
      <w:r w:rsidR="004972FE" w:rsidRPr="004972FE">
        <w:t xml:space="preserve"> </w:t>
      </w:r>
    </w:p>
    <w:p w14:paraId="5FD2E50B" w14:textId="74DA3746" w:rsidR="003F5556" w:rsidRDefault="00573FF9" w:rsidP="0087428A">
      <w:pPr>
        <w:pStyle w:val="FootnoteText"/>
      </w:pPr>
      <w:r>
        <w:tab/>
      </w:r>
      <w:r w:rsidR="004972FE">
        <w:t xml:space="preserve">A recent Geoscience Australia report, </w:t>
      </w:r>
      <w:r w:rsidR="004972FE" w:rsidRPr="00865384">
        <w:rPr>
          <w:i/>
          <w:iCs/>
        </w:rPr>
        <w:t>The Australia’s Identified Mineral Resources report for 202</w:t>
      </w:r>
      <w:r w:rsidR="004972FE">
        <w:rPr>
          <w:i/>
          <w:iCs/>
        </w:rPr>
        <w:t>2</w:t>
      </w:r>
      <w:r w:rsidR="004972FE">
        <w:t xml:space="preserve"> reported that in 2021 Australia had 36% of world iron ore production and 53% of world lithium production. Geoscience Australia, </w:t>
      </w:r>
      <w:hyperlink r:id="rId1" w:history="1">
        <w:r w:rsidR="004972FE" w:rsidRPr="00977A86">
          <w:rPr>
            <w:rStyle w:val="Hyperlink"/>
            <w:i/>
            <w:iCs/>
          </w:rPr>
          <w:t>Australia’s Identified Mineral</w:t>
        </w:r>
        <w:r w:rsidR="004972FE" w:rsidRPr="00977A86">
          <w:rPr>
            <w:rStyle w:val="Hyperlink"/>
            <w:i/>
            <w:iCs/>
            <w:sz w:val="20"/>
          </w:rPr>
          <w:t xml:space="preserve"> </w:t>
        </w:r>
        <w:r w:rsidR="004972FE" w:rsidRPr="00977A86">
          <w:rPr>
            <w:rStyle w:val="Hyperlink"/>
            <w:i/>
            <w:iCs/>
          </w:rPr>
          <w:t>Resources, 2022 Edition</w:t>
        </w:r>
      </w:hyperlink>
      <w:r w:rsidR="004972FE">
        <w:rPr>
          <w:i/>
          <w:iCs/>
        </w:rPr>
        <w:t xml:space="preserve">, </w:t>
      </w:r>
      <w:r w:rsidR="004972FE" w:rsidRPr="00683143">
        <w:t>March 2023</w:t>
      </w:r>
      <w:r w:rsidR="004972FE">
        <w:t>, accessed 1 June 2023</w:t>
      </w:r>
      <w:r w:rsidR="004972FE">
        <w:rPr>
          <w:i/>
          <w:iCs/>
        </w:rPr>
        <w:t>.</w:t>
      </w:r>
    </w:p>
  </w:footnote>
  <w:footnote w:id="7">
    <w:p w14:paraId="512912A6" w14:textId="77777777" w:rsidR="00F47221" w:rsidRDefault="00F47221" w:rsidP="0087428A">
      <w:pPr>
        <w:pStyle w:val="FootnoteText"/>
      </w:pPr>
      <w:r>
        <w:rPr>
          <w:rStyle w:val="FootnoteReference"/>
        </w:rPr>
        <w:footnoteRef/>
      </w:r>
      <w:r>
        <w:t xml:space="preserve"> </w:t>
      </w:r>
      <w:r>
        <w:tab/>
        <w:t>An external standard could be a royalty rate from another country or a royalty rate chosen by judgment. In the previous review, a state suggested a uniform fixed standard royalty rate (5% or 6%) be applied to all minerals.</w:t>
      </w:r>
    </w:p>
  </w:footnote>
  <w:footnote w:id="8">
    <w:p w14:paraId="2FBD40EC" w14:textId="797B7FE9" w:rsidR="00F47221" w:rsidRDefault="00F47221" w:rsidP="0087428A">
      <w:pPr>
        <w:pStyle w:val="FootnoteText"/>
      </w:pPr>
      <w:r w:rsidRPr="007019D8">
        <w:rPr>
          <w:rStyle w:val="FootnoteReference"/>
        </w:rPr>
        <w:footnoteRef/>
      </w:r>
      <w:r w:rsidRPr="007019D8">
        <w:t xml:space="preserve"> This would have happened because Western Australia taxes most of its high value minerals at the same rate as the average rate for a grouped assessment, but that average rate is higher than the rate it applies to its low value minerals.</w:t>
      </w:r>
      <w:r>
        <w:t xml:space="preserve"> </w:t>
      </w:r>
    </w:p>
  </w:footnote>
  <w:footnote w:id="9">
    <w:p w14:paraId="2EDF070A" w14:textId="021850D1" w:rsidR="0053421C" w:rsidRDefault="0053421C" w:rsidP="0087428A">
      <w:pPr>
        <w:pStyle w:val="FootnoteText"/>
      </w:pPr>
      <w:r>
        <w:rPr>
          <w:rStyle w:val="FootnoteReference"/>
        </w:rPr>
        <w:footnoteRef/>
      </w:r>
      <w:r>
        <w:t xml:space="preserve"> A feature of the Commission’s assessment approach is that, for each assessment, states’ total assessed revenues equals their total actual revenues. This ensures a function’s weight in the assessed budget is the same as its weight in the actual budget. If the external rate differs from the dominant state’s actual rate this will not happen. However, if any difference is assessed equal per capita, their weights in both budgets will be the same. </w:t>
      </w:r>
    </w:p>
  </w:footnote>
  <w:footnote w:id="10">
    <w:p w14:paraId="7852B6A2" w14:textId="4E14E8EE" w:rsidR="00CD54BD" w:rsidRDefault="00CD54BD" w:rsidP="0087428A">
      <w:pPr>
        <w:pStyle w:val="FootnoteText"/>
      </w:pPr>
      <w:r>
        <w:rPr>
          <w:rStyle w:val="FootnoteReference"/>
        </w:rPr>
        <w:footnoteRef/>
      </w:r>
      <w:r>
        <w:t xml:space="preserve"> This </w:t>
      </w:r>
      <w:r w:rsidR="002C3C9D">
        <w:t xml:space="preserve">occurs in </w:t>
      </w:r>
      <w:r>
        <w:t xml:space="preserve">assessments where the </w:t>
      </w:r>
      <w:r w:rsidR="002C3C9D">
        <w:t xml:space="preserve">Commission </w:t>
      </w:r>
      <w:r w:rsidR="007906C3">
        <w:t xml:space="preserve">relies on </w:t>
      </w:r>
      <w:r w:rsidR="002C3C9D">
        <w:t xml:space="preserve">state data to measure </w:t>
      </w:r>
      <w:r w:rsidR="00FA10F7">
        <w:t>the size of revenue bases.</w:t>
      </w:r>
    </w:p>
  </w:footnote>
  <w:footnote w:id="11">
    <w:p w14:paraId="3B6E9DDD" w14:textId="78E527C4" w:rsidR="00513450" w:rsidRDefault="00513450" w:rsidP="0087428A">
      <w:pPr>
        <w:pStyle w:val="FootnoteText"/>
      </w:pPr>
      <w:r>
        <w:rPr>
          <w:rStyle w:val="FootnoteReference"/>
        </w:rPr>
        <w:footnoteRef/>
      </w:r>
      <w:r>
        <w:t xml:space="preserve"> The economic value of mineral resources depends upon a range of factors, such as the grade of the mineral deposit</w:t>
      </w:r>
      <w:r w:rsidR="007D4E14">
        <w:t xml:space="preserve"> along with the ease (or otherwise) of access to the deposit (affecting production costs).</w:t>
      </w:r>
      <w:r w:rsidR="004B280D">
        <w:t xml:space="preserve"> The relevant commodity price is a major influence on whether a deposit is viewed as economic.</w:t>
      </w:r>
    </w:p>
  </w:footnote>
  <w:footnote w:id="12">
    <w:p w14:paraId="06540652" w14:textId="4A3FD8BA" w:rsidR="00B5440A" w:rsidRDefault="00B5440A" w:rsidP="0087428A">
      <w:pPr>
        <w:pStyle w:val="FootnoteText"/>
      </w:pPr>
      <w:r>
        <w:rPr>
          <w:rStyle w:val="FootnoteReference"/>
        </w:rPr>
        <w:footnoteRef/>
      </w:r>
      <w:r>
        <w:t xml:space="preserve"> The previous Western Australian </w:t>
      </w:r>
      <w:r w:rsidR="001A1FAD">
        <w:t>g</w:t>
      </w:r>
      <w:r>
        <w:t xml:space="preserve">overnment gave approval for 4 uranium projects, one of which is still proceeding. </w:t>
      </w:r>
    </w:p>
  </w:footnote>
  <w:footnote w:id="13">
    <w:p w14:paraId="60833946" w14:textId="77777777" w:rsidR="00B5440A" w:rsidRDefault="00B5440A" w:rsidP="0087428A">
      <w:pPr>
        <w:pStyle w:val="FootnoteText"/>
      </w:pPr>
      <w:r>
        <w:rPr>
          <w:rStyle w:val="FootnoteReference"/>
        </w:rPr>
        <w:footnoteRef/>
      </w:r>
      <w:r>
        <w:t xml:space="preserve"> When the Commission applies a non-deliberative equal per capita assessment (as is the case here) in other assessments, it treats the related Commonwealth payments in a way that does not affect state relativities (a no impact treatment). The same GST outcome can be achieved by relocating these payments to the new component.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1F55"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pStyle w:val="CGCBodyPara"/>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F83CF7"/>
    <w:multiLevelType w:val="hybridMultilevel"/>
    <w:tmpl w:val="63E83296"/>
    <w:lvl w:ilvl="0" w:tplc="9FA4EF9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974B00"/>
    <w:multiLevelType w:val="multilevel"/>
    <w:tmpl w:val="A310237C"/>
    <w:numStyleLink w:val="CGCConsultQuestion"/>
  </w:abstractNum>
  <w:abstractNum w:abstractNumId="14" w15:restartNumberingAfterBreak="0">
    <w:nsid w:val="500F1895"/>
    <w:multiLevelType w:val="multilevel"/>
    <w:tmpl w:val="A310237C"/>
    <w:numStyleLink w:val="CGCConsultQuestion"/>
  </w:abstractNum>
  <w:abstractNum w:abstractNumId="15" w15:restartNumberingAfterBreak="0">
    <w:nsid w:val="599C7CCD"/>
    <w:multiLevelType w:val="hybridMultilevel"/>
    <w:tmpl w:val="803A974C"/>
    <w:lvl w:ilvl="0" w:tplc="31FC1F2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15:restartNumberingAfterBreak="0">
    <w:nsid w:val="740F2EC8"/>
    <w:multiLevelType w:val="hybridMultilevel"/>
    <w:tmpl w:val="047C7B74"/>
    <w:lvl w:ilvl="0" w:tplc="04A6C9B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2F0C5C"/>
    <w:multiLevelType w:val="hybridMultilevel"/>
    <w:tmpl w:val="B1708846"/>
    <w:lvl w:ilvl="0" w:tplc="FFFFFFFF">
      <w:start w:val="1"/>
      <w:numFmt w:val="lowerLetter"/>
      <w:lvlText w:val="(%1)"/>
      <w:lvlJc w:val="left"/>
      <w:pPr>
        <w:ind w:left="473" w:hanging="360"/>
      </w:pPr>
      <w:rPr>
        <w:rFonts w:hint="default"/>
      </w:rPr>
    </w:lvl>
    <w:lvl w:ilvl="1" w:tplc="FFFFFFFF">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16cid:durableId="1649357354">
    <w:abstractNumId w:val="6"/>
  </w:num>
  <w:num w:numId="2" w16cid:durableId="1003897054">
    <w:abstractNumId w:val="19"/>
  </w:num>
  <w:num w:numId="3" w16cid:durableId="1334529044">
    <w:abstractNumId w:val="5"/>
  </w:num>
  <w:num w:numId="4" w16cid:durableId="1514761234">
    <w:abstractNumId w:val="4"/>
  </w:num>
  <w:num w:numId="5" w16cid:durableId="920797300">
    <w:abstractNumId w:val="0"/>
  </w:num>
  <w:num w:numId="6" w16cid:durableId="1807814447">
    <w:abstractNumId w:val="16"/>
  </w:num>
  <w:num w:numId="7" w16cid:durableId="801770153">
    <w:abstractNumId w:val="8"/>
  </w:num>
  <w:num w:numId="8" w16cid:durableId="1737627722">
    <w:abstractNumId w:val="17"/>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0"/>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7"/>
  </w:num>
  <w:num w:numId="31" w16cid:durableId="893783368">
    <w:abstractNumId w:val="17"/>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1"/>
  </w:num>
  <w:num w:numId="38" w16cid:durableId="2111199834">
    <w:abstractNumId w:val="1"/>
  </w:num>
  <w:num w:numId="39" w16cid:durableId="2056999759">
    <w:abstractNumId w:val="14"/>
  </w:num>
  <w:num w:numId="40" w16cid:durableId="2080126907">
    <w:abstractNumId w:val="12"/>
  </w:num>
  <w:num w:numId="41" w16cid:durableId="820391670">
    <w:abstractNumId w:val="13"/>
  </w:num>
  <w:num w:numId="42" w16cid:durableId="58332428">
    <w:abstractNumId w:val="7"/>
  </w:num>
  <w:num w:numId="43" w16cid:durableId="1086878959">
    <w:abstractNumId w:val="18"/>
  </w:num>
  <w:num w:numId="44" w16cid:durableId="510875532">
    <w:abstractNumId w:val="9"/>
  </w:num>
  <w:num w:numId="45" w16cid:durableId="1628662196">
    <w:abstractNumId w:val="15"/>
  </w:num>
  <w:num w:numId="46" w16cid:durableId="3460558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74"/>
    <w:rsid w:val="00000AB2"/>
    <w:rsid w:val="00000C9F"/>
    <w:rsid w:val="00000CB6"/>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42F1"/>
    <w:rsid w:val="000043F9"/>
    <w:rsid w:val="00004719"/>
    <w:rsid w:val="0000485A"/>
    <w:rsid w:val="00004C67"/>
    <w:rsid w:val="000053F8"/>
    <w:rsid w:val="00005531"/>
    <w:rsid w:val="00005EEE"/>
    <w:rsid w:val="0000618C"/>
    <w:rsid w:val="0000648D"/>
    <w:rsid w:val="00006C9A"/>
    <w:rsid w:val="00006E30"/>
    <w:rsid w:val="00006F3D"/>
    <w:rsid w:val="00007899"/>
    <w:rsid w:val="00007AB8"/>
    <w:rsid w:val="00007FD5"/>
    <w:rsid w:val="000105A1"/>
    <w:rsid w:val="00010711"/>
    <w:rsid w:val="00010B75"/>
    <w:rsid w:val="00010CEC"/>
    <w:rsid w:val="00010F5B"/>
    <w:rsid w:val="00011676"/>
    <w:rsid w:val="00011BB3"/>
    <w:rsid w:val="00011C73"/>
    <w:rsid w:val="00011D1A"/>
    <w:rsid w:val="00011DA8"/>
    <w:rsid w:val="00011F7D"/>
    <w:rsid w:val="000120A6"/>
    <w:rsid w:val="0001218F"/>
    <w:rsid w:val="00012AC0"/>
    <w:rsid w:val="00012B67"/>
    <w:rsid w:val="00012C74"/>
    <w:rsid w:val="00013871"/>
    <w:rsid w:val="00013B63"/>
    <w:rsid w:val="00013C44"/>
    <w:rsid w:val="00014126"/>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AFE"/>
    <w:rsid w:val="00031B76"/>
    <w:rsid w:val="00031CF4"/>
    <w:rsid w:val="00032318"/>
    <w:rsid w:val="000324EF"/>
    <w:rsid w:val="00032544"/>
    <w:rsid w:val="000326F5"/>
    <w:rsid w:val="000327F7"/>
    <w:rsid w:val="00032856"/>
    <w:rsid w:val="000328A8"/>
    <w:rsid w:val="00032F41"/>
    <w:rsid w:val="00033347"/>
    <w:rsid w:val="000335BE"/>
    <w:rsid w:val="000338C9"/>
    <w:rsid w:val="000339D5"/>
    <w:rsid w:val="00033A71"/>
    <w:rsid w:val="00033C0D"/>
    <w:rsid w:val="0003409C"/>
    <w:rsid w:val="00034622"/>
    <w:rsid w:val="000347E0"/>
    <w:rsid w:val="00034916"/>
    <w:rsid w:val="00034DBB"/>
    <w:rsid w:val="00034F08"/>
    <w:rsid w:val="000355D9"/>
    <w:rsid w:val="000363C5"/>
    <w:rsid w:val="000364E9"/>
    <w:rsid w:val="00036C51"/>
    <w:rsid w:val="00036F1C"/>
    <w:rsid w:val="000370C8"/>
    <w:rsid w:val="000372BA"/>
    <w:rsid w:val="00037FB1"/>
    <w:rsid w:val="00040135"/>
    <w:rsid w:val="00040571"/>
    <w:rsid w:val="00040601"/>
    <w:rsid w:val="0004077C"/>
    <w:rsid w:val="00040CCA"/>
    <w:rsid w:val="00040D48"/>
    <w:rsid w:val="000410C8"/>
    <w:rsid w:val="0004123E"/>
    <w:rsid w:val="00041299"/>
    <w:rsid w:val="00041748"/>
    <w:rsid w:val="00041E1B"/>
    <w:rsid w:val="00041E84"/>
    <w:rsid w:val="0004240E"/>
    <w:rsid w:val="000424EA"/>
    <w:rsid w:val="0004258C"/>
    <w:rsid w:val="00043B5D"/>
    <w:rsid w:val="00043CFE"/>
    <w:rsid w:val="000442AA"/>
    <w:rsid w:val="00044479"/>
    <w:rsid w:val="0004456B"/>
    <w:rsid w:val="000451DA"/>
    <w:rsid w:val="0004569D"/>
    <w:rsid w:val="00045C11"/>
    <w:rsid w:val="00045F82"/>
    <w:rsid w:val="00046397"/>
    <w:rsid w:val="000465BD"/>
    <w:rsid w:val="00046714"/>
    <w:rsid w:val="00046859"/>
    <w:rsid w:val="00046B06"/>
    <w:rsid w:val="00046D25"/>
    <w:rsid w:val="000470A2"/>
    <w:rsid w:val="00047690"/>
    <w:rsid w:val="00047856"/>
    <w:rsid w:val="00047951"/>
    <w:rsid w:val="00047AB0"/>
    <w:rsid w:val="00047DF1"/>
    <w:rsid w:val="00047E5A"/>
    <w:rsid w:val="0005017B"/>
    <w:rsid w:val="000508D3"/>
    <w:rsid w:val="00051114"/>
    <w:rsid w:val="0005166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0D1"/>
    <w:rsid w:val="000554BF"/>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BE8"/>
    <w:rsid w:val="00066C63"/>
    <w:rsid w:val="00066D82"/>
    <w:rsid w:val="00066E63"/>
    <w:rsid w:val="00066F8C"/>
    <w:rsid w:val="00066FC9"/>
    <w:rsid w:val="000679BC"/>
    <w:rsid w:val="000702C3"/>
    <w:rsid w:val="00070B45"/>
    <w:rsid w:val="00070B4D"/>
    <w:rsid w:val="00070EA5"/>
    <w:rsid w:val="0007102B"/>
    <w:rsid w:val="0007176E"/>
    <w:rsid w:val="0007185D"/>
    <w:rsid w:val="00071EF7"/>
    <w:rsid w:val="00071F1E"/>
    <w:rsid w:val="00072373"/>
    <w:rsid w:val="0007255A"/>
    <w:rsid w:val="00072CBE"/>
    <w:rsid w:val="0007310A"/>
    <w:rsid w:val="000731C5"/>
    <w:rsid w:val="0007335C"/>
    <w:rsid w:val="000733D6"/>
    <w:rsid w:val="0007360C"/>
    <w:rsid w:val="000738EB"/>
    <w:rsid w:val="00073944"/>
    <w:rsid w:val="00073BF5"/>
    <w:rsid w:val="00073D9D"/>
    <w:rsid w:val="00073E21"/>
    <w:rsid w:val="00073E85"/>
    <w:rsid w:val="00073E92"/>
    <w:rsid w:val="00074627"/>
    <w:rsid w:val="0007490C"/>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395"/>
    <w:rsid w:val="000823FB"/>
    <w:rsid w:val="00082971"/>
    <w:rsid w:val="00082DEF"/>
    <w:rsid w:val="00083022"/>
    <w:rsid w:val="00083837"/>
    <w:rsid w:val="00083842"/>
    <w:rsid w:val="00083B06"/>
    <w:rsid w:val="000840C3"/>
    <w:rsid w:val="00084494"/>
    <w:rsid w:val="0008456B"/>
    <w:rsid w:val="000847BF"/>
    <w:rsid w:val="00084EE0"/>
    <w:rsid w:val="000855F4"/>
    <w:rsid w:val="00085729"/>
    <w:rsid w:val="00085A74"/>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A6C"/>
    <w:rsid w:val="00090DBA"/>
    <w:rsid w:val="000910DA"/>
    <w:rsid w:val="00091AD2"/>
    <w:rsid w:val="00091C4F"/>
    <w:rsid w:val="00091D6E"/>
    <w:rsid w:val="0009232F"/>
    <w:rsid w:val="000928AF"/>
    <w:rsid w:val="00093188"/>
    <w:rsid w:val="00093603"/>
    <w:rsid w:val="00093794"/>
    <w:rsid w:val="00093796"/>
    <w:rsid w:val="00093910"/>
    <w:rsid w:val="000939CA"/>
    <w:rsid w:val="00094010"/>
    <w:rsid w:val="000943A8"/>
    <w:rsid w:val="00094531"/>
    <w:rsid w:val="00094676"/>
    <w:rsid w:val="000950A8"/>
    <w:rsid w:val="0009567D"/>
    <w:rsid w:val="0009569E"/>
    <w:rsid w:val="00095F14"/>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7FA"/>
    <w:rsid w:val="000A292B"/>
    <w:rsid w:val="000A2E24"/>
    <w:rsid w:val="000A3130"/>
    <w:rsid w:val="000A3150"/>
    <w:rsid w:val="000A336C"/>
    <w:rsid w:val="000A346F"/>
    <w:rsid w:val="000A3898"/>
    <w:rsid w:val="000A3C2F"/>
    <w:rsid w:val="000A4453"/>
    <w:rsid w:val="000A487A"/>
    <w:rsid w:val="000A52A1"/>
    <w:rsid w:val="000A5824"/>
    <w:rsid w:val="000A5DB9"/>
    <w:rsid w:val="000A633D"/>
    <w:rsid w:val="000A6389"/>
    <w:rsid w:val="000A6392"/>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927"/>
    <w:rsid w:val="000C3B22"/>
    <w:rsid w:val="000C3FC2"/>
    <w:rsid w:val="000C4063"/>
    <w:rsid w:val="000C4BB7"/>
    <w:rsid w:val="000C4BF8"/>
    <w:rsid w:val="000C4DFC"/>
    <w:rsid w:val="000C50B3"/>
    <w:rsid w:val="000C53E9"/>
    <w:rsid w:val="000C5486"/>
    <w:rsid w:val="000C604F"/>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7D1"/>
    <w:rsid w:val="000D7C54"/>
    <w:rsid w:val="000D7E36"/>
    <w:rsid w:val="000E0210"/>
    <w:rsid w:val="000E1007"/>
    <w:rsid w:val="000E1757"/>
    <w:rsid w:val="000E1767"/>
    <w:rsid w:val="000E17A7"/>
    <w:rsid w:val="000E1940"/>
    <w:rsid w:val="000E1979"/>
    <w:rsid w:val="000E1A53"/>
    <w:rsid w:val="000E1B78"/>
    <w:rsid w:val="000E20EE"/>
    <w:rsid w:val="000E26C1"/>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6B6A"/>
    <w:rsid w:val="000E7041"/>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B2B"/>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3E1"/>
    <w:rsid w:val="00104960"/>
    <w:rsid w:val="00104EDD"/>
    <w:rsid w:val="001053D9"/>
    <w:rsid w:val="0010567A"/>
    <w:rsid w:val="00105A17"/>
    <w:rsid w:val="00105C56"/>
    <w:rsid w:val="001060B0"/>
    <w:rsid w:val="001064A4"/>
    <w:rsid w:val="00106826"/>
    <w:rsid w:val="00106CB2"/>
    <w:rsid w:val="00106CEE"/>
    <w:rsid w:val="00106F0B"/>
    <w:rsid w:val="00107099"/>
    <w:rsid w:val="0010739F"/>
    <w:rsid w:val="00107B24"/>
    <w:rsid w:val="00107B43"/>
    <w:rsid w:val="00107E52"/>
    <w:rsid w:val="001103B6"/>
    <w:rsid w:val="00110417"/>
    <w:rsid w:val="001107F1"/>
    <w:rsid w:val="0011092B"/>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3AA"/>
    <w:rsid w:val="001136C6"/>
    <w:rsid w:val="0011408D"/>
    <w:rsid w:val="0011428D"/>
    <w:rsid w:val="001147B3"/>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01C"/>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D23"/>
    <w:rsid w:val="00134FA3"/>
    <w:rsid w:val="00135080"/>
    <w:rsid w:val="001351C6"/>
    <w:rsid w:val="001351F5"/>
    <w:rsid w:val="001356C7"/>
    <w:rsid w:val="0013601E"/>
    <w:rsid w:val="0013623B"/>
    <w:rsid w:val="00136497"/>
    <w:rsid w:val="001369BF"/>
    <w:rsid w:val="00136F29"/>
    <w:rsid w:val="00136F6F"/>
    <w:rsid w:val="00137137"/>
    <w:rsid w:val="00137504"/>
    <w:rsid w:val="00137D90"/>
    <w:rsid w:val="00140D09"/>
    <w:rsid w:val="001412C6"/>
    <w:rsid w:val="001414E0"/>
    <w:rsid w:val="00141BD1"/>
    <w:rsid w:val="00141D0B"/>
    <w:rsid w:val="001423B0"/>
    <w:rsid w:val="00142B21"/>
    <w:rsid w:val="00142B86"/>
    <w:rsid w:val="00143228"/>
    <w:rsid w:val="001438E0"/>
    <w:rsid w:val="00143B25"/>
    <w:rsid w:val="00143D52"/>
    <w:rsid w:val="00143F85"/>
    <w:rsid w:val="001441DA"/>
    <w:rsid w:val="00144A22"/>
    <w:rsid w:val="00144C8A"/>
    <w:rsid w:val="001455CC"/>
    <w:rsid w:val="00145604"/>
    <w:rsid w:val="0014616B"/>
    <w:rsid w:val="00146899"/>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48"/>
    <w:rsid w:val="00153CA7"/>
    <w:rsid w:val="00153D48"/>
    <w:rsid w:val="00154A35"/>
    <w:rsid w:val="00154A9A"/>
    <w:rsid w:val="001550A3"/>
    <w:rsid w:val="0015510B"/>
    <w:rsid w:val="0015543D"/>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D58"/>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5081"/>
    <w:rsid w:val="001652C2"/>
    <w:rsid w:val="0016534B"/>
    <w:rsid w:val="001654B0"/>
    <w:rsid w:val="001657CF"/>
    <w:rsid w:val="00165907"/>
    <w:rsid w:val="00165FF0"/>
    <w:rsid w:val="00166098"/>
    <w:rsid w:val="001660AA"/>
    <w:rsid w:val="0016632B"/>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65"/>
    <w:rsid w:val="00170DC9"/>
    <w:rsid w:val="00171335"/>
    <w:rsid w:val="0017181D"/>
    <w:rsid w:val="00171A05"/>
    <w:rsid w:val="00171D48"/>
    <w:rsid w:val="001722C6"/>
    <w:rsid w:val="0017236A"/>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87C"/>
    <w:rsid w:val="00176E42"/>
    <w:rsid w:val="00176E9A"/>
    <w:rsid w:val="00177324"/>
    <w:rsid w:val="001775AD"/>
    <w:rsid w:val="0017771D"/>
    <w:rsid w:val="001777D5"/>
    <w:rsid w:val="001777E9"/>
    <w:rsid w:val="001778D0"/>
    <w:rsid w:val="00177B6B"/>
    <w:rsid w:val="00177D10"/>
    <w:rsid w:val="00177D12"/>
    <w:rsid w:val="00180311"/>
    <w:rsid w:val="00180755"/>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391"/>
    <w:rsid w:val="0018349C"/>
    <w:rsid w:val="00183562"/>
    <w:rsid w:val="00183649"/>
    <w:rsid w:val="00183970"/>
    <w:rsid w:val="00183C19"/>
    <w:rsid w:val="001843C4"/>
    <w:rsid w:val="00184519"/>
    <w:rsid w:val="001845F7"/>
    <w:rsid w:val="00184A83"/>
    <w:rsid w:val="00185037"/>
    <w:rsid w:val="0018537D"/>
    <w:rsid w:val="001853A5"/>
    <w:rsid w:val="001853FE"/>
    <w:rsid w:val="00185A8A"/>
    <w:rsid w:val="001862DA"/>
    <w:rsid w:val="001866D1"/>
    <w:rsid w:val="001868A3"/>
    <w:rsid w:val="00186A8A"/>
    <w:rsid w:val="00186EB8"/>
    <w:rsid w:val="00187145"/>
    <w:rsid w:val="001874F4"/>
    <w:rsid w:val="00187613"/>
    <w:rsid w:val="00187DA4"/>
    <w:rsid w:val="001902A7"/>
    <w:rsid w:val="001904D5"/>
    <w:rsid w:val="0019104D"/>
    <w:rsid w:val="00191778"/>
    <w:rsid w:val="00191787"/>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968"/>
    <w:rsid w:val="001A0F0C"/>
    <w:rsid w:val="001A1720"/>
    <w:rsid w:val="001A192B"/>
    <w:rsid w:val="001A1EC7"/>
    <w:rsid w:val="001A1FAD"/>
    <w:rsid w:val="001A2109"/>
    <w:rsid w:val="001A2466"/>
    <w:rsid w:val="001A26F5"/>
    <w:rsid w:val="001A27E6"/>
    <w:rsid w:val="001A2DDC"/>
    <w:rsid w:val="001A2F36"/>
    <w:rsid w:val="001A346E"/>
    <w:rsid w:val="001A372B"/>
    <w:rsid w:val="001A3771"/>
    <w:rsid w:val="001A3991"/>
    <w:rsid w:val="001A4336"/>
    <w:rsid w:val="001A4649"/>
    <w:rsid w:val="001A4780"/>
    <w:rsid w:val="001A4CCB"/>
    <w:rsid w:val="001A4EB6"/>
    <w:rsid w:val="001A5419"/>
    <w:rsid w:val="001A5705"/>
    <w:rsid w:val="001A585E"/>
    <w:rsid w:val="001A592C"/>
    <w:rsid w:val="001A5D64"/>
    <w:rsid w:val="001A620B"/>
    <w:rsid w:val="001A63F2"/>
    <w:rsid w:val="001A6496"/>
    <w:rsid w:val="001A6575"/>
    <w:rsid w:val="001A6E6B"/>
    <w:rsid w:val="001A70BC"/>
    <w:rsid w:val="001A7346"/>
    <w:rsid w:val="001A7386"/>
    <w:rsid w:val="001A751B"/>
    <w:rsid w:val="001A7971"/>
    <w:rsid w:val="001A7B28"/>
    <w:rsid w:val="001A7BFE"/>
    <w:rsid w:val="001A7E01"/>
    <w:rsid w:val="001A7E31"/>
    <w:rsid w:val="001A7E5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5F90"/>
    <w:rsid w:val="001B6421"/>
    <w:rsid w:val="001B691A"/>
    <w:rsid w:val="001B696E"/>
    <w:rsid w:val="001B6A56"/>
    <w:rsid w:val="001B7191"/>
    <w:rsid w:val="001B71B9"/>
    <w:rsid w:val="001B7243"/>
    <w:rsid w:val="001B7388"/>
    <w:rsid w:val="001B76A8"/>
    <w:rsid w:val="001B782D"/>
    <w:rsid w:val="001C00F2"/>
    <w:rsid w:val="001C05BE"/>
    <w:rsid w:val="001C0674"/>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1EE"/>
    <w:rsid w:val="001C44E0"/>
    <w:rsid w:val="001C4553"/>
    <w:rsid w:val="001C4619"/>
    <w:rsid w:val="001C4623"/>
    <w:rsid w:val="001C4632"/>
    <w:rsid w:val="001C469B"/>
    <w:rsid w:val="001C4A0B"/>
    <w:rsid w:val="001C4ACF"/>
    <w:rsid w:val="001C4B75"/>
    <w:rsid w:val="001C4C45"/>
    <w:rsid w:val="001C4C8C"/>
    <w:rsid w:val="001C4DA4"/>
    <w:rsid w:val="001C504B"/>
    <w:rsid w:val="001C532B"/>
    <w:rsid w:val="001C54F5"/>
    <w:rsid w:val="001C559E"/>
    <w:rsid w:val="001C55F6"/>
    <w:rsid w:val="001C5975"/>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02"/>
    <w:rsid w:val="001C7F9B"/>
    <w:rsid w:val="001D112B"/>
    <w:rsid w:val="001D11B3"/>
    <w:rsid w:val="001D19A8"/>
    <w:rsid w:val="001D240E"/>
    <w:rsid w:val="001D26ED"/>
    <w:rsid w:val="001D28B3"/>
    <w:rsid w:val="001D2C52"/>
    <w:rsid w:val="001D2D33"/>
    <w:rsid w:val="001D33AD"/>
    <w:rsid w:val="001D3D79"/>
    <w:rsid w:val="001D5257"/>
    <w:rsid w:val="001D5280"/>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0983"/>
    <w:rsid w:val="001E1901"/>
    <w:rsid w:val="001E19D3"/>
    <w:rsid w:val="001E1C8D"/>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173"/>
    <w:rsid w:val="002011FC"/>
    <w:rsid w:val="002014E7"/>
    <w:rsid w:val="00202046"/>
    <w:rsid w:val="00202576"/>
    <w:rsid w:val="00202966"/>
    <w:rsid w:val="00202A9E"/>
    <w:rsid w:val="00202AA8"/>
    <w:rsid w:val="00202D81"/>
    <w:rsid w:val="00202DC0"/>
    <w:rsid w:val="00202DEA"/>
    <w:rsid w:val="00202E80"/>
    <w:rsid w:val="00202EB6"/>
    <w:rsid w:val="00203B02"/>
    <w:rsid w:val="00204026"/>
    <w:rsid w:val="002048BC"/>
    <w:rsid w:val="002051EE"/>
    <w:rsid w:val="00205507"/>
    <w:rsid w:val="00205642"/>
    <w:rsid w:val="00205644"/>
    <w:rsid w:val="00205A9F"/>
    <w:rsid w:val="00205B0E"/>
    <w:rsid w:val="00205B1F"/>
    <w:rsid w:val="00205FEA"/>
    <w:rsid w:val="00206065"/>
    <w:rsid w:val="002061CA"/>
    <w:rsid w:val="002063CE"/>
    <w:rsid w:val="0020689C"/>
    <w:rsid w:val="00206929"/>
    <w:rsid w:val="002069BC"/>
    <w:rsid w:val="00206AC7"/>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52"/>
    <w:rsid w:val="002151CB"/>
    <w:rsid w:val="00215468"/>
    <w:rsid w:val="00215AAF"/>
    <w:rsid w:val="002160BB"/>
    <w:rsid w:val="00216238"/>
    <w:rsid w:val="002163C8"/>
    <w:rsid w:val="002165D3"/>
    <w:rsid w:val="00216771"/>
    <w:rsid w:val="0021687C"/>
    <w:rsid w:val="0021697C"/>
    <w:rsid w:val="00216AAA"/>
    <w:rsid w:val="00216C84"/>
    <w:rsid w:val="00217423"/>
    <w:rsid w:val="002175AE"/>
    <w:rsid w:val="00217839"/>
    <w:rsid w:val="00217BBD"/>
    <w:rsid w:val="0022067E"/>
    <w:rsid w:val="002208DA"/>
    <w:rsid w:val="00221197"/>
    <w:rsid w:val="0022195B"/>
    <w:rsid w:val="00221AD2"/>
    <w:rsid w:val="00221B1E"/>
    <w:rsid w:val="0022224C"/>
    <w:rsid w:val="00222392"/>
    <w:rsid w:val="002223C1"/>
    <w:rsid w:val="002224C1"/>
    <w:rsid w:val="00222976"/>
    <w:rsid w:val="00222D4A"/>
    <w:rsid w:val="0022389B"/>
    <w:rsid w:val="002240A6"/>
    <w:rsid w:val="002240C5"/>
    <w:rsid w:val="002244A6"/>
    <w:rsid w:val="0022463E"/>
    <w:rsid w:val="00225215"/>
    <w:rsid w:val="002256E4"/>
    <w:rsid w:val="00225A3B"/>
    <w:rsid w:val="00225A8C"/>
    <w:rsid w:val="00225AC9"/>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785"/>
    <w:rsid w:val="00233808"/>
    <w:rsid w:val="00233868"/>
    <w:rsid w:val="00233BC0"/>
    <w:rsid w:val="00233D92"/>
    <w:rsid w:val="00233FBB"/>
    <w:rsid w:val="00233FF1"/>
    <w:rsid w:val="00234B4F"/>
    <w:rsid w:val="00234E3C"/>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3DBC"/>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7A3"/>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3ADA"/>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0D12"/>
    <w:rsid w:val="0026114B"/>
    <w:rsid w:val="0026115B"/>
    <w:rsid w:val="0026123A"/>
    <w:rsid w:val="00261391"/>
    <w:rsid w:val="0026169D"/>
    <w:rsid w:val="00261972"/>
    <w:rsid w:val="00261CF1"/>
    <w:rsid w:val="00261DA5"/>
    <w:rsid w:val="00261F22"/>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B58"/>
    <w:rsid w:val="00266D29"/>
    <w:rsid w:val="00266E9A"/>
    <w:rsid w:val="002671A2"/>
    <w:rsid w:val="0026722A"/>
    <w:rsid w:val="00267496"/>
    <w:rsid w:val="00267A28"/>
    <w:rsid w:val="00267A7C"/>
    <w:rsid w:val="00267B57"/>
    <w:rsid w:val="00267F66"/>
    <w:rsid w:val="00270169"/>
    <w:rsid w:val="002701F5"/>
    <w:rsid w:val="002702D2"/>
    <w:rsid w:val="00270370"/>
    <w:rsid w:val="0027065E"/>
    <w:rsid w:val="002708A2"/>
    <w:rsid w:val="00270E19"/>
    <w:rsid w:val="00271163"/>
    <w:rsid w:val="0027170E"/>
    <w:rsid w:val="00271B4D"/>
    <w:rsid w:val="00272164"/>
    <w:rsid w:val="00272499"/>
    <w:rsid w:val="0027255E"/>
    <w:rsid w:val="00272623"/>
    <w:rsid w:val="00272960"/>
    <w:rsid w:val="00272A65"/>
    <w:rsid w:val="00272DBE"/>
    <w:rsid w:val="0027304A"/>
    <w:rsid w:val="0027304D"/>
    <w:rsid w:val="00273102"/>
    <w:rsid w:val="0027349A"/>
    <w:rsid w:val="00273601"/>
    <w:rsid w:val="00273CB2"/>
    <w:rsid w:val="002742FE"/>
    <w:rsid w:val="00274C4D"/>
    <w:rsid w:val="00274EFA"/>
    <w:rsid w:val="00275025"/>
    <w:rsid w:val="002758C3"/>
    <w:rsid w:val="0027596A"/>
    <w:rsid w:val="002759C0"/>
    <w:rsid w:val="00275B68"/>
    <w:rsid w:val="00275C43"/>
    <w:rsid w:val="00275D7A"/>
    <w:rsid w:val="00275F9E"/>
    <w:rsid w:val="002761BD"/>
    <w:rsid w:val="0027652E"/>
    <w:rsid w:val="00276884"/>
    <w:rsid w:val="002772AF"/>
    <w:rsid w:val="0027780B"/>
    <w:rsid w:val="00277A86"/>
    <w:rsid w:val="0028014A"/>
    <w:rsid w:val="00280A55"/>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7F5"/>
    <w:rsid w:val="00296F47"/>
    <w:rsid w:val="00297289"/>
    <w:rsid w:val="00297514"/>
    <w:rsid w:val="0029799C"/>
    <w:rsid w:val="00297ECD"/>
    <w:rsid w:val="002A00F9"/>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DBC"/>
    <w:rsid w:val="002B4FAD"/>
    <w:rsid w:val="002B538D"/>
    <w:rsid w:val="002B5B61"/>
    <w:rsid w:val="002B5CA1"/>
    <w:rsid w:val="002B6031"/>
    <w:rsid w:val="002B6699"/>
    <w:rsid w:val="002B6716"/>
    <w:rsid w:val="002B6EFD"/>
    <w:rsid w:val="002B6F33"/>
    <w:rsid w:val="002B74DF"/>
    <w:rsid w:val="002B79F0"/>
    <w:rsid w:val="002B7B8A"/>
    <w:rsid w:val="002B7C96"/>
    <w:rsid w:val="002B7F3E"/>
    <w:rsid w:val="002C00F5"/>
    <w:rsid w:val="002C0166"/>
    <w:rsid w:val="002C059A"/>
    <w:rsid w:val="002C05D9"/>
    <w:rsid w:val="002C06B5"/>
    <w:rsid w:val="002C0B46"/>
    <w:rsid w:val="002C0CCC"/>
    <w:rsid w:val="002C0CD7"/>
    <w:rsid w:val="002C0D7B"/>
    <w:rsid w:val="002C0D99"/>
    <w:rsid w:val="002C10EB"/>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C9D"/>
    <w:rsid w:val="002C3D9B"/>
    <w:rsid w:val="002C3E6A"/>
    <w:rsid w:val="002C40EF"/>
    <w:rsid w:val="002C488D"/>
    <w:rsid w:val="002C4A81"/>
    <w:rsid w:val="002C4B78"/>
    <w:rsid w:val="002C4B93"/>
    <w:rsid w:val="002C4CA9"/>
    <w:rsid w:val="002C4CB2"/>
    <w:rsid w:val="002C4EE1"/>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3D"/>
    <w:rsid w:val="002D4A43"/>
    <w:rsid w:val="002D5041"/>
    <w:rsid w:val="002D52BF"/>
    <w:rsid w:val="002D607F"/>
    <w:rsid w:val="002D60C9"/>
    <w:rsid w:val="002D65B4"/>
    <w:rsid w:val="002D68CE"/>
    <w:rsid w:val="002D6D06"/>
    <w:rsid w:val="002D719F"/>
    <w:rsid w:val="002D7F7D"/>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7E6"/>
    <w:rsid w:val="002E69B3"/>
    <w:rsid w:val="002E6DBB"/>
    <w:rsid w:val="002E6E7C"/>
    <w:rsid w:val="002E6F72"/>
    <w:rsid w:val="002E777E"/>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91C"/>
    <w:rsid w:val="002F2BB2"/>
    <w:rsid w:val="002F3A93"/>
    <w:rsid w:val="002F3AFA"/>
    <w:rsid w:val="002F4355"/>
    <w:rsid w:val="002F4444"/>
    <w:rsid w:val="002F4777"/>
    <w:rsid w:val="002F4BEA"/>
    <w:rsid w:val="002F54B6"/>
    <w:rsid w:val="002F5629"/>
    <w:rsid w:val="002F5674"/>
    <w:rsid w:val="002F5C2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DFB"/>
    <w:rsid w:val="00300E39"/>
    <w:rsid w:val="00300F95"/>
    <w:rsid w:val="0030101C"/>
    <w:rsid w:val="0030107F"/>
    <w:rsid w:val="003011A6"/>
    <w:rsid w:val="003013EF"/>
    <w:rsid w:val="00301F21"/>
    <w:rsid w:val="00301F87"/>
    <w:rsid w:val="00302306"/>
    <w:rsid w:val="0030232D"/>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8A"/>
    <w:rsid w:val="00304FF8"/>
    <w:rsid w:val="00305098"/>
    <w:rsid w:val="0030511E"/>
    <w:rsid w:val="00305BCF"/>
    <w:rsid w:val="0030615E"/>
    <w:rsid w:val="003066E9"/>
    <w:rsid w:val="00306C3D"/>
    <w:rsid w:val="00306D6D"/>
    <w:rsid w:val="00306E29"/>
    <w:rsid w:val="00307448"/>
    <w:rsid w:val="003079B4"/>
    <w:rsid w:val="00307C55"/>
    <w:rsid w:val="00307DEF"/>
    <w:rsid w:val="00310138"/>
    <w:rsid w:val="0031027B"/>
    <w:rsid w:val="003105A3"/>
    <w:rsid w:val="003107E5"/>
    <w:rsid w:val="00310DE6"/>
    <w:rsid w:val="0031115B"/>
    <w:rsid w:val="003115AC"/>
    <w:rsid w:val="003119A7"/>
    <w:rsid w:val="00311D33"/>
    <w:rsid w:val="00311D89"/>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6835"/>
    <w:rsid w:val="00317101"/>
    <w:rsid w:val="0032006F"/>
    <w:rsid w:val="003201A1"/>
    <w:rsid w:val="00320747"/>
    <w:rsid w:val="00320832"/>
    <w:rsid w:val="00320FD1"/>
    <w:rsid w:val="00321109"/>
    <w:rsid w:val="0032124F"/>
    <w:rsid w:val="00321560"/>
    <w:rsid w:val="0032160E"/>
    <w:rsid w:val="00321690"/>
    <w:rsid w:val="00321758"/>
    <w:rsid w:val="00321823"/>
    <w:rsid w:val="00321BDA"/>
    <w:rsid w:val="003226B9"/>
    <w:rsid w:val="00322E12"/>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0F4"/>
    <w:rsid w:val="00327426"/>
    <w:rsid w:val="003277AE"/>
    <w:rsid w:val="00327BD3"/>
    <w:rsid w:val="00327CAA"/>
    <w:rsid w:val="00327DE9"/>
    <w:rsid w:val="00327EB4"/>
    <w:rsid w:val="00327F5E"/>
    <w:rsid w:val="003301B3"/>
    <w:rsid w:val="0033033D"/>
    <w:rsid w:val="00330372"/>
    <w:rsid w:val="00330385"/>
    <w:rsid w:val="003303CC"/>
    <w:rsid w:val="003308D8"/>
    <w:rsid w:val="00330D16"/>
    <w:rsid w:val="0033102E"/>
    <w:rsid w:val="0033137B"/>
    <w:rsid w:val="00331401"/>
    <w:rsid w:val="00331CEE"/>
    <w:rsid w:val="00332344"/>
    <w:rsid w:val="00332372"/>
    <w:rsid w:val="0033289C"/>
    <w:rsid w:val="00332CF5"/>
    <w:rsid w:val="00332F67"/>
    <w:rsid w:val="0033312E"/>
    <w:rsid w:val="00333234"/>
    <w:rsid w:val="00333822"/>
    <w:rsid w:val="00333982"/>
    <w:rsid w:val="003339EC"/>
    <w:rsid w:val="00333B1F"/>
    <w:rsid w:val="00333BD1"/>
    <w:rsid w:val="00333CC8"/>
    <w:rsid w:val="003340BC"/>
    <w:rsid w:val="0033414E"/>
    <w:rsid w:val="003342BF"/>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37FFD"/>
    <w:rsid w:val="003407E4"/>
    <w:rsid w:val="0034081B"/>
    <w:rsid w:val="00340C0A"/>
    <w:rsid w:val="00341296"/>
    <w:rsid w:val="00341557"/>
    <w:rsid w:val="003416A0"/>
    <w:rsid w:val="00341833"/>
    <w:rsid w:val="00341A29"/>
    <w:rsid w:val="00341D30"/>
    <w:rsid w:val="003423C7"/>
    <w:rsid w:val="003424A0"/>
    <w:rsid w:val="003425DF"/>
    <w:rsid w:val="00342803"/>
    <w:rsid w:val="00342841"/>
    <w:rsid w:val="003428BA"/>
    <w:rsid w:val="00342A60"/>
    <w:rsid w:val="00342C28"/>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72A"/>
    <w:rsid w:val="00346C66"/>
    <w:rsid w:val="0034714F"/>
    <w:rsid w:val="003477AD"/>
    <w:rsid w:val="0034797B"/>
    <w:rsid w:val="00347BE5"/>
    <w:rsid w:val="00347D85"/>
    <w:rsid w:val="003507DD"/>
    <w:rsid w:val="00350B03"/>
    <w:rsid w:val="00350C0E"/>
    <w:rsid w:val="00350C95"/>
    <w:rsid w:val="00351124"/>
    <w:rsid w:val="00351347"/>
    <w:rsid w:val="00351632"/>
    <w:rsid w:val="0035167A"/>
    <w:rsid w:val="00351831"/>
    <w:rsid w:val="00351DE5"/>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7B2"/>
    <w:rsid w:val="0035580D"/>
    <w:rsid w:val="0035588D"/>
    <w:rsid w:val="00355985"/>
    <w:rsid w:val="00355D0B"/>
    <w:rsid w:val="003565E0"/>
    <w:rsid w:val="00356887"/>
    <w:rsid w:val="00356915"/>
    <w:rsid w:val="00356E75"/>
    <w:rsid w:val="00356F02"/>
    <w:rsid w:val="00356F9E"/>
    <w:rsid w:val="0035766F"/>
    <w:rsid w:val="0035781A"/>
    <w:rsid w:val="0035796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9FB"/>
    <w:rsid w:val="00363BF7"/>
    <w:rsid w:val="00364264"/>
    <w:rsid w:val="00364D9D"/>
    <w:rsid w:val="003650F3"/>
    <w:rsid w:val="003652B9"/>
    <w:rsid w:val="0036601F"/>
    <w:rsid w:val="0036633A"/>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481"/>
    <w:rsid w:val="003856BD"/>
    <w:rsid w:val="00385E56"/>
    <w:rsid w:val="00386717"/>
    <w:rsid w:val="00386DDB"/>
    <w:rsid w:val="00386F33"/>
    <w:rsid w:val="00387553"/>
    <w:rsid w:val="0038792E"/>
    <w:rsid w:val="0038797A"/>
    <w:rsid w:val="00387A4A"/>
    <w:rsid w:val="00391078"/>
    <w:rsid w:val="0039121A"/>
    <w:rsid w:val="003921CD"/>
    <w:rsid w:val="00392270"/>
    <w:rsid w:val="00392345"/>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59B2"/>
    <w:rsid w:val="003962CD"/>
    <w:rsid w:val="003963FF"/>
    <w:rsid w:val="003965C0"/>
    <w:rsid w:val="00396894"/>
    <w:rsid w:val="00396935"/>
    <w:rsid w:val="00396997"/>
    <w:rsid w:val="00396A4C"/>
    <w:rsid w:val="0039743E"/>
    <w:rsid w:val="00397A8D"/>
    <w:rsid w:val="00397CAC"/>
    <w:rsid w:val="00397D16"/>
    <w:rsid w:val="003A0403"/>
    <w:rsid w:val="003A0465"/>
    <w:rsid w:val="003A0D0B"/>
    <w:rsid w:val="003A1301"/>
    <w:rsid w:val="003A1EE5"/>
    <w:rsid w:val="003A27BB"/>
    <w:rsid w:val="003A280A"/>
    <w:rsid w:val="003A2FE5"/>
    <w:rsid w:val="003A31F5"/>
    <w:rsid w:val="003A35D6"/>
    <w:rsid w:val="003A43CA"/>
    <w:rsid w:val="003A4473"/>
    <w:rsid w:val="003A473A"/>
    <w:rsid w:val="003A4780"/>
    <w:rsid w:val="003A4A09"/>
    <w:rsid w:val="003A4E51"/>
    <w:rsid w:val="003A5077"/>
    <w:rsid w:val="003A5614"/>
    <w:rsid w:val="003A562D"/>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09D"/>
    <w:rsid w:val="003B4407"/>
    <w:rsid w:val="003B440E"/>
    <w:rsid w:val="003B453B"/>
    <w:rsid w:val="003B4D3A"/>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B7F63"/>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350"/>
    <w:rsid w:val="003C5FC9"/>
    <w:rsid w:val="003C63D3"/>
    <w:rsid w:val="003C684D"/>
    <w:rsid w:val="003C7449"/>
    <w:rsid w:val="003C7AF1"/>
    <w:rsid w:val="003C7B99"/>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2133"/>
    <w:rsid w:val="003E213F"/>
    <w:rsid w:val="003E2225"/>
    <w:rsid w:val="003E26B2"/>
    <w:rsid w:val="003E2B86"/>
    <w:rsid w:val="003E3046"/>
    <w:rsid w:val="003E3205"/>
    <w:rsid w:val="003E32E1"/>
    <w:rsid w:val="003E32FE"/>
    <w:rsid w:val="003E345C"/>
    <w:rsid w:val="003E3615"/>
    <w:rsid w:val="003E3F41"/>
    <w:rsid w:val="003E4E40"/>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99D"/>
    <w:rsid w:val="003F0C38"/>
    <w:rsid w:val="003F0D7C"/>
    <w:rsid w:val="003F0F94"/>
    <w:rsid w:val="003F1223"/>
    <w:rsid w:val="003F12E9"/>
    <w:rsid w:val="003F1644"/>
    <w:rsid w:val="003F177A"/>
    <w:rsid w:val="003F1AB9"/>
    <w:rsid w:val="003F1BBE"/>
    <w:rsid w:val="003F1C13"/>
    <w:rsid w:val="003F1FD6"/>
    <w:rsid w:val="003F26FE"/>
    <w:rsid w:val="003F2866"/>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556"/>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3F29"/>
    <w:rsid w:val="00404D94"/>
    <w:rsid w:val="00404DCD"/>
    <w:rsid w:val="0040548B"/>
    <w:rsid w:val="004054A8"/>
    <w:rsid w:val="004055FB"/>
    <w:rsid w:val="004057BC"/>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3143"/>
    <w:rsid w:val="00414334"/>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77E"/>
    <w:rsid w:val="004179E2"/>
    <w:rsid w:val="00417E60"/>
    <w:rsid w:val="0041FA81"/>
    <w:rsid w:val="004202E1"/>
    <w:rsid w:val="004203EF"/>
    <w:rsid w:val="00420435"/>
    <w:rsid w:val="00420497"/>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57D"/>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75E"/>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C98"/>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374"/>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6F7E"/>
    <w:rsid w:val="0044756C"/>
    <w:rsid w:val="00447666"/>
    <w:rsid w:val="00447725"/>
    <w:rsid w:val="004477FF"/>
    <w:rsid w:val="0044781F"/>
    <w:rsid w:val="00447AC9"/>
    <w:rsid w:val="00447CE7"/>
    <w:rsid w:val="00447D1A"/>
    <w:rsid w:val="00447D60"/>
    <w:rsid w:val="004502B2"/>
    <w:rsid w:val="00450452"/>
    <w:rsid w:val="0045047E"/>
    <w:rsid w:val="004504E9"/>
    <w:rsid w:val="00450CD9"/>
    <w:rsid w:val="00450E1A"/>
    <w:rsid w:val="00451433"/>
    <w:rsid w:val="00451970"/>
    <w:rsid w:val="00451E80"/>
    <w:rsid w:val="00452434"/>
    <w:rsid w:val="00452631"/>
    <w:rsid w:val="00452EAE"/>
    <w:rsid w:val="00452EF2"/>
    <w:rsid w:val="00452FEC"/>
    <w:rsid w:val="00453264"/>
    <w:rsid w:val="0045350E"/>
    <w:rsid w:val="0045402E"/>
    <w:rsid w:val="004551F2"/>
    <w:rsid w:val="0045521A"/>
    <w:rsid w:val="0045526D"/>
    <w:rsid w:val="00455597"/>
    <w:rsid w:val="00456226"/>
    <w:rsid w:val="0045628F"/>
    <w:rsid w:val="004562B8"/>
    <w:rsid w:val="0045650E"/>
    <w:rsid w:val="004568D7"/>
    <w:rsid w:val="00456E0B"/>
    <w:rsid w:val="004574E7"/>
    <w:rsid w:val="004575B3"/>
    <w:rsid w:val="0045788A"/>
    <w:rsid w:val="00457981"/>
    <w:rsid w:val="00457990"/>
    <w:rsid w:val="00457C7C"/>
    <w:rsid w:val="00460114"/>
    <w:rsid w:val="0046147A"/>
    <w:rsid w:val="004615AE"/>
    <w:rsid w:val="0046174C"/>
    <w:rsid w:val="00461CDE"/>
    <w:rsid w:val="00462036"/>
    <w:rsid w:val="0046222A"/>
    <w:rsid w:val="00462914"/>
    <w:rsid w:val="00462B54"/>
    <w:rsid w:val="00463064"/>
    <w:rsid w:val="0046334D"/>
    <w:rsid w:val="004633A5"/>
    <w:rsid w:val="004636C5"/>
    <w:rsid w:val="004637AF"/>
    <w:rsid w:val="00463844"/>
    <w:rsid w:val="00463DB5"/>
    <w:rsid w:val="004640FD"/>
    <w:rsid w:val="00464105"/>
    <w:rsid w:val="00464118"/>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B2D"/>
    <w:rsid w:val="00473C3D"/>
    <w:rsid w:val="00473EBA"/>
    <w:rsid w:val="0047439E"/>
    <w:rsid w:val="00474445"/>
    <w:rsid w:val="0047451E"/>
    <w:rsid w:val="00474835"/>
    <w:rsid w:val="00474EA2"/>
    <w:rsid w:val="00475B95"/>
    <w:rsid w:val="00475BFE"/>
    <w:rsid w:val="00475C23"/>
    <w:rsid w:val="00475C50"/>
    <w:rsid w:val="004762F3"/>
    <w:rsid w:val="00476FB6"/>
    <w:rsid w:val="00477042"/>
    <w:rsid w:val="0047711B"/>
    <w:rsid w:val="00477404"/>
    <w:rsid w:val="00477612"/>
    <w:rsid w:val="00477C42"/>
    <w:rsid w:val="00480065"/>
    <w:rsid w:val="00480562"/>
    <w:rsid w:val="00480564"/>
    <w:rsid w:val="004808B8"/>
    <w:rsid w:val="004809B8"/>
    <w:rsid w:val="00480DD9"/>
    <w:rsid w:val="0048119A"/>
    <w:rsid w:val="00481708"/>
    <w:rsid w:val="00481723"/>
    <w:rsid w:val="004817E9"/>
    <w:rsid w:val="00481CFE"/>
    <w:rsid w:val="00481F10"/>
    <w:rsid w:val="004820FA"/>
    <w:rsid w:val="004821B9"/>
    <w:rsid w:val="004824F0"/>
    <w:rsid w:val="00482758"/>
    <w:rsid w:val="00483217"/>
    <w:rsid w:val="0048347E"/>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D40"/>
    <w:rsid w:val="004902A7"/>
    <w:rsid w:val="00490742"/>
    <w:rsid w:val="004908BF"/>
    <w:rsid w:val="00490A31"/>
    <w:rsid w:val="00490B05"/>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2FE"/>
    <w:rsid w:val="00497552"/>
    <w:rsid w:val="004975AD"/>
    <w:rsid w:val="00497950"/>
    <w:rsid w:val="00497BFA"/>
    <w:rsid w:val="00497FBF"/>
    <w:rsid w:val="004A053D"/>
    <w:rsid w:val="004A06F9"/>
    <w:rsid w:val="004A1635"/>
    <w:rsid w:val="004A1D47"/>
    <w:rsid w:val="004A1FCC"/>
    <w:rsid w:val="004A2565"/>
    <w:rsid w:val="004A267A"/>
    <w:rsid w:val="004A29BD"/>
    <w:rsid w:val="004A2B01"/>
    <w:rsid w:val="004A2F18"/>
    <w:rsid w:val="004A2FFD"/>
    <w:rsid w:val="004A3183"/>
    <w:rsid w:val="004A325C"/>
    <w:rsid w:val="004A32EE"/>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1FF"/>
    <w:rsid w:val="004A7200"/>
    <w:rsid w:val="004A73A0"/>
    <w:rsid w:val="004A742E"/>
    <w:rsid w:val="004A7616"/>
    <w:rsid w:val="004A7B16"/>
    <w:rsid w:val="004A7B5E"/>
    <w:rsid w:val="004A7DB3"/>
    <w:rsid w:val="004A7E95"/>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0CB"/>
    <w:rsid w:val="004B2392"/>
    <w:rsid w:val="004B2722"/>
    <w:rsid w:val="004B280D"/>
    <w:rsid w:val="004B2891"/>
    <w:rsid w:val="004B2C16"/>
    <w:rsid w:val="004B2C60"/>
    <w:rsid w:val="004B2D06"/>
    <w:rsid w:val="004B2D30"/>
    <w:rsid w:val="004B2FB7"/>
    <w:rsid w:val="004B370E"/>
    <w:rsid w:val="004B3775"/>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513"/>
    <w:rsid w:val="004C17E0"/>
    <w:rsid w:val="004C1C3D"/>
    <w:rsid w:val="004C1CB5"/>
    <w:rsid w:val="004C26D3"/>
    <w:rsid w:val="004C29CF"/>
    <w:rsid w:val="004C2DEE"/>
    <w:rsid w:val="004C30EF"/>
    <w:rsid w:val="004C352D"/>
    <w:rsid w:val="004C37DA"/>
    <w:rsid w:val="004C3B79"/>
    <w:rsid w:val="004C4088"/>
    <w:rsid w:val="004C40AD"/>
    <w:rsid w:val="004C4109"/>
    <w:rsid w:val="004C484D"/>
    <w:rsid w:val="004C4C21"/>
    <w:rsid w:val="004C507A"/>
    <w:rsid w:val="004C50F1"/>
    <w:rsid w:val="004C5141"/>
    <w:rsid w:val="004C5197"/>
    <w:rsid w:val="004C5665"/>
    <w:rsid w:val="004C5C5F"/>
    <w:rsid w:val="004C5F4F"/>
    <w:rsid w:val="004C63BB"/>
    <w:rsid w:val="004C641F"/>
    <w:rsid w:val="004C6639"/>
    <w:rsid w:val="004C6876"/>
    <w:rsid w:val="004C7212"/>
    <w:rsid w:val="004C78F1"/>
    <w:rsid w:val="004C7986"/>
    <w:rsid w:val="004C7D58"/>
    <w:rsid w:val="004D075D"/>
    <w:rsid w:val="004D07EB"/>
    <w:rsid w:val="004D0A49"/>
    <w:rsid w:val="004D0B88"/>
    <w:rsid w:val="004D0C27"/>
    <w:rsid w:val="004D0D2B"/>
    <w:rsid w:val="004D0DFB"/>
    <w:rsid w:val="004D18C3"/>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01A"/>
    <w:rsid w:val="004E094F"/>
    <w:rsid w:val="004E0B48"/>
    <w:rsid w:val="004E10E4"/>
    <w:rsid w:val="004E1357"/>
    <w:rsid w:val="004E146D"/>
    <w:rsid w:val="004E186D"/>
    <w:rsid w:val="004E20A4"/>
    <w:rsid w:val="004E269F"/>
    <w:rsid w:val="004E2879"/>
    <w:rsid w:val="004E3A95"/>
    <w:rsid w:val="004E3B79"/>
    <w:rsid w:val="004E406C"/>
    <w:rsid w:val="004E420A"/>
    <w:rsid w:val="004E4825"/>
    <w:rsid w:val="004E4899"/>
    <w:rsid w:val="004E4AAD"/>
    <w:rsid w:val="004E513E"/>
    <w:rsid w:val="004E55D2"/>
    <w:rsid w:val="004E59E1"/>
    <w:rsid w:val="004E5DE7"/>
    <w:rsid w:val="004E6073"/>
    <w:rsid w:val="004E6318"/>
    <w:rsid w:val="004E6499"/>
    <w:rsid w:val="004E663E"/>
    <w:rsid w:val="004E6719"/>
    <w:rsid w:val="004E6B7D"/>
    <w:rsid w:val="004E6DD8"/>
    <w:rsid w:val="004E7076"/>
    <w:rsid w:val="004E7104"/>
    <w:rsid w:val="004E73D1"/>
    <w:rsid w:val="004E7517"/>
    <w:rsid w:val="004E7519"/>
    <w:rsid w:val="004E769A"/>
    <w:rsid w:val="004E7AEB"/>
    <w:rsid w:val="004E7C01"/>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F7A"/>
    <w:rsid w:val="004F45C6"/>
    <w:rsid w:val="004F491F"/>
    <w:rsid w:val="004F4A13"/>
    <w:rsid w:val="004F502A"/>
    <w:rsid w:val="004F53E2"/>
    <w:rsid w:val="004F585C"/>
    <w:rsid w:val="004F58D3"/>
    <w:rsid w:val="004F5B6E"/>
    <w:rsid w:val="004F5CEF"/>
    <w:rsid w:val="004F5D2B"/>
    <w:rsid w:val="004F5F1C"/>
    <w:rsid w:val="004F5F48"/>
    <w:rsid w:val="004F6230"/>
    <w:rsid w:val="004F628E"/>
    <w:rsid w:val="004F6439"/>
    <w:rsid w:val="004F65C1"/>
    <w:rsid w:val="004F6794"/>
    <w:rsid w:val="004F750C"/>
    <w:rsid w:val="004F7531"/>
    <w:rsid w:val="004F7B69"/>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8B7"/>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450"/>
    <w:rsid w:val="00513553"/>
    <w:rsid w:val="005138B1"/>
    <w:rsid w:val="00513DC7"/>
    <w:rsid w:val="00513E6D"/>
    <w:rsid w:val="00513F21"/>
    <w:rsid w:val="00514161"/>
    <w:rsid w:val="00514559"/>
    <w:rsid w:val="0051466E"/>
    <w:rsid w:val="00514685"/>
    <w:rsid w:val="00514A33"/>
    <w:rsid w:val="00514E5B"/>
    <w:rsid w:val="00515380"/>
    <w:rsid w:val="005153F3"/>
    <w:rsid w:val="0051549E"/>
    <w:rsid w:val="005155DD"/>
    <w:rsid w:val="005155F1"/>
    <w:rsid w:val="00515B60"/>
    <w:rsid w:val="00515DC1"/>
    <w:rsid w:val="00516118"/>
    <w:rsid w:val="0051639F"/>
    <w:rsid w:val="00516C18"/>
    <w:rsid w:val="0051716C"/>
    <w:rsid w:val="005171F2"/>
    <w:rsid w:val="005176CA"/>
    <w:rsid w:val="0051783F"/>
    <w:rsid w:val="00517A74"/>
    <w:rsid w:val="00517B22"/>
    <w:rsid w:val="00520091"/>
    <w:rsid w:val="00520495"/>
    <w:rsid w:val="00520530"/>
    <w:rsid w:val="005206F3"/>
    <w:rsid w:val="00520D09"/>
    <w:rsid w:val="00520FFC"/>
    <w:rsid w:val="0052116B"/>
    <w:rsid w:val="005211CE"/>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4FF6"/>
    <w:rsid w:val="00525268"/>
    <w:rsid w:val="00525367"/>
    <w:rsid w:val="00525384"/>
    <w:rsid w:val="005253CA"/>
    <w:rsid w:val="005253FC"/>
    <w:rsid w:val="005256A7"/>
    <w:rsid w:val="005256D5"/>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85C"/>
    <w:rsid w:val="00530C32"/>
    <w:rsid w:val="00530DB1"/>
    <w:rsid w:val="005312A7"/>
    <w:rsid w:val="00531B3F"/>
    <w:rsid w:val="00531FA2"/>
    <w:rsid w:val="00532494"/>
    <w:rsid w:val="00532B13"/>
    <w:rsid w:val="00532CB2"/>
    <w:rsid w:val="00532D10"/>
    <w:rsid w:val="00533149"/>
    <w:rsid w:val="0053371D"/>
    <w:rsid w:val="00533B84"/>
    <w:rsid w:val="0053421C"/>
    <w:rsid w:val="00534593"/>
    <w:rsid w:val="0053498F"/>
    <w:rsid w:val="00534A1C"/>
    <w:rsid w:val="00534D7D"/>
    <w:rsid w:val="005350DC"/>
    <w:rsid w:val="00535252"/>
    <w:rsid w:val="0053539E"/>
    <w:rsid w:val="00535C83"/>
    <w:rsid w:val="00535CB4"/>
    <w:rsid w:val="00535DFF"/>
    <w:rsid w:val="00536010"/>
    <w:rsid w:val="0053606A"/>
    <w:rsid w:val="00536237"/>
    <w:rsid w:val="0053657A"/>
    <w:rsid w:val="00536710"/>
    <w:rsid w:val="00536896"/>
    <w:rsid w:val="00536AD5"/>
    <w:rsid w:val="00537146"/>
    <w:rsid w:val="0053778C"/>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2EA"/>
    <w:rsid w:val="005524B0"/>
    <w:rsid w:val="00552B0F"/>
    <w:rsid w:val="00552C3B"/>
    <w:rsid w:val="00552CD2"/>
    <w:rsid w:val="00552EB8"/>
    <w:rsid w:val="00552F7C"/>
    <w:rsid w:val="00552FCC"/>
    <w:rsid w:val="0055344F"/>
    <w:rsid w:val="00553893"/>
    <w:rsid w:val="00553D16"/>
    <w:rsid w:val="00553DFB"/>
    <w:rsid w:val="00554139"/>
    <w:rsid w:val="00554316"/>
    <w:rsid w:val="005545DB"/>
    <w:rsid w:val="00554894"/>
    <w:rsid w:val="00554A84"/>
    <w:rsid w:val="00554F08"/>
    <w:rsid w:val="00554FFD"/>
    <w:rsid w:val="005555DB"/>
    <w:rsid w:val="0055584F"/>
    <w:rsid w:val="0055587F"/>
    <w:rsid w:val="00555AE0"/>
    <w:rsid w:val="00555AEC"/>
    <w:rsid w:val="00555B16"/>
    <w:rsid w:val="00555F09"/>
    <w:rsid w:val="00556028"/>
    <w:rsid w:val="00556EFB"/>
    <w:rsid w:val="00556FC9"/>
    <w:rsid w:val="00557296"/>
    <w:rsid w:val="005577B0"/>
    <w:rsid w:val="00557B39"/>
    <w:rsid w:val="0056013B"/>
    <w:rsid w:val="00560192"/>
    <w:rsid w:val="00561241"/>
    <w:rsid w:val="00561584"/>
    <w:rsid w:val="00561AB3"/>
    <w:rsid w:val="00562084"/>
    <w:rsid w:val="005623AB"/>
    <w:rsid w:val="005623EA"/>
    <w:rsid w:val="005626AD"/>
    <w:rsid w:val="00562EA1"/>
    <w:rsid w:val="00562F5C"/>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6F65"/>
    <w:rsid w:val="00567154"/>
    <w:rsid w:val="00567562"/>
    <w:rsid w:val="005675DF"/>
    <w:rsid w:val="00567656"/>
    <w:rsid w:val="005679ED"/>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27"/>
    <w:rsid w:val="00572546"/>
    <w:rsid w:val="005725E3"/>
    <w:rsid w:val="005727BD"/>
    <w:rsid w:val="00572C2A"/>
    <w:rsid w:val="00572EF2"/>
    <w:rsid w:val="00573587"/>
    <w:rsid w:val="00573B54"/>
    <w:rsid w:val="00573F56"/>
    <w:rsid w:val="00573FF9"/>
    <w:rsid w:val="005744F6"/>
    <w:rsid w:val="00574B37"/>
    <w:rsid w:val="00574CF5"/>
    <w:rsid w:val="005754ED"/>
    <w:rsid w:val="00575AE0"/>
    <w:rsid w:val="00575B15"/>
    <w:rsid w:val="00575B53"/>
    <w:rsid w:val="00575CAC"/>
    <w:rsid w:val="00575DEF"/>
    <w:rsid w:val="00575F16"/>
    <w:rsid w:val="00576C5F"/>
    <w:rsid w:val="00576DD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1D2C"/>
    <w:rsid w:val="0058211D"/>
    <w:rsid w:val="0058248A"/>
    <w:rsid w:val="005826EA"/>
    <w:rsid w:val="0058358D"/>
    <w:rsid w:val="0058385F"/>
    <w:rsid w:val="00583A33"/>
    <w:rsid w:val="00583AC5"/>
    <w:rsid w:val="00583DAA"/>
    <w:rsid w:val="00583E24"/>
    <w:rsid w:val="00583F94"/>
    <w:rsid w:val="0058453E"/>
    <w:rsid w:val="00584619"/>
    <w:rsid w:val="00584BE4"/>
    <w:rsid w:val="00584BFC"/>
    <w:rsid w:val="00584E56"/>
    <w:rsid w:val="005852F7"/>
    <w:rsid w:val="0058546C"/>
    <w:rsid w:val="005854C4"/>
    <w:rsid w:val="00585A79"/>
    <w:rsid w:val="00585D6F"/>
    <w:rsid w:val="005860AF"/>
    <w:rsid w:val="005867D2"/>
    <w:rsid w:val="0058687D"/>
    <w:rsid w:val="005869CB"/>
    <w:rsid w:val="005870E2"/>
    <w:rsid w:val="0058724E"/>
    <w:rsid w:val="005875A5"/>
    <w:rsid w:val="00587727"/>
    <w:rsid w:val="00587876"/>
    <w:rsid w:val="0058798E"/>
    <w:rsid w:val="0059013D"/>
    <w:rsid w:val="00590781"/>
    <w:rsid w:val="00590862"/>
    <w:rsid w:val="005909A8"/>
    <w:rsid w:val="00590D4E"/>
    <w:rsid w:val="00590E3D"/>
    <w:rsid w:val="005910E0"/>
    <w:rsid w:val="00591644"/>
    <w:rsid w:val="00591C16"/>
    <w:rsid w:val="00592808"/>
    <w:rsid w:val="00592A0D"/>
    <w:rsid w:val="00592A8E"/>
    <w:rsid w:val="00592B45"/>
    <w:rsid w:val="00593FA4"/>
    <w:rsid w:val="00594376"/>
    <w:rsid w:val="005944B6"/>
    <w:rsid w:val="00594A61"/>
    <w:rsid w:val="00594F1D"/>
    <w:rsid w:val="00594F6F"/>
    <w:rsid w:val="005953AD"/>
    <w:rsid w:val="00595489"/>
    <w:rsid w:val="005956B6"/>
    <w:rsid w:val="005956E3"/>
    <w:rsid w:val="00595894"/>
    <w:rsid w:val="00595996"/>
    <w:rsid w:val="00596154"/>
    <w:rsid w:val="005963CC"/>
    <w:rsid w:val="00596841"/>
    <w:rsid w:val="00596861"/>
    <w:rsid w:val="00596C0E"/>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B92"/>
    <w:rsid w:val="005A6F61"/>
    <w:rsid w:val="005A6F92"/>
    <w:rsid w:val="005A6FED"/>
    <w:rsid w:val="005A70E5"/>
    <w:rsid w:val="005A7323"/>
    <w:rsid w:val="005A777A"/>
    <w:rsid w:val="005A78B2"/>
    <w:rsid w:val="005A7A57"/>
    <w:rsid w:val="005A7AA4"/>
    <w:rsid w:val="005B05E7"/>
    <w:rsid w:val="005B0AE8"/>
    <w:rsid w:val="005B0B39"/>
    <w:rsid w:val="005B0F02"/>
    <w:rsid w:val="005B10EF"/>
    <w:rsid w:val="005B13CE"/>
    <w:rsid w:val="005B166A"/>
    <w:rsid w:val="005B1A25"/>
    <w:rsid w:val="005B1A5C"/>
    <w:rsid w:val="005B1B3E"/>
    <w:rsid w:val="005B1BC4"/>
    <w:rsid w:val="005B1D50"/>
    <w:rsid w:val="005B2836"/>
    <w:rsid w:val="005B2C40"/>
    <w:rsid w:val="005B2D3D"/>
    <w:rsid w:val="005B3B14"/>
    <w:rsid w:val="005B3C66"/>
    <w:rsid w:val="005B3D11"/>
    <w:rsid w:val="005B411C"/>
    <w:rsid w:val="005B4BA3"/>
    <w:rsid w:val="005B4E4D"/>
    <w:rsid w:val="005B5538"/>
    <w:rsid w:val="005B57F5"/>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811"/>
    <w:rsid w:val="005B7B2E"/>
    <w:rsid w:val="005B7B47"/>
    <w:rsid w:val="005C01A8"/>
    <w:rsid w:val="005C06F8"/>
    <w:rsid w:val="005C072C"/>
    <w:rsid w:val="005C0E15"/>
    <w:rsid w:val="005C1023"/>
    <w:rsid w:val="005C1384"/>
    <w:rsid w:val="005C13B2"/>
    <w:rsid w:val="005C17A1"/>
    <w:rsid w:val="005C1815"/>
    <w:rsid w:val="005C1AD0"/>
    <w:rsid w:val="005C1AEC"/>
    <w:rsid w:val="005C1FC1"/>
    <w:rsid w:val="005C27E3"/>
    <w:rsid w:val="005C33AA"/>
    <w:rsid w:val="005C37CB"/>
    <w:rsid w:val="005C3BE8"/>
    <w:rsid w:val="005C3EF8"/>
    <w:rsid w:val="005C3F69"/>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D91"/>
    <w:rsid w:val="005D2112"/>
    <w:rsid w:val="005D2657"/>
    <w:rsid w:val="005D28CC"/>
    <w:rsid w:val="005D292F"/>
    <w:rsid w:val="005D2A87"/>
    <w:rsid w:val="005D3264"/>
    <w:rsid w:val="005D34EA"/>
    <w:rsid w:val="005D368B"/>
    <w:rsid w:val="005D3E8E"/>
    <w:rsid w:val="005D40A9"/>
    <w:rsid w:val="005D4217"/>
    <w:rsid w:val="005D42BD"/>
    <w:rsid w:val="005D45B5"/>
    <w:rsid w:val="005D4661"/>
    <w:rsid w:val="005D4C57"/>
    <w:rsid w:val="005D4FE1"/>
    <w:rsid w:val="005D5075"/>
    <w:rsid w:val="005D50C0"/>
    <w:rsid w:val="005D52FA"/>
    <w:rsid w:val="005D5403"/>
    <w:rsid w:val="005D600F"/>
    <w:rsid w:val="005D6013"/>
    <w:rsid w:val="005D60C0"/>
    <w:rsid w:val="005D6612"/>
    <w:rsid w:val="005D66F5"/>
    <w:rsid w:val="005D697E"/>
    <w:rsid w:val="005D7088"/>
    <w:rsid w:val="005D7619"/>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AE2"/>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2A2"/>
    <w:rsid w:val="005F0616"/>
    <w:rsid w:val="005F0727"/>
    <w:rsid w:val="005F07DC"/>
    <w:rsid w:val="005F0C34"/>
    <w:rsid w:val="005F0EAB"/>
    <w:rsid w:val="005F0FB4"/>
    <w:rsid w:val="005F13BD"/>
    <w:rsid w:val="005F1859"/>
    <w:rsid w:val="005F1AC8"/>
    <w:rsid w:val="005F1B25"/>
    <w:rsid w:val="005F1E93"/>
    <w:rsid w:val="005F21AF"/>
    <w:rsid w:val="005F21FB"/>
    <w:rsid w:val="005F257C"/>
    <w:rsid w:val="005F25E2"/>
    <w:rsid w:val="005F27E3"/>
    <w:rsid w:val="005F2B4F"/>
    <w:rsid w:val="005F2F2A"/>
    <w:rsid w:val="005F347F"/>
    <w:rsid w:val="005F35AA"/>
    <w:rsid w:val="005F38CE"/>
    <w:rsid w:val="005F406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3"/>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2"/>
    <w:rsid w:val="0060251E"/>
    <w:rsid w:val="00602A68"/>
    <w:rsid w:val="00602DDE"/>
    <w:rsid w:val="00602E0C"/>
    <w:rsid w:val="0060339B"/>
    <w:rsid w:val="00603552"/>
    <w:rsid w:val="00603C29"/>
    <w:rsid w:val="006046E4"/>
    <w:rsid w:val="00604839"/>
    <w:rsid w:val="00604BC5"/>
    <w:rsid w:val="00604D37"/>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79E"/>
    <w:rsid w:val="00607C2E"/>
    <w:rsid w:val="00610137"/>
    <w:rsid w:val="006101FF"/>
    <w:rsid w:val="0061038C"/>
    <w:rsid w:val="006106C1"/>
    <w:rsid w:val="006106F4"/>
    <w:rsid w:val="00610B28"/>
    <w:rsid w:val="00610F52"/>
    <w:rsid w:val="0061124A"/>
    <w:rsid w:val="006112D0"/>
    <w:rsid w:val="0061167D"/>
    <w:rsid w:val="0061169D"/>
    <w:rsid w:val="00611737"/>
    <w:rsid w:val="00611752"/>
    <w:rsid w:val="00611B07"/>
    <w:rsid w:val="00611C1D"/>
    <w:rsid w:val="00611C3B"/>
    <w:rsid w:val="00611C60"/>
    <w:rsid w:val="00611F0D"/>
    <w:rsid w:val="00612019"/>
    <w:rsid w:val="00612388"/>
    <w:rsid w:val="00612882"/>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860"/>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281"/>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27AD9"/>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68B"/>
    <w:rsid w:val="006347E7"/>
    <w:rsid w:val="006347F4"/>
    <w:rsid w:val="00634826"/>
    <w:rsid w:val="00634AA9"/>
    <w:rsid w:val="00634B42"/>
    <w:rsid w:val="00634D4F"/>
    <w:rsid w:val="00634D53"/>
    <w:rsid w:val="00634FA8"/>
    <w:rsid w:val="00635027"/>
    <w:rsid w:val="00635560"/>
    <w:rsid w:val="006355C4"/>
    <w:rsid w:val="00635CB0"/>
    <w:rsid w:val="00636486"/>
    <w:rsid w:val="0063660C"/>
    <w:rsid w:val="00636664"/>
    <w:rsid w:val="00636694"/>
    <w:rsid w:val="0063678C"/>
    <w:rsid w:val="00636EBB"/>
    <w:rsid w:val="00637170"/>
    <w:rsid w:val="00637208"/>
    <w:rsid w:val="006374E0"/>
    <w:rsid w:val="00637764"/>
    <w:rsid w:val="00637C38"/>
    <w:rsid w:val="00637CBA"/>
    <w:rsid w:val="00640576"/>
    <w:rsid w:val="0064059A"/>
    <w:rsid w:val="00640962"/>
    <w:rsid w:val="00640AC5"/>
    <w:rsid w:val="0064126C"/>
    <w:rsid w:val="006413AA"/>
    <w:rsid w:val="006416D2"/>
    <w:rsid w:val="00641A83"/>
    <w:rsid w:val="00641D62"/>
    <w:rsid w:val="00641D96"/>
    <w:rsid w:val="006423AA"/>
    <w:rsid w:val="00642B5C"/>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C28"/>
    <w:rsid w:val="00650E6D"/>
    <w:rsid w:val="006510CE"/>
    <w:rsid w:val="006512D6"/>
    <w:rsid w:val="0065137A"/>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D72"/>
    <w:rsid w:val="006553F3"/>
    <w:rsid w:val="006556D1"/>
    <w:rsid w:val="006556D9"/>
    <w:rsid w:val="00655715"/>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1D5E"/>
    <w:rsid w:val="0066202F"/>
    <w:rsid w:val="006622A8"/>
    <w:rsid w:val="00662681"/>
    <w:rsid w:val="006626BE"/>
    <w:rsid w:val="006628E3"/>
    <w:rsid w:val="006630FC"/>
    <w:rsid w:val="00663147"/>
    <w:rsid w:val="00663344"/>
    <w:rsid w:val="00663ADA"/>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787"/>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102"/>
    <w:rsid w:val="0068025E"/>
    <w:rsid w:val="0068051B"/>
    <w:rsid w:val="006805D9"/>
    <w:rsid w:val="00680912"/>
    <w:rsid w:val="00680E8B"/>
    <w:rsid w:val="0068150F"/>
    <w:rsid w:val="006818D0"/>
    <w:rsid w:val="006819A3"/>
    <w:rsid w:val="00681D51"/>
    <w:rsid w:val="00681E2F"/>
    <w:rsid w:val="00682129"/>
    <w:rsid w:val="0068266C"/>
    <w:rsid w:val="00682E55"/>
    <w:rsid w:val="00683143"/>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17F1"/>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6AC"/>
    <w:rsid w:val="00695B5A"/>
    <w:rsid w:val="00695D1E"/>
    <w:rsid w:val="00695FCA"/>
    <w:rsid w:val="00696335"/>
    <w:rsid w:val="006964EF"/>
    <w:rsid w:val="00696A4D"/>
    <w:rsid w:val="00696C70"/>
    <w:rsid w:val="00697AC9"/>
    <w:rsid w:val="00697D19"/>
    <w:rsid w:val="006A0052"/>
    <w:rsid w:val="006A05C7"/>
    <w:rsid w:val="006A08CA"/>
    <w:rsid w:val="006A0E43"/>
    <w:rsid w:val="006A102D"/>
    <w:rsid w:val="006A11E4"/>
    <w:rsid w:val="006A15CF"/>
    <w:rsid w:val="006A16F0"/>
    <w:rsid w:val="006A19EF"/>
    <w:rsid w:val="006A20A4"/>
    <w:rsid w:val="006A29FF"/>
    <w:rsid w:val="006A2AB9"/>
    <w:rsid w:val="006A2DB4"/>
    <w:rsid w:val="006A3377"/>
    <w:rsid w:val="006A350E"/>
    <w:rsid w:val="006A414D"/>
    <w:rsid w:val="006A41F8"/>
    <w:rsid w:val="006A42A5"/>
    <w:rsid w:val="006A451E"/>
    <w:rsid w:val="006A45BB"/>
    <w:rsid w:val="006A4E52"/>
    <w:rsid w:val="006A4FC8"/>
    <w:rsid w:val="006A50F1"/>
    <w:rsid w:val="006A517B"/>
    <w:rsid w:val="006A55E1"/>
    <w:rsid w:val="006A5A44"/>
    <w:rsid w:val="006A5E85"/>
    <w:rsid w:val="006A603D"/>
    <w:rsid w:val="006A607B"/>
    <w:rsid w:val="006A61EC"/>
    <w:rsid w:val="006A6296"/>
    <w:rsid w:val="006A6E27"/>
    <w:rsid w:val="006A6EAC"/>
    <w:rsid w:val="006A6FB8"/>
    <w:rsid w:val="006A72B0"/>
    <w:rsid w:val="006A7358"/>
    <w:rsid w:val="006A74E5"/>
    <w:rsid w:val="006A7AB4"/>
    <w:rsid w:val="006B02C4"/>
    <w:rsid w:val="006B04FE"/>
    <w:rsid w:val="006B05D4"/>
    <w:rsid w:val="006B075C"/>
    <w:rsid w:val="006B0856"/>
    <w:rsid w:val="006B0894"/>
    <w:rsid w:val="006B1716"/>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8F6"/>
    <w:rsid w:val="006B6AEF"/>
    <w:rsid w:val="006B6DA1"/>
    <w:rsid w:val="006B76C2"/>
    <w:rsid w:val="006B7877"/>
    <w:rsid w:val="006B7CBC"/>
    <w:rsid w:val="006B7F2C"/>
    <w:rsid w:val="006C02CD"/>
    <w:rsid w:val="006C06A9"/>
    <w:rsid w:val="006C09B1"/>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B8"/>
    <w:rsid w:val="006C7FF1"/>
    <w:rsid w:val="006D02AA"/>
    <w:rsid w:val="006D0F89"/>
    <w:rsid w:val="006D1A50"/>
    <w:rsid w:val="006D1DFE"/>
    <w:rsid w:val="006D20A4"/>
    <w:rsid w:val="006D2203"/>
    <w:rsid w:val="006D2288"/>
    <w:rsid w:val="006D2560"/>
    <w:rsid w:val="006D28DD"/>
    <w:rsid w:val="006D328B"/>
    <w:rsid w:val="006D3620"/>
    <w:rsid w:val="006D41CE"/>
    <w:rsid w:val="006D44AE"/>
    <w:rsid w:val="006D460E"/>
    <w:rsid w:val="006D472A"/>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E008F"/>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EA5"/>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0FD5"/>
    <w:rsid w:val="006F1024"/>
    <w:rsid w:val="006F129F"/>
    <w:rsid w:val="006F13E0"/>
    <w:rsid w:val="006F1488"/>
    <w:rsid w:val="006F1F36"/>
    <w:rsid w:val="006F26B4"/>
    <w:rsid w:val="006F2A0D"/>
    <w:rsid w:val="006F2D0A"/>
    <w:rsid w:val="006F2D7F"/>
    <w:rsid w:val="006F319D"/>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A56"/>
    <w:rsid w:val="006F7DEF"/>
    <w:rsid w:val="00700431"/>
    <w:rsid w:val="00700CF2"/>
    <w:rsid w:val="00700F78"/>
    <w:rsid w:val="007011CC"/>
    <w:rsid w:val="0070150E"/>
    <w:rsid w:val="007016DD"/>
    <w:rsid w:val="00701735"/>
    <w:rsid w:val="007019D8"/>
    <w:rsid w:val="00701CC3"/>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2991"/>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8A4"/>
    <w:rsid w:val="00717B3E"/>
    <w:rsid w:val="00720232"/>
    <w:rsid w:val="007205E1"/>
    <w:rsid w:val="0072095F"/>
    <w:rsid w:val="0072108E"/>
    <w:rsid w:val="007215E5"/>
    <w:rsid w:val="007216B7"/>
    <w:rsid w:val="00721767"/>
    <w:rsid w:val="00721826"/>
    <w:rsid w:val="00721A20"/>
    <w:rsid w:val="00721C77"/>
    <w:rsid w:val="0072224B"/>
    <w:rsid w:val="007223D1"/>
    <w:rsid w:val="00722696"/>
    <w:rsid w:val="0072299A"/>
    <w:rsid w:val="00722B70"/>
    <w:rsid w:val="00722D6F"/>
    <w:rsid w:val="00723062"/>
    <w:rsid w:val="007231DD"/>
    <w:rsid w:val="00723770"/>
    <w:rsid w:val="007241BE"/>
    <w:rsid w:val="00724786"/>
    <w:rsid w:val="0072512A"/>
    <w:rsid w:val="00725356"/>
    <w:rsid w:val="00725966"/>
    <w:rsid w:val="00725CF6"/>
    <w:rsid w:val="007261CF"/>
    <w:rsid w:val="00726384"/>
    <w:rsid w:val="007264B1"/>
    <w:rsid w:val="00726C80"/>
    <w:rsid w:val="00726F11"/>
    <w:rsid w:val="00726FDC"/>
    <w:rsid w:val="00727529"/>
    <w:rsid w:val="00727930"/>
    <w:rsid w:val="00727AAD"/>
    <w:rsid w:val="0073072C"/>
    <w:rsid w:val="00730B13"/>
    <w:rsid w:val="0073130B"/>
    <w:rsid w:val="00731769"/>
    <w:rsid w:val="00731EE6"/>
    <w:rsid w:val="0073211A"/>
    <w:rsid w:val="0073271E"/>
    <w:rsid w:val="007329E5"/>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6FEF"/>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08B"/>
    <w:rsid w:val="00747126"/>
    <w:rsid w:val="007476A0"/>
    <w:rsid w:val="007477C5"/>
    <w:rsid w:val="0074792C"/>
    <w:rsid w:val="00747938"/>
    <w:rsid w:val="00750A52"/>
    <w:rsid w:val="00750EC3"/>
    <w:rsid w:val="00750FCF"/>
    <w:rsid w:val="007512B3"/>
    <w:rsid w:val="00751551"/>
    <w:rsid w:val="007515D1"/>
    <w:rsid w:val="007517DA"/>
    <w:rsid w:val="00751B95"/>
    <w:rsid w:val="0075204A"/>
    <w:rsid w:val="007521C4"/>
    <w:rsid w:val="00752BEB"/>
    <w:rsid w:val="00752D13"/>
    <w:rsid w:val="00752DD8"/>
    <w:rsid w:val="00752E3D"/>
    <w:rsid w:val="0075312C"/>
    <w:rsid w:val="007532FA"/>
    <w:rsid w:val="00753671"/>
    <w:rsid w:val="00753757"/>
    <w:rsid w:val="0075377A"/>
    <w:rsid w:val="00753A38"/>
    <w:rsid w:val="00753D0A"/>
    <w:rsid w:val="007541E4"/>
    <w:rsid w:val="0075469A"/>
    <w:rsid w:val="00754C91"/>
    <w:rsid w:val="00755467"/>
    <w:rsid w:val="007554B4"/>
    <w:rsid w:val="00755817"/>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A7B"/>
    <w:rsid w:val="00761B62"/>
    <w:rsid w:val="007621FF"/>
    <w:rsid w:val="00762367"/>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2F20"/>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83B"/>
    <w:rsid w:val="00775C40"/>
    <w:rsid w:val="00775C59"/>
    <w:rsid w:val="00775DA6"/>
    <w:rsid w:val="0077629F"/>
    <w:rsid w:val="0077645D"/>
    <w:rsid w:val="00776542"/>
    <w:rsid w:val="00776749"/>
    <w:rsid w:val="00776E2E"/>
    <w:rsid w:val="00777442"/>
    <w:rsid w:val="00777451"/>
    <w:rsid w:val="007776A8"/>
    <w:rsid w:val="007779A3"/>
    <w:rsid w:val="00777ADC"/>
    <w:rsid w:val="007802E7"/>
    <w:rsid w:val="007802F7"/>
    <w:rsid w:val="00780B1A"/>
    <w:rsid w:val="00780D45"/>
    <w:rsid w:val="00780F3F"/>
    <w:rsid w:val="007812E7"/>
    <w:rsid w:val="00781315"/>
    <w:rsid w:val="0078159F"/>
    <w:rsid w:val="00781A97"/>
    <w:rsid w:val="00781E7D"/>
    <w:rsid w:val="00782065"/>
    <w:rsid w:val="007822BA"/>
    <w:rsid w:val="00782419"/>
    <w:rsid w:val="007824BC"/>
    <w:rsid w:val="00782558"/>
    <w:rsid w:val="007825DA"/>
    <w:rsid w:val="00782D2D"/>
    <w:rsid w:val="00782DFC"/>
    <w:rsid w:val="00782EC4"/>
    <w:rsid w:val="00782EEE"/>
    <w:rsid w:val="00783153"/>
    <w:rsid w:val="0078354E"/>
    <w:rsid w:val="00783A74"/>
    <w:rsid w:val="00783AE5"/>
    <w:rsid w:val="00784B98"/>
    <w:rsid w:val="0078539C"/>
    <w:rsid w:val="00785777"/>
    <w:rsid w:val="00785B03"/>
    <w:rsid w:val="00785C83"/>
    <w:rsid w:val="007864DA"/>
    <w:rsid w:val="00786ED8"/>
    <w:rsid w:val="0078727E"/>
    <w:rsid w:val="00787491"/>
    <w:rsid w:val="0078759B"/>
    <w:rsid w:val="00787807"/>
    <w:rsid w:val="00787A15"/>
    <w:rsid w:val="00787CF3"/>
    <w:rsid w:val="00787D20"/>
    <w:rsid w:val="00787FD1"/>
    <w:rsid w:val="0079001F"/>
    <w:rsid w:val="00790362"/>
    <w:rsid w:val="007904EA"/>
    <w:rsid w:val="0079065C"/>
    <w:rsid w:val="007906C3"/>
    <w:rsid w:val="00790767"/>
    <w:rsid w:val="00790B5F"/>
    <w:rsid w:val="0079108A"/>
    <w:rsid w:val="007911B6"/>
    <w:rsid w:val="00791BF5"/>
    <w:rsid w:val="00791D6C"/>
    <w:rsid w:val="007920FE"/>
    <w:rsid w:val="00792431"/>
    <w:rsid w:val="007930B7"/>
    <w:rsid w:val="00793237"/>
    <w:rsid w:val="00793541"/>
    <w:rsid w:val="007946AA"/>
    <w:rsid w:val="00794D4C"/>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265"/>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D48"/>
    <w:rsid w:val="007A5E68"/>
    <w:rsid w:val="007A602B"/>
    <w:rsid w:val="007A63C9"/>
    <w:rsid w:val="007A6CFC"/>
    <w:rsid w:val="007A6DDB"/>
    <w:rsid w:val="007A71CE"/>
    <w:rsid w:val="007A7442"/>
    <w:rsid w:val="007A7825"/>
    <w:rsid w:val="007A7925"/>
    <w:rsid w:val="007A7B34"/>
    <w:rsid w:val="007A7B7E"/>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007"/>
    <w:rsid w:val="007B321C"/>
    <w:rsid w:val="007B33E5"/>
    <w:rsid w:val="007B36BF"/>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124F"/>
    <w:rsid w:val="007C1D9D"/>
    <w:rsid w:val="007C229C"/>
    <w:rsid w:val="007C28CF"/>
    <w:rsid w:val="007C2941"/>
    <w:rsid w:val="007C29D7"/>
    <w:rsid w:val="007C2A9E"/>
    <w:rsid w:val="007C2FC6"/>
    <w:rsid w:val="007C3215"/>
    <w:rsid w:val="007C34DE"/>
    <w:rsid w:val="007C38B5"/>
    <w:rsid w:val="007C3F41"/>
    <w:rsid w:val="007C404B"/>
    <w:rsid w:val="007C4187"/>
    <w:rsid w:val="007C41A0"/>
    <w:rsid w:val="007C4A68"/>
    <w:rsid w:val="007C4BAE"/>
    <w:rsid w:val="007C4BEE"/>
    <w:rsid w:val="007C4CD1"/>
    <w:rsid w:val="007C4D64"/>
    <w:rsid w:val="007C4EF0"/>
    <w:rsid w:val="007C4FAE"/>
    <w:rsid w:val="007C5BA9"/>
    <w:rsid w:val="007C62AC"/>
    <w:rsid w:val="007C64F4"/>
    <w:rsid w:val="007C667A"/>
    <w:rsid w:val="007C6A89"/>
    <w:rsid w:val="007C6D50"/>
    <w:rsid w:val="007C6F2E"/>
    <w:rsid w:val="007C73CF"/>
    <w:rsid w:val="007C764E"/>
    <w:rsid w:val="007C77C5"/>
    <w:rsid w:val="007C7D06"/>
    <w:rsid w:val="007C7E37"/>
    <w:rsid w:val="007D01AF"/>
    <w:rsid w:val="007D044C"/>
    <w:rsid w:val="007D08C8"/>
    <w:rsid w:val="007D10C8"/>
    <w:rsid w:val="007D1269"/>
    <w:rsid w:val="007D1406"/>
    <w:rsid w:val="007D1D3B"/>
    <w:rsid w:val="007D1DF0"/>
    <w:rsid w:val="007D1DF4"/>
    <w:rsid w:val="007D20B0"/>
    <w:rsid w:val="007D24CF"/>
    <w:rsid w:val="007D2A15"/>
    <w:rsid w:val="007D3165"/>
    <w:rsid w:val="007D32B3"/>
    <w:rsid w:val="007D3560"/>
    <w:rsid w:val="007D3DF2"/>
    <w:rsid w:val="007D4068"/>
    <w:rsid w:val="007D4284"/>
    <w:rsid w:val="007D4621"/>
    <w:rsid w:val="007D47A8"/>
    <w:rsid w:val="007D4982"/>
    <w:rsid w:val="007D4D87"/>
    <w:rsid w:val="007D4E14"/>
    <w:rsid w:val="007D4E55"/>
    <w:rsid w:val="007D5696"/>
    <w:rsid w:val="007D5787"/>
    <w:rsid w:val="007D5960"/>
    <w:rsid w:val="007D5A97"/>
    <w:rsid w:val="007D6002"/>
    <w:rsid w:val="007D606A"/>
    <w:rsid w:val="007D65F6"/>
    <w:rsid w:val="007D6773"/>
    <w:rsid w:val="007D6C0C"/>
    <w:rsid w:val="007D6E94"/>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42E6"/>
    <w:rsid w:val="007E46BF"/>
    <w:rsid w:val="007E4719"/>
    <w:rsid w:val="007E487F"/>
    <w:rsid w:val="007E4A0D"/>
    <w:rsid w:val="007E4B2D"/>
    <w:rsid w:val="007E4C3F"/>
    <w:rsid w:val="007E5388"/>
    <w:rsid w:val="007E54E0"/>
    <w:rsid w:val="007E5655"/>
    <w:rsid w:val="007E587D"/>
    <w:rsid w:val="007E58C0"/>
    <w:rsid w:val="007E5CE8"/>
    <w:rsid w:val="007E6447"/>
    <w:rsid w:val="007E6757"/>
    <w:rsid w:val="007E678F"/>
    <w:rsid w:val="007E68C0"/>
    <w:rsid w:val="007E6D75"/>
    <w:rsid w:val="007E6D9B"/>
    <w:rsid w:val="007E6DE7"/>
    <w:rsid w:val="007E7124"/>
    <w:rsid w:val="007E71E9"/>
    <w:rsid w:val="007E71EC"/>
    <w:rsid w:val="007E74E3"/>
    <w:rsid w:val="007E76CB"/>
    <w:rsid w:val="007E7721"/>
    <w:rsid w:val="007E7B1C"/>
    <w:rsid w:val="007E7C5C"/>
    <w:rsid w:val="007E7CB2"/>
    <w:rsid w:val="007E7CF2"/>
    <w:rsid w:val="007E7E2E"/>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4954"/>
    <w:rsid w:val="007F4C48"/>
    <w:rsid w:val="007F5024"/>
    <w:rsid w:val="007F5287"/>
    <w:rsid w:val="007F5799"/>
    <w:rsid w:val="007F5A11"/>
    <w:rsid w:val="007F5BF1"/>
    <w:rsid w:val="007F5F67"/>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58A"/>
    <w:rsid w:val="00805930"/>
    <w:rsid w:val="00805D9C"/>
    <w:rsid w:val="008061D6"/>
    <w:rsid w:val="0080646D"/>
    <w:rsid w:val="0080680D"/>
    <w:rsid w:val="00807138"/>
    <w:rsid w:val="0080786A"/>
    <w:rsid w:val="00807AA3"/>
    <w:rsid w:val="00807F10"/>
    <w:rsid w:val="00810139"/>
    <w:rsid w:val="00810552"/>
    <w:rsid w:val="008105B3"/>
    <w:rsid w:val="008111CF"/>
    <w:rsid w:val="008114EB"/>
    <w:rsid w:val="00811CEA"/>
    <w:rsid w:val="00811D79"/>
    <w:rsid w:val="008127F9"/>
    <w:rsid w:val="008128C1"/>
    <w:rsid w:val="00812A4B"/>
    <w:rsid w:val="00812C05"/>
    <w:rsid w:val="00812C83"/>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45C"/>
    <w:rsid w:val="00815617"/>
    <w:rsid w:val="00815E12"/>
    <w:rsid w:val="008162AB"/>
    <w:rsid w:val="008164EB"/>
    <w:rsid w:val="008169C0"/>
    <w:rsid w:val="008169E7"/>
    <w:rsid w:val="00816E7C"/>
    <w:rsid w:val="008170C5"/>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2FDD"/>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0A"/>
    <w:rsid w:val="008302B7"/>
    <w:rsid w:val="00830340"/>
    <w:rsid w:val="008303A5"/>
    <w:rsid w:val="00830A3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A83"/>
    <w:rsid w:val="00840CA5"/>
    <w:rsid w:val="00841533"/>
    <w:rsid w:val="00841B13"/>
    <w:rsid w:val="00841E92"/>
    <w:rsid w:val="00842AB6"/>
    <w:rsid w:val="00842E09"/>
    <w:rsid w:val="00843016"/>
    <w:rsid w:val="00843577"/>
    <w:rsid w:val="00843E6F"/>
    <w:rsid w:val="008441CE"/>
    <w:rsid w:val="008442D3"/>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B4C"/>
    <w:rsid w:val="00847C2B"/>
    <w:rsid w:val="0085002F"/>
    <w:rsid w:val="00850128"/>
    <w:rsid w:val="00850167"/>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28A"/>
    <w:rsid w:val="008747A6"/>
    <w:rsid w:val="00874ABD"/>
    <w:rsid w:val="00874AD4"/>
    <w:rsid w:val="00874DB0"/>
    <w:rsid w:val="00874E64"/>
    <w:rsid w:val="00875587"/>
    <w:rsid w:val="008755E7"/>
    <w:rsid w:val="00875A5A"/>
    <w:rsid w:val="00875A72"/>
    <w:rsid w:val="008760EF"/>
    <w:rsid w:val="00876567"/>
    <w:rsid w:val="00876B8D"/>
    <w:rsid w:val="00876F19"/>
    <w:rsid w:val="00877051"/>
    <w:rsid w:val="008771EA"/>
    <w:rsid w:val="00877277"/>
    <w:rsid w:val="008773A1"/>
    <w:rsid w:val="00877727"/>
    <w:rsid w:val="00877B1A"/>
    <w:rsid w:val="00877BBF"/>
    <w:rsid w:val="00877E7E"/>
    <w:rsid w:val="00877E9C"/>
    <w:rsid w:val="008800D3"/>
    <w:rsid w:val="00880159"/>
    <w:rsid w:val="00880C56"/>
    <w:rsid w:val="00880CF7"/>
    <w:rsid w:val="00880D8E"/>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A43"/>
    <w:rsid w:val="00884EA2"/>
    <w:rsid w:val="008853B4"/>
    <w:rsid w:val="008853C7"/>
    <w:rsid w:val="00885825"/>
    <w:rsid w:val="00885B9B"/>
    <w:rsid w:val="00886030"/>
    <w:rsid w:val="00886501"/>
    <w:rsid w:val="00886531"/>
    <w:rsid w:val="00886CDD"/>
    <w:rsid w:val="00886F2C"/>
    <w:rsid w:val="00886F36"/>
    <w:rsid w:val="00886F38"/>
    <w:rsid w:val="00886FF6"/>
    <w:rsid w:val="00887462"/>
    <w:rsid w:val="008879A9"/>
    <w:rsid w:val="00887A37"/>
    <w:rsid w:val="00887E1E"/>
    <w:rsid w:val="008908BD"/>
    <w:rsid w:val="00890AF2"/>
    <w:rsid w:val="008914FB"/>
    <w:rsid w:val="008915B6"/>
    <w:rsid w:val="00891D47"/>
    <w:rsid w:val="0089214D"/>
    <w:rsid w:val="008922AD"/>
    <w:rsid w:val="00892B2D"/>
    <w:rsid w:val="00893C0D"/>
    <w:rsid w:val="00893D72"/>
    <w:rsid w:val="00894081"/>
    <w:rsid w:val="00894125"/>
    <w:rsid w:val="00894143"/>
    <w:rsid w:val="0089435A"/>
    <w:rsid w:val="00894781"/>
    <w:rsid w:val="0089485F"/>
    <w:rsid w:val="00894A50"/>
    <w:rsid w:val="00894E3A"/>
    <w:rsid w:val="008950EF"/>
    <w:rsid w:val="008954F9"/>
    <w:rsid w:val="00895552"/>
    <w:rsid w:val="00895653"/>
    <w:rsid w:val="008957DD"/>
    <w:rsid w:val="008961E4"/>
    <w:rsid w:val="00896449"/>
    <w:rsid w:val="00897194"/>
    <w:rsid w:val="0089724F"/>
    <w:rsid w:val="0089754C"/>
    <w:rsid w:val="00897B5E"/>
    <w:rsid w:val="00897BC6"/>
    <w:rsid w:val="00897D8B"/>
    <w:rsid w:val="00897DA7"/>
    <w:rsid w:val="00897DC3"/>
    <w:rsid w:val="00897FFC"/>
    <w:rsid w:val="008A002A"/>
    <w:rsid w:val="008A014D"/>
    <w:rsid w:val="008A02EC"/>
    <w:rsid w:val="008A0E11"/>
    <w:rsid w:val="008A12ED"/>
    <w:rsid w:val="008A1B0F"/>
    <w:rsid w:val="008A20DA"/>
    <w:rsid w:val="008A21C0"/>
    <w:rsid w:val="008A21D9"/>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576"/>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3FB9"/>
    <w:rsid w:val="008B4026"/>
    <w:rsid w:val="008B406E"/>
    <w:rsid w:val="008B4093"/>
    <w:rsid w:val="008B40F2"/>
    <w:rsid w:val="008B4CF8"/>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317"/>
    <w:rsid w:val="008C0475"/>
    <w:rsid w:val="008C07DA"/>
    <w:rsid w:val="008C0AFA"/>
    <w:rsid w:val="008C0DAB"/>
    <w:rsid w:val="008C0E5C"/>
    <w:rsid w:val="008C184B"/>
    <w:rsid w:val="008C18BC"/>
    <w:rsid w:val="008C1ADE"/>
    <w:rsid w:val="008C1B45"/>
    <w:rsid w:val="008C1E2C"/>
    <w:rsid w:val="008C26ED"/>
    <w:rsid w:val="008C28D0"/>
    <w:rsid w:val="008C2BB5"/>
    <w:rsid w:val="008C2D3A"/>
    <w:rsid w:val="008C343F"/>
    <w:rsid w:val="008C36BD"/>
    <w:rsid w:val="008C39E1"/>
    <w:rsid w:val="008C3B3A"/>
    <w:rsid w:val="008C3B60"/>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100D"/>
    <w:rsid w:val="008D1497"/>
    <w:rsid w:val="008D1A73"/>
    <w:rsid w:val="008D1C1A"/>
    <w:rsid w:val="008D1FB9"/>
    <w:rsid w:val="008D2057"/>
    <w:rsid w:val="008D2099"/>
    <w:rsid w:val="008D248E"/>
    <w:rsid w:val="008D264B"/>
    <w:rsid w:val="008D32FC"/>
    <w:rsid w:val="008D335A"/>
    <w:rsid w:val="008D348B"/>
    <w:rsid w:val="008D3C94"/>
    <w:rsid w:val="008D4269"/>
    <w:rsid w:val="008D4629"/>
    <w:rsid w:val="008D4658"/>
    <w:rsid w:val="008D46EE"/>
    <w:rsid w:val="008D4A17"/>
    <w:rsid w:val="008D4E5B"/>
    <w:rsid w:val="008D55D1"/>
    <w:rsid w:val="008D5705"/>
    <w:rsid w:val="008D635F"/>
    <w:rsid w:val="008D6600"/>
    <w:rsid w:val="008D6782"/>
    <w:rsid w:val="008D6C04"/>
    <w:rsid w:val="008D6C9E"/>
    <w:rsid w:val="008D6D34"/>
    <w:rsid w:val="008D7CD8"/>
    <w:rsid w:val="008D7EE9"/>
    <w:rsid w:val="008E006C"/>
    <w:rsid w:val="008E027A"/>
    <w:rsid w:val="008E02C3"/>
    <w:rsid w:val="008E0629"/>
    <w:rsid w:val="008E07EB"/>
    <w:rsid w:val="008E097D"/>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594"/>
    <w:rsid w:val="008E3B97"/>
    <w:rsid w:val="008E3ED5"/>
    <w:rsid w:val="008E41BE"/>
    <w:rsid w:val="008E4254"/>
    <w:rsid w:val="008E456A"/>
    <w:rsid w:val="008E458C"/>
    <w:rsid w:val="008E49F3"/>
    <w:rsid w:val="008E4A5B"/>
    <w:rsid w:val="008E4E5B"/>
    <w:rsid w:val="008E4FAE"/>
    <w:rsid w:val="008E501C"/>
    <w:rsid w:val="008E5047"/>
    <w:rsid w:val="008E5175"/>
    <w:rsid w:val="008E53A2"/>
    <w:rsid w:val="008E550F"/>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9B4"/>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4B"/>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A76"/>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4B9"/>
    <w:rsid w:val="009165A9"/>
    <w:rsid w:val="0091696F"/>
    <w:rsid w:val="00916C99"/>
    <w:rsid w:val="00916EE9"/>
    <w:rsid w:val="00917159"/>
    <w:rsid w:val="00917C84"/>
    <w:rsid w:val="00917D6B"/>
    <w:rsid w:val="009207D7"/>
    <w:rsid w:val="0092093C"/>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668"/>
    <w:rsid w:val="00923BA7"/>
    <w:rsid w:val="00923C11"/>
    <w:rsid w:val="009240D8"/>
    <w:rsid w:val="009240FF"/>
    <w:rsid w:val="00924502"/>
    <w:rsid w:val="00924AA7"/>
    <w:rsid w:val="00924DC6"/>
    <w:rsid w:val="00924EC9"/>
    <w:rsid w:val="0092518C"/>
    <w:rsid w:val="0092523D"/>
    <w:rsid w:val="009253A1"/>
    <w:rsid w:val="0092571D"/>
    <w:rsid w:val="0092586A"/>
    <w:rsid w:val="009259B7"/>
    <w:rsid w:val="00925EF6"/>
    <w:rsid w:val="00925F7F"/>
    <w:rsid w:val="009260FB"/>
    <w:rsid w:val="00926354"/>
    <w:rsid w:val="009264CA"/>
    <w:rsid w:val="00926F34"/>
    <w:rsid w:val="00927038"/>
    <w:rsid w:val="009273CC"/>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1E4"/>
    <w:rsid w:val="009332E2"/>
    <w:rsid w:val="00933817"/>
    <w:rsid w:val="00933A35"/>
    <w:rsid w:val="00933FE3"/>
    <w:rsid w:val="00934B9E"/>
    <w:rsid w:val="00934EAC"/>
    <w:rsid w:val="009350E4"/>
    <w:rsid w:val="009354E5"/>
    <w:rsid w:val="00935753"/>
    <w:rsid w:val="009359DF"/>
    <w:rsid w:val="00935A5A"/>
    <w:rsid w:val="0093603E"/>
    <w:rsid w:val="009360D7"/>
    <w:rsid w:val="009362C9"/>
    <w:rsid w:val="00936CDE"/>
    <w:rsid w:val="0093743C"/>
    <w:rsid w:val="00937498"/>
    <w:rsid w:val="00937509"/>
    <w:rsid w:val="0093753F"/>
    <w:rsid w:val="00937935"/>
    <w:rsid w:val="00937E54"/>
    <w:rsid w:val="00937E74"/>
    <w:rsid w:val="009404D7"/>
    <w:rsid w:val="009405A4"/>
    <w:rsid w:val="009407AA"/>
    <w:rsid w:val="00940AD1"/>
    <w:rsid w:val="00940C93"/>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05D"/>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8D5"/>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55F"/>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54C"/>
    <w:rsid w:val="00956718"/>
    <w:rsid w:val="0095686C"/>
    <w:rsid w:val="00956C4E"/>
    <w:rsid w:val="00957374"/>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3ED2"/>
    <w:rsid w:val="00964723"/>
    <w:rsid w:val="00964A1C"/>
    <w:rsid w:val="00964A79"/>
    <w:rsid w:val="00964C14"/>
    <w:rsid w:val="00964CF1"/>
    <w:rsid w:val="00965107"/>
    <w:rsid w:val="009652D5"/>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18E"/>
    <w:rsid w:val="009735FB"/>
    <w:rsid w:val="0097374B"/>
    <w:rsid w:val="00973C85"/>
    <w:rsid w:val="0097429B"/>
    <w:rsid w:val="009746C6"/>
    <w:rsid w:val="009749F7"/>
    <w:rsid w:val="009757B3"/>
    <w:rsid w:val="00975B8C"/>
    <w:rsid w:val="00975F31"/>
    <w:rsid w:val="0097600B"/>
    <w:rsid w:val="0097691F"/>
    <w:rsid w:val="009769C3"/>
    <w:rsid w:val="00977263"/>
    <w:rsid w:val="00977A34"/>
    <w:rsid w:val="00977A86"/>
    <w:rsid w:val="00977D75"/>
    <w:rsid w:val="009807E7"/>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D7A"/>
    <w:rsid w:val="00993EC9"/>
    <w:rsid w:val="00993F9C"/>
    <w:rsid w:val="00994540"/>
    <w:rsid w:val="0099478E"/>
    <w:rsid w:val="0099499F"/>
    <w:rsid w:val="00994B8D"/>
    <w:rsid w:val="0099513F"/>
    <w:rsid w:val="00995563"/>
    <w:rsid w:val="0099566F"/>
    <w:rsid w:val="00995A01"/>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5FE1"/>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0AD"/>
    <w:rsid w:val="009B3133"/>
    <w:rsid w:val="009B3504"/>
    <w:rsid w:val="009B366F"/>
    <w:rsid w:val="009B38BC"/>
    <w:rsid w:val="009B42DD"/>
    <w:rsid w:val="009B43BF"/>
    <w:rsid w:val="009B449D"/>
    <w:rsid w:val="009B4693"/>
    <w:rsid w:val="009B47A6"/>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0EA7"/>
    <w:rsid w:val="009C1363"/>
    <w:rsid w:val="009C14A4"/>
    <w:rsid w:val="009C16B9"/>
    <w:rsid w:val="009C18B8"/>
    <w:rsid w:val="009C1B3C"/>
    <w:rsid w:val="009C1B99"/>
    <w:rsid w:val="009C1E01"/>
    <w:rsid w:val="009C1E0B"/>
    <w:rsid w:val="009C2259"/>
    <w:rsid w:val="009C26C9"/>
    <w:rsid w:val="009C2871"/>
    <w:rsid w:val="009C2EC7"/>
    <w:rsid w:val="009C2F02"/>
    <w:rsid w:val="009C343E"/>
    <w:rsid w:val="009C363E"/>
    <w:rsid w:val="009C442C"/>
    <w:rsid w:val="009C4851"/>
    <w:rsid w:val="009C4884"/>
    <w:rsid w:val="009C4A9D"/>
    <w:rsid w:val="009C4AD3"/>
    <w:rsid w:val="009C52A7"/>
    <w:rsid w:val="009C5421"/>
    <w:rsid w:val="009C56C2"/>
    <w:rsid w:val="009C57A4"/>
    <w:rsid w:val="009C5AFF"/>
    <w:rsid w:val="009C601F"/>
    <w:rsid w:val="009C62F8"/>
    <w:rsid w:val="009C6B3E"/>
    <w:rsid w:val="009C73CB"/>
    <w:rsid w:val="009C7951"/>
    <w:rsid w:val="009C7B7D"/>
    <w:rsid w:val="009D03E1"/>
    <w:rsid w:val="009D057F"/>
    <w:rsid w:val="009D0581"/>
    <w:rsid w:val="009D07C3"/>
    <w:rsid w:val="009D0946"/>
    <w:rsid w:val="009D097D"/>
    <w:rsid w:val="009D09FF"/>
    <w:rsid w:val="009D0D3A"/>
    <w:rsid w:val="009D0E05"/>
    <w:rsid w:val="009D0F03"/>
    <w:rsid w:val="009D15C6"/>
    <w:rsid w:val="009D17B9"/>
    <w:rsid w:val="009D1A67"/>
    <w:rsid w:val="009D1ED1"/>
    <w:rsid w:val="009D1F69"/>
    <w:rsid w:val="009D2362"/>
    <w:rsid w:val="009D23F9"/>
    <w:rsid w:val="009D2788"/>
    <w:rsid w:val="009D2F7C"/>
    <w:rsid w:val="009D38F7"/>
    <w:rsid w:val="009D3DD0"/>
    <w:rsid w:val="009D406F"/>
    <w:rsid w:val="009D4A65"/>
    <w:rsid w:val="009D545A"/>
    <w:rsid w:val="009D558A"/>
    <w:rsid w:val="009D5BCD"/>
    <w:rsid w:val="009D5BF0"/>
    <w:rsid w:val="009D5E81"/>
    <w:rsid w:val="009D6321"/>
    <w:rsid w:val="009D6606"/>
    <w:rsid w:val="009D669A"/>
    <w:rsid w:val="009D6B83"/>
    <w:rsid w:val="009D6B9B"/>
    <w:rsid w:val="009D6CDA"/>
    <w:rsid w:val="009D6D44"/>
    <w:rsid w:val="009D7225"/>
    <w:rsid w:val="009D7AF9"/>
    <w:rsid w:val="009E00EA"/>
    <w:rsid w:val="009E01D7"/>
    <w:rsid w:val="009E02E3"/>
    <w:rsid w:val="009E037D"/>
    <w:rsid w:val="009E038F"/>
    <w:rsid w:val="009E0593"/>
    <w:rsid w:val="009E0CC9"/>
    <w:rsid w:val="009E0F4D"/>
    <w:rsid w:val="009E10D6"/>
    <w:rsid w:val="009E11F6"/>
    <w:rsid w:val="009E165F"/>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5965"/>
    <w:rsid w:val="009F6239"/>
    <w:rsid w:val="009F6658"/>
    <w:rsid w:val="009F6A0D"/>
    <w:rsid w:val="009F6BF2"/>
    <w:rsid w:val="009F6C05"/>
    <w:rsid w:val="009F6FB1"/>
    <w:rsid w:val="009F7100"/>
    <w:rsid w:val="009F7294"/>
    <w:rsid w:val="009F734C"/>
    <w:rsid w:val="009F746A"/>
    <w:rsid w:val="009F7C9B"/>
    <w:rsid w:val="009F7E8C"/>
    <w:rsid w:val="009F7FB3"/>
    <w:rsid w:val="00A00BA5"/>
    <w:rsid w:val="00A01513"/>
    <w:rsid w:val="00A017A8"/>
    <w:rsid w:val="00A01AAD"/>
    <w:rsid w:val="00A01B15"/>
    <w:rsid w:val="00A01BA3"/>
    <w:rsid w:val="00A01EAA"/>
    <w:rsid w:val="00A028E5"/>
    <w:rsid w:val="00A02F04"/>
    <w:rsid w:val="00A02F4A"/>
    <w:rsid w:val="00A02FD1"/>
    <w:rsid w:val="00A0313B"/>
    <w:rsid w:val="00A03D76"/>
    <w:rsid w:val="00A03F67"/>
    <w:rsid w:val="00A04712"/>
    <w:rsid w:val="00A0499B"/>
    <w:rsid w:val="00A04CFA"/>
    <w:rsid w:val="00A04D73"/>
    <w:rsid w:val="00A04D9F"/>
    <w:rsid w:val="00A05069"/>
    <w:rsid w:val="00A050D7"/>
    <w:rsid w:val="00A0534B"/>
    <w:rsid w:val="00A0638A"/>
    <w:rsid w:val="00A069D1"/>
    <w:rsid w:val="00A06AA7"/>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8A"/>
    <w:rsid w:val="00A12FE0"/>
    <w:rsid w:val="00A139FC"/>
    <w:rsid w:val="00A13A89"/>
    <w:rsid w:val="00A13E76"/>
    <w:rsid w:val="00A143E1"/>
    <w:rsid w:val="00A143F0"/>
    <w:rsid w:val="00A14598"/>
    <w:rsid w:val="00A14748"/>
    <w:rsid w:val="00A14887"/>
    <w:rsid w:val="00A14B1E"/>
    <w:rsid w:val="00A14DE8"/>
    <w:rsid w:val="00A15006"/>
    <w:rsid w:val="00A150BE"/>
    <w:rsid w:val="00A152E5"/>
    <w:rsid w:val="00A1543A"/>
    <w:rsid w:val="00A15BD1"/>
    <w:rsid w:val="00A15C38"/>
    <w:rsid w:val="00A15F04"/>
    <w:rsid w:val="00A15F6E"/>
    <w:rsid w:val="00A160A9"/>
    <w:rsid w:val="00A160C8"/>
    <w:rsid w:val="00A1680D"/>
    <w:rsid w:val="00A168D9"/>
    <w:rsid w:val="00A16CA1"/>
    <w:rsid w:val="00A16EA7"/>
    <w:rsid w:val="00A1716C"/>
    <w:rsid w:val="00A1749D"/>
    <w:rsid w:val="00A176FF"/>
    <w:rsid w:val="00A177E1"/>
    <w:rsid w:val="00A17CC1"/>
    <w:rsid w:val="00A2190F"/>
    <w:rsid w:val="00A21962"/>
    <w:rsid w:val="00A21B20"/>
    <w:rsid w:val="00A21D6F"/>
    <w:rsid w:val="00A21DA9"/>
    <w:rsid w:val="00A21DDD"/>
    <w:rsid w:val="00A21EDD"/>
    <w:rsid w:val="00A22037"/>
    <w:rsid w:val="00A222CC"/>
    <w:rsid w:val="00A22BA1"/>
    <w:rsid w:val="00A23276"/>
    <w:rsid w:val="00A23718"/>
    <w:rsid w:val="00A23764"/>
    <w:rsid w:val="00A238F3"/>
    <w:rsid w:val="00A23AB0"/>
    <w:rsid w:val="00A241A2"/>
    <w:rsid w:val="00A24304"/>
    <w:rsid w:val="00A24949"/>
    <w:rsid w:val="00A24C3F"/>
    <w:rsid w:val="00A2507A"/>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484"/>
    <w:rsid w:val="00A336E7"/>
    <w:rsid w:val="00A33BAE"/>
    <w:rsid w:val="00A33D3C"/>
    <w:rsid w:val="00A3430F"/>
    <w:rsid w:val="00A3443F"/>
    <w:rsid w:val="00A34538"/>
    <w:rsid w:val="00A345D5"/>
    <w:rsid w:val="00A347CC"/>
    <w:rsid w:val="00A34882"/>
    <w:rsid w:val="00A349DD"/>
    <w:rsid w:val="00A34D12"/>
    <w:rsid w:val="00A34E50"/>
    <w:rsid w:val="00A354E8"/>
    <w:rsid w:val="00A3553E"/>
    <w:rsid w:val="00A357C1"/>
    <w:rsid w:val="00A358C4"/>
    <w:rsid w:val="00A35ACA"/>
    <w:rsid w:val="00A35B65"/>
    <w:rsid w:val="00A36143"/>
    <w:rsid w:val="00A36400"/>
    <w:rsid w:val="00A3647F"/>
    <w:rsid w:val="00A36493"/>
    <w:rsid w:val="00A364F5"/>
    <w:rsid w:val="00A36842"/>
    <w:rsid w:val="00A368A5"/>
    <w:rsid w:val="00A36C43"/>
    <w:rsid w:val="00A36C9C"/>
    <w:rsid w:val="00A372A5"/>
    <w:rsid w:val="00A37574"/>
    <w:rsid w:val="00A40325"/>
    <w:rsid w:val="00A4089E"/>
    <w:rsid w:val="00A40C89"/>
    <w:rsid w:val="00A40FE5"/>
    <w:rsid w:val="00A4103C"/>
    <w:rsid w:val="00A4109C"/>
    <w:rsid w:val="00A410A7"/>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732"/>
    <w:rsid w:val="00A45D10"/>
    <w:rsid w:val="00A45FF3"/>
    <w:rsid w:val="00A464C8"/>
    <w:rsid w:val="00A47281"/>
    <w:rsid w:val="00A47457"/>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1E7"/>
    <w:rsid w:val="00A525F4"/>
    <w:rsid w:val="00A52857"/>
    <w:rsid w:val="00A529E8"/>
    <w:rsid w:val="00A5314F"/>
    <w:rsid w:val="00A531BB"/>
    <w:rsid w:val="00A5327C"/>
    <w:rsid w:val="00A53A13"/>
    <w:rsid w:val="00A53A7F"/>
    <w:rsid w:val="00A53AE7"/>
    <w:rsid w:val="00A53F6A"/>
    <w:rsid w:val="00A54056"/>
    <w:rsid w:val="00A54439"/>
    <w:rsid w:val="00A549DA"/>
    <w:rsid w:val="00A558F9"/>
    <w:rsid w:val="00A55B2C"/>
    <w:rsid w:val="00A56AC9"/>
    <w:rsid w:val="00A56C71"/>
    <w:rsid w:val="00A571CE"/>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895"/>
    <w:rsid w:val="00A61E6C"/>
    <w:rsid w:val="00A61F47"/>
    <w:rsid w:val="00A62293"/>
    <w:rsid w:val="00A622FA"/>
    <w:rsid w:val="00A62781"/>
    <w:rsid w:val="00A62D5D"/>
    <w:rsid w:val="00A62FC9"/>
    <w:rsid w:val="00A6304E"/>
    <w:rsid w:val="00A63410"/>
    <w:rsid w:val="00A63D22"/>
    <w:rsid w:val="00A63F85"/>
    <w:rsid w:val="00A64769"/>
    <w:rsid w:val="00A65106"/>
    <w:rsid w:val="00A654E7"/>
    <w:rsid w:val="00A6591E"/>
    <w:rsid w:val="00A65C97"/>
    <w:rsid w:val="00A65DAD"/>
    <w:rsid w:val="00A65E23"/>
    <w:rsid w:val="00A6608F"/>
    <w:rsid w:val="00A661CC"/>
    <w:rsid w:val="00A66234"/>
    <w:rsid w:val="00A6633A"/>
    <w:rsid w:val="00A66AB1"/>
    <w:rsid w:val="00A66C65"/>
    <w:rsid w:val="00A66D34"/>
    <w:rsid w:val="00A66DE4"/>
    <w:rsid w:val="00A67215"/>
    <w:rsid w:val="00A67913"/>
    <w:rsid w:val="00A67969"/>
    <w:rsid w:val="00A67A73"/>
    <w:rsid w:val="00A67B22"/>
    <w:rsid w:val="00A67DAB"/>
    <w:rsid w:val="00A70D18"/>
    <w:rsid w:val="00A70DD1"/>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20D"/>
    <w:rsid w:val="00A75892"/>
    <w:rsid w:val="00A759D5"/>
    <w:rsid w:val="00A75A1F"/>
    <w:rsid w:val="00A766E4"/>
    <w:rsid w:val="00A766FF"/>
    <w:rsid w:val="00A76BFF"/>
    <w:rsid w:val="00A76EFB"/>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013"/>
    <w:rsid w:val="00A85346"/>
    <w:rsid w:val="00A85D0F"/>
    <w:rsid w:val="00A85EDA"/>
    <w:rsid w:val="00A86039"/>
    <w:rsid w:val="00A860BF"/>
    <w:rsid w:val="00A860F3"/>
    <w:rsid w:val="00A86C7B"/>
    <w:rsid w:val="00A86E2E"/>
    <w:rsid w:val="00A87332"/>
    <w:rsid w:val="00A878B9"/>
    <w:rsid w:val="00A87DD8"/>
    <w:rsid w:val="00A87FF6"/>
    <w:rsid w:val="00A90503"/>
    <w:rsid w:val="00A90833"/>
    <w:rsid w:val="00A90B83"/>
    <w:rsid w:val="00A9108B"/>
    <w:rsid w:val="00A9119A"/>
    <w:rsid w:val="00A911F3"/>
    <w:rsid w:val="00A92037"/>
    <w:rsid w:val="00A927C2"/>
    <w:rsid w:val="00A9289F"/>
    <w:rsid w:val="00A92A30"/>
    <w:rsid w:val="00A93036"/>
    <w:rsid w:val="00A93636"/>
    <w:rsid w:val="00A93749"/>
    <w:rsid w:val="00A9396C"/>
    <w:rsid w:val="00A93DAA"/>
    <w:rsid w:val="00A9411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D6A"/>
    <w:rsid w:val="00AA0DA4"/>
    <w:rsid w:val="00AA0E8A"/>
    <w:rsid w:val="00AA12B3"/>
    <w:rsid w:val="00AA12C5"/>
    <w:rsid w:val="00AA1C89"/>
    <w:rsid w:val="00AA1E89"/>
    <w:rsid w:val="00AA255D"/>
    <w:rsid w:val="00AA274B"/>
    <w:rsid w:val="00AA353F"/>
    <w:rsid w:val="00AA35B4"/>
    <w:rsid w:val="00AA3603"/>
    <w:rsid w:val="00AA3B49"/>
    <w:rsid w:val="00AA3B57"/>
    <w:rsid w:val="00AA4104"/>
    <w:rsid w:val="00AA46F0"/>
    <w:rsid w:val="00AA4DB7"/>
    <w:rsid w:val="00AA4DD2"/>
    <w:rsid w:val="00AA4E64"/>
    <w:rsid w:val="00AA5069"/>
    <w:rsid w:val="00AA5443"/>
    <w:rsid w:val="00AA5CF6"/>
    <w:rsid w:val="00AA5F1A"/>
    <w:rsid w:val="00AA607B"/>
    <w:rsid w:val="00AA6586"/>
    <w:rsid w:val="00AA685A"/>
    <w:rsid w:val="00AA6C3C"/>
    <w:rsid w:val="00AA6D11"/>
    <w:rsid w:val="00AA7225"/>
    <w:rsid w:val="00AA73C3"/>
    <w:rsid w:val="00AA756E"/>
    <w:rsid w:val="00AA75F7"/>
    <w:rsid w:val="00AA7713"/>
    <w:rsid w:val="00AA7DB5"/>
    <w:rsid w:val="00AA7DEE"/>
    <w:rsid w:val="00AA7E3A"/>
    <w:rsid w:val="00AB067C"/>
    <w:rsid w:val="00AB073E"/>
    <w:rsid w:val="00AB0950"/>
    <w:rsid w:val="00AB0989"/>
    <w:rsid w:val="00AB0AAB"/>
    <w:rsid w:val="00AB1023"/>
    <w:rsid w:val="00AB13AF"/>
    <w:rsid w:val="00AB14AE"/>
    <w:rsid w:val="00AB14D7"/>
    <w:rsid w:val="00AB164D"/>
    <w:rsid w:val="00AB16B0"/>
    <w:rsid w:val="00AB1A13"/>
    <w:rsid w:val="00AB1D66"/>
    <w:rsid w:val="00AB21DA"/>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1A"/>
    <w:rsid w:val="00AB60E2"/>
    <w:rsid w:val="00AB63B3"/>
    <w:rsid w:val="00AB6B3F"/>
    <w:rsid w:val="00AB6E87"/>
    <w:rsid w:val="00AB6FFE"/>
    <w:rsid w:val="00AB7A2F"/>
    <w:rsid w:val="00AC00C4"/>
    <w:rsid w:val="00AC0529"/>
    <w:rsid w:val="00AC07DD"/>
    <w:rsid w:val="00AC082E"/>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4F8A"/>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1FF"/>
    <w:rsid w:val="00AD129A"/>
    <w:rsid w:val="00AD1549"/>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C18"/>
    <w:rsid w:val="00AD6D52"/>
    <w:rsid w:val="00AD6E42"/>
    <w:rsid w:val="00AD722A"/>
    <w:rsid w:val="00AD7286"/>
    <w:rsid w:val="00AD766A"/>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32"/>
    <w:rsid w:val="00AE5F4E"/>
    <w:rsid w:val="00AE6694"/>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11"/>
    <w:rsid w:val="00AF294A"/>
    <w:rsid w:val="00AF2C0B"/>
    <w:rsid w:val="00AF2DBC"/>
    <w:rsid w:val="00AF2FCC"/>
    <w:rsid w:val="00AF300E"/>
    <w:rsid w:val="00AF3824"/>
    <w:rsid w:val="00AF3D60"/>
    <w:rsid w:val="00AF3DFE"/>
    <w:rsid w:val="00AF3E8F"/>
    <w:rsid w:val="00AF4019"/>
    <w:rsid w:val="00AF4170"/>
    <w:rsid w:val="00AF4B38"/>
    <w:rsid w:val="00AF4DBF"/>
    <w:rsid w:val="00AF4FD5"/>
    <w:rsid w:val="00AF57E0"/>
    <w:rsid w:val="00AF5A7E"/>
    <w:rsid w:val="00AF5ACD"/>
    <w:rsid w:val="00AF5DD3"/>
    <w:rsid w:val="00AF6110"/>
    <w:rsid w:val="00AF6226"/>
    <w:rsid w:val="00AF63E9"/>
    <w:rsid w:val="00AF6425"/>
    <w:rsid w:val="00AF646E"/>
    <w:rsid w:val="00AF685D"/>
    <w:rsid w:val="00AF6AC6"/>
    <w:rsid w:val="00AF6B2F"/>
    <w:rsid w:val="00AF7095"/>
    <w:rsid w:val="00AF70D8"/>
    <w:rsid w:val="00AF719C"/>
    <w:rsid w:val="00AF71C9"/>
    <w:rsid w:val="00AF72E9"/>
    <w:rsid w:val="00AF7D99"/>
    <w:rsid w:val="00AF7E82"/>
    <w:rsid w:val="00B00014"/>
    <w:rsid w:val="00B00611"/>
    <w:rsid w:val="00B006DD"/>
    <w:rsid w:val="00B013E3"/>
    <w:rsid w:val="00B01F1F"/>
    <w:rsid w:val="00B02141"/>
    <w:rsid w:val="00B02AAF"/>
    <w:rsid w:val="00B02B88"/>
    <w:rsid w:val="00B02DD8"/>
    <w:rsid w:val="00B03037"/>
    <w:rsid w:val="00B031DB"/>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2CC2"/>
    <w:rsid w:val="00B13013"/>
    <w:rsid w:val="00B130FC"/>
    <w:rsid w:val="00B1325A"/>
    <w:rsid w:val="00B1372B"/>
    <w:rsid w:val="00B13C94"/>
    <w:rsid w:val="00B13DCB"/>
    <w:rsid w:val="00B14BB1"/>
    <w:rsid w:val="00B154F0"/>
    <w:rsid w:val="00B15645"/>
    <w:rsid w:val="00B157A5"/>
    <w:rsid w:val="00B157B6"/>
    <w:rsid w:val="00B15B1B"/>
    <w:rsid w:val="00B15BA3"/>
    <w:rsid w:val="00B15BAF"/>
    <w:rsid w:val="00B15DFC"/>
    <w:rsid w:val="00B15ED6"/>
    <w:rsid w:val="00B15F62"/>
    <w:rsid w:val="00B160CA"/>
    <w:rsid w:val="00B16126"/>
    <w:rsid w:val="00B16420"/>
    <w:rsid w:val="00B164E0"/>
    <w:rsid w:val="00B16BCB"/>
    <w:rsid w:val="00B16D7F"/>
    <w:rsid w:val="00B17D28"/>
    <w:rsid w:val="00B17FBC"/>
    <w:rsid w:val="00B20C13"/>
    <w:rsid w:val="00B20CCB"/>
    <w:rsid w:val="00B2207F"/>
    <w:rsid w:val="00B22173"/>
    <w:rsid w:val="00B221B5"/>
    <w:rsid w:val="00B2234B"/>
    <w:rsid w:val="00B223EF"/>
    <w:rsid w:val="00B2283A"/>
    <w:rsid w:val="00B2324E"/>
    <w:rsid w:val="00B238E4"/>
    <w:rsid w:val="00B23A6B"/>
    <w:rsid w:val="00B23AA8"/>
    <w:rsid w:val="00B23C92"/>
    <w:rsid w:val="00B243B0"/>
    <w:rsid w:val="00B2462E"/>
    <w:rsid w:val="00B2484E"/>
    <w:rsid w:val="00B249FC"/>
    <w:rsid w:val="00B24CE9"/>
    <w:rsid w:val="00B25147"/>
    <w:rsid w:val="00B254B8"/>
    <w:rsid w:val="00B259DE"/>
    <w:rsid w:val="00B25C8C"/>
    <w:rsid w:val="00B268A9"/>
    <w:rsid w:val="00B27212"/>
    <w:rsid w:val="00B27740"/>
    <w:rsid w:val="00B27975"/>
    <w:rsid w:val="00B27DCB"/>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4D5"/>
    <w:rsid w:val="00B35BC4"/>
    <w:rsid w:val="00B35E14"/>
    <w:rsid w:val="00B36704"/>
    <w:rsid w:val="00B3678D"/>
    <w:rsid w:val="00B3693B"/>
    <w:rsid w:val="00B36C36"/>
    <w:rsid w:val="00B36ED7"/>
    <w:rsid w:val="00B37514"/>
    <w:rsid w:val="00B37728"/>
    <w:rsid w:val="00B37935"/>
    <w:rsid w:val="00B37E37"/>
    <w:rsid w:val="00B37E88"/>
    <w:rsid w:val="00B4020A"/>
    <w:rsid w:val="00B404C4"/>
    <w:rsid w:val="00B40949"/>
    <w:rsid w:val="00B40E84"/>
    <w:rsid w:val="00B40F08"/>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AA3"/>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AEE"/>
    <w:rsid w:val="00B47BF7"/>
    <w:rsid w:val="00B47C01"/>
    <w:rsid w:val="00B50765"/>
    <w:rsid w:val="00B50A40"/>
    <w:rsid w:val="00B50E9E"/>
    <w:rsid w:val="00B51108"/>
    <w:rsid w:val="00B51177"/>
    <w:rsid w:val="00B51B18"/>
    <w:rsid w:val="00B51D59"/>
    <w:rsid w:val="00B5230B"/>
    <w:rsid w:val="00B528DF"/>
    <w:rsid w:val="00B529FF"/>
    <w:rsid w:val="00B52ABC"/>
    <w:rsid w:val="00B52BE4"/>
    <w:rsid w:val="00B52E18"/>
    <w:rsid w:val="00B53547"/>
    <w:rsid w:val="00B53597"/>
    <w:rsid w:val="00B53784"/>
    <w:rsid w:val="00B537EF"/>
    <w:rsid w:val="00B5440A"/>
    <w:rsid w:val="00B54690"/>
    <w:rsid w:val="00B5494B"/>
    <w:rsid w:val="00B54A2D"/>
    <w:rsid w:val="00B54C75"/>
    <w:rsid w:val="00B550C0"/>
    <w:rsid w:val="00B550D8"/>
    <w:rsid w:val="00B55114"/>
    <w:rsid w:val="00B5524F"/>
    <w:rsid w:val="00B55322"/>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271"/>
    <w:rsid w:val="00B62590"/>
    <w:rsid w:val="00B626C0"/>
    <w:rsid w:val="00B62700"/>
    <w:rsid w:val="00B62F20"/>
    <w:rsid w:val="00B6327D"/>
    <w:rsid w:val="00B632FF"/>
    <w:rsid w:val="00B6393A"/>
    <w:rsid w:val="00B63970"/>
    <w:rsid w:val="00B646A9"/>
    <w:rsid w:val="00B64AA0"/>
    <w:rsid w:val="00B64C7F"/>
    <w:rsid w:val="00B651B5"/>
    <w:rsid w:val="00B65AF3"/>
    <w:rsid w:val="00B65D0E"/>
    <w:rsid w:val="00B6624F"/>
    <w:rsid w:val="00B6634B"/>
    <w:rsid w:val="00B66381"/>
    <w:rsid w:val="00B663F1"/>
    <w:rsid w:val="00B6684C"/>
    <w:rsid w:val="00B670BA"/>
    <w:rsid w:val="00B67271"/>
    <w:rsid w:val="00B6729F"/>
    <w:rsid w:val="00B676E1"/>
    <w:rsid w:val="00B7006C"/>
    <w:rsid w:val="00B7056F"/>
    <w:rsid w:val="00B706E2"/>
    <w:rsid w:val="00B70A8C"/>
    <w:rsid w:val="00B720D4"/>
    <w:rsid w:val="00B721B4"/>
    <w:rsid w:val="00B7222D"/>
    <w:rsid w:val="00B7267A"/>
    <w:rsid w:val="00B72988"/>
    <w:rsid w:val="00B730C2"/>
    <w:rsid w:val="00B734B7"/>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85"/>
    <w:rsid w:val="00B76292"/>
    <w:rsid w:val="00B768C2"/>
    <w:rsid w:val="00B76BDD"/>
    <w:rsid w:val="00B76C7B"/>
    <w:rsid w:val="00B76D3B"/>
    <w:rsid w:val="00B76DBB"/>
    <w:rsid w:val="00B77B49"/>
    <w:rsid w:val="00B77BBF"/>
    <w:rsid w:val="00B77D2C"/>
    <w:rsid w:val="00B77F1D"/>
    <w:rsid w:val="00B77F57"/>
    <w:rsid w:val="00B803FB"/>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20C"/>
    <w:rsid w:val="00B90A0B"/>
    <w:rsid w:val="00B90AA7"/>
    <w:rsid w:val="00B90D03"/>
    <w:rsid w:val="00B90F2F"/>
    <w:rsid w:val="00B9137B"/>
    <w:rsid w:val="00B91453"/>
    <w:rsid w:val="00B915E8"/>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2A2"/>
    <w:rsid w:val="00BA168B"/>
    <w:rsid w:val="00BA17DE"/>
    <w:rsid w:val="00BA1810"/>
    <w:rsid w:val="00BA18C8"/>
    <w:rsid w:val="00BA206A"/>
    <w:rsid w:val="00BA206E"/>
    <w:rsid w:val="00BA230D"/>
    <w:rsid w:val="00BA23CC"/>
    <w:rsid w:val="00BA24E0"/>
    <w:rsid w:val="00BA24EC"/>
    <w:rsid w:val="00BA2837"/>
    <w:rsid w:val="00BA2952"/>
    <w:rsid w:val="00BA2C95"/>
    <w:rsid w:val="00BA2F9B"/>
    <w:rsid w:val="00BA303A"/>
    <w:rsid w:val="00BA32B2"/>
    <w:rsid w:val="00BA3359"/>
    <w:rsid w:val="00BA35BE"/>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318"/>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9FB"/>
    <w:rsid w:val="00BC0A2C"/>
    <w:rsid w:val="00BC0A61"/>
    <w:rsid w:val="00BC1E27"/>
    <w:rsid w:val="00BC2098"/>
    <w:rsid w:val="00BC20C8"/>
    <w:rsid w:val="00BC24D8"/>
    <w:rsid w:val="00BC2605"/>
    <w:rsid w:val="00BC2790"/>
    <w:rsid w:val="00BC28D1"/>
    <w:rsid w:val="00BC2A1C"/>
    <w:rsid w:val="00BC2B3B"/>
    <w:rsid w:val="00BC2B7D"/>
    <w:rsid w:val="00BC2EFC"/>
    <w:rsid w:val="00BC31AA"/>
    <w:rsid w:val="00BC3232"/>
    <w:rsid w:val="00BC36A7"/>
    <w:rsid w:val="00BC39FC"/>
    <w:rsid w:val="00BC3A6A"/>
    <w:rsid w:val="00BC3E36"/>
    <w:rsid w:val="00BC4008"/>
    <w:rsid w:val="00BC4198"/>
    <w:rsid w:val="00BC4234"/>
    <w:rsid w:val="00BC4579"/>
    <w:rsid w:val="00BC463D"/>
    <w:rsid w:val="00BC4661"/>
    <w:rsid w:val="00BC47AE"/>
    <w:rsid w:val="00BC49B1"/>
    <w:rsid w:val="00BC4ACA"/>
    <w:rsid w:val="00BC4F8B"/>
    <w:rsid w:val="00BC5799"/>
    <w:rsid w:val="00BC6254"/>
    <w:rsid w:val="00BC65C6"/>
    <w:rsid w:val="00BC695E"/>
    <w:rsid w:val="00BC6E8B"/>
    <w:rsid w:val="00BC6EBC"/>
    <w:rsid w:val="00BC703B"/>
    <w:rsid w:val="00BC72DD"/>
    <w:rsid w:val="00BC7606"/>
    <w:rsid w:val="00BC79D1"/>
    <w:rsid w:val="00BC7D96"/>
    <w:rsid w:val="00BD01BF"/>
    <w:rsid w:val="00BD0B1B"/>
    <w:rsid w:val="00BD0BB6"/>
    <w:rsid w:val="00BD11D4"/>
    <w:rsid w:val="00BD13E7"/>
    <w:rsid w:val="00BD1464"/>
    <w:rsid w:val="00BD165F"/>
    <w:rsid w:val="00BD1940"/>
    <w:rsid w:val="00BD1BDE"/>
    <w:rsid w:val="00BD21B0"/>
    <w:rsid w:val="00BD2853"/>
    <w:rsid w:val="00BD2BEA"/>
    <w:rsid w:val="00BD2F79"/>
    <w:rsid w:val="00BD3D24"/>
    <w:rsid w:val="00BD469D"/>
    <w:rsid w:val="00BD49FD"/>
    <w:rsid w:val="00BD4A85"/>
    <w:rsid w:val="00BD4B1A"/>
    <w:rsid w:val="00BD5C5C"/>
    <w:rsid w:val="00BD62E0"/>
    <w:rsid w:val="00BD640F"/>
    <w:rsid w:val="00BD650D"/>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694"/>
    <w:rsid w:val="00BE1FDD"/>
    <w:rsid w:val="00BE206D"/>
    <w:rsid w:val="00BE24E5"/>
    <w:rsid w:val="00BE27F2"/>
    <w:rsid w:val="00BE2855"/>
    <w:rsid w:val="00BE2ACF"/>
    <w:rsid w:val="00BE2FE9"/>
    <w:rsid w:val="00BE36E0"/>
    <w:rsid w:val="00BE3CCE"/>
    <w:rsid w:val="00BE3E6B"/>
    <w:rsid w:val="00BE409A"/>
    <w:rsid w:val="00BE4157"/>
    <w:rsid w:val="00BE4768"/>
    <w:rsid w:val="00BE48AD"/>
    <w:rsid w:val="00BE491C"/>
    <w:rsid w:val="00BE4D48"/>
    <w:rsid w:val="00BE5447"/>
    <w:rsid w:val="00BE55AE"/>
    <w:rsid w:val="00BE59A1"/>
    <w:rsid w:val="00BE5A5F"/>
    <w:rsid w:val="00BE6000"/>
    <w:rsid w:val="00BE6394"/>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C1"/>
    <w:rsid w:val="00BF1AF1"/>
    <w:rsid w:val="00BF1CBD"/>
    <w:rsid w:val="00BF1FD8"/>
    <w:rsid w:val="00BF20E8"/>
    <w:rsid w:val="00BF2C44"/>
    <w:rsid w:val="00BF2D81"/>
    <w:rsid w:val="00BF3782"/>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AF"/>
    <w:rsid w:val="00C01FD1"/>
    <w:rsid w:val="00C01FDE"/>
    <w:rsid w:val="00C024A5"/>
    <w:rsid w:val="00C028ED"/>
    <w:rsid w:val="00C02CE1"/>
    <w:rsid w:val="00C02D1E"/>
    <w:rsid w:val="00C0314D"/>
    <w:rsid w:val="00C0331F"/>
    <w:rsid w:val="00C035B5"/>
    <w:rsid w:val="00C036AC"/>
    <w:rsid w:val="00C036B0"/>
    <w:rsid w:val="00C03865"/>
    <w:rsid w:val="00C03D5A"/>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1AC7"/>
    <w:rsid w:val="00C129D9"/>
    <w:rsid w:val="00C13089"/>
    <w:rsid w:val="00C134DA"/>
    <w:rsid w:val="00C13997"/>
    <w:rsid w:val="00C13C06"/>
    <w:rsid w:val="00C13C90"/>
    <w:rsid w:val="00C13CF2"/>
    <w:rsid w:val="00C14770"/>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C16"/>
    <w:rsid w:val="00C25F77"/>
    <w:rsid w:val="00C26159"/>
    <w:rsid w:val="00C2629C"/>
    <w:rsid w:val="00C262ED"/>
    <w:rsid w:val="00C265C9"/>
    <w:rsid w:val="00C2668B"/>
    <w:rsid w:val="00C26968"/>
    <w:rsid w:val="00C26A69"/>
    <w:rsid w:val="00C27037"/>
    <w:rsid w:val="00C27C23"/>
    <w:rsid w:val="00C30019"/>
    <w:rsid w:val="00C301CF"/>
    <w:rsid w:val="00C309E6"/>
    <w:rsid w:val="00C30B6D"/>
    <w:rsid w:val="00C30C46"/>
    <w:rsid w:val="00C311E2"/>
    <w:rsid w:val="00C312D6"/>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114A"/>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06E"/>
    <w:rsid w:val="00C4684C"/>
    <w:rsid w:val="00C469F2"/>
    <w:rsid w:val="00C46D29"/>
    <w:rsid w:val="00C46E19"/>
    <w:rsid w:val="00C47541"/>
    <w:rsid w:val="00C475C7"/>
    <w:rsid w:val="00C47601"/>
    <w:rsid w:val="00C47D83"/>
    <w:rsid w:val="00C47DF2"/>
    <w:rsid w:val="00C50856"/>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B9E"/>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0B67"/>
    <w:rsid w:val="00C70E84"/>
    <w:rsid w:val="00C71490"/>
    <w:rsid w:val="00C71783"/>
    <w:rsid w:val="00C719A2"/>
    <w:rsid w:val="00C71DC7"/>
    <w:rsid w:val="00C71F6D"/>
    <w:rsid w:val="00C72165"/>
    <w:rsid w:val="00C72184"/>
    <w:rsid w:val="00C72773"/>
    <w:rsid w:val="00C72A19"/>
    <w:rsid w:val="00C72B8E"/>
    <w:rsid w:val="00C72D7B"/>
    <w:rsid w:val="00C73074"/>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222"/>
    <w:rsid w:val="00C77478"/>
    <w:rsid w:val="00C774A1"/>
    <w:rsid w:val="00C775A0"/>
    <w:rsid w:val="00C80C41"/>
    <w:rsid w:val="00C80CEF"/>
    <w:rsid w:val="00C80E40"/>
    <w:rsid w:val="00C81120"/>
    <w:rsid w:val="00C81432"/>
    <w:rsid w:val="00C81B33"/>
    <w:rsid w:val="00C828B8"/>
    <w:rsid w:val="00C82994"/>
    <w:rsid w:val="00C82A59"/>
    <w:rsid w:val="00C82E07"/>
    <w:rsid w:val="00C82EC5"/>
    <w:rsid w:val="00C82FB2"/>
    <w:rsid w:val="00C82FD8"/>
    <w:rsid w:val="00C83041"/>
    <w:rsid w:val="00C838C3"/>
    <w:rsid w:val="00C83B74"/>
    <w:rsid w:val="00C8452A"/>
    <w:rsid w:val="00C848A7"/>
    <w:rsid w:val="00C849C0"/>
    <w:rsid w:val="00C84C31"/>
    <w:rsid w:val="00C84F2E"/>
    <w:rsid w:val="00C85035"/>
    <w:rsid w:val="00C851F6"/>
    <w:rsid w:val="00C858FF"/>
    <w:rsid w:val="00C85AE0"/>
    <w:rsid w:val="00C85E30"/>
    <w:rsid w:val="00C86BFA"/>
    <w:rsid w:val="00C86E8E"/>
    <w:rsid w:val="00C86EAF"/>
    <w:rsid w:val="00C8712F"/>
    <w:rsid w:val="00C876A0"/>
    <w:rsid w:val="00C878CA"/>
    <w:rsid w:val="00C87AF2"/>
    <w:rsid w:val="00C87B57"/>
    <w:rsid w:val="00C87FC6"/>
    <w:rsid w:val="00C908C6"/>
    <w:rsid w:val="00C909B3"/>
    <w:rsid w:val="00C90B42"/>
    <w:rsid w:val="00C91074"/>
    <w:rsid w:val="00C9182B"/>
    <w:rsid w:val="00C91C5F"/>
    <w:rsid w:val="00C9213E"/>
    <w:rsid w:val="00C92558"/>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286"/>
    <w:rsid w:val="00C97397"/>
    <w:rsid w:val="00C974F0"/>
    <w:rsid w:val="00C975E6"/>
    <w:rsid w:val="00C978FE"/>
    <w:rsid w:val="00C97D48"/>
    <w:rsid w:val="00C97EAC"/>
    <w:rsid w:val="00CA0BDB"/>
    <w:rsid w:val="00CA0C2D"/>
    <w:rsid w:val="00CA0E9B"/>
    <w:rsid w:val="00CA10D0"/>
    <w:rsid w:val="00CA1333"/>
    <w:rsid w:val="00CA13DE"/>
    <w:rsid w:val="00CA1458"/>
    <w:rsid w:val="00CA175E"/>
    <w:rsid w:val="00CA19A9"/>
    <w:rsid w:val="00CA1B16"/>
    <w:rsid w:val="00CA1E51"/>
    <w:rsid w:val="00CA21A9"/>
    <w:rsid w:val="00CA43F9"/>
    <w:rsid w:val="00CA4458"/>
    <w:rsid w:val="00CA45FC"/>
    <w:rsid w:val="00CA481F"/>
    <w:rsid w:val="00CA487E"/>
    <w:rsid w:val="00CA516C"/>
    <w:rsid w:val="00CA52B2"/>
    <w:rsid w:val="00CA5366"/>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4FA1"/>
    <w:rsid w:val="00CC5431"/>
    <w:rsid w:val="00CC644D"/>
    <w:rsid w:val="00CC658D"/>
    <w:rsid w:val="00CC665A"/>
    <w:rsid w:val="00CC67EC"/>
    <w:rsid w:val="00CC6FB8"/>
    <w:rsid w:val="00CC718D"/>
    <w:rsid w:val="00CC7210"/>
    <w:rsid w:val="00CC74A2"/>
    <w:rsid w:val="00CC779C"/>
    <w:rsid w:val="00CC79D6"/>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322"/>
    <w:rsid w:val="00CD246B"/>
    <w:rsid w:val="00CD2519"/>
    <w:rsid w:val="00CD251C"/>
    <w:rsid w:val="00CD2C94"/>
    <w:rsid w:val="00CD2CDC"/>
    <w:rsid w:val="00CD2F34"/>
    <w:rsid w:val="00CD3B66"/>
    <w:rsid w:val="00CD4817"/>
    <w:rsid w:val="00CD4CB3"/>
    <w:rsid w:val="00CD4F23"/>
    <w:rsid w:val="00CD4FC6"/>
    <w:rsid w:val="00CD520E"/>
    <w:rsid w:val="00CD5217"/>
    <w:rsid w:val="00CD54BD"/>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4A0"/>
    <w:rsid w:val="00CE04BA"/>
    <w:rsid w:val="00CE06BD"/>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5D5"/>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42DF"/>
    <w:rsid w:val="00CF4307"/>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AF7"/>
    <w:rsid w:val="00D03E7A"/>
    <w:rsid w:val="00D04827"/>
    <w:rsid w:val="00D04EFF"/>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01"/>
    <w:rsid w:val="00D12BB7"/>
    <w:rsid w:val="00D132D5"/>
    <w:rsid w:val="00D13621"/>
    <w:rsid w:val="00D13E53"/>
    <w:rsid w:val="00D151EA"/>
    <w:rsid w:val="00D15303"/>
    <w:rsid w:val="00D15ABC"/>
    <w:rsid w:val="00D16051"/>
    <w:rsid w:val="00D160F7"/>
    <w:rsid w:val="00D16297"/>
    <w:rsid w:val="00D168DB"/>
    <w:rsid w:val="00D16EF2"/>
    <w:rsid w:val="00D17788"/>
    <w:rsid w:val="00D20039"/>
    <w:rsid w:val="00D20461"/>
    <w:rsid w:val="00D20B2D"/>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5FC"/>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237"/>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755"/>
    <w:rsid w:val="00D35E91"/>
    <w:rsid w:val="00D35FE9"/>
    <w:rsid w:val="00D361D9"/>
    <w:rsid w:val="00D36AF7"/>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715"/>
    <w:rsid w:val="00D44B03"/>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CDF"/>
    <w:rsid w:val="00D52E6A"/>
    <w:rsid w:val="00D53509"/>
    <w:rsid w:val="00D53637"/>
    <w:rsid w:val="00D5376F"/>
    <w:rsid w:val="00D5392D"/>
    <w:rsid w:val="00D53953"/>
    <w:rsid w:val="00D5396D"/>
    <w:rsid w:val="00D53980"/>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DB9"/>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63F"/>
    <w:rsid w:val="00D75801"/>
    <w:rsid w:val="00D75B70"/>
    <w:rsid w:val="00D76269"/>
    <w:rsid w:val="00D765A0"/>
    <w:rsid w:val="00D76684"/>
    <w:rsid w:val="00D766AA"/>
    <w:rsid w:val="00D76998"/>
    <w:rsid w:val="00D76AB5"/>
    <w:rsid w:val="00D771FD"/>
    <w:rsid w:val="00D7796D"/>
    <w:rsid w:val="00D77AC7"/>
    <w:rsid w:val="00D77FDB"/>
    <w:rsid w:val="00D800F7"/>
    <w:rsid w:val="00D80855"/>
    <w:rsid w:val="00D80B1A"/>
    <w:rsid w:val="00D80C06"/>
    <w:rsid w:val="00D8111F"/>
    <w:rsid w:val="00D812C7"/>
    <w:rsid w:val="00D816A7"/>
    <w:rsid w:val="00D81B18"/>
    <w:rsid w:val="00D82253"/>
    <w:rsid w:val="00D82666"/>
    <w:rsid w:val="00D831DB"/>
    <w:rsid w:val="00D8327F"/>
    <w:rsid w:val="00D83541"/>
    <w:rsid w:val="00D836EA"/>
    <w:rsid w:val="00D836F8"/>
    <w:rsid w:val="00D83768"/>
    <w:rsid w:val="00D8435E"/>
    <w:rsid w:val="00D84546"/>
    <w:rsid w:val="00D8466B"/>
    <w:rsid w:val="00D8487E"/>
    <w:rsid w:val="00D84B4D"/>
    <w:rsid w:val="00D84D05"/>
    <w:rsid w:val="00D8501A"/>
    <w:rsid w:val="00D856AF"/>
    <w:rsid w:val="00D85F1D"/>
    <w:rsid w:val="00D86281"/>
    <w:rsid w:val="00D86421"/>
    <w:rsid w:val="00D8655C"/>
    <w:rsid w:val="00D865F5"/>
    <w:rsid w:val="00D866A4"/>
    <w:rsid w:val="00D86757"/>
    <w:rsid w:val="00D86A15"/>
    <w:rsid w:val="00D86BED"/>
    <w:rsid w:val="00D86F9B"/>
    <w:rsid w:val="00D873DC"/>
    <w:rsid w:val="00D87453"/>
    <w:rsid w:val="00D8794E"/>
    <w:rsid w:val="00D87C14"/>
    <w:rsid w:val="00D9015D"/>
    <w:rsid w:val="00D901AD"/>
    <w:rsid w:val="00D903DE"/>
    <w:rsid w:val="00D906D9"/>
    <w:rsid w:val="00D9109E"/>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533C"/>
    <w:rsid w:val="00D96288"/>
    <w:rsid w:val="00D96356"/>
    <w:rsid w:val="00D96699"/>
    <w:rsid w:val="00D96AE6"/>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1173"/>
    <w:rsid w:val="00DA161A"/>
    <w:rsid w:val="00DA1CD0"/>
    <w:rsid w:val="00DA20A3"/>
    <w:rsid w:val="00DA2220"/>
    <w:rsid w:val="00DA2886"/>
    <w:rsid w:val="00DA2C18"/>
    <w:rsid w:val="00DA32A5"/>
    <w:rsid w:val="00DA3429"/>
    <w:rsid w:val="00DA3494"/>
    <w:rsid w:val="00DA3633"/>
    <w:rsid w:val="00DA3A39"/>
    <w:rsid w:val="00DA3D91"/>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0E1"/>
    <w:rsid w:val="00DB5415"/>
    <w:rsid w:val="00DB541B"/>
    <w:rsid w:val="00DB5620"/>
    <w:rsid w:val="00DB5777"/>
    <w:rsid w:val="00DB5889"/>
    <w:rsid w:val="00DB5B8E"/>
    <w:rsid w:val="00DB5F6C"/>
    <w:rsid w:val="00DB6699"/>
    <w:rsid w:val="00DB6F15"/>
    <w:rsid w:val="00DB74B3"/>
    <w:rsid w:val="00DB762B"/>
    <w:rsid w:val="00DB7A2E"/>
    <w:rsid w:val="00DB7CF1"/>
    <w:rsid w:val="00DB7D58"/>
    <w:rsid w:val="00DB7FDD"/>
    <w:rsid w:val="00DC0015"/>
    <w:rsid w:val="00DC023A"/>
    <w:rsid w:val="00DC07A1"/>
    <w:rsid w:val="00DC0BFE"/>
    <w:rsid w:val="00DC0DB1"/>
    <w:rsid w:val="00DC0F02"/>
    <w:rsid w:val="00DC0F8D"/>
    <w:rsid w:val="00DC10B1"/>
    <w:rsid w:val="00DC1325"/>
    <w:rsid w:val="00DC16CF"/>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5FCA"/>
    <w:rsid w:val="00DC602E"/>
    <w:rsid w:val="00DC6158"/>
    <w:rsid w:val="00DC7032"/>
    <w:rsid w:val="00DC72A4"/>
    <w:rsid w:val="00DC72D1"/>
    <w:rsid w:val="00DC746E"/>
    <w:rsid w:val="00DC76EE"/>
    <w:rsid w:val="00DC7D95"/>
    <w:rsid w:val="00DC7DB2"/>
    <w:rsid w:val="00DD01CA"/>
    <w:rsid w:val="00DD02F4"/>
    <w:rsid w:val="00DD043A"/>
    <w:rsid w:val="00DD069E"/>
    <w:rsid w:val="00DD1176"/>
    <w:rsid w:val="00DD1A7E"/>
    <w:rsid w:val="00DD1B4E"/>
    <w:rsid w:val="00DD245C"/>
    <w:rsid w:val="00DD2484"/>
    <w:rsid w:val="00DD295D"/>
    <w:rsid w:val="00DD2E0D"/>
    <w:rsid w:val="00DD304A"/>
    <w:rsid w:val="00DD399A"/>
    <w:rsid w:val="00DD3A13"/>
    <w:rsid w:val="00DD3BDC"/>
    <w:rsid w:val="00DD3CA5"/>
    <w:rsid w:val="00DD4D92"/>
    <w:rsid w:val="00DD4E60"/>
    <w:rsid w:val="00DD51F1"/>
    <w:rsid w:val="00DD552F"/>
    <w:rsid w:val="00DD5A48"/>
    <w:rsid w:val="00DD5A72"/>
    <w:rsid w:val="00DD5BF3"/>
    <w:rsid w:val="00DD6621"/>
    <w:rsid w:val="00DD6705"/>
    <w:rsid w:val="00DD6B1E"/>
    <w:rsid w:val="00DD6D1F"/>
    <w:rsid w:val="00DD6E9C"/>
    <w:rsid w:val="00DD742C"/>
    <w:rsid w:val="00DD75C0"/>
    <w:rsid w:val="00DD75EF"/>
    <w:rsid w:val="00DD7B40"/>
    <w:rsid w:val="00DD7CB3"/>
    <w:rsid w:val="00DE03A0"/>
    <w:rsid w:val="00DE077F"/>
    <w:rsid w:val="00DE0B17"/>
    <w:rsid w:val="00DE0E2E"/>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F005A"/>
    <w:rsid w:val="00DF010F"/>
    <w:rsid w:val="00DF0155"/>
    <w:rsid w:val="00DF04EE"/>
    <w:rsid w:val="00DF08AE"/>
    <w:rsid w:val="00DF0D8B"/>
    <w:rsid w:val="00DF170E"/>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A0"/>
    <w:rsid w:val="00DF5B56"/>
    <w:rsid w:val="00DF6076"/>
    <w:rsid w:val="00DF620E"/>
    <w:rsid w:val="00DF6326"/>
    <w:rsid w:val="00DF66E4"/>
    <w:rsid w:val="00DF718E"/>
    <w:rsid w:val="00DF7249"/>
    <w:rsid w:val="00DF77D2"/>
    <w:rsid w:val="00DF7D84"/>
    <w:rsid w:val="00DF7FC3"/>
    <w:rsid w:val="00E00187"/>
    <w:rsid w:val="00E00460"/>
    <w:rsid w:val="00E004BA"/>
    <w:rsid w:val="00E0057A"/>
    <w:rsid w:val="00E006E9"/>
    <w:rsid w:val="00E00844"/>
    <w:rsid w:val="00E00C71"/>
    <w:rsid w:val="00E00EAA"/>
    <w:rsid w:val="00E01034"/>
    <w:rsid w:val="00E0103C"/>
    <w:rsid w:val="00E01934"/>
    <w:rsid w:val="00E01ECD"/>
    <w:rsid w:val="00E0220F"/>
    <w:rsid w:val="00E02399"/>
    <w:rsid w:val="00E0240A"/>
    <w:rsid w:val="00E0274F"/>
    <w:rsid w:val="00E02814"/>
    <w:rsid w:val="00E0285D"/>
    <w:rsid w:val="00E02D97"/>
    <w:rsid w:val="00E02FD4"/>
    <w:rsid w:val="00E0338D"/>
    <w:rsid w:val="00E0339C"/>
    <w:rsid w:val="00E038DC"/>
    <w:rsid w:val="00E03ED5"/>
    <w:rsid w:val="00E03F68"/>
    <w:rsid w:val="00E04119"/>
    <w:rsid w:val="00E04122"/>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5E"/>
    <w:rsid w:val="00E07169"/>
    <w:rsid w:val="00E071D5"/>
    <w:rsid w:val="00E0722D"/>
    <w:rsid w:val="00E07358"/>
    <w:rsid w:val="00E07828"/>
    <w:rsid w:val="00E0783F"/>
    <w:rsid w:val="00E07ABA"/>
    <w:rsid w:val="00E10168"/>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274"/>
    <w:rsid w:val="00E13601"/>
    <w:rsid w:val="00E136BF"/>
    <w:rsid w:val="00E13C52"/>
    <w:rsid w:val="00E13FCA"/>
    <w:rsid w:val="00E14858"/>
    <w:rsid w:val="00E14E5F"/>
    <w:rsid w:val="00E14F71"/>
    <w:rsid w:val="00E15026"/>
    <w:rsid w:val="00E157D3"/>
    <w:rsid w:val="00E15A4F"/>
    <w:rsid w:val="00E15D54"/>
    <w:rsid w:val="00E15E7A"/>
    <w:rsid w:val="00E15FCB"/>
    <w:rsid w:val="00E162A4"/>
    <w:rsid w:val="00E162D7"/>
    <w:rsid w:val="00E16569"/>
    <w:rsid w:val="00E16717"/>
    <w:rsid w:val="00E16869"/>
    <w:rsid w:val="00E16888"/>
    <w:rsid w:val="00E1688C"/>
    <w:rsid w:val="00E16CE8"/>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1EC"/>
    <w:rsid w:val="00E233E7"/>
    <w:rsid w:val="00E23526"/>
    <w:rsid w:val="00E23D56"/>
    <w:rsid w:val="00E23F4E"/>
    <w:rsid w:val="00E24469"/>
    <w:rsid w:val="00E24799"/>
    <w:rsid w:val="00E2482D"/>
    <w:rsid w:val="00E2486C"/>
    <w:rsid w:val="00E248FA"/>
    <w:rsid w:val="00E24906"/>
    <w:rsid w:val="00E24AF1"/>
    <w:rsid w:val="00E24B28"/>
    <w:rsid w:val="00E24C10"/>
    <w:rsid w:val="00E24C6A"/>
    <w:rsid w:val="00E24FB5"/>
    <w:rsid w:val="00E25365"/>
    <w:rsid w:val="00E25E05"/>
    <w:rsid w:val="00E26810"/>
    <w:rsid w:val="00E2682C"/>
    <w:rsid w:val="00E26931"/>
    <w:rsid w:val="00E269D9"/>
    <w:rsid w:val="00E276A9"/>
    <w:rsid w:val="00E30029"/>
    <w:rsid w:val="00E30037"/>
    <w:rsid w:val="00E30499"/>
    <w:rsid w:val="00E3058F"/>
    <w:rsid w:val="00E305FF"/>
    <w:rsid w:val="00E30B51"/>
    <w:rsid w:val="00E30B8E"/>
    <w:rsid w:val="00E3102A"/>
    <w:rsid w:val="00E31116"/>
    <w:rsid w:val="00E31290"/>
    <w:rsid w:val="00E31767"/>
    <w:rsid w:val="00E31784"/>
    <w:rsid w:val="00E324BB"/>
    <w:rsid w:val="00E32A7A"/>
    <w:rsid w:val="00E32ECD"/>
    <w:rsid w:val="00E338C4"/>
    <w:rsid w:val="00E339F0"/>
    <w:rsid w:val="00E33D1B"/>
    <w:rsid w:val="00E33F0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88"/>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0D2E"/>
    <w:rsid w:val="00E51472"/>
    <w:rsid w:val="00E518D2"/>
    <w:rsid w:val="00E51919"/>
    <w:rsid w:val="00E51AB6"/>
    <w:rsid w:val="00E51E3A"/>
    <w:rsid w:val="00E51EAD"/>
    <w:rsid w:val="00E521A6"/>
    <w:rsid w:val="00E523E2"/>
    <w:rsid w:val="00E52CF0"/>
    <w:rsid w:val="00E532C7"/>
    <w:rsid w:val="00E5330C"/>
    <w:rsid w:val="00E534C6"/>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461"/>
    <w:rsid w:val="00E64B24"/>
    <w:rsid w:val="00E64D19"/>
    <w:rsid w:val="00E64DF4"/>
    <w:rsid w:val="00E65145"/>
    <w:rsid w:val="00E652D3"/>
    <w:rsid w:val="00E65370"/>
    <w:rsid w:val="00E655E8"/>
    <w:rsid w:val="00E65758"/>
    <w:rsid w:val="00E65CBF"/>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8CE"/>
    <w:rsid w:val="00E7691E"/>
    <w:rsid w:val="00E76A86"/>
    <w:rsid w:val="00E76DAC"/>
    <w:rsid w:val="00E76E17"/>
    <w:rsid w:val="00E774A2"/>
    <w:rsid w:val="00E77A79"/>
    <w:rsid w:val="00E77D4E"/>
    <w:rsid w:val="00E801BC"/>
    <w:rsid w:val="00E80898"/>
    <w:rsid w:val="00E80AF8"/>
    <w:rsid w:val="00E81119"/>
    <w:rsid w:val="00E816B3"/>
    <w:rsid w:val="00E817E4"/>
    <w:rsid w:val="00E81B1A"/>
    <w:rsid w:val="00E82880"/>
    <w:rsid w:val="00E82958"/>
    <w:rsid w:val="00E829CA"/>
    <w:rsid w:val="00E82B73"/>
    <w:rsid w:val="00E831E5"/>
    <w:rsid w:val="00E83650"/>
    <w:rsid w:val="00E848C5"/>
    <w:rsid w:val="00E84B9A"/>
    <w:rsid w:val="00E8509A"/>
    <w:rsid w:val="00E8529E"/>
    <w:rsid w:val="00E85976"/>
    <w:rsid w:val="00E85A5D"/>
    <w:rsid w:val="00E85EF5"/>
    <w:rsid w:val="00E85F23"/>
    <w:rsid w:val="00E860BF"/>
    <w:rsid w:val="00E864A7"/>
    <w:rsid w:val="00E86B7B"/>
    <w:rsid w:val="00E874B0"/>
    <w:rsid w:val="00E874FA"/>
    <w:rsid w:val="00E87908"/>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3DDF"/>
    <w:rsid w:val="00E9431A"/>
    <w:rsid w:val="00E9460B"/>
    <w:rsid w:val="00E9498C"/>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1AF"/>
    <w:rsid w:val="00EA031F"/>
    <w:rsid w:val="00EA032A"/>
    <w:rsid w:val="00EA059C"/>
    <w:rsid w:val="00EA074A"/>
    <w:rsid w:val="00EA0D29"/>
    <w:rsid w:val="00EA107B"/>
    <w:rsid w:val="00EA1186"/>
    <w:rsid w:val="00EA1ECC"/>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87"/>
    <w:rsid w:val="00EA64A8"/>
    <w:rsid w:val="00EA6BA8"/>
    <w:rsid w:val="00EA6D62"/>
    <w:rsid w:val="00EA75E0"/>
    <w:rsid w:val="00EA76EE"/>
    <w:rsid w:val="00EA79F7"/>
    <w:rsid w:val="00EA7AEE"/>
    <w:rsid w:val="00EA7F09"/>
    <w:rsid w:val="00EB0125"/>
    <w:rsid w:val="00EB0BE2"/>
    <w:rsid w:val="00EB0E5A"/>
    <w:rsid w:val="00EB1029"/>
    <w:rsid w:val="00EB1098"/>
    <w:rsid w:val="00EB10AC"/>
    <w:rsid w:val="00EB13D5"/>
    <w:rsid w:val="00EB196D"/>
    <w:rsid w:val="00EB196F"/>
    <w:rsid w:val="00EB2100"/>
    <w:rsid w:val="00EB29E8"/>
    <w:rsid w:val="00EB3295"/>
    <w:rsid w:val="00EB356D"/>
    <w:rsid w:val="00EB3CE5"/>
    <w:rsid w:val="00EB3D5C"/>
    <w:rsid w:val="00EB3F40"/>
    <w:rsid w:val="00EB410A"/>
    <w:rsid w:val="00EB47C0"/>
    <w:rsid w:val="00EB4885"/>
    <w:rsid w:val="00EB4A21"/>
    <w:rsid w:val="00EB4A93"/>
    <w:rsid w:val="00EB4C29"/>
    <w:rsid w:val="00EB506B"/>
    <w:rsid w:val="00EB50A1"/>
    <w:rsid w:val="00EB5A97"/>
    <w:rsid w:val="00EB5C8A"/>
    <w:rsid w:val="00EB641F"/>
    <w:rsid w:val="00EB6750"/>
    <w:rsid w:val="00EB67A9"/>
    <w:rsid w:val="00EB6889"/>
    <w:rsid w:val="00EB69A1"/>
    <w:rsid w:val="00EB6A96"/>
    <w:rsid w:val="00EB6AB9"/>
    <w:rsid w:val="00EB6D31"/>
    <w:rsid w:val="00EB745E"/>
    <w:rsid w:val="00EB784E"/>
    <w:rsid w:val="00EB7A93"/>
    <w:rsid w:val="00EC06CC"/>
    <w:rsid w:val="00EC0DFD"/>
    <w:rsid w:val="00EC10A0"/>
    <w:rsid w:val="00EC1195"/>
    <w:rsid w:val="00EC1383"/>
    <w:rsid w:val="00EC13D0"/>
    <w:rsid w:val="00EC1591"/>
    <w:rsid w:val="00EC168B"/>
    <w:rsid w:val="00EC16C6"/>
    <w:rsid w:val="00EC16F1"/>
    <w:rsid w:val="00EC1C8A"/>
    <w:rsid w:val="00EC1DFD"/>
    <w:rsid w:val="00EC20D8"/>
    <w:rsid w:val="00EC282D"/>
    <w:rsid w:val="00EC2840"/>
    <w:rsid w:val="00EC2B0D"/>
    <w:rsid w:val="00EC3573"/>
    <w:rsid w:val="00EC419F"/>
    <w:rsid w:val="00EC50A2"/>
    <w:rsid w:val="00EC518D"/>
    <w:rsid w:val="00EC52B8"/>
    <w:rsid w:val="00EC54F8"/>
    <w:rsid w:val="00EC5791"/>
    <w:rsid w:val="00EC57C6"/>
    <w:rsid w:val="00EC58FB"/>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518"/>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4D62"/>
    <w:rsid w:val="00EE5A6B"/>
    <w:rsid w:val="00EE5B3C"/>
    <w:rsid w:val="00EE5F75"/>
    <w:rsid w:val="00EE63BE"/>
    <w:rsid w:val="00EE6972"/>
    <w:rsid w:val="00EE6A2B"/>
    <w:rsid w:val="00EE6B04"/>
    <w:rsid w:val="00EE6B89"/>
    <w:rsid w:val="00EE712F"/>
    <w:rsid w:val="00EE73B5"/>
    <w:rsid w:val="00EE79AF"/>
    <w:rsid w:val="00EF0024"/>
    <w:rsid w:val="00EF076F"/>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BEA"/>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5C9"/>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A33"/>
    <w:rsid w:val="00F11D55"/>
    <w:rsid w:val="00F11DC7"/>
    <w:rsid w:val="00F11FA7"/>
    <w:rsid w:val="00F12541"/>
    <w:rsid w:val="00F13580"/>
    <w:rsid w:val="00F13586"/>
    <w:rsid w:val="00F143EE"/>
    <w:rsid w:val="00F14435"/>
    <w:rsid w:val="00F14C45"/>
    <w:rsid w:val="00F1510D"/>
    <w:rsid w:val="00F15233"/>
    <w:rsid w:val="00F15618"/>
    <w:rsid w:val="00F15E30"/>
    <w:rsid w:val="00F15E91"/>
    <w:rsid w:val="00F164D2"/>
    <w:rsid w:val="00F16E72"/>
    <w:rsid w:val="00F16F98"/>
    <w:rsid w:val="00F1735C"/>
    <w:rsid w:val="00F17473"/>
    <w:rsid w:val="00F178FF"/>
    <w:rsid w:val="00F1792A"/>
    <w:rsid w:val="00F17C72"/>
    <w:rsid w:val="00F17C97"/>
    <w:rsid w:val="00F17F93"/>
    <w:rsid w:val="00F17FC1"/>
    <w:rsid w:val="00F204D4"/>
    <w:rsid w:val="00F2064C"/>
    <w:rsid w:val="00F20B53"/>
    <w:rsid w:val="00F20B5F"/>
    <w:rsid w:val="00F21056"/>
    <w:rsid w:val="00F21961"/>
    <w:rsid w:val="00F2196B"/>
    <w:rsid w:val="00F21A42"/>
    <w:rsid w:val="00F21BA6"/>
    <w:rsid w:val="00F21C71"/>
    <w:rsid w:val="00F21D12"/>
    <w:rsid w:val="00F21FB3"/>
    <w:rsid w:val="00F22035"/>
    <w:rsid w:val="00F2291C"/>
    <w:rsid w:val="00F22A18"/>
    <w:rsid w:val="00F22C19"/>
    <w:rsid w:val="00F22D18"/>
    <w:rsid w:val="00F22FD6"/>
    <w:rsid w:val="00F2300F"/>
    <w:rsid w:val="00F2332F"/>
    <w:rsid w:val="00F23350"/>
    <w:rsid w:val="00F23434"/>
    <w:rsid w:val="00F235FB"/>
    <w:rsid w:val="00F23664"/>
    <w:rsid w:val="00F2367A"/>
    <w:rsid w:val="00F23880"/>
    <w:rsid w:val="00F23F3C"/>
    <w:rsid w:val="00F23F97"/>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7D48"/>
    <w:rsid w:val="00F3026A"/>
    <w:rsid w:val="00F3039A"/>
    <w:rsid w:val="00F307B3"/>
    <w:rsid w:val="00F30A58"/>
    <w:rsid w:val="00F30A91"/>
    <w:rsid w:val="00F30BB4"/>
    <w:rsid w:val="00F30F8A"/>
    <w:rsid w:val="00F312B5"/>
    <w:rsid w:val="00F313C9"/>
    <w:rsid w:val="00F3174C"/>
    <w:rsid w:val="00F31837"/>
    <w:rsid w:val="00F31A95"/>
    <w:rsid w:val="00F31DD9"/>
    <w:rsid w:val="00F31E7F"/>
    <w:rsid w:val="00F31EC4"/>
    <w:rsid w:val="00F327CC"/>
    <w:rsid w:val="00F32A89"/>
    <w:rsid w:val="00F32F13"/>
    <w:rsid w:val="00F33F9F"/>
    <w:rsid w:val="00F34042"/>
    <w:rsid w:val="00F34BE8"/>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721"/>
    <w:rsid w:val="00F41869"/>
    <w:rsid w:val="00F41A52"/>
    <w:rsid w:val="00F41E2A"/>
    <w:rsid w:val="00F420C8"/>
    <w:rsid w:val="00F4256F"/>
    <w:rsid w:val="00F427F0"/>
    <w:rsid w:val="00F42C4B"/>
    <w:rsid w:val="00F4325B"/>
    <w:rsid w:val="00F4348E"/>
    <w:rsid w:val="00F439C9"/>
    <w:rsid w:val="00F43DE0"/>
    <w:rsid w:val="00F44278"/>
    <w:rsid w:val="00F44339"/>
    <w:rsid w:val="00F4433B"/>
    <w:rsid w:val="00F44A07"/>
    <w:rsid w:val="00F44EC9"/>
    <w:rsid w:val="00F45218"/>
    <w:rsid w:val="00F46793"/>
    <w:rsid w:val="00F468D3"/>
    <w:rsid w:val="00F46927"/>
    <w:rsid w:val="00F47062"/>
    <w:rsid w:val="00F47221"/>
    <w:rsid w:val="00F4771A"/>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93B"/>
    <w:rsid w:val="00F55097"/>
    <w:rsid w:val="00F55854"/>
    <w:rsid w:val="00F55A50"/>
    <w:rsid w:val="00F55A97"/>
    <w:rsid w:val="00F55C66"/>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0B"/>
    <w:rsid w:val="00F62EDF"/>
    <w:rsid w:val="00F63515"/>
    <w:rsid w:val="00F63565"/>
    <w:rsid w:val="00F636AC"/>
    <w:rsid w:val="00F63B6D"/>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6A11"/>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4D0B"/>
    <w:rsid w:val="00F754C2"/>
    <w:rsid w:val="00F75843"/>
    <w:rsid w:val="00F75A5A"/>
    <w:rsid w:val="00F76EEC"/>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DA8"/>
    <w:rsid w:val="00F86F78"/>
    <w:rsid w:val="00F8729E"/>
    <w:rsid w:val="00F877FF"/>
    <w:rsid w:val="00F879DA"/>
    <w:rsid w:val="00F87CCC"/>
    <w:rsid w:val="00F902DB"/>
    <w:rsid w:val="00F90311"/>
    <w:rsid w:val="00F91011"/>
    <w:rsid w:val="00F9170D"/>
    <w:rsid w:val="00F91AD1"/>
    <w:rsid w:val="00F920C9"/>
    <w:rsid w:val="00F92584"/>
    <w:rsid w:val="00F926E2"/>
    <w:rsid w:val="00F92734"/>
    <w:rsid w:val="00F932D3"/>
    <w:rsid w:val="00F935A7"/>
    <w:rsid w:val="00F93824"/>
    <w:rsid w:val="00F93B52"/>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8D4"/>
    <w:rsid w:val="00F97A46"/>
    <w:rsid w:val="00F97A61"/>
    <w:rsid w:val="00F97CB8"/>
    <w:rsid w:val="00FA0597"/>
    <w:rsid w:val="00FA0840"/>
    <w:rsid w:val="00FA1008"/>
    <w:rsid w:val="00FA10F7"/>
    <w:rsid w:val="00FA15C8"/>
    <w:rsid w:val="00FA1640"/>
    <w:rsid w:val="00FA21D5"/>
    <w:rsid w:val="00FA2C5D"/>
    <w:rsid w:val="00FA2D86"/>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EA4"/>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62E"/>
    <w:rsid w:val="00FB5753"/>
    <w:rsid w:val="00FB58C0"/>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828"/>
    <w:rsid w:val="00FC3A39"/>
    <w:rsid w:val="00FC3BED"/>
    <w:rsid w:val="00FC43D1"/>
    <w:rsid w:val="00FC45A5"/>
    <w:rsid w:val="00FC46CA"/>
    <w:rsid w:val="00FC4CF8"/>
    <w:rsid w:val="00FC531B"/>
    <w:rsid w:val="00FC5701"/>
    <w:rsid w:val="00FC5757"/>
    <w:rsid w:val="00FC59AD"/>
    <w:rsid w:val="00FC7206"/>
    <w:rsid w:val="00FC7740"/>
    <w:rsid w:val="00FC7D7A"/>
    <w:rsid w:val="00FD00AA"/>
    <w:rsid w:val="00FD0147"/>
    <w:rsid w:val="00FD019D"/>
    <w:rsid w:val="00FD0423"/>
    <w:rsid w:val="00FD04E4"/>
    <w:rsid w:val="00FD05BA"/>
    <w:rsid w:val="00FD08D4"/>
    <w:rsid w:val="00FD0C68"/>
    <w:rsid w:val="00FD1065"/>
    <w:rsid w:val="00FD10FE"/>
    <w:rsid w:val="00FD1749"/>
    <w:rsid w:val="00FD1954"/>
    <w:rsid w:val="00FD1C2B"/>
    <w:rsid w:val="00FD2050"/>
    <w:rsid w:val="00FD208C"/>
    <w:rsid w:val="00FD2393"/>
    <w:rsid w:val="00FD24DE"/>
    <w:rsid w:val="00FD260F"/>
    <w:rsid w:val="00FD3EA2"/>
    <w:rsid w:val="00FD45BD"/>
    <w:rsid w:val="00FD51F3"/>
    <w:rsid w:val="00FD5907"/>
    <w:rsid w:val="00FD592E"/>
    <w:rsid w:val="00FD6904"/>
    <w:rsid w:val="00FD6AEB"/>
    <w:rsid w:val="00FD6B8A"/>
    <w:rsid w:val="00FD6BB9"/>
    <w:rsid w:val="00FD6C12"/>
    <w:rsid w:val="00FD717A"/>
    <w:rsid w:val="00FD7374"/>
    <w:rsid w:val="00FD74B9"/>
    <w:rsid w:val="00FD7546"/>
    <w:rsid w:val="00FD783F"/>
    <w:rsid w:val="00FD795A"/>
    <w:rsid w:val="00FD79E4"/>
    <w:rsid w:val="00FD7DAB"/>
    <w:rsid w:val="00FE0028"/>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E4"/>
    <w:rsid w:val="00FE2459"/>
    <w:rsid w:val="00FE24FF"/>
    <w:rsid w:val="00FE253B"/>
    <w:rsid w:val="00FE2C17"/>
    <w:rsid w:val="00FE2E75"/>
    <w:rsid w:val="00FE3496"/>
    <w:rsid w:val="00FE39C8"/>
    <w:rsid w:val="00FE3E6C"/>
    <w:rsid w:val="00FE434D"/>
    <w:rsid w:val="00FE47AE"/>
    <w:rsid w:val="00FE48E8"/>
    <w:rsid w:val="00FE4B98"/>
    <w:rsid w:val="00FE4D0B"/>
    <w:rsid w:val="00FE5131"/>
    <w:rsid w:val="00FE518B"/>
    <w:rsid w:val="00FE5C60"/>
    <w:rsid w:val="00FE699F"/>
    <w:rsid w:val="00FE69B9"/>
    <w:rsid w:val="00FE6CC1"/>
    <w:rsid w:val="00FE6DFE"/>
    <w:rsid w:val="00FE712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65"/>
    <w:rsid w:val="00FF477B"/>
    <w:rsid w:val="00FF489E"/>
    <w:rsid w:val="00FF534A"/>
    <w:rsid w:val="00FF5373"/>
    <w:rsid w:val="00FF55B1"/>
    <w:rsid w:val="00FF5937"/>
    <w:rsid w:val="00FF6658"/>
    <w:rsid w:val="00FF735C"/>
    <w:rsid w:val="00FF7707"/>
    <w:rsid w:val="00FF7F6A"/>
    <w:rsid w:val="017793BB"/>
    <w:rsid w:val="027E422F"/>
    <w:rsid w:val="04680CD2"/>
    <w:rsid w:val="0468FF3E"/>
    <w:rsid w:val="04FD37C5"/>
    <w:rsid w:val="05033488"/>
    <w:rsid w:val="066FD924"/>
    <w:rsid w:val="06899055"/>
    <w:rsid w:val="09B8C5CE"/>
    <w:rsid w:val="0A77862D"/>
    <w:rsid w:val="0ABB79E3"/>
    <w:rsid w:val="0AD03679"/>
    <w:rsid w:val="0AE519E8"/>
    <w:rsid w:val="0CA3AE72"/>
    <w:rsid w:val="0D6238DD"/>
    <w:rsid w:val="0FB03770"/>
    <w:rsid w:val="0FB88B0B"/>
    <w:rsid w:val="10E6C7B1"/>
    <w:rsid w:val="12F02BCD"/>
    <w:rsid w:val="13D5E770"/>
    <w:rsid w:val="16592840"/>
    <w:rsid w:val="1680914E"/>
    <w:rsid w:val="1725662E"/>
    <w:rsid w:val="17BA90CB"/>
    <w:rsid w:val="1821DF85"/>
    <w:rsid w:val="18F1D996"/>
    <w:rsid w:val="1988AC2D"/>
    <w:rsid w:val="1A10DA79"/>
    <w:rsid w:val="1BC1FA25"/>
    <w:rsid w:val="1DC824D2"/>
    <w:rsid w:val="1E1AF15A"/>
    <w:rsid w:val="1F098ADF"/>
    <w:rsid w:val="2005C01A"/>
    <w:rsid w:val="20885F01"/>
    <w:rsid w:val="2104D901"/>
    <w:rsid w:val="224519CC"/>
    <w:rsid w:val="22AA5886"/>
    <w:rsid w:val="23721129"/>
    <w:rsid w:val="23B22024"/>
    <w:rsid w:val="24F50054"/>
    <w:rsid w:val="253CEA81"/>
    <w:rsid w:val="26B50EE2"/>
    <w:rsid w:val="284433C2"/>
    <w:rsid w:val="2846C795"/>
    <w:rsid w:val="28EE1FD1"/>
    <w:rsid w:val="2A6DE07B"/>
    <w:rsid w:val="2AD4C92B"/>
    <w:rsid w:val="2CFC9453"/>
    <w:rsid w:val="2D0B1F24"/>
    <w:rsid w:val="2DF5AEC2"/>
    <w:rsid w:val="2E402E8C"/>
    <w:rsid w:val="2F4F1C83"/>
    <w:rsid w:val="2F8FEEC3"/>
    <w:rsid w:val="3051D97A"/>
    <w:rsid w:val="30C59023"/>
    <w:rsid w:val="319AC8C2"/>
    <w:rsid w:val="31BA9522"/>
    <w:rsid w:val="31DBA5AB"/>
    <w:rsid w:val="32082CDF"/>
    <w:rsid w:val="33CF97C8"/>
    <w:rsid w:val="3495AE98"/>
    <w:rsid w:val="34A477A6"/>
    <w:rsid w:val="34BAE0B5"/>
    <w:rsid w:val="34EAD0EA"/>
    <w:rsid w:val="34EEA0B2"/>
    <w:rsid w:val="35F8FC3D"/>
    <w:rsid w:val="363BB116"/>
    <w:rsid w:val="36476B76"/>
    <w:rsid w:val="364C2A96"/>
    <w:rsid w:val="36A0F395"/>
    <w:rsid w:val="36C2D913"/>
    <w:rsid w:val="36C90884"/>
    <w:rsid w:val="36E73944"/>
    <w:rsid w:val="375FE0EF"/>
    <w:rsid w:val="3802B30C"/>
    <w:rsid w:val="385491DA"/>
    <w:rsid w:val="38B957A0"/>
    <w:rsid w:val="3990DAF5"/>
    <w:rsid w:val="39953C7D"/>
    <w:rsid w:val="3A058DC9"/>
    <w:rsid w:val="3A6E3D01"/>
    <w:rsid w:val="3E466E6C"/>
    <w:rsid w:val="3EEEC718"/>
    <w:rsid w:val="40566F08"/>
    <w:rsid w:val="40A554D5"/>
    <w:rsid w:val="40AF1156"/>
    <w:rsid w:val="40F4201B"/>
    <w:rsid w:val="420BBB2B"/>
    <w:rsid w:val="4335EC9A"/>
    <w:rsid w:val="43A78B8C"/>
    <w:rsid w:val="43BC26DD"/>
    <w:rsid w:val="44151F47"/>
    <w:rsid w:val="441BEE3B"/>
    <w:rsid w:val="44CA71B4"/>
    <w:rsid w:val="456E2746"/>
    <w:rsid w:val="45F5F7AA"/>
    <w:rsid w:val="460D8C84"/>
    <w:rsid w:val="46A33ABC"/>
    <w:rsid w:val="46F25864"/>
    <w:rsid w:val="477855AB"/>
    <w:rsid w:val="47C92B09"/>
    <w:rsid w:val="4917E216"/>
    <w:rsid w:val="491E4A49"/>
    <w:rsid w:val="496EBFA2"/>
    <w:rsid w:val="4997880E"/>
    <w:rsid w:val="49BC46E6"/>
    <w:rsid w:val="4AE97A1D"/>
    <w:rsid w:val="4CE27556"/>
    <w:rsid w:val="4E166E4E"/>
    <w:rsid w:val="4E56E730"/>
    <w:rsid w:val="4E940D90"/>
    <w:rsid w:val="4FA0265A"/>
    <w:rsid w:val="4FDD0D19"/>
    <w:rsid w:val="50274945"/>
    <w:rsid w:val="512A003F"/>
    <w:rsid w:val="51BC2D2D"/>
    <w:rsid w:val="51C9910C"/>
    <w:rsid w:val="5223BBF4"/>
    <w:rsid w:val="5280316E"/>
    <w:rsid w:val="53A7A6C3"/>
    <w:rsid w:val="540048F2"/>
    <w:rsid w:val="54F6314C"/>
    <w:rsid w:val="556EEE3E"/>
    <w:rsid w:val="56CEDE5B"/>
    <w:rsid w:val="574A9199"/>
    <w:rsid w:val="580419E3"/>
    <w:rsid w:val="590B4D12"/>
    <w:rsid w:val="596BBB0F"/>
    <w:rsid w:val="59F70394"/>
    <w:rsid w:val="5B5760B0"/>
    <w:rsid w:val="5B788B4C"/>
    <w:rsid w:val="5C30E1C3"/>
    <w:rsid w:val="5D3C852E"/>
    <w:rsid w:val="5DC71555"/>
    <w:rsid w:val="5E1AD972"/>
    <w:rsid w:val="5F92804A"/>
    <w:rsid w:val="612A4389"/>
    <w:rsid w:val="61457045"/>
    <w:rsid w:val="61BBCA10"/>
    <w:rsid w:val="62945BA3"/>
    <w:rsid w:val="63365415"/>
    <w:rsid w:val="63491682"/>
    <w:rsid w:val="63F84288"/>
    <w:rsid w:val="64167E7E"/>
    <w:rsid w:val="64454980"/>
    <w:rsid w:val="64AEC164"/>
    <w:rsid w:val="6576C61E"/>
    <w:rsid w:val="66382DC8"/>
    <w:rsid w:val="6666DF92"/>
    <w:rsid w:val="66AFCFA2"/>
    <w:rsid w:val="6718A86C"/>
    <w:rsid w:val="68EE6CBC"/>
    <w:rsid w:val="6D60EAC5"/>
    <w:rsid w:val="6D757224"/>
    <w:rsid w:val="6DEE9638"/>
    <w:rsid w:val="70ABA9A0"/>
    <w:rsid w:val="7102ACBF"/>
    <w:rsid w:val="71394EAE"/>
    <w:rsid w:val="71667F01"/>
    <w:rsid w:val="7230260A"/>
    <w:rsid w:val="737266FF"/>
    <w:rsid w:val="73B22ADA"/>
    <w:rsid w:val="74F94E52"/>
    <w:rsid w:val="75D948AC"/>
    <w:rsid w:val="7615C406"/>
    <w:rsid w:val="76205CD1"/>
    <w:rsid w:val="7677D8C6"/>
    <w:rsid w:val="78394C23"/>
    <w:rsid w:val="7C12313C"/>
    <w:rsid w:val="7C83EEDB"/>
    <w:rsid w:val="7E8EB96B"/>
    <w:rsid w:val="7EC01714"/>
    <w:rsid w:val="7EF3624C"/>
    <w:rsid w:val="7F2F6676"/>
    <w:rsid w:val="7F4C501C"/>
    <w:rsid w:val="7F509AE2"/>
    <w:rsid w:val="7F94A4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57DF8"/>
  <w15:docId w15:val="{8548EA5B-EADC-4AC5-9918-21FC2415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48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87428A"/>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87428A"/>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2025Tablenote">
    <w:name w:val="CGC 2025 Table note"/>
    <w:basedOn w:val="CGCTableFootnote"/>
    <w:next w:val="Normal"/>
    <w:qFormat/>
    <w:rsid w:val="00A33484"/>
    <w:pPr>
      <w:tabs>
        <w:tab w:val="left" w:pos="680"/>
      </w:tabs>
      <w:spacing w:before="40"/>
      <w:ind w:left="340" w:hanging="227"/>
    </w:pPr>
    <w:rPr>
      <w:rFonts w:ascii="Work Sans" w:hAnsi="Work Sans"/>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1C5975"/>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Bullet1">
    <w:name w:val="CGC Bullet 1"/>
    <w:basedOn w:val="Normal"/>
    <w:qFormat/>
    <w:rsid w:val="003A0465"/>
    <w:pPr>
      <w:ind w:left="927" w:hanging="360"/>
    </w:pPr>
    <w:rPr>
      <w:rFonts w:ascii="Work Sans" w:hAnsi="Work Sans"/>
    </w:rPr>
  </w:style>
  <w:style w:type="paragraph" w:customStyle="1" w:styleId="CGCBodyPara">
    <w:name w:val="CGC Body Para"/>
    <w:basedOn w:val="CGCParaNumber"/>
    <w:qFormat/>
    <w:rsid w:val="00AC4F8A"/>
    <w:pPr>
      <w:numPr>
        <w:numId w:val="17"/>
      </w:numPr>
      <w:tabs>
        <w:tab w:val="clear" w:pos="567"/>
      </w:tabs>
      <w:ind w:left="567" w:right="-12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3657580">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68102257">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88044509">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06803438">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gov.au/digital-publication/aimr2022/world-rank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Vuyyuru\OneDrive%20-%20Commonwealth%20Grants%20Commission\Desktop\Assessment%20Consultation%20paper%20template%20-%20M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Ben Crabb</DisplayName>
        <AccountId>48</AccountId>
        <AccountType/>
      </UserInfo>
      <UserInfo>
        <DisplayName>Rose Verspaandonk</DisplayName>
        <AccountId>62</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8426-1194-4325-8E99-5816E362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 - Mining</Template>
  <TotalTime>175</TotalTime>
  <Pages>18</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Maddie Vuyyuru</dc:creator>
  <cp:keywords/>
  <cp:lastModifiedBy>Katrina Baldock</cp:lastModifiedBy>
  <cp:revision>91</cp:revision>
  <cp:lastPrinted>2023-06-20T02:46:00Z</cp:lastPrinted>
  <dcterms:created xsi:type="dcterms:W3CDTF">2023-06-19T23:25:00Z</dcterms:created>
  <dcterms:modified xsi:type="dcterms:W3CDTF">2023-06-29T00:34:00Z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