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7E36E6" w14:textId="77777777" w:rsidR="00A5102B" w:rsidRPr="0040294B" w:rsidRDefault="00C76AAF" w:rsidP="00A5102B">
      <w:pPr>
        <w:rPr>
          <w:rFonts w:ascii="Work Sans" w:hAnsi="Work Sans"/>
          <w:sz w:val="24"/>
          <w:szCs w:val="24"/>
        </w:rPr>
      </w:pPr>
      <w:r>
        <w:rPr>
          <w:noProof/>
        </w:rPr>
        <w:drawing>
          <wp:anchor distT="0" distB="0" distL="114300" distR="114300" simplePos="0" relativeHeight="251658240" behindDoc="1" locked="0" layoutInCell="1" allowOverlap="1" wp14:anchorId="54B49E20" wp14:editId="30231D26">
            <wp:simplePos x="0" y="0"/>
            <wp:positionH relativeFrom="margin">
              <wp:align>center</wp:align>
            </wp:positionH>
            <wp:positionV relativeFrom="paragraph">
              <wp:posOffset>-908698</wp:posOffset>
            </wp:positionV>
            <wp:extent cx="7725600" cy="10922400"/>
            <wp:effectExtent l="0" t="0" r="8890" b="0"/>
            <wp:wrapNone/>
            <wp:docPr id="9" name="Picture 9" descr="A picture containing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fish&#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25600" cy="10922400"/>
                    </a:xfrm>
                    <a:prstGeom prst="rect">
                      <a:avLst/>
                    </a:prstGeom>
                  </pic:spPr>
                </pic:pic>
              </a:graphicData>
            </a:graphic>
            <wp14:sizeRelH relativeFrom="margin">
              <wp14:pctWidth>0</wp14:pctWidth>
            </wp14:sizeRelH>
            <wp14:sizeRelV relativeFrom="margin">
              <wp14:pctHeight>0</wp14:pctHeight>
            </wp14:sizeRelV>
          </wp:anchor>
        </w:drawing>
      </w:r>
      <w:r w:rsidR="00A5102B">
        <w:rPr>
          <w:noProof/>
        </w:rPr>
        <w:drawing>
          <wp:inline distT="0" distB="0" distL="0" distR="0" wp14:anchorId="4E220762" wp14:editId="0A820682">
            <wp:extent cx="2441749" cy="460926"/>
            <wp:effectExtent l="0" t="0" r="4445"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41749" cy="460926"/>
                    </a:xfrm>
                    <a:prstGeom prst="rect">
                      <a:avLst/>
                    </a:prstGeom>
                  </pic:spPr>
                </pic:pic>
              </a:graphicData>
            </a:graphic>
          </wp:inline>
        </w:drawing>
      </w:r>
    </w:p>
    <w:p w14:paraId="0C0CD46C" w14:textId="77777777" w:rsidR="00A5102B" w:rsidRPr="00F0686F" w:rsidRDefault="00A5102B" w:rsidP="00A5102B">
      <w:pPr>
        <w:rPr>
          <w:rFonts w:ascii="Work Sans" w:hAnsi="Work Sans"/>
          <w:sz w:val="24"/>
          <w:szCs w:val="24"/>
        </w:rPr>
      </w:pPr>
    </w:p>
    <w:p w14:paraId="633DF5EB" w14:textId="77777777" w:rsidR="00A5102B" w:rsidRPr="00F0686F" w:rsidRDefault="00A5102B" w:rsidP="00A5102B">
      <w:pPr>
        <w:rPr>
          <w:rFonts w:ascii="Work Sans" w:hAnsi="Work Sans"/>
          <w:sz w:val="24"/>
          <w:szCs w:val="24"/>
        </w:rPr>
      </w:pPr>
    </w:p>
    <w:p w14:paraId="5B102B89" w14:textId="77777777" w:rsidR="00A5102B" w:rsidRDefault="00A5102B" w:rsidP="004477FF">
      <w:pPr>
        <w:pStyle w:val="CGCNumberedPara"/>
        <w:numPr>
          <w:ilvl w:val="0"/>
          <w:numId w:val="0"/>
        </w:numPr>
        <w:ind w:left="567" w:hanging="567"/>
      </w:pPr>
    </w:p>
    <w:p w14:paraId="16630794" w14:textId="77777777" w:rsidR="00246686" w:rsidRDefault="00246686" w:rsidP="00AB13AF">
      <w:pPr>
        <w:tabs>
          <w:tab w:val="clear" w:pos="567"/>
          <w:tab w:val="left" w:pos="2515"/>
        </w:tabs>
        <w:rPr>
          <w:rFonts w:ascii="Work Sans" w:hAnsi="Work Sans"/>
          <w:sz w:val="24"/>
          <w:szCs w:val="24"/>
        </w:rPr>
      </w:pPr>
    </w:p>
    <w:p w14:paraId="70268650" w14:textId="77777777" w:rsidR="00F2521E" w:rsidRPr="00F2521E" w:rsidRDefault="000D01AA" w:rsidP="004E10E4">
      <w:pPr>
        <w:rPr>
          <w:rFonts w:ascii="Work Sans" w:hAnsi="Work Sans"/>
          <w:sz w:val="24"/>
          <w:szCs w:val="24"/>
        </w:rPr>
      </w:pPr>
      <w:r w:rsidRPr="00962EFF">
        <w:rPr>
          <w:noProof/>
        </w:rPr>
        <mc:AlternateContent>
          <mc:Choice Requires="wps">
            <w:drawing>
              <wp:anchor distT="0" distB="0" distL="114300" distR="114300" simplePos="0" relativeHeight="251658242" behindDoc="0" locked="0" layoutInCell="1" allowOverlap="1" wp14:anchorId="39405CC7" wp14:editId="753416EE">
                <wp:simplePos x="0" y="0"/>
                <wp:positionH relativeFrom="margin">
                  <wp:posOffset>0</wp:posOffset>
                </wp:positionH>
                <wp:positionV relativeFrom="page">
                  <wp:posOffset>2618513</wp:posOffset>
                </wp:positionV>
                <wp:extent cx="6000750" cy="776975"/>
                <wp:effectExtent l="0" t="0" r="0" b="4445"/>
                <wp:wrapNone/>
                <wp:docPr id="31" name="Text Box 31"/>
                <wp:cNvGraphicFramePr/>
                <a:graphic xmlns:a="http://schemas.openxmlformats.org/drawingml/2006/main">
                  <a:graphicData uri="http://schemas.microsoft.com/office/word/2010/wordprocessingShape">
                    <wps:wsp>
                      <wps:cNvSpPr txBox="1"/>
                      <wps:spPr>
                        <a:xfrm>
                          <a:off x="0" y="0"/>
                          <a:ext cx="6000750" cy="776975"/>
                        </a:xfrm>
                        <a:prstGeom prst="rect">
                          <a:avLst/>
                        </a:prstGeom>
                        <a:noFill/>
                        <a:ln w="6350">
                          <a:noFill/>
                        </a:ln>
                      </wps:spPr>
                      <wps:txbx>
                        <w:txbxContent>
                          <w:p w14:paraId="3BDDBC7C" w14:textId="77777777" w:rsidR="00F8399B" w:rsidRPr="00F656E3" w:rsidRDefault="00F8399B" w:rsidP="000D01AA">
                            <w:pPr>
                              <w:jc w:val="center"/>
                              <w:rPr>
                                <w:rFonts w:ascii="Work Sans" w:hAnsi="Work Sans" w:cs="Open Sans"/>
                                <w:b/>
                                <w:color w:val="FFFFFF"/>
                                <w:sz w:val="56"/>
                                <w:szCs w:val="56"/>
                              </w:rPr>
                            </w:pPr>
                            <w:r w:rsidRPr="00F656E3">
                              <w:rPr>
                                <w:rFonts w:ascii="Work Sans" w:hAnsi="Work Sans" w:cs="Open Sans"/>
                                <w:b/>
                                <w:color w:val="FFFFFF"/>
                                <w:sz w:val="56"/>
                                <w:szCs w:val="56"/>
                              </w:rPr>
                              <w:t xml:space="preserve">2025 </w:t>
                            </w:r>
                            <w:r w:rsidRPr="00F656E3">
                              <w:rPr>
                                <w:rFonts w:ascii="Work Sans" w:hAnsi="Work Sans" w:cs="Open Sans"/>
                                <w:b/>
                                <w:bCs/>
                                <w:color w:val="FFFFFF"/>
                                <w:sz w:val="56"/>
                                <w:szCs w:val="56"/>
                              </w:rPr>
                              <w:t xml:space="preserve">Methodology </w:t>
                            </w:r>
                            <w:r w:rsidRPr="00F656E3">
                              <w:rPr>
                                <w:rFonts w:ascii="Work Sans" w:hAnsi="Work Sans" w:cs="Open Sans"/>
                                <w:b/>
                                <w:color w:val="FFFFFF"/>
                                <w:sz w:val="56"/>
                                <w:szCs w:val="56"/>
                              </w:rPr>
                              <w:t>Review</w:t>
                            </w:r>
                          </w:p>
                          <w:p w14:paraId="4494A2E9" w14:textId="77777777" w:rsidR="00F8399B" w:rsidRPr="00EB24B1" w:rsidRDefault="00F8399B" w:rsidP="000D01AA">
                            <w:pPr>
                              <w:jc w:val="center"/>
                              <w:rPr>
                                <w:rFonts w:cs="Open Sans"/>
                                <w:color w:val="FFFFFF"/>
                                <w:sz w:val="48"/>
                                <w:szCs w:val="48"/>
                              </w:rPr>
                            </w:pPr>
                            <w:r>
                              <w:rPr>
                                <w:rFonts w:cs="Open Sans"/>
                                <w:color w:val="FFFFFF"/>
                                <w:sz w:val="48"/>
                                <w:szCs w:val="4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405CC7" id="_x0000_t202" coordsize="21600,21600" o:spt="202" path="m,l,21600r21600,l21600,xe">
                <v:stroke joinstyle="miter"/>
                <v:path gradientshapeok="t" o:connecttype="rect"/>
              </v:shapetype>
              <v:shape id="Text Box 31" o:spid="_x0000_s1026" type="#_x0000_t202" style="position:absolute;margin-left:0;margin-top:206.2pt;width:472.5pt;height:61.2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" filled="f" stroked="f" strokeweight=".5pt">
                <v:textbox>
                  <w:txbxContent>
                    <w:p w14:paraId="3BDDBC7C" w14:textId="77777777" w:rsidR="00F8399B" w:rsidRPr="00F656E3" w:rsidRDefault="00F8399B" w:rsidP="000D01AA">
                      <w:pPr>
                        <w:jc w:val="center"/>
                        <w:rPr>
                          <w:rFonts w:ascii="Work Sans" w:hAnsi="Work Sans" w:cs="Open Sans"/>
                          <w:b/>
                          <w:color w:val="FFFFFF"/>
                          <w:sz w:val="56"/>
                          <w:szCs w:val="56"/>
                        </w:rPr>
                      </w:pPr>
                      <w:r w:rsidRPr="00F656E3">
                        <w:rPr>
                          <w:rFonts w:ascii="Work Sans" w:hAnsi="Work Sans" w:cs="Open Sans"/>
                          <w:b/>
                          <w:color w:val="FFFFFF"/>
                          <w:sz w:val="56"/>
                          <w:szCs w:val="56"/>
                        </w:rPr>
                        <w:t xml:space="preserve">2025 </w:t>
                      </w:r>
                      <w:r w:rsidRPr="00F656E3">
                        <w:rPr>
                          <w:rFonts w:ascii="Work Sans" w:hAnsi="Work Sans" w:cs="Open Sans"/>
                          <w:b/>
                          <w:bCs/>
                          <w:color w:val="FFFFFF"/>
                          <w:sz w:val="56"/>
                          <w:szCs w:val="56"/>
                        </w:rPr>
                        <w:t xml:space="preserve">Methodology </w:t>
                      </w:r>
                      <w:r w:rsidRPr="00F656E3">
                        <w:rPr>
                          <w:rFonts w:ascii="Work Sans" w:hAnsi="Work Sans" w:cs="Open Sans"/>
                          <w:b/>
                          <w:color w:val="FFFFFF"/>
                          <w:sz w:val="56"/>
                          <w:szCs w:val="56"/>
                        </w:rPr>
                        <w:t>Review</w:t>
                      </w:r>
                    </w:p>
                    <w:p w14:paraId="4494A2E9" w14:textId="77777777" w:rsidR="00F8399B" w:rsidRPr="00EB24B1" w:rsidRDefault="00F8399B" w:rsidP="000D01AA">
                      <w:pPr>
                        <w:jc w:val="center"/>
                        <w:rPr>
                          <w:rFonts w:cs="Open Sans"/>
                          <w:color w:val="FFFFFF"/>
                          <w:sz w:val="48"/>
                          <w:szCs w:val="48"/>
                        </w:rPr>
                      </w:pPr>
                      <w:r>
                        <w:rPr>
                          <w:rFonts w:cs="Open Sans"/>
                          <w:color w:val="FFFFFF"/>
                          <w:sz w:val="48"/>
                          <w:szCs w:val="48"/>
                        </w:rPr>
                        <w:br/>
                      </w:r>
                    </w:p>
                  </w:txbxContent>
                </v:textbox>
                <w10:wrap anchorx="margin" anchory="page"/>
              </v:shape>
            </w:pict>
          </mc:Fallback>
        </mc:AlternateContent>
      </w:r>
    </w:p>
    <w:p w14:paraId="10FBAB31" w14:textId="77777777" w:rsidR="00A5102B" w:rsidRPr="00F0686F" w:rsidRDefault="00A5102B" w:rsidP="00545F2D">
      <w:pPr>
        <w:rPr>
          <w:rFonts w:ascii="Work Sans" w:hAnsi="Work Sans"/>
          <w:sz w:val="24"/>
          <w:szCs w:val="24"/>
        </w:rPr>
      </w:pPr>
    </w:p>
    <w:p w14:paraId="21E341A8" w14:textId="77777777" w:rsidR="00A5102B" w:rsidRDefault="00A5102B" w:rsidP="00A5102B">
      <w:pPr>
        <w:rPr>
          <w:rFonts w:ascii="Work Sans" w:hAnsi="Work Sans"/>
          <w:sz w:val="24"/>
          <w:szCs w:val="24"/>
        </w:rPr>
      </w:pPr>
    </w:p>
    <w:p w14:paraId="265A8F1E" w14:textId="77777777" w:rsidR="00A5102B" w:rsidRDefault="00A5102B" w:rsidP="00A5102B">
      <w:pPr>
        <w:rPr>
          <w:rFonts w:ascii="Work Sans" w:hAnsi="Work Sans"/>
          <w:sz w:val="24"/>
          <w:szCs w:val="24"/>
        </w:rPr>
      </w:pPr>
    </w:p>
    <w:p w14:paraId="7B313781" w14:textId="77777777" w:rsidR="00A5102B" w:rsidRDefault="00A5102B" w:rsidP="00A5102B">
      <w:pPr>
        <w:rPr>
          <w:rFonts w:ascii="Work Sans" w:hAnsi="Work Sans"/>
          <w:sz w:val="24"/>
          <w:szCs w:val="24"/>
        </w:rPr>
      </w:pPr>
    </w:p>
    <w:p w14:paraId="2A2B4640" w14:textId="77777777" w:rsidR="00A5102B" w:rsidRDefault="00A5102B" w:rsidP="00A5102B">
      <w:pPr>
        <w:rPr>
          <w:rFonts w:ascii="Work Sans" w:hAnsi="Work Sans"/>
          <w:sz w:val="24"/>
          <w:szCs w:val="24"/>
        </w:rPr>
      </w:pPr>
    </w:p>
    <w:p w14:paraId="5932DECA" w14:textId="77777777" w:rsidR="00A5102B" w:rsidRDefault="00E062B6" w:rsidP="00A5102B">
      <w:pPr>
        <w:rPr>
          <w:rFonts w:ascii="Work Sans" w:hAnsi="Work Sans"/>
          <w:sz w:val="24"/>
          <w:szCs w:val="24"/>
        </w:rPr>
      </w:pPr>
      <w:r w:rsidRPr="00962EFF">
        <w:rPr>
          <w:noProof/>
        </w:rPr>
        <mc:AlternateContent>
          <mc:Choice Requires="wps">
            <w:drawing>
              <wp:anchor distT="0" distB="0" distL="114300" distR="114300" simplePos="0" relativeHeight="251658241" behindDoc="0" locked="0" layoutInCell="1" allowOverlap="1" wp14:anchorId="6A60A417" wp14:editId="1883FB79">
                <wp:simplePos x="0" y="0"/>
                <wp:positionH relativeFrom="margin">
                  <wp:posOffset>0</wp:posOffset>
                </wp:positionH>
                <wp:positionV relativeFrom="page">
                  <wp:posOffset>4203043</wp:posOffset>
                </wp:positionV>
                <wp:extent cx="6000750" cy="197104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6000750" cy="1971040"/>
                        </a:xfrm>
                        <a:prstGeom prst="rect">
                          <a:avLst/>
                        </a:prstGeom>
                        <a:noFill/>
                        <a:ln w="6350">
                          <a:noFill/>
                        </a:ln>
                      </wps:spPr>
                      <wps:txbx>
                        <w:txbxContent>
                          <w:p w14:paraId="02ED8319" w14:textId="7B13B947" w:rsidR="0036633A" w:rsidRPr="0036633A" w:rsidRDefault="00C32DD8" w:rsidP="0036633A">
                            <w:pPr>
                              <w:jc w:val="center"/>
                              <w:rPr>
                                <w:rFonts w:ascii="Work Sans" w:hAnsi="Work Sans" w:cs="Open Sans"/>
                                <w:color w:val="FFFFFF"/>
                                <w:sz w:val="52"/>
                                <w:szCs w:val="56"/>
                              </w:rPr>
                            </w:pPr>
                            <w:r>
                              <w:rPr>
                                <w:rFonts w:ascii="Work Sans" w:hAnsi="Work Sans" w:cs="Open Sans"/>
                                <w:color w:val="FFFFFF"/>
                                <w:sz w:val="52"/>
                                <w:szCs w:val="56"/>
                              </w:rPr>
                              <w:t>Post-secondary education</w:t>
                            </w:r>
                            <w:r w:rsidR="00097D78" w:rsidRPr="00545F2D">
                              <w:rPr>
                                <w:rFonts w:ascii="Work Sans" w:hAnsi="Work Sans" w:cs="Open Sans"/>
                                <w:color w:val="FFFFFF"/>
                                <w:sz w:val="52"/>
                                <w:szCs w:val="56"/>
                              </w:rPr>
                              <w:t xml:space="preserve"> consultation</w:t>
                            </w:r>
                            <w:r w:rsidR="00A358C4">
                              <w:rPr>
                                <w:rFonts w:ascii="Work Sans" w:hAnsi="Work Sans" w:cs="Open Sans"/>
                                <w:color w:val="FFFFFF"/>
                                <w:sz w:val="52"/>
                                <w:szCs w:val="56"/>
                              </w:rPr>
                              <w:t xml:space="preserve"> </w:t>
                            </w:r>
                            <w:r w:rsidR="00097D78" w:rsidRPr="00545F2D">
                              <w:rPr>
                                <w:rFonts w:ascii="Work Sans" w:hAnsi="Work Sans" w:cs="Open Sans"/>
                                <w:color w:val="FFFFFF"/>
                                <w:sz w:val="52"/>
                                <w:szCs w:val="56"/>
                              </w:rPr>
                              <w:t>paper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0A417" id="Text Box 29" o:spid="_x0000_s1027" type="#_x0000_t202" style="position:absolute;margin-left:0;margin-top:330.95pt;width:472.5pt;height:155.2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" filled="f" stroked="f" strokeweight=".5pt">
                <v:textbox>
                  <w:txbxContent>
                    <w:p w14:paraId="02ED8319" w14:textId="7B13B947" w:rsidR="0036633A" w:rsidRPr="0036633A" w:rsidRDefault="00C32DD8" w:rsidP="0036633A">
                      <w:pPr>
                        <w:jc w:val="center"/>
                        <w:rPr>
                          <w:rFonts w:ascii="Work Sans" w:hAnsi="Work Sans" w:cs="Open Sans"/>
                          <w:color w:val="FFFFFF"/>
                          <w:sz w:val="52"/>
                          <w:szCs w:val="56"/>
                        </w:rPr>
                      </w:pPr>
                      <w:r>
                        <w:rPr>
                          <w:rFonts w:ascii="Work Sans" w:hAnsi="Work Sans" w:cs="Open Sans"/>
                          <w:color w:val="FFFFFF"/>
                          <w:sz w:val="52"/>
                          <w:szCs w:val="56"/>
                        </w:rPr>
                        <w:t>Post-secondary education</w:t>
                      </w:r>
                      <w:r w:rsidR="00097D78" w:rsidRPr="00545F2D">
                        <w:rPr>
                          <w:rFonts w:ascii="Work Sans" w:hAnsi="Work Sans" w:cs="Open Sans"/>
                          <w:color w:val="FFFFFF"/>
                          <w:sz w:val="52"/>
                          <w:szCs w:val="56"/>
                        </w:rPr>
                        <w:t xml:space="preserve"> consultation</w:t>
                      </w:r>
                      <w:r w:rsidR="00A358C4">
                        <w:rPr>
                          <w:rFonts w:ascii="Work Sans" w:hAnsi="Work Sans" w:cs="Open Sans"/>
                          <w:color w:val="FFFFFF"/>
                          <w:sz w:val="52"/>
                          <w:szCs w:val="56"/>
                        </w:rPr>
                        <w:t xml:space="preserve"> </w:t>
                      </w:r>
                      <w:r w:rsidR="00097D78" w:rsidRPr="00545F2D">
                        <w:rPr>
                          <w:rFonts w:ascii="Work Sans" w:hAnsi="Work Sans" w:cs="Open Sans"/>
                          <w:color w:val="FFFFFF"/>
                          <w:sz w:val="52"/>
                          <w:szCs w:val="56"/>
                        </w:rPr>
                        <w:t>paper</w:t>
                      </w:r>
                    </w:p>
                  </w:txbxContent>
                </v:textbox>
                <w10:wrap anchorx="margin" anchory="page"/>
              </v:shape>
            </w:pict>
          </mc:Fallback>
        </mc:AlternateContent>
      </w:r>
    </w:p>
    <w:p w14:paraId="0F99C78C" w14:textId="77777777" w:rsidR="00A5102B" w:rsidRDefault="00A5102B" w:rsidP="002A45B1">
      <w:pPr>
        <w:jc w:val="center"/>
        <w:rPr>
          <w:rFonts w:ascii="Work Sans" w:hAnsi="Work Sans"/>
          <w:sz w:val="24"/>
          <w:szCs w:val="24"/>
        </w:rPr>
      </w:pPr>
    </w:p>
    <w:p w14:paraId="1989095F" w14:textId="77777777" w:rsidR="00A5102B" w:rsidRDefault="00A5102B" w:rsidP="00704788">
      <w:pPr>
        <w:rPr>
          <w:rFonts w:ascii="Work Sans" w:hAnsi="Work Sans" w:cs="Open Sans"/>
          <w:color w:val="FFFFFF"/>
          <w:sz w:val="28"/>
          <w:szCs w:val="28"/>
        </w:rPr>
      </w:pPr>
    </w:p>
    <w:p w14:paraId="39394E3D" w14:textId="77777777" w:rsidR="00704788" w:rsidRDefault="00704788" w:rsidP="00704788">
      <w:pPr>
        <w:rPr>
          <w:rFonts w:ascii="Work Sans" w:hAnsi="Work Sans" w:cs="Open Sans"/>
          <w:color w:val="FFFFFF"/>
          <w:sz w:val="28"/>
          <w:szCs w:val="28"/>
        </w:rPr>
      </w:pPr>
    </w:p>
    <w:p w14:paraId="667B53FF" w14:textId="77777777" w:rsidR="00704788" w:rsidRDefault="00704788" w:rsidP="00704788">
      <w:pPr>
        <w:rPr>
          <w:rFonts w:ascii="Work Sans" w:hAnsi="Work Sans" w:cs="Open Sans"/>
          <w:color w:val="FFFFFF"/>
          <w:sz w:val="28"/>
          <w:szCs w:val="28"/>
        </w:rPr>
      </w:pPr>
    </w:p>
    <w:p w14:paraId="245255AD" w14:textId="77777777" w:rsidR="00704788" w:rsidRDefault="00704788" w:rsidP="00704788">
      <w:pPr>
        <w:rPr>
          <w:rFonts w:ascii="Work Sans" w:hAnsi="Work Sans" w:cs="Open Sans"/>
          <w:color w:val="FFFFFF"/>
          <w:sz w:val="28"/>
          <w:szCs w:val="28"/>
        </w:rPr>
      </w:pPr>
    </w:p>
    <w:p w14:paraId="05AD80E1" w14:textId="77777777" w:rsidR="00704788" w:rsidRDefault="00704788" w:rsidP="00704788">
      <w:pPr>
        <w:rPr>
          <w:rFonts w:ascii="Work Sans" w:hAnsi="Work Sans" w:cs="Open Sans"/>
          <w:color w:val="FFFFFF"/>
          <w:sz w:val="28"/>
          <w:szCs w:val="28"/>
        </w:rPr>
      </w:pPr>
    </w:p>
    <w:p w14:paraId="6C35DF99" w14:textId="77777777" w:rsidR="00704788" w:rsidRDefault="00704788" w:rsidP="00704788">
      <w:pPr>
        <w:rPr>
          <w:rFonts w:ascii="Work Sans" w:hAnsi="Work Sans" w:cs="Open Sans"/>
          <w:color w:val="FFFFFF"/>
          <w:sz w:val="28"/>
          <w:szCs w:val="28"/>
        </w:rPr>
      </w:pPr>
    </w:p>
    <w:p w14:paraId="69CFE2B2" w14:textId="77777777" w:rsidR="00704788" w:rsidRDefault="00BA4C59" w:rsidP="00E062B6">
      <w:pPr>
        <w:jc w:val="center"/>
        <w:rPr>
          <w:rFonts w:ascii="Work Sans" w:hAnsi="Work Sans" w:cs="Open Sans"/>
          <w:color w:val="FFFFFF"/>
          <w:sz w:val="28"/>
          <w:szCs w:val="28"/>
        </w:rPr>
      </w:pPr>
      <w:r w:rsidRPr="00962EFF">
        <w:rPr>
          <w:noProof/>
        </w:rPr>
        <mc:AlternateContent>
          <mc:Choice Requires="wps">
            <w:drawing>
              <wp:anchor distT="0" distB="0" distL="114300" distR="114300" simplePos="0" relativeHeight="251658243" behindDoc="0" locked="0" layoutInCell="1" allowOverlap="1" wp14:anchorId="1A5300C4" wp14:editId="7D510E54">
                <wp:simplePos x="0" y="0"/>
                <wp:positionH relativeFrom="margin">
                  <wp:align>center</wp:align>
                </wp:positionH>
                <wp:positionV relativeFrom="page">
                  <wp:posOffset>6528021</wp:posOffset>
                </wp:positionV>
                <wp:extent cx="1704975" cy="43878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704975" cy="438785"/>
                        </a:xfrm>
                        <a:prstGeom prst="rect">
                          <a:avLst/>
                        </a:prstGeom>
                        <a:noFill/>
                        <a:ln w="6350">
                          <a:noFill/>
                        </a:ln>
                      </wps:spPr>
                      <wps:txbx>
                        <w:txbxContent>
                          <w:p w14:paraId="41C500F2" w14:textId="77777777" w:rsidR="00BA4C59" w:rsidRPr="00BA4C59" w:rsidRDefault="00C32DD8" w:rsidP="00BA4C59">
                            <w:pPr>
                              <w:jc w:val="center"/>
                              <w:rPr>
                                <w:rFonts w:ascii="Work Sans" w:hAnsi="Work Sans" w:cs="Open Sans"/>
                                <w:color w:val="FFFFFF"/>
                                <w:sz w:val="28"/>
                                <w:szCs w:val="28"/>
                              </w:rPr>
                            </w:pPr>
                            <w:r w:rsidRPr="0059489A">
                              <w:rPr>
                                <w:rFonts w:ascii="Work Sans" w:hAnsi="Work Sans" w:cs="Open Sans"/>
                                <w:color w:val="FFFFFF"/>
                                <w:sz w:val="28"/>
                                <w:szCs w:val="28"/>
                              </w:rPr>
                              <w:t>June</w:t>
                            </w:r>
                            <w:r w:rsidR="00BA4C59" w:rsidRPr="0059489A">
                              <w:rPr>
                                <w:rFonts w:ascii="Work Sans" w:hAnsi="Work Sans" w:cs="Open Sans"/>
                                <w:color w:val="FFFFFF"/>
                                <w:sz w:val="28"/>
                                <w:szCs w:val="28"/>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300C4" id="Text Box 30" o:spid="_x0000_s1028" type="#_x0000_t202" style="position:absolute;left:0;text-align:left;margin-left:0;margin-top:514pt;width:134.25pt;height:34.55pt;z-index:251658243;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" filled="f" stroked="f" strokeweight=".5pt">
                <v:textbox>
                  <w:txbxContent>
                    <w:p w14:paraId="41C500F2" w14:textId="77777777" w:rsidR="00BA4C59" w:rsidRPr="00BA4C59" w:rsidRDefault="00C32DD8" w:rsidP="00BA4C59">
                      <w:pPr>
                        <w:jc w:val="center"/>
                        <w:rPr>
                          <w:rFonts w:ascii="Work Sans" w:hAnsi="Work Sans" w:cs="Open Sans"/>
                          <w:color w:val="FFFFFF"/>
                          <w:sz w:val="28"/>
                          <w:szCs w:val="28"/>
                        </w:rPr>
                      </w:pPr>
                      <w:r w:rsidRPr="0059489A">
                        <w:rPr>
                          <w:rFonts w:ascii="Work Sans" w:hAnsi="Work Sans" w:cs="Open Sans"/>
                          <w:color w:val="FFFFFF"/>
                          <w:sz w:val="28"/>
                          <w:szCs w:val="28"/>
                        </w:rPr>
                        <w:t>June</w:t>
                      </w:r>
                      <w:r w:rsidR="00BA4C59" w:rsidRPr="0059489A">
                        <w:rPr>
                          <w:rFonts w:ascii="Work Sans" w:hAnsi="Work Sans" w:cs="Open Sans"/>
                          <w:color w:val="FFFFFF"/>
                          <w:sz w:val="28"/>
                          <w:szCs w:val="28"/>
                        </w:rPr>
                        <w:t xml:space="preserve"> 2023</w:t>
                      </w:r>
                    </w:p>
                  </w:txbxContent>
                </v:textbox>
                <w10:wrap anchorx="margin" anchory="page"/>
              </v:shape>
            </w:pict>
          </mc:Fallback>
        </mc:AlternateContent>
      </w:r>
    </w:p>
    <w:p w14:paraId="6738B914" w14:textId="77777777" w:rsidR="00704788" w:rsidRDefault="00704788" w:rsidP="00DB5889">
      <w:pPr>
        <w:rPr>
          <w:rFonts w:ascii="Work Sans" w:hAnsi="Work Sans" w:cs="Open Sans"/>
          <w:color w:val="FFFFFF"/>
          <w:sz w:val="28"/>
          <w:szCs w:val="28"/>
        </w:rPr>
      </w:pPr>
    </w:p>
    <w:p w14:paraId="06211C1F" w14:textId="77777777" w:rsidR="00DB5889" w:rsidRPr="00704788" w:rsidRDefault="00DB5889" w:rsidP="00DB5889">
      <w:pPr>
        <w:rPr>
          <w:rFonts w:ascii="Work Sans" w:hAnsi="Work Sans" w:cs="Open Sans"/>
          <w:color w:val="FFFFFF"/>
          <w:sz w:val="28"/>
          <w:szCs w:val="28"/>
        </w:rPr>
      </w:pPr>
    </w:p>
    <w:p w14:paraId="3F407B4C" w14:textId="77777777" w:rsidR="00A5102B" w:rsidRDefault="00A5102B" w:rsidP="00210D9C">
      <w:pPr>
        <w:pStyle w:val="Heading1"/>
        <w:jc w:val="center"/>
        <w:sectPr w:rsidR="00A5102B" w:rsidSect="003A0403">
          <w:footerReference w:type="default" r:id="rId13"/>
          <w:pgSz w:w="11906" w:h="16838"/>
          <w:pgMar w:top="1440" w:right="1440" w:bottom="1440" w:left="1440" w:header="708" w:footer="708" w:gutter="0"/>
          <w:cols w:space="708"/>
          <w:docGrid w:linePitch="360"/>
        </w:sectPr>
      </w:pPr>
    </w:p>
    <w:p w14:paraId="27C6E8A1" w14:textId="77777777" w:rsidR="00A5102B" w:rsidRPr="005B6B61" w:rsidRDefault="00A5102B" w:rsidP="005B6B61"/>
    <w:p w14:paraId="14D7300C" w14:textId="77777777" w:rsidR="00A5102B" w:rsidRPr="005B6B61" w:rsidRDefault="00A5102B" w:rsidP="005B6B61"/>
    <w:p w14:paraId="1E5B01BF" w14:textId="77777777" w:rsidR="00A5102B" w:rsidRPr="005B6B61" w:rsidRDefault="00A5102B" w:rsidP="005B6B61"/>
    <w:p w14:paraId="245EB782" w14:textId="77777777" w:rsidR="00A5102B" w:rsidRPr="005B6B61" w:rsidRDefault="00A5102B" w:rsidP="005B6B61"/>
    <w:p w14:paraId="60B2B5C4" w14:textId="77777777" w:rsidR="00A5102B" w:rsidRPr="005B6B61" w:rsidRDefault="00A5102B" w:rsidP="005B6B61"/>
    <w:p w14:paraId="42F3FB3E" w14:textId="77777777" w:rsidR="00A5102B" w:rsidRPr="005B6B61" w:rsidRDefault="00A5102B" w:rsidP="005B6B61"/>
    <w:p w14:paraId="24FA479A" w14:textId="77777777" w:rsidR="00A5102B" w:rsidRPr="005B6B61" w:rsidRDefault="00A5102B" w:rsidP="005B6B61"/>
    <w:p w14:paraId="30999CC3" w14:textId="77777777" w:rsidR="003119A7" w:rsidRDefault="003119A7" w:rsidP="005B6B61"/>
    <w:p w14:paraId="101FB910" w14:textId="77777777" w:rsidR="004F0684" w:rsidRDefault="004F0684" w:rsidP="005B6B61"/>
    <w:p w14:paraId="2C0B5495" w14:textId="77777777" w:rsidR="004F0684" w:rsidRDefault="004F0684" w:rsidP="005B6B61"/>
    <w:p w14:paraId="49B8B3B1" w14:textId="77777777" w:rsidR="004F0684" w:rsidRDefault="004F0684" w:rsidP="005B6B61"/>
    <w:p w14:paraId="4DD265CA" w14:textId="77777777" w:rsidR="004F0684" w:rsidRDefault="004F0684" w:rsidP="005B6B61"/>
    <w:p w14:paraId="1B97E415" w14:textId="77777777" w:rsidR="004F0684" w:rsidRPr="005B6B61" w:rsidRDefault="004F0684" w:rsidP="005B6B61"/>
    <w:p w14:paraId="2D15AA1C" w14:textId="77777777" w:rsidR="003119A7" w:rsidRPr="005B6B61" w:rsidRDefault="003119A7" w:rsidP="005B6B61"/>
    <w:p w14:paraId="332BBBA8" w14:textId="77777777" w:rsidR="003119A7" w:rsidRPr="005B6B61" w:rsidRDefault="003119A7" w:rsidP="005B6B61"/>
    <w:p w14:paraId="2FCADA73" w14:textId="77777777" w:rsidR="00A5102B" w:rsidRPr="005B6B61" w:rsidRDefault="00A5102B" w:rsidP="005B6B61"/>
    <w:p w14:paraId="142B2D05" w14:textId="77777777" w:rsidR="00A5102B" w:rsidRPr="005B6B61" w:rsidRDefault="00A5102B" w:rsidP="005B6B61"/>
    <w:tbl>
      <w:tblPr>
        <w:tblStyle w:val="TableGrid"/>
        <w:tblW w:w="0" w:type="auto"/>
        <w:tblLook w:val="04A0" w:firstRow="1" w:lastRow="0" w:firstColumn="1" w:lastColumn="0" w:noHBand="0" w:noVBand="1"/>
      </w:tblPr>
      <w:tblGrid>
        <w:gridCol w:w="2972"/>
        <w:gridCol w:w="6044"/>
      </w:tblGrid>
      <w:tr w:rsidR="00A5102B" w14:paraId="675FD9B4" w14:textId="77777777" w:rsidTr="003A0403">
        <w:tc>
          <w:tcPr>
            <w:tcW w:w="2972" w:type="dxa"/>
          </w:tcPr>
          <w:p w14:paraId="576AD7FB" w14:textId="77777777" w:rsidR="00A5102B" w:rsidRPr="003119A7" w:rsidRDefault="00A5102B" w:rsidP="003A0403">
            <w:pPr>
              <w:rPr>
                <w:rFonts w:ascii="Work Sans" w:hAnsi="Work Sans"/>
                <w:szCs w:val="20"/>
              </w:rPr>
            </w:pPr>
            <w:r w:rsidRPr="003119A7">
              <w:rPr>
                <w:rFonts w:ascii="Work Sans" w:hAnsi="Work Sans"/>
                <w:szCs w:val="20"/>
              </w:rPr>
              <w:t>Paper issued</w:t>
            </w:r>
          </w:p>
        </w:tc>
        <w:tc>
          <w:tcPr>
            <w:tcW w:w="6044" w:type="dxa"/>
          </w:tcPr>
          <w:p w14:paraId="38EC96BE" w14:textId="691E8913" w:rsidR="00A5102B" w:rsidRPr="003119A7" w:rsidRDefault="00193B57" w:rsidP="003A0403">
            <w:pPr>
              <w:rPr>
                <w:rFonts w:ascii="Work Sans" w:hAnsi="Work Sans"/>
                <w:szCs w:val="20"/>
              </w:rPr>
            </w:pPr>
            <w:r>
              <w:rPr>
                <w:rFonts w:ascii="Work Sans" w:hAnsi="Work Sans"/>
                <w:szCs w:val="20"/>
              </w:rPr>
              <w:t>20</w:t>
            </w:r>
            <w:r w:rsidR="00A54860">
              <w:rPr>
                <w:rFonts w:ascii="Work Sans" w:hAnsi="Work Sans"/>
                <w:szCs w:val="20"/>
              </w:rPr>
              <w:t xml:space="preserve"> June 2023</w:t>
            </w:r>
          </w:p>
        </w:tc>
      </w:tr>
      <w:tr w:rsidR="00A5102B" w14:paraId="3D8CEFD8" w14:textId="77777777" w:rsidTr="003A0403">
        <w:tc>
          <w:tcPr>
            <w:tcW w:w="2972" w:type="dxa"/>
          </w:tcPr>
          <w:p w14:paraId="632FB0B2" w14:textId="77777777" w:rsidR="00A5102B" w:rsidRPr="003119A7" w:rsidRDefault="00A5102B" w:rsidP="003A0403">
            <w:pPr>
              <w:rPr>
                <w:rFonts w:ascii="Work Sans" w:hAnsi="Work Sans"/>
                <w:szCs w:val="20"/>
              </w:rPr>
            </w:pPr>
            <w:r w:rsidRPr="003119A7">
              <w:rPr>
                <w:rFonts w:ascii="Work Sans" w:hAnsi="Work Sans"/>
                <w:szCs w:val="20"/>
              </w:rPr>
              <w:t>Commission contact officer</w:t>
            </w:r>
          </w:p>
        </w:tc>
        <w:tc>
          <w:tcPr>
            <w:tcW w:w="6044" w:type="dxa"/>
          </w:tcPr>
          <w:p w14:paraId="379A827E" w14:textId="77777777" w:rsidR="00A5102B" w:rsidRPr="00C32DD8" w:rsidRDefault="00C32DD8" w:rsidP="003A0403">
            <w:pPr>
              <w:rPr>
                <w:rFonts w:ascii="Work Sans" w:hAnsi="Work Sans"/>
              </w:rPr>
            </w:pPr>
            <w:r w:rsidRPr="00086649">
              <w:rPr>
                <w:rFonts w:ascii="Work Sans" w:hAnsi="Work Sans"/>
              </w:rPr>
              <w:t xml:space="preserve">Jacob Savage, 02 6218 </w:t>
            </w:r>
            <w:r>
              <w:rPr>
                <w:rFonts w:ascii="Work Sans" w:hAnsi="Work Sans"/>
              </w:rPr>
              <w:t>5729</w:t>
            </w:r>
            <w:r w:rsidRPr="00086649">
              <w:rPr>
                <w:rFonts w:ascii="Work Sans" w:hAnsi="Work Sans"/>
              </w:rPr>
              <w:t xml:space="preserve">, </w:t>
            </w:r>
            <w:r>
              <w:rPr>
                <w:rFonts w:ascii="Work Sans" w:hAnsi="Work Sans"/>
              </w:rPr>
              <w:t>Jacob</w:t>
            </w:r>
            <w:r w:rsidRPr="00086649">
              <w:rPr>
                <w:rFonts w:ascii="Work Sans" w:hAnsi="Work Sans"/>
              </w:rPr>
              <w:t>.</w:t>
            </w:r>
            <w:r>
              <w:rPr>
                <w:rFonts w:ascii="Work Sans" w:hAnsi="Work Sans"/>
              </w:rPr>
              <w:t>Savage@cgc.gov.au</w:t>
            </w:r>
          </w:p>
        </w:tc>
      </w:tr>
      <w:tr w:rsidR="00A5102B" w14:paraId="642E83B4" w14:textId="77777777" w:rsidTr="003A0403">
        <w:tc>
          <w:tcPr>
            <w:tcW w:w="2972" w:type="dxa"/>
          </w:tcPr>
          <w:p w14:paraId="62DA03AA" w14:textId="77777777" w:rsidR="00A5102B" w:rsidRPr="003119A7" w:rsidRDefault="00A5102B" w:rsidP="003A0403">
            <w:pPr>
              <w:rPr>
                <w:rFonts w:ascii="Work Sans" w:hAnsi="Work Sans"/>
                <w:szCs w:val="20"/>
              </w:rPr>
            </w:pPr>
            <w:r w:rsidRPr="003119A7">
              <w:rPr>
                <w:rFonts w:ascii="Work Sans" w:hAnsi="Work Sans"/>
                <w:szCs w:val="20"/>
              </w:rPr>
              <w:t>Submissions sought by</w:t>
            </w:r>
          </w:p>
        </w:tc>
        <w:tc>
          <w:tcPr>
            <w:tcW w:w="6044" w:type="dxa"/>
          </w:tcPr>
          <w:p w14:paraId="60CB7490" w14:textId="0393B2DE" w:rsidR="00D76AB5" w:rsidRDefault="00171ACA" w:rsidP="003A0403">
            <w:pPr>
              <w:rPr>
                <w:rFonts w:ascii="Work Sans" w:hAnsi="Work Sans"/>
                <w:szCs w:val="20"/>
              </w:rPr>
            </w:pPr>
            <w:r>
              <w:rPr>
                <w:rFonts w:ascii="Work Sans" w:hAnsi="Work Sans"/>
                <w:szCs w:val="20"/>
              </w:rPr>
              <w:t>13 October 2023</w:t>
            </w:r>
          </w:p>
          <w:p w14:paraId="7843900D" w14:textId="05031302" w:rsidR="00A5102B" w:rsidRPr="003119A7" w:rsidRDefault="00A5102B" w:rsidP="003A0403">
            <w:pPr>
              <w:rPr>
                <w:rFonts w:ascii="Work Sans" w:hAnsi="Work Sans"/>
                <w:szCs w:val="20"/>
              </w:rPr>
            </w:pPr>
            <w:r w:rsidRPr="003119A7">
              <w:rPr>
                <w:rFonts w:ascii="Work Sans" w:hAnsi="Work Sans"/>
                <w:szCs w:val="20"/>
              </w:rPr>
              <w:t xml:space="preserve">Submissions should be placed in your private state </w:t>
            </w:r>
            <w:r w:rsidR="00EA2649">
              <w:rPr>
                <w:rFonts w:ascii="Work Sans" w:hAnsi="Work Sans"/>
                <w:szCs w:val="20"/>
              </w:rPr>
              <w:t xml:space="preserve">or territory </w:t>
            </w:r>
            <w:r w:rsidRPr="003119A7">
              <w:rPr>
                <w:rFonts w:ascii="Work Sans" w:hAnsi="Work Sans"/>
                <w:szCs w:val="20"/>
              </w:rPr>
              <w:t xml:space="preserve">channel in CGC Engagement Teams, with a post notifying </w:t>
            </w:r>
            <w:r w:rsidR="00A54860">
              <w:rPr>
                <w:rFonts w:ascii="Work Sans" w:hAnsi="Work Sans"/>
                <w:szCs w:val="20"/>
              </w:rPr>
              <w:t>Katrina Baldock</w:t>
            </w:r>
            <w:r w:rsidR="000C53E9" w:rsidRPr="003119A7">
              <w:rPr>
                <w:rFonts w:ascii="Work Sans" w:hAnsi="Work Sans"/>
                <w:szCs w:val="20"/>
              </w:rPr>
              <w:t>.</w:t>
            </w:r>
          </w:p>
          <w:p w14:paraId="52FA3776" w14:textId="77777777" w:rsidR="00A5102B" w:rsidRPr="003119A7" w:rsidRDefault="00A5102B" w:rsidP="003A0403">
            <w:pPr>
              <w:rPr>
                <w:rFonts w:ascii="Work Sans" w:hAnsi="Work Sans"/>
                <w:szCs w:val="20"/>
              </w:rPr>
            </w:pPr>
            <w:r w:rsidRPr="003119A7">
              <w:rPr>
                <w:rFonts w:ascii="Work Sans" w:hAnsi="Work Sans"/>
                <w:szCs w:val="20"/>
              </w:rPr>
              <w:t xml:space="preserve">Submissions </w:t>
            </w:r>
            <w:r w:rsidR="005869CB">
              <w:rPr>
                <w:rFonts w:ascii="Work Sans" w:hAnsi="Work Sans"/>
                <w:szCs w:val="20"/>
              </w:rPr>
              <w:t>should be in Word format and posted in the relevant state channel of the CGC engagement Team.</w:t>
            </w:r>
            <w:r w:rsidR="005E421C">
              <w:rPr>
                <w:rFonts w:ascii="Work Sans" w:hAnsi="Work Sans"/>
                <w:szCs w:val="20"/>
              </w:rPr>
              <w:t xml:space="preserve"> Submissions </w:t>
            </w:r>
            <w:r w:rsidRPr="003119A7">
              <w:rPr>
                <w:rFonts w:ascii="Work Sans" w:hAnsi="Work Sans"/>
                <w:szCs w:val="20"/>
              </w:rPr>
              <w:t>more than 10 pages in length should include a summary section.</w:t>
            </w:r>
          </w:p>
        </w:tc>
      </w:tr>
      <w:tr w:rsidR="00A5102B" w14:paraId="6869F4EB" w14:textId="77777777" w:rsidTr="003A0403">
        <w:tc>
          <w:tcPr>
            <w:tcW w:w="2972" w:type="dxa"/>
          </w:tcPr>
          <w:p w14:paraId="677F886C" w14:textId="77777777" w:rsidR="00A5102B" w:rsidRPr="003119A7" w:rsidRDefault="00A5102B" w:rsidP="003A0403">
            <w:pPr>
              <w:rPr>
                <w:rFonts w:ascii="Work Sans" w:hAnsi="Work Sans"/>
                <w:szCs w:val="20"/>
              </w:rPr>
            </w:pPr>
            <w:r w:rsidRPr="003119A7">
              <w:rPr>
                <w:rFonts w:ascii="Work Sans" w:hAnsi="Work Sans"/>
                <w:szCs w:val="20"/>
              </w:rPr>
              <w:t>Confidential material</w:t>
            </w:r>
          </w:p>
        </w:tc>
        <w:tc>
          <w:tcPr>
            <w:tcW w:w="6044" w:type="dxa"/>
          </w:tcPr>
          <w:p w14:paraId="22A196FD" w14:textId="77777777" w:rsidR="00A5102B" w:rsidRPr="003119A7" w:rsidRDefault="00A5102B" w:rsidP="003A0403">
            <w:pPr>
              <w:rPr>
                <w:rFonts w:ascii="Work Sans" w:hAnsi="Work Sans"/>
                <w:szCs w:val="20"/>
              </w:rPr>
            </w:pPr>
            <w:r w:rsidRPr="003119A7">
              <w:rPr>
                <w:rFonts w:ascii="Work Sans" w:hAnsi="Work Sans"/>
                <w:szCs w:val="20"/>
              </w:rPr>
              <w:t xml:space="preserve">It is the </w:t>
            </w:r>
            <w:r w:rsidR="00D15303">
              <w:rPr>
                <w:rFonts w:ascii="Work Sans" w:hAnsi="Work Sans"/>
                <w:szCs w:val="20"/>
              </w:rPr>
              <w:t>C</w:t>
            </w:r>
            <w:r w:rsidR="00D15303" w:rsidRPr="003119A7">
              <w:rPr>
                <w:rFonts w:ascii="Work Sans" w:hAnsi="Work Sans"/>
                <w:szCs w:val="20"/>
              </w:rPr>
              <w:t xml:space="preserve">ommission’s </w:t>
            </w:r>
            <w:r w:rsidRPr="003119A7">
              <w:rPr>
                <w:rFonts w:ascii="Work Sans" w:hAnsi="Work Sans"/>
                <w:szCs w:val="20"/>
              </w:rPr>
              <w:t xml:space="preserve">normal practice to make state submissions available on its website under the CC BY licence, allowing free use of content by third parties. </w:t>
            </w:r>
          </w:p>
          <w:p w14:paraId="2C2A3623" w14:textId="77777777" w:rsidR="00A5102B" w:rsidRPr="003119A7" w:rsidRDefault="00A5102B" w:rsidP="003A0403">
            <w:pPr>
              <w:rPr>
                <w:rFonts w:ascii="Work Sans" w:hAnsi="Work Sans"/>
                <w:szCs w:val="20"/>
              </w:rPr>
            </w:pPr>
            <w:r w:rsidRPr="003119A7">
              <w:rPr>
                <w:noProof/>
                <w:szCs w:val="20"/>
                <w:lang w:eastAsia="en-AU"/>
              </w:rPr>
              <w:drawing>
                <wp:inline distT="0" distB="0" distL="0" distR="0" wp14:anchorId="299FB663" wp14:editId="6F24AFD4">
                  <wp:extent cx="828675" cy="295275"/>
                  <wp:effectExtent l="19050" t="0" r="9525" b="0"/>
                  <wp:docPr id="3" name="Picture 3" descr="Creative Commons - CC BY At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 Attribution"/>
                          <pic:cNvPicPr>
                            <a:picLocks noChangeAspect="1" noChangeArrowheads="1"/>
                          </pic:cNvPicPr>
                        </pic:nvPicPr>
                        <pic:blipFill>
                          <a:blip r:embed="rId14"/>
                          <a:srcRect/>
                          <a:stretch>
                            <a:fillRect/>
                          </a:stretch>
                        </pic:blipFill>
                        <pic:spPr bwMode="auto">
                          <a:xfrm>
                            <a:off x="0" y="0"/>
                            <a:ext cx="828675" cy="295275"/>
                          </a:xfrm>
                          <a:prstGeom prst="rect">
                            <a:avLst/>
                          </a:prstGeom>
                          <a:noFill/>
                          <a:ln w="9525">
                            <a:noFill/>
                            <a:miter lim="800000"/>
                            <a:headEnd/>
                            <a:tailEnd/>
                          </a:ln>
                        </pic:spPr>
                      </pic:pic>
                    </a:graphicData>
                  </a:graphic>
                </wp:inline>
              </w:drawing>
            </w:r>
          </w:p>
          <w:p w14:paraId="6A6BA877" w14:textId="77777777" w:rsidR="00A5102B" w:rsidRPr="003119A7" w:rsidRDefault="00A5102B" w:rsidP="003A0403">
            <w:pPr>
              <w:rPr>
                <w:rFonts w:ascii="Work Sans" w:hAnsi="Work Sans"/>
                <w:szCs w:val="20"/>
              </w:rPr>
            </w:pPr>
            <w:r w:rsidRPr="003119A7">
              <w:rPr>
                <w:rFonts w:ascii="Work Sans" w:hAnsi="Work Sans"/>
                <w:szCs w:val="20"/>
              </w:rPr>
              <w:t xml:space="preserve">Further information on the CC BY licence can be found on the Creative Commons website (http://creativecommons.org). </w:t>
            </w:r>
          </w:p>
          <w:p w14:paraId="3F2ACF92" w14:textId="77777777" w:rsidR="00A5102B" w:rsidRPr="003119A7" w:rsidRDefault="00A5102B" w:rsidP="003A0403">
            <w:pPr>
              <w:rPr>
                <w:rFonts w:ascii="Work Sans" w:hAnsi="Work Sans"/>
                <w:szCs w:val="20"/>
              </w:rPr>
            </w:pPr>
            <w:r w:rsidRPr="003119A7">
              <w:rPr>
                <w:rFonts w:ascii="Work Sans" w:hAnsi="Work Sans"/>
                <w:szCs w:val="20"/>
              </w:rPr>
              <w:t xml:space="preserve">Confidential material contained in submissions must be clearly identified or included in separate attachment/s, and details provided in the covering email. Identified confidential material will not be published on the </w:t>
            </w:r>
            <w:r w:rsidR="00D15303">
              <w:rPr>
                <w:rFonts w:ascii="Work Sans" w:hAnsi="Work Sans"/>
                <w:szCs w:val="20"/>
              </w:rPr>
              <w:t>C</w:t>
            </w:r>
            <w:r w:rsidR="00D15303" w:rsidRPr="003119A7">
              <w:rPr>
                <w:rFonts w:ascii="Work Sans" w:hAnsi="Work Sans"/>
                <w:szCs w:val="20"/>
              </w:rPr>
              <w:t xml:space="preserve">ommission’s </w:t>
            </w:r>
            <w:r w:rsidRPr="003119A7">
              <w:rPr>
                <w:rFonts w:ascii="Work Sans" w:hAnsi="Work Sans"/>
                <w:szCs w:val="20"/>
              </w:rPr>
              <w:t>website.</w:t>
            </w:r>
          </w:p>
        </w:tc>
      </w:tr>
    </w:tbl>
    <w:p w14:paraId="43E5D641" w14:textId="77777777" w:rsidR="005B6B61" w:rsidRDefault="005B6B61" w:rsidP="00DF1879">
      <w:pPr>
        <w:sectPr w:rsidR="005B6B61" w:rsidSect="004F0684">
          <w:headerReference w:type="default" r:id="rId15"/>
          <w:footerReference w:type="first" r:id="rId16"/>
          <w:pgSz w:w="11906" w:h="16838" w:code="9"/>
          <w:pgMar w:top="1440" w:right="1440" w:bottom="1440" w:left="1440" w:header="720" w:footer="720" w:gutter="0"/>
          <w:cols w:space="720"/>
          <w:docGrid w:linePitch="272"/>
        </w:sectPr>
      </w:pPr>
    </w:p>
    <w:sdt>
      <w:sdtPr>
        <w:rPr>
          <w:rFonts w:ascii="Open Sans Light" w:eastAsiaTheme="minorHAnsi" w:hAnsi="Open Sans Light" w:cstheme="minorBidi"/>
          <w:b w:val="0"/>
          <w:bCs w:val="0"/>
          <w:caps w:val="0"/>
          <w:color w:val="auto"/>
          <w:sz w:val="20"/>
          <w:szCs w:val="22"/>
        </w:rPr>
        <w:id w:val="2028664566"/>
        <w:docPartObj>
          <w:docPartGallery w:val="Table of Contents"/>
          <w:docPartUnique/>
        </w:docPartObj>
      </w:sdtPr>
      <w:sdtEndPr>
        <w:rPr>
          <w:noProof/>
        </w:rPr>
      </w:sdtEndPr>
      <w:sdtContent>
        <w:p w14:paraId="63595141" w14:textId="77777777" w:rsidR="005B6B61" w:rsidRDefault="005B6B61">
          <w:pPr>
            <w:pStyle w:val="TOCHeading"/>
          </w:pPr>
          <w:r>
            <w:t>Contents</w:t>
          </w:r>
        </w:p>
        <w:p w14:paraId="1FCCA11C" w14:textId="1449076D" w:rsidR="00A009E6" w:rsidRDefault="005B6B61">
          <w:pPr>
            <w:pStyle w:val="TOC2"/>
            <w:rPr>
              <w:rFonts w:asciiTheme="minorHAnsi" w:eastAsiaTheme="minorEastAsia" w:hAnsiTheme="minorHAnsi"/>
              <w:bCs w:val="0"/>
              <w:noProof/>
              <w:color w:val="auto"/>
              <w:kern w:val="2"/>
              <w:sz w:val="22"/>
              <w:szCs w:val="22"/>
              <w:lang w:eastAsia="en-AU"/>
              <w14:ligatures w14:val="standardContextual"/>
            </w:rPr>
          </w:pPr>
          <w:r>
            <w:fldChar w:fldCharType="begin"/>
          </w:r>
          <w:r>
            <w:instrText xml:space="preserve"> TOC \o "1-3" \h \z \u </w:instrText>
          </w:r>
          <w:r>
            <w:fldChar w:fldCharType="separate"/>
          </w:r>
          <w:hyperlink w:anchor="_Toc138146310" w:history="1">
            <w:r w:rsidR="00A009E6" w:rsidRPr="0031193C">
              <w:rPr>
                <w:rStyle w:val="Hyperlink"/>
                <w:noProof/>
              </w:rPr>
              <w:t>Overview of category</w:t>
            </w:r>
            <w:r w:rsidR="00A009E6">
              <w:rPr>
                <w:noProof/>
                <w:webHidden/>
              </w:rPr>
              <w:tab/>
            </w:r>
            <w:r w:rsidR="00A009E6">
              <w:rPr>
                <w:noProof/>
                <w:webHidden/>
              </w:rPr>
              <w:fldChar w:fldCharType="begin"/>
            </w:r>
            <w:r w:rsidR="00A009E6">
              <w:rPr>
                <w:noProof/>
                <w:webHidden/>
              </w:rPr>
              <w:instrText xml:space="preserve"> PAGEREF _Toc138146310 \h </w:instrText>
            </w:r>
            <w:r w:rsidR="00A009E6">
              <w:rPr>
                <w:noProof/>
                <w:webHidden/>
              </w:rPr>
            </w:r>
            <w:r w:rsidR="00A009E6">
              <w:rPr>
                <w:noProof/>
                <w:webHidden/>
              </w:rPr>
              <w:fldChar w:fldCharType="separate"/>
            </w:r>
            <w:r w:rsidR="00A009E6">
              <w:rPr>
                <w:noProof/>
                <w:webHidden/>
              </w:rPr>
              <w:t>4</w:t>
            </w:r>
            <w:r w:rsidR="00A009E6">
              <w:rPr>
                <w:noProof/>
                <w:webHidden/>
              </w:rPr>
              <w:fldChar w:fldCharType="end"/>
            </w:r>
          </w:hyperlink>
        </w:p>
        <w:p w14:paraId="084D70BD" w14:textId="3F7D4E92" w:rsidR="00A009E6" w:rsidRDefault="00A009E6">
          <w:pPr>
            <w:pStyle w:val="TOC2"/>
            <w:rPr>
              <w:rFonts w:asciiTheme="minorHAnsi" w:eastAsiaTheme="minorEastAsia" w:hAnsiTheme="minorHAnsi"/>
              <w:bCs w:val="0"/>
              <w:noProof/>
              <w:color w:val="auto"/>
              <w:kern w:val="2"/>
              <w:sz w:val="22"/>
              <w:szCs w:val="22"/>
              <w:lang w:eastAsia="en-AU"/>
              <w14:ligatures w14:val="standardContextual"/>
            </w:rPr>
          </w:pPr>
          <w:hyperlink w:anchor="_Toc138146311" w:history="1">
            <w:r w:rsidRPr="0031193C">
              <w:rPr>
                <w:rStyle w:val="Hyperlink"/>
                <w:noProof/>
              </w:rPr>
              <w:t>Current assessment method – 2020 Review</w:t>
            </w:r>
            <w:r>
              <w:rPr>
                <w:noProof/>
                <w:webHidden/>
              </w:rPr>
              <w:tab/>
            </w:r>
            <w:r>
              <w:rPr>
                <w:noProof/>
                <w:webHidden/>
              </w:rPr>
              <w:fldChar w:fldCharType="begin"/>
            </w:r>
            <w:r>
              <w:rPr>
                <w:noProof/>
                <w:webHidden/>
              </w:rPr>
              <w:instrText xml:space="preserve"> PAGEREF _Toc138146311 \h </w:instrText>
            </w:r>
            <w:r>
              <w:rPr>
                <w:noProof/>
                <w:webHidden/>
              </w:rPr>
            </w:r>
            <w:r>
              <w:rPr>
                <w:noProof/>
                <w:webHidden/>
              </w:rPr>
              <w:fldChar w:fldCharType="separate"/>
            </w:r>
            <w:r>
              <w:rPr>
                <w:noProof/>
                <w:webHidden/>
              </w:rPr>
              <w:t>4</w:t>
            </w:r>
            <w:r>
              <w:rPr>
                <w:noProof/>
                <w:webHidden/>
              </w:rPr>
              <w:fldChar w:fldCharType="end"/>
            </w:r>
          </w:hyperlink>
        </w:p>
        <w:p w14:paraId="1DEAB3AA" w14:textId="40AACC50" w:rsidR="00A009E6" w:rsidRDefault="00A009E6">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38146312" w:history="1">
            <w:r w:rsidRPr="0031193C">
              <w:rPr>
                <w:rStyle w:val="Hyperlink"/>
                <w:noProof/>
              </w:rPr>
              <w:t>Data used in the assessment</w:t>
            </w:r>
            <w:r>
              <w:rPr>
                <w:noProof/>
                <w:webHidden/>
              </w:rPr>
              <w:tab/>
            </w:r>
            <w:r>
              <w:rPr>
                <w:noProof/>
                <w:webHidden/>
              </w:rPr>
              <w:fldChar w:fldCharType="begin"/>
            </w:r>
            <w:r>
              <w:rPr>
                <w:noProof/>
                <w:webHidden/>
              </w:rPr>
              <w:instrText xml:space="preserve"> PAGEREF _Toc138146312 \h </w:instrText>
            </w:r>
            <w:r>
              <w:rPr>
                <w:noProof/>
                <w:webHidden/>
              </w:rPr>
            </w:r>
            <w:r>
              <w:rPr>
                <w:noProof/>
                <w:webHidden/>
              </w:rPr>
              <w:fldChar w:fldCharType="separate"/>
            </w:r>
            <w:r>
              <w:rPr>
                <w:noProof/>
                <w:webHidden/>
              </w:rPr>
              <w:t>6</w:t>
            </w:r>
            <w:r>
              <w:rPr>
                <w:noProof/>
                <w:webHidden/>
              </w:rPr>
              <w:fldChar w:fldCharType="end"/>
            </w:r>
          </w:hyperlink>
        </w:p>
        <w:p w14:paraId="4FFB52A7" w14:textId="09F5E32C" w:rsidR="00A009E6" w:rsidRDefault="00A009E6">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38146313" w:history="1">
            <w:r w:rsidRPr="0031193C">
              <w:rPr>
                <w:rStyle w:val="Hyperlink"/>
                <w:noProof/>
              </w:rPr>
              <w:t>Category and component expenses</w:t>
            </w:r>
            <w:r>
              <w:rPr>
                <w:noProof/>
                <w:webHidden/>
              </w:rPr>
              <w:tab/>
            </w:r>
            <w:r>
              <w:rPr>
                <w:noProof/>
                <w:webHidden/>
              </w:rPr>
              <w:fldChar w:fldCharType="begin"/>
            </w:r>
            <w:r>
              <w:rPr>
                <w:noProof/>
                <w:webHidden/>
              </w:rPr>
              <w:instrText xml:space="preserve"> PAGEREF _Toc138146313 \h </w:instrText>
            </w:r>
            <w:r>
              <w:rPr>
                <w:noProof/>
                <w:webHidden/>
              </w:rPr>
            </w:r>
            <w:r>
              <w:rPr>
                <w:noProof/>
                <w:webHidden/>
              </w:rPr>
              <w:fldChar w:fldCharType="separate"/>
            </w:r>
            <w:r>
              <w:rPr>
                <w:noProof/>
                <w:webHidden/>
              </w:rPr>
              <w:t>6</w:t>
            </w:r>
            <w:r>
              <w:rPr>
                <w:noProof/>
                <w:webHidden/>
              </w:rPr>
              <w:fldChar w:fldCharType="end"/>
            </w:r>
          </w:hyperlink>
        </w:p>
        <w:p w14:paraId="779EBEF6" w14:textId="49DB6F9B" w:rsidR="00A009E6" w:rsidRDefault="00A009E6">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38146314" w:history="1">
            <w:r w:rsidRPr="0031193C">
              <w:rPr>
                <w:rStyle w:val="Hyperlink"/>
                <w:noProof/>
              </w:rPr>
              <w:t>GST distribution in the 2023 Update</w:t>
            </w:r>
            <w:r>
              <w:rPr>
                <w:noProof/>
                <w:webHidden/>
              </w:rPr>
              <w:tab/>
            </w:r>
            <w:r>
              <w:rPr>
                <w:noProof/>
                <w:webHidden/>
              </w:rPr>
              <w:fldChar w:fldCharType="begin"/>
            </w:r>
            <w:r>
              <w:rPr>
                <w:noProof/>
                <w:webHidden/>
              </w:rPr>
              <w:instrText xml:space="preserve"> PAGEREF _Toc138146314 \h </w:instrText>
            </w:r>
            <w:r>
              <w:rPr>
                <w:noProof/>
                <w:webHidden/>
              </w:rPr>
            </w:r>
            <w:r>
              <w:rPr>
                <w:noProof/>
                <w:webHidden/>
              </w:rPr>
              <w:fldChar w:fldCharType="separate"/>
            </w:r>
            <w:r>
              <w:rPr>
                <w:noProof/>
                <w:webHidden/>
              </w:rPr>
              <w:t>7</w:t>
            </w:r>
            <w:r>
              <w:rPr>
                <w:noProof/>
                <w:webHidden/>
              </w:rPr>
              <w:fldChar w:fldCharType="end"/>
            </w:r>
          </w:hyperlink>
        </w:p>
        <w:p w14:paraId="2010CB98" w14:textId="5DD5210D" w:rsidR="00A009E6" w:rsidRDefault="00A009E6">
          <w:pPr>
            <w:pStyle w:val="TOC2"/>
            <w:rPr>
              <w:rFonts w:asciiTheme="minorHAnsi" w:eastAsiaTheme="minorEastAsia" w:hAnsiTheme="minorHAnsi"/>
              <w:bCs w:val="0"/>
              <w:noProof/>
              <w:color w:val="auto"/>
              <w:kern w:val="2"/>
              <w:sz w:val="22"/>
              <w:szCs w:val="22"/>
              <w:lang w:eastAsia="en-AU"/>
              <w14:ligatures w14:val="standardContextual"/>
            </w:rPr>
          </w:pPr>
          <w:hyperlink w:anchor="_Toc138146315" w:history="1">
            <w:r w:rsidRPr="0031193C">
              <w:rPr>
                <w:rStyle w:val="Hyperlink"/>
                <w:noProof/>
              </w:rPr>
              <w:t>What has changed since the 2020 Review?</w:t>
            </w:r>
            <w:r>
              <w:rPr>
                <w:noProof/>
                <w:webHidden/>
              </w:rPr>
              <w:tab/>
            </w:r>
            <w:r>
              <w:rPr>
                <w:noProof/>
                <w:webHidden/>
              </w:rPr>
              <w:fldChar w:fldCharType="begin"/>
            </w:r>
            <w:r>
              <w:rPr>
                <w:noProof/>
                <w:webHidden/>
              </w:rPr>
              <w:instrText xml:space="preserve"> PAGEREF _Toc138146315 \h </w:instrText>
            </w:r>
            <w:r>
              <w:rPr>
                <w:noProof/>
                <w:webHidden/>
              </w:rPr>
            </w:r>
            <w:r>
              <w:rPr>
                <w:noProof/>
                <w:webHidden/>
              </w:rPr>
              <w:fldChar w:fldCharType="separate"/>
            </w:r>
            <w:r>
              <w:rPr>
                <w:noProof/>
                <w:webHidden/>
              </w:rPr>
              <w:t>7</w:t>
            </w:r>
            <w:r>
              <w:rPr>
                <w:noProof/>
                <w:webHidden/>
              </w:rPr>
              <w:fldChar w:fldCharType="end"/>
            </w:r>
          </w:hyperlink>
        </w:p>
        <w:p w14:paraId="3F5F532C" w14:textId="3DB57508" w:rsidR="00A009E6" w:rsidRDefault="00A009E6">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38146316" w:history="1">
            <w:r w:rsidRPr="0031193C">
              <w:rPr>
                <w:rStyle w:val="Hyperlink"/>
                <w:noProof/>
              </w:rPr>
              <w:t>The Australian labour market is evolving</w:t>
            </w:r>
            <w:r>
              <w:rPr>
                <w:noProof/>
                <w:webHidden/>
              </w:rPr>
              <w:tab/>
            </w:r>
            <w:r>
              <w:rPr>
                <w:noProof/>
                <w:webHidden/>
              </w:rPr>
              <w:fldChar w:fldCharType="begin"/>
            </w:r>
            <w:r>
              <w:rPr>
                <w:noProof/>
                <w:webHidden/>
              </w:rPr>
              <w:instrText xml:space="preserve"> PAGEREF _Toc138146316 \h </w:instrText>
            </w:r>
            <w:r>
              <w:rPr>
                <w:noProof/>
                <w:webHidden/>
              </w:rPr>
            </w:r>
            <w:r>
              <w:rPr>
                <w:noProof/>
                <w:webHidden/>
              </w:rPr>
              <w:fldChar w:fldCharType="separate"/>
            </w:r>
            <w:r>
              <w:rPr>
                <w:noProof/>
                <w:webHidden/>
              </w:rPr>
              <w:t>7</w:t>
            </w:r>
            <w:r>
              <w:rPr>
                <w:noProof/>
                <w:webHidden/>
              </w:rPr>
              <w:fldChar w:fldCharType="end"/>
            </w:r>
          </w:hyperlink>
        </w:p>
        <w:p w14:paraId="4706875D" w14:textId="215B6C58" w:rsidR="00A009E6" w:rsidRDefault="00A009E6">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38146317" w:history="1">
            <w:r w:rsidRPr="0031193C">
              <w:rPr>
                <w:rStyle w:val="Hyperlink"/>
                <w:noProof/>
              </w:rPr>
              <w:t>Policies are changing and relative spending has been declining</w:t>
            </w:r>
            <w:r>
              <w:rPr>
                <w:noProof/>
                <w:webHidden/>
              </w:rPr>
              <w:tab/>
            </w:r>
            <w:r>
              <w:rPr>
                <w:noProof/>
                <w:webHidden/>
              </w:rPr>
              <w:fldChar w:fldCharType="begin"/>
            </w:r>
            <w:r>
              <w:rPr>
                <w:noProof/>
                <w:webHidden/>
              </w:rPr>
              <w:instrText xml:space="preserve"> PAGEREF _Toc138146317 \h </w:instrText>
            </w:r>
            <w:r>
              <w:rPr>
                <w:noProof/>
                <w:webHidden/>
              </w:rPr>
            </w:r>
            <w:r>
              <w:rPr>
                <w:noProof/>
                <w:webHidden/>
              </w:rPr>
              <w:fldChar w:fldCharType="separate"/>
            </w:r>
            <w:r>
              <w:rPr>
                <w:noProof/>
                <w:webHidden/>
              </w:rPr>
              <w:t>8</w:t>
            </w:r>
            <w:r>
              <w:rPr>
                <w:noProof/>
                <w:webHidden/>
              </w:rPr>
              <w:fldChar w:fldCharType="end"/>
            </w:r>
          </w:hyperlink>
        </w:p>
        <w:p w14:paraId="6083E675" w14:textId="2B90D146" w:rsidR="00A009E6" w:rsidRDefault="00A009E6">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38146318" w:history="1">
            <w:r w:rsidRPr="0031193C">
              <w:rPr>
                <w:rStyle w:val="Hyperlink"/>
                <w:noProof/>
              </w:rPr>
              <w:t>New data have become available</w:t>
            </w:r>
            <w:r>
              <w:rPr>
                <w:noProof/>
                <w:webHidden/>
              </w:rPr>
              <w:tab/>
            </w:r>
            <w:r>
              <w:rPr>
                <w:noProof/>
                <w:webHidden/>
              </w:rPr>
              <w:fldChar w:fldCharType="begin"/>
            </w:r>
            <w:r>
              <w:rPr>
                <w:noProof/>
                <w:webHidden/>
              </w:rPr>
              <w:instrText xml:space="preserve"> PAGEREF _Toc138146318 \h </w:instrText>
            </w:r>
            <w:r>
              <w:rPr>
                <w:noProof/>
                <w:webHidden/>
              </w:rPr>
            </w:r>
            <w:r>
              <w:rPr>
                <w:noProof/>
                <w:webHidden/>
              </w:rPr>
              <w:fldChar w:fldCharType="separate"/>
            </w:r>
            <w:r>
              <w:rPr>
                <w:noProof/>
                <w:webHidden/>
              </w:rPr>
              <w:t>9</w:t>
            </w:r>
            <w:r>
              <w:rPr>
                <w:noProof/>
                <w:webHidden/>
              </w:rPr>
              <w:fldChar w:fldCharType="end"/>
            </w:r>
          </w:hyperlink>
        </w:p>
        <w:p w14:paraId="3F2CF105" w14:textId="6EEB0C73" w:rsidR="00A009E6" w:rsidRDefault="00A009E6">
          <w:pPr>
            <w:pStyle w:val="TOC2"/>
            <w:rPr>
              <w:rFonts w:asciiTheme="minorHAnsi" w:eastAsiaTheme="minorEastAsia" w:hAnsiTheme="minorHAnsi"/>
              <w:bCs w:val="0"/>
              <w:noProof/>
              <w:color w:val="auto"/>
              <w:kern w:val="2"/>
              <w:sz w:val="22"/>
              <w:szCs w:val="22"/>
              <w:lang w:eastAsia="en-AU"/>
              <w14:ligatures w14:val="standardContextual"/>
            </w:rPr>
          </w:pPr>
          <w:hyperlink w:anchor="_Toc138146319" w:history="1">
            <w:r w:rsidRPr="0031193C">
              <w:rPr>
                <w:rStyle w:val="Hyperlink"/>
                <w:noProof/>
              </w:rPr>
              <w:t>Implications for assessment</w:t>
            </w:r>
            <w:r>
              <w:rPr>
                <w:noProof/>
                <w:webHidden/>
              </w:rPr>
              <w:tab/>
            </w:r>
            <w:r>
              <w:rPr>
                <w:noProof/>
                <w:webHidden/>
              </w:rPr>
              <w:fldChar w:fldCharType="begin"/>
            </w:r>
            <w:r>
              <w:rPr>
                <w:noProof/>
                <w:webHidden/>
              </w:rPr>
              <w:instrText xml:space="preserve"> PAGEREF _Toc138146319 \h </w:instrText>
            </w:r>
            <w:r>
              <w:rPr>
                <w:noProof/>
                <w:webHidden/>
              </w:rPr>
            </w:r>
            <w:r>
              <w:rPr>
                <w:noProof/>
                <w:webHidden/>
              </w:rPr>
              <w:fldChar w:fldCharType="separate"/>
            </w:r>
            <w:r>
              <w:rPr>
                <w:noProof/>
                <w:webHidden/>
              </w:rPr>
              <w:t>9</w:t>
            </w:r>
            <w:r>
              <w:rPr>
                <w:noProof/>
                <w:webHidden/>
              </w:rPr>
              <w:fldChar w:fldCharType="end"/>
            </w:r>
          </w:hyperlink>
        </w:p>
        <w:p w14:paraId="3A27107A" w14:textId="6E46EAAD" w:rsidR="00A009E6" w:rsidRDefault="00A009E6">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38146320" w:history="1">
            <w:r w:rsidRPr="0031193C">
              <w:rPr>
                <w:rStyle w:val="Hyperlink"/>
                <w:noProof/>
              </w:rPr>
              <w:t>Do the social, economic or policy changes challenge the appropriateness of the current assessment?</w:t>
            </w:r>
            <w:r>
              <w:rPr>
                <w:noProof/>
                <w:webHidden/>
              </w:rPr>
              <w:tab/>
            </w:r>
            <w:r>
              <w:rPr>
                <w:noProof/>
                <w:webHidden/>
              </w:rPr>
              <w:fldChar w:fldCharType="begin"/>
            </w:r>
            <w:r>
              <w:rPr>
                <w:noProof/>
                <w:webHidden/>
              </w:rPr>
              <w:instrText xml:space="preserve"> PAGEREF _Toc138146320 \h </w:instrText>
            </w:r>
            <w:r>
              <w:rPr>
                <w:noProof/>
                <w:webHidden/>
              </w:rPr>
            </w:r>
            <w:r>
              <w:rPr>
                <w:noProof/>
                <w:webHidden/>
              </w:rPr>
              <w:fldChar w:fldCharType="separate"/>
            </w:r>
            <w:r>
              <w:rPr>
                <w:noProof/>
                <w:webHidden/>
              </w:rPr>
              <w:t>9</w:t>
            </w:r>
            <w:r>
              <w:rPr>
                <w:noProof/>
                <w:webHidden/>
              </w:rPr>
              <w:fldChar w:fldCharType="end"/>
            </w:r>
          </w:hyperlink>
        </w:p>
        <w:p w14:paraId="07AFF2FD" w14:textId="3D4E1413" w:rsidR="00A009E6" w:rsidRDefault="00A009E6">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38146321" w:history="1">
            <w:r w:rsidRPr="0031193C">
              <w:rPr>
                <w:rStyle w:val="Hyperlink"/>
                <w:noProof/>
              </w:rPr>
              <w:t>Do new data mean that a course mix driver should be assessed?</w:t>
            </w:r>
            <w:r>
              <w:rPr>
                <w:noProof/>
                <w:webHidden/>
              </w:rPr>
              <w:tab/>
            </w:r>
            <w:r>
              <w:rPr>
                <w:noProof/>
                <w:webHidden/>
              </w:rPr>
              <w:fldChar w:fldCharType="begin"/>
            </w:r>
            <w:r>
              <w:rPr>
                <w:noProof/>
                <w:webHidden/>
              </w:rPr>
              <w:instrText xml:space="preserve"> PAGEREF _Toc138146321 \h </w:instrText>
            </w:r>
            <w:r>
              <w:rPr>
                <w:noProof/>
                <w:webHidden/>
              </w:rPr>
            </w:r>
            <w:r>
              <w:rPr>
                <w:noProof/>
                <w:webHidden/>
              </w:rPr>
              <w:fldChar w:fldCharType="separate"/>
            </w:r>
            <w:r>
              <w:rPr>
                <w:noProof/>
                <w:webHidden/>
              </w:rPr>
              <w:t>10</w:t>
            </w:r>
            <w:r>
              <w:rPr>
                <w:noProof/>
                <w:webHidden/>
              </w:rPr>
              <w:fldChar w:fldCharType="end"/>
            </w:r>
          </w:hyperlink>
        </w:p>
        <w:p w14:paraId="04097F26" w14:textId="0E0F4AA4" w:rsidR="00A009E6" w:rsidRDefault="00A009E6">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38146322" w:history="1">
            <w:r w:rsidRPr="0031193C">
              <w:rPr>
                <w:rStyle w:val="Hyperlink"/>
                <w:noProof/>
              </w:rPr>
              <w:t>Does the socio-demographic composition driver need to be adjusted?</w:t>
            </w:r>
            <w:r>
              <w:rPr>
                <w:noProof/>
                <w:webHidden/>
              </w:rPr>
              <w:tab/>
            </w:r>
            <w:r>
              <w:rPr>
                <w:noProof/>
                <w:webHidden/>
              </w:rPr>
              <w:fldChar w:fldCharType="begin"/>
            </w:r>
            <w:r>
              <w:rPr>
                <w:noProof/>
                <w:webHidden/>
              </w:rPr>
              <w:instrText xml:space="preserve"> PAGEREF _Toc138146322 \h </w:instrText>
            </w:r>
            <w:r>
              <w:rPr>
                <w:noProof/>
                <w:webHidden/>
              </w:rPr>
            </w:r>
            <w:r>
              <w:rPr>
                <w:noProof/>
                <w:webHidden/>
              </w:rPr>
              <w:fldChar w:fldCharType="separate"/>
            </w:r>
            <w:r>
              <w:rPr>
                <w:noProof/>
                <w:webHidden/>
              </w:rPr>
              <w:t>11</w:t>
            </w:r>
            <w:r>
              <w:rPr>
                <w:noProof/>
                <w:webHidden/>
              </w:rPr>
              <w:fldChar w:fldCharType="end"/>
            </w:r>
          </w:hyperlink>
        </w:p>
        <w:p w14:paraId="7B5F80DC" w14:textId="256872D4" w:rsidR="00A009E6" w:rsidRDefault="00A009E6">
          <w:pPr>
            <w:pStyle w:val="TOC2"/>
            <w:rPr>
              <w:rFonts w:asciiTheme="minorHAnsi" w:eastAsiaTheme="minorEastAsia" w:hAnsiTheme="minorHAnsi"/>
              <w:bCs w:val="0"/>
              <w:noProof/>
              <w:color w:val="auto"/>
              <w:kern w:val="2"/>
              <w:sz w:val="22"/>
              <w:szCs w:val="22"/>
              <w:lang w:eastAsia="en-AU"/>
              <w14:ligatures w14:val="standardContextual"/>
            </w:rPr>
          </w:pPr>
          <w:hyperlink w:anchor="_Toc138146323" w:history="1">
            <w:r w:rsidRPr="0031193C">
              <w:rPr>
                <w:rStyle w:val="Hyperlink"/>
                <w:noProof/>
              </w:rPr>
              <w:t>Proposed assessment</w:t>
            </w:r>
            <w:r>
              <w:rPr>
                <w:noProof/>
                <w:webHidden/>
              </w:rPr>
              <w:tab/>
            </w:r>
            <w:r>
              <w:rPr>
                <w:noProof/>
                <w:webHidden/>
              </w:rPr>
              <w:fldChar w:fldCharType="begin"/>
            </w:r>
            <w:r>
              <w:rPr>
                <w:noProof/>
                <w:webHidden/>
              </w:rPr>
              <w:instrText xml:space="preserve"> PAGEREF _Toc138146323 \h </w:instrText>
            </w:r>
            <w:r>
              <w:rPr>
                <w:noProof/>
                <w:webHidden/>
              </w:rPr>
            </w:r>
            <w:r>
              <w:rPr>
                <w:noProof/>
                <w:webHidden/>
              </w:rPr>
              <w:fldChar w:fldCharType="separate"/>
            </w:r>
            <w:r>
              <w:rPr>
                <w:noProof/>
                <w:webHidden/>
              </w:rPr>
              <w:t>13</w:t>
            </w:r>
            <w:r>
              <w:rPr>
                <w:noProof/>
                <w:webHidden/>
              </w:rPr>
              <w:fldChar w:fldCharType="end"/>
            </w:r>
          </w:hyperlink>
        </w:p>
        <w:p w14:paraId="19DF70A2" w14:textId="71A3A579" w:rsidR="00A009E6" w:rsidRDefault="00A009E6">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38146324" w:history="1">
            <w:r w:rsidRPr="0031193C">
              <w:rPr>
                <w:rStyle w:val="Hyperlink"/>
                <w:noProof/>
              </w:rPr>
              <w:t>Differences from the 2020 Review approach</w:t>
            </w:r>
            <w:r>
              <w:rPr>
                <w:noProof/>
                <w:webHidden/>
              </w:rPr>
              <w:tab/>
            </w:r>
            <w:r>
              <w:rPr>
                <w:noProof/>
                <w:webHidden/>
              </w:rPr>
              <w:fldChar w:fldCharType="begin"/>
            </w:r>
            <w:r>
              <w:rPr>
                <w:noProof/>
                <w:webHidden/>
              </w:rPr>
              <w:instrText xml:space="preserve"> PAGEREF _Toc138146324 \h </w:instrText>
            </w:r>
            <w:r>
              <w:rPr>
                <w:noProof/>
                <w:webHidden/>
              </w:rPr>
            </w:r>
            <w:r>
              <w:rPr>
                <w:noProof/>
                <w:webHidden/>
              </w:rPr>
              <w:fldChar w:fldCharType="separate"/>
            </w:r>
            <w:r>
              <w:rPr>
                <w:noProof/>
                <w:webHidden/>
              </w:rPr>
              <w:t>13</w:t>
            </w:r>
            <w:r>
              <w:rPr>
                <w:noProof/>
                <w:webHidden/>
              </w:rPr>
              <w:fldChar w:fldCharType="end"/>
            </w:r>
          </w:hyperlink>
        </w:p>
        <w:p w14:paraId="2BF0C24E" w14:textId="28B0D43F" w:rsidR="00A009E6" w:rsidRDefault="00A009E6">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38146325" w:history="1">
            <w:r w:rsidRPr="0031193C">
              <w:rPr>
                <w:rStyle w:val="Hyperlink"/>
                <w:noProof/>
              </w:rPr>
              <w:t>Proposed assessment structure</w:t>
            </w:r>
            <w:r>
              <w:rPr>
                <w:noProof/>
                <w:webHidden/>
              </w:rPr>
              <w:tab/>
            </w:r>
            <w:r>
              <w:rPr>
                <w:noProof/>
                <w:webHidden/>
              </w:rPr>
              <w:fldChar w:fldCharType="begin"/>
            </w:r>
            <w:r>
              <w:rPr>
                <w:noProof/>
                <w:webHidden/>
              </w:rPr>
              <w:instrText xml:space="preserve"> PAGEREF _Toc138146325 \h </w:instrText>
            </w:r>
            <w:r>
              <w:rPr>
                <w:noProof/>
                <w:webHidden/>
              </w:rPr>
            </w:r>
            <w:r>
              <w:rPr>
                <w:noProof/>
                <w:webHidden/>
              </w:rPr>
              <w:fldChar w:fldCharType="separate"/>
            </w:r>
            <w:r>
              <w:rPr>
                <w:noProof/>
                <w:webHidden/>
              </w:rPr>
              <w:t>14</w:t>
            </w:r>
            <w:r>
              <w:rPr>
                <w:noProof/>
                <w:webHidden/>
              </w:rPr>
              <w:fldChar w:fldCharType="end"/>
            </w:r>
          </w:hyperlink>
        </w:p>
        <w:p w14:paraId="4E5B00CD" w14:textId="2DE20E6E" w:rsidR="00A009E6" w:rsidRDefault="00A009E6">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38146326" w:history="1">
            <w:r w:rsidRPr="0031193C">
              <w:rPr>
                <w:rStyle w:val="Hyperlink"/>
                <w:noProof/>
              </w:rPr>
              <w:t>New data requirements</w:t>
            </w:r>
            <w:r>
              <w:rPr>
                <w:noProof/>
                <w:webHidden/>
              </w:rPr>
              <w:tab/>
            </w:r>
            <w:r>
              <w:rPr>
                <w:noProof/>
                <w:webHidden/>
              </w:rPr>
              <w:fldChar w:fldCharType="begin"/>
            </w:r>
            <w:r>
              <w:rPr>
                <w:noProof/>
                <w:webHidden/>
              </w:rPr>
              <w:instrText xml:space="preserve"> PAGEREF _Toc138146326 \h </w:instrText>
            </w:r>
            <w:r>
              <w:rPr>
                <w:noProof/>
                <w:webHidden/>
              </w:rPr>
            </w:r>
            <w:r>
              <w:rPr>
                <w:noProof/>
                <w:webHidden/>
              </w:rPr>
              <w:fldChar w:fldCharType="separate"/>
            </w:r>
            <w:r>
              <w:rPr>
                <w:noProof/>
                <w:webHidden/>
              </w:rPr>
              <w:t>14</w:t>
            </w:r>
            <w:r>
              <w:rPr>
                <w:noProof/>
                <w:webHidden/>
              </w:rPr>
              <w:fldChar w:fldCharType="end"/>
            </w:r>
          </w:hyperlink>
        </w:p>
        <w:p w14:paraId="143AA9D8" w14:textId="0ED46A71" w:rsidR="00A009E6" w:rsidRDefault="00A009E6">
          <w:pPr>
            <w:pStyle w:val="TOC2"/>
            <w:rPr>
              <w:rFonts w:asciiTheme="minorHAnsi" w:eastAsiaTheme="minorEastAsia" w:hAnsiTheme="minorHAnsi"/>
              <w:bCs w:val="0"/>
              <w:noProof/>
              <w:color w:val="auto"/>
              <w:kern w:val="2"/>
              <w:sz w:val="22"/>
              <w:szCs w:val="22"/>
              <w:lang w:eastAsia="en-AU"/>
              <w14:ligatures w14:val="standardContextual"/>
            </w:rPr>
          </w:pPr>
          <w:hyperlink w:anchor="_Toc138146327" w:history="1">
            <w:r w:rsidRPr="0031193C">
              <w:rPr>
                <w:rStyle w:val="Hyperlink"/>
                <w:noProof/>
              </w:rPr>
              <w:t>Consultation</w:t>
            </w:r>
            <w:r>
              <w:rPr>
                <w:noProof/>
                <w:webHidden/>
              </w:rPr>
              <w:tab/>
            </w:r>
            <w:r>
              <w:rPr>
                <w:noProof/>
                <w:webHidden/>
              </w:rPr>
              <w:fldChar w:fldCharType="begin"/>
            </w:r>
            <w:r>
              <w:rPr>
                <w:noProof/>
                <w:webHidden/>
              </w:rPr>
              <w:instrText xml:space="preserve"> PAGEREF _Toc138146327 \h </w:instrText>
            </w:r>
            <w:r>
              <w:rPr>
                <w:noProof/>
                <w:webHidden/>
              </w:rPr>
            </w:r>
            <w:r>
              <w:rPr>
                <w:noProof/>
                <w:webHidden/>
              </w:rPr>
              <w:fldChar w:fldCharType="separate"/>
            </w:r>
            <w:r>
              <w:rPr>
                <w:noProof/>
                <w:webHidden/>
              </w:rPr>
              <w:t>15</w:t>
            </w:r>
            <w:r>
              <w:rPr>
                <w:noProof/>
                <w:webHidden/>
              </w:rPr>
              <w:fldChar w:fldCharType="end"/>
            </w:r>
          </w:hyperlink>
        </w:p>
        <w:p w14:paraId="17BD59C0" w14:textId="29927021" w:rsidR="005B6B61" w:rsidRDefault="005B6B61">
          <w:r>
            <w:rPr>
              <w:b/>
              <w:bCs/>
              <w:noProof/>
            </w:rPr>
            <w:fldChar w:fldCharType="end"/>
          </w:r>
        </w:p>
      </w:sdtContent>
    </w:sdt>
    <w:p w14:paraId="5628E321" w14:textId="77777777" w:rsidR="00693888" w:rsidRPr="00DF1879" w:rsidRDefault="00693888" w:rsidP="00DF1879">
      <w:r>
        <w:br w:type="page"/>
      </w:r>
    </w:p>
    <w:p w14:paraId="799E54A8" w14:textId="77777777" w:rsidR="00A5102B" w:rsidRPr="007C4D64" w:rsidRDefault="00C53513" w:rsidP="007C4D64">
      <w:pPr>
        <w:pStyle w:val="Heading2"/>
      </w:pPr>
      <w:bookmarkStart w:id="0" w:name="_Toc133236145"/>
      <w:bookmarkStart w:id="1" w:name="_Toc133236171"/>
      <w:bookmarkStart w:id="2" w:name="_Toc138146310"/>
      <w:r>
        <w:lastRenderedPageBreak/>
        <w:t>Overview of category</w:t>
      </w:r>
      <w:bookmarkEnd w:id="0"/>
      <w:bookmarkEnd w:id="1"/>
      <w:bookmarkEnd w:id="2"/>
    </w:p>
    <w:p w14:paraId="4A22B1E8" w14:textId="79DA74BC" w:rsidR="00E2013D" w:rsidRPr="00E2013D" w:rsidRDefault="277814D0" w:rsidP="00E2013D">
      <w:pPr>
        <w:pStyle w:val="CGC2025ParaNumbers"/>
      </w:pPr>
      <w:bookmarkStart w:id="3" w:name="_Toc133236146"/>
      <w:bookmarkStart w:id="4" w:name="_Toc133236172"/>
      <w:r w:rsidRPr="00E2013D">
        <w:t>Post</w:t>
      </w:r>
      <w:r w:rsidR="34ACB110" w:rsidRPr="00E2013D">
        <w:t>-</w:t>
      </w:r>
      <w:r w:rsidRPr="00E2013D">
        <w:t>secondary education covers state expenses on vocational education and training and other higher education. Most state spending on post</w:t>
      </w:r>
      <w:r w:rsidR="2A63D557" w:rsidRPr="00E2013D">
        <w:t>-</w:t>
      </w:r>
      <w:r w:rsidRPr="00E2013D">
        <w:t xml:space="preserve">secondary education is for </w:t>
      </w:r>
      <w:r w:rsidR="00096F66">
        <w:t>v</w:t>
      </w:r>
      <w:r w:rsidRPr="00E2013D">
        <w:t xml:space="preserve">ocational </w:t>
      </w:r>
      <w:r w:rsidR="00096F66">
        <w:t>e</w:t>
      </w:r>
      <w:r w:rsidRPr="00E2013D">
        <w:t xml:space="preserve">ducation and </w:t>
      </w:r>
      <w:r w:rsidR="00096F66">
        <w:t>t</w:t>
      </w:r>
      <w:r w:rsidRPr="00E2013D">
        <w:t>raining, including apprenticeships and traineeships (93%), with around 7% of spending for universities.</w:t>
      </w:r>
      <w:r w:rsidR="00E2013D" w:rsidRPr="00C32DD8">
        <w:rPr>
          <w:rStyle w:val="FootnoteReference"/>
        </w:rPr>
        <w:footnoteReference w:id="2"/>
      </w:r>
    </w:p>
    <w:p w14:paraId="300FFB4E" w14:textId="60C5AFF2" w:rsidR="00E2013D" w:rsidRPr="00E2013D" w:rsidRDefault="00E2013D" w:rsidP="00E2013D">
      <w:pPr>
        <w:pStyle w:val="CGC2025ParaNumbers"/>
      </w:pPr>
      <w:r w:rsidRPr="00E2013D">
        <w:t xml:space="preserve">State </w:t>
      </w:r>
      <w:r w:rsidR="00096F66">
        <w:t>v</w:t>
      </w:r>
      <w:r w:rsidR="005C1A12" w:rsidRPr="00E2013D">
        <w:t xml:space="preserve">ocational </w:t>
      </w:r>
      <w:r w:rsidR="00096F66">
        <w:t>e</w:t>
      </w:r>
      <w:r w:rsidR="005C1A12" w:rsidRPr="00E2013D">
        <w:t xml:space="preserve">ducation and </w:t>
      </w:r>
      <w:r w:rsidR="00096F66">
        <w:t>t</w:t>
      </w:r>
      <w:r w:rsidR="005C1A12" w:rsidRPr="00E2013D">
        <w:t>raining</w:t>
      </w:r>
      <w:r w:rsidR="00CA146C">
        <w:t xml:space="preserve"> </w:t>
      </w:r>
      <w:r w:rsidRPr="00E2013D">
        <w:t>expenses mainly comprise spending on subsidised courses provided by public technical and further education institutes and private registered training organisations.</w:t>
      </w:r>
    </w:p>
    <w:p w14:paraId="7028B9FF" w14:textId="77CB2A2C" w:rsidR="00E2013D" w:rsidRPr="00E2013D" w:rsidRDefault="005C1A12" w:rsidP="005057E9">
      <w:pPr>
        <w:pStyle w:val="CGC2025ParaNumbers"/>
      </w:pPr>
      <w:r w:rsidRPr="00E2013D">
        <w:t xml:space="preserve">Vocational </w:t>
      </w:r>
      <w:r w:rsidR="00096F66">
        <w:t>e</w:t>
      </w:r>
      <w:r w:rsidRPr="00E2013D">
        <w:t xml:space="preserve">ducation and </w:t>
      </w:r>
      <w:r w:rsidR="00096F66">
        <w:t>t</w:t>
      </w:r>
      <w:r w:rsidRPr="00E2013D">
        <w:t>raining</w:t>
      </w:r>
      <w:r w:rsidR="00CA146C">
        <w:t xml:space="preserve"> </w:t>
      </w:r>
      <w:r w:rsidR="00E2013D" w:rsidRPr="00E2013D">
        <w:t xml:space="preserve">courses span foundation skills, certificate I to IV programs (including apprenticeships and traineeships), diplomas, advanced </w:t>
      </w:r>
      <w:proofErr w:type="gramStart"/>
      <w:r w:rsidR="00E2013D" w:rsidRPr="00E2013D">
        <w:t>diplomas</w:t>
      </w:r>
      <w:proofErr w:type="gramEnd"/>
      <w:r w:rsidR="00E2013D" w:rsidRPr="00E2013D">
        <w:t xml:space="preserve"> and bachelor</w:t>
      </w:r>
      <w:r w:rsidR="00512D69">
        <w:t>s</w:t>
      </w:r>
      <w:r w:rsidR="004F49F5">
        <w:t>’</w:t>
      </w:r>
      <w:r w:rsidR="00E2013D" w:rsidRPr="00E2013D">
        <w:t xml:space="preserve"> degrees. The campuses used for service delivery are widely </w:t>
      </w:r>
      <w:r w:rsidR="00E2013D" w:rsidRPr="004A5304">
        <w:t xml:space="preserve">dispersed </w:t>
      </w:r>
      <w:r w:rsidR="00E2013D" w:rsidRPr="00E2013D">
        <w:t xml:space="preserve">in all states, and states with </w:t>
      </w:r>
      <w:r w:rsidR="00E2013D" w:rsidRPr="00537702">
        <w:t>dispersed</w:t>
      </w:r>
      <w:r w:rsidR="00E2013D" w:rsidRPr="00E2013D">
        <w:t xml:space="preserve">, small communities provide services in many of those communities. All state </w:t>
      </w:r>
      <w:r w:rsidR="001C1BF9">
        <w:t>v</w:t>
      </w:r>
      <w:r w:rsidR="004C2289" w:rsidRPr="00E2013D">
        <w:t xml:space="preserve">ocational </w:t>
      </w:r>
      <w:r w:rsidR="001C1BF9">
        <w:t>e</w:t>
      </w:r>
      <w:r w:rsidR="004C2289" w:rsidRPr="00E2013D">
        <w:t xml:space="preserve">ducation and </w:t>
      </w:r>
      <w:r w:rsidR="001C1BF9">
        <w:t>t</w:t>
      </w:r>
      <w:r w:rsidR="004C2289" w:rsidRPr="00E2013D">
        <w:t>raining</w:t>
      </w:r>
      <w:r w:rsidR="00CA146C">
        <w:t xml:space="preserve"> </w:t>
      </w:r>
      <w:r w:rsidR="00E2013D" w:rsidRPr="00E2013D">
        <w:t>funding models, except the ACT’s, include regional loadings to recognise the higher cost of service delivery in regional and remote areas. Many states fund specific programs to support First Nations students, socio</w:t>
      </w:r>
      <w:r w:rsidR="00171ACA">
        <w:noBreakHyphen/>
      </w:r>
      <w:proofErr w:type="gramStart"/>
      <w:r w:rsidR="00E2013D" w:rsidRPr="00E2013D">
        <w:t>economically disadvantaged</w:t>
      </w:r>
      <w:proofErr w:type="gramEnd"/>
      <w:r w:rsidR="00E2013D" w:rsidRPr="00E2013D">
        <w:t xml:space="preserve"> students, students with a disability and culturally and linguistically diverse populations.</w:t>
      </w:r>
    </w:p>
    <w:p w14:paraId="65746398" w14:textId="77777777" w:rsidR="001D33AD" w:rsidRPr="001D33AD" w:rsidRDefault="001D33AD" w:rsidP="0093066B">
      <w:pPr>
        <w:pStyle w:val="Heading2"/>
      </w:pPr>
      <w:bookmarkStart w:id="5" w:name="_Toc138146311"/>
      <w:r>
        <w:t xml:space="preserve">Current </w:t>
      </w:r>
      <w:r w:rsidR="0093066B">
        <w:t>assessment method – 2020 Review</w:t>
      </w:r>
      <w:bookmarkEnd w:id="3"/>
      <w:bookmarkEnd w:id="4"/>
      <w:bookmarkEnd w:id="5"/>
    </w:p>
    <w:p w14:paraId="6F68FB49" w14:textId="77777777" w:rsidR="00C858CE" w:rsidRDefault="00E2013D" w:rsidP="008C0FFF">
      <w:pPr>
        <w:pStyle w:val="CGC2025ParaNumbers"/>
      </w:pPr>
      <w:bookmarkStart w:id="6" w:name="_Toc133236147"/>
      <w:bookmarkStart w:id="7" w:name="_Toc133236173"/>
      <w:r w:rsidRPr="00E2013D">
        <w:t>In 2020, the Commission determined that the main non-policy related driver</w:t>
      </w:r>
      <w:r w:rsidR="0062025B">
        <w:t>s</w:t>
      </w:r>
      <w:r w:rsidRPr="00E2013D">
        <w:t xml:space="preserve"> of difference in the cost of post-secondary education between states </w:t>
      </w:r>
      <w:r w:rsidR="0062025B">
        <w:t>were</w:t>
      </w:r>
      <w:r w:rsidR="00C858CE">
        <w:t>:</w:t>
      </w:r>
      <w:r w:rsidRPr="00E2013D">
        <w:t xml:space="preserve"> </w:t>
      </w:r>
    </w:p>
    <w:p w14:paraId="6B863C7E" w14:textId="16049431" w:rsidR="00C858CE" w:rsidRDefault="00E2013D" w:rsidP="0064009D">
      <w:pPr>
        <w:pStyle w:val="CGC2025Bullet1"/>
      </w:pPr>
      <w:r w:rsidRPr="00E2013D">
        <w:t xml:space="preserve">the difference in the socio-demographic profile of the states’ populations </w:t>
      </w:r>
    </w:p>
    <w:p w14:paraId="48E02ABF" w14:textId="48B5C83C" w:rsidR="00C858CE" w:rsidRDefault="00E2013D" w:rsidP="0064009D">
      <w:pPr>
        <w:pStyle w:val="CGC2025Bullet1"/>
      </w:pPr>
      <w:r w:rsidRPr="00E2013D">
        <w:t xml:space="preserve">the higher cost of providing services to certain groups or in certain </w:t>
      </w:r>
      <w:proofErr w:type="gramStart"/>
      <w:r w:rsidRPr="00E2013D">
        <w:t>areas</w:t>
      </w:r>
      <w:proofErr w:type="gramEnd"/>
      <w:r w:rsidRPr="00E2013D">
        <w:t xml:space="preserve"> </w:t>
      </w:r>
    </w:p>
    <w:p w14:paraId="0A68A556" w14:textId="00CF74A0" w:rsidR="00C858CE" w:rsidRDefault="00E2013D" w:rsidP="0064009D">
      <w:pPr>
        <w:pStyle w:val="CGC2025Bullet1"/>
      </w:pPr>
      <w:r w:rsidRPr="00E2013D">
        <w:t>the extent to which students commute across state borders for post</w:t>
      </w:r>
      <w:r w:rsidR="00C858CE">
        <w:noBreakHyphen/>
      </w:r>
      <w:r w:rsidRPr="00E2013D">
        <w:t xml:space="preserve">secondary </w:t>
      </w:r>
      <w:proofErr w:type="gramStart"/>
      <w:r w:rsidRPr="00E2013D">
        <w:t>education</w:t>
      </w:r>
      <w:proofErr w:type="gramEnd"/>
    </w:p>
    <w:p w14:paraId="38055395" w14:textId="4DAD3C26" w:rsidR="00E2013D" w:rsidRPr="00E2013D" w:rsidRDefault="00E2013D" w:rsidP="0064009D">
      <w:pPr>
        <w:pStyle w:val="CGC2025Bullet1"/>
      </w:pPr>
      <w:r w:rsidRPr="00E2013D">
        <w:t>the difference in wage levels that staff receive in different states (see</w:t>
      </w:r>
      <w:r w:rsidR="00B823CC">
        <w:t xml:space="preserve"> </w:t>
      </w:r>
      <w:r w:rsidR="00B823CC">
        <w:fldChar w:fldCharType="begin"/>
      </w:r>
      <w:r w:rsidR="00B823CC">
        <w:instrText xml:space="preserve"> REF _Ref138146215 \h </w:instrText>
      </w:r>
      <w:r w:rsidR="00B823CC">
        <w:fldChar w:fldCharType="separate"/>
      </w:r>
      <w:r w:rsidR="00A009E6">
        <w:t xml:space="preserve">Figure </w:t>
      </w:r>
      <w:r w:rsidR="00A009E6">
        <w:rPr>
          <w:noProof/>
        </w:rPr>
        <w:t>1</w:t>
      </w:r>
      <w:r w:rsidR="00B823CC">
        <w:fldChar w:fldCharType="end"/>
      </w:r>
      <w:r w:rsidRPr="00E2013D">
        <w:t xml:space="preserve">). </w:t>
      </w:r>
    </w:p>
    <w:p w14:paraId="42A6FFA7" w14:textId="77777777" w:rsidR="001D30D7" w:rsidRPr="00E2013D" w:rsidRDefault="001D30D7" w:rsidP="001D30D7">
      <w:pPr>
        <w:pStyle w:val="Heading4"/>
      </w:pPr>
      <w:bookmarkStart w:id="8" w:name="_Ref134180990"/>
      <w:r w:rsidRPr="00E2013D">
        <w:t xml:space="preserve">Socio-demographic composition </w:t>
      </w:r>
    </w:p>
    <w:p w14:paraId="1BAA7C8B" w14:textId="0E567119" w:rsidR="001D30D7" w:rsidRDefault="001D30D7" w:rsidP="001D30D7">
      <w:pPr>
        <w:pStyle w:val="CGC2025ParaNumbers"/>
      </w:pPr>
      <w:r>
        <w:rPr>
          <w:highlight w:val="yellow"/>
        </w:rPr>
        <w:fldChar w:fldCharType="begin"/>
      </w:r>
      <w:r>
        <w:instrText xml:space="preserve"> REF _Ref134181012 \h </w:instrText>
      </w:r>
      <w:r>
        <w:rPr>
          <w:highlight w:val="yellow"/>
        </w:rPr>
      </w:r>
      <w:r>
        <w:rPr>
          <w:highlight w:val="yellow"/>
        </w:rPr>
        <w:fldChar w:fldCharType="separate"/>
      </w:r>
      <w:r w:rsidR="00A009E6" w:rsidRPr="008C0FFF">
        <w:t xml:space="preserve">Table </w:t>
      </w:r>
      <w:r w:rsidR="00A009E6">
        <w:rPr>
          <w:noProof/>
        </w:rPr>
        <w:t>1</w:t>
      </w:r>
      <w:r>
        <w:rPr>
          <w:highlight w:val="yellow"/>
        </w:rPr>
        <w:fldChar w:fldCharType="end"/>
      </w:r>
      <w:r>
        <w:t xml:space="preserve"> outlines the socio-demographic composition drivers for the assessment. Only enrolments of people aged 15</w:t>
      </w:r>
      <w:r>
        <w:noBreakHyphen/>
        <w:t xml:space="preserve">64 are assessed. Different rates of use are assessed for Indigenous status, </w:t>
      </w:r>
      <w:proofErr w:type="gramStart"/>
      <w:r>
        <w:t>remoteness</w:t>
      </w:r>
      <w:proofErr w:type="gramEnd"/>
      <w:r>
        <w:t xml:space="preserve"> and socio-economic status. A higher cost per hour enrolled is assessed for First Nations people and people living in more remote areas. </w:t>
      </w:r>
    </w:p>
    <w:p w14:paraId="76788FEC" w14:textId="77777777" w:rsidR="001D30D7" w:rsidRDefault="001D30D7" w:rsidP="001D30D7">
      <w:pPr>
        <w:pStyle w:val="CGC2025ParaNumbers"/>
      </w:pPr>
      <w:r>
        <w:t xml:space="preserve">For assessing differences in use rates, the population is divided between those in major cities and regional areas (non-remote) and those in remote or very remote areas (remote). For assessing differences in cost per contact hour, all 5 categories </w:t>
      </w:r>
      <w:r>
        <w:lastRenderedPageBreak/>
        <w:t>are used. Non-remote areas are divided by socio-economic status, using the Indigenous Relative Socio-Economic Outcomes index for the First Nations population and the Non-Indigenous Socio-Economic Index for Areas for the non-Indigenous population.</w:t>
      </w:r>
    </w:p>
    <w:p w14:paraId="0A36501E" w14:textId="4E9F824D" w:rsidR="001D30D7" w:rsidRPr="008C0FFF" w:rsidRDefault="001D30D7" w:rsidP="001D30D7">
      <w:pPr>
        <w:pStyle w:val="CGC2025Caption"/>
        <w:tabs>
          <w:tab w:val="left" w:pos="1134"/>
        </w:tabs>
      </w:pPr>
      <w:bookmarkStart w:id="9" w:name="_Ref134181012"/>
      <w:r w:rsidRPr="008C0FFF">
        <w:t xml:space="preserve">Table </w:t>
      </w:r>
      <w:fldSimple w:instr=" SEQ Table \* ARABIC ">
        <w:r w:rsidR="00A009E6">
          <w:rPr>
            <w:noProof/>
          </w:rPr>
          <w:t>1</w:t>
        </w:r>
      </w:fldSimple>
      <w:bookmarkEnd w:id="9"/>
      <w:r>
        <w:tab/>
      </w:r>
      <w:r w:rsidRPr="008C0FFF">
        <w:t xml:space="preserve">Socio-demographic composition, </w:t>
      </w:r>
      <w:r>
        <w:t>p</w:t>
      </w:r>
      <w:r w:rsidRPr="008C0FFF">
        <w:t>ost-secondary education</w:t>
      </w:r>
    </w:p>
    <w:p w14:paraId="60AC3A48" w14:textId="77777777" w:rsidR="001D30D7" w:rsidRDefault="001D30D7" w:rsidP="001D30D7">
      <w:pPr>
        <w:pStyle w:val="CGC2025ParaNumbers"/>
        <w:numPr>
          <w:ilvl w:val="0"/>
          <w:numId w:val="0"/>
        </w:numPr>
        <w:ind w:left="567" w:hanging="567"/>
      </w:pPr>
      <w:r w:rsidRPr="00CD7927">
        <w:rPr>
          <w:noProof/>
        </w:rPr>
        <w:drawing>
          <wp:inline distT="0" distB="0" distL="0" distR="0" wp14:anchorId="21B272F1" wp14:editId="55F04B96">
            <wp:extent cx="5213350" cy="122174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3350" cy="1221740"/>
                    </a:xfrm>
                    <a:prstGeom prst="rect">
                      <a:avLst/>
                    </a:prstGeom>
                    <a:noFill/>
                    <a:ln>
                      <a:noFill/>
                    </a:ln>
                  </pic:spPr>
                </pic:pic>
              </a:graphicData>
            </a:graphic>
          </wp:inline>
        </w:drawing>
      </w:r>
    </w:p>
    <w:p w14:paraId="4A44BC84" w14:textId="77777777" w:rsidR="001D30D7" w:rsidRPr="006C2533" w:rsidRDefault="001D30D7" w:rsidP="001D30D7">
      <w:pPr>
        <w:pStyle w:val="CGCTablenote"/>
        <w:rPr>
          <w:rFonts w:ascii="Work Sans" w:hAnsi="Work Sans"/>
        </w:rPr>
      </w:pPr>
      <w:r w:rsidRPr="006C2533">
        <w:rPr>
          <w:rFonts w:ascii="Work Sans" w:hAnsi="Work Sans"/>
        </w:rPr>
        <w:t>Source: Commission decision.</w:t>
      </w:r>
    </w:p>
    <w:p w14:paraId="4A00DE0F" w14:textId="77777777" w:rsidR="001D30D7" w:rsidRDefault="001D30D7" w:rsidP="001D30D7">
      <w:pPr>
        <w:pStyle w:val="Heading4"/>
      </w:pPr>
      <w:r>
        <w:t>Cross border use</w:t>
      </w:r>
    </w:p>
    <w:p w14:paraId="1E53B194" w14:textId="77777777" w:rsidR="001D30D7" w:rsidRDefault="001D30D7" w:rsidP="001D30D7">
      <w:pPr>
        <w:pStyle w:val="CGC2025ParaNumbers"/>
      </w:pPr>
      <w:r>
        <w:t xml:space="preserve">People can enrol in vocational education and training courses in states other than where they live. Most such flows are small, but the effect of New South Wales residents enrolled in ACT courses is significant. National Centre for Vocational Education and Research data on state of residence by state of enrolment are used to reflect the net effect of cross border enrolments between these two states. </w:t>
      </w:r>
    </w:p>
    <w:p w14:paraId="0BD0433A" w14:textId="77777777" w:rsidR="001D30D7" w:rsidRDefault="001D30D7" w:rsidP="001D30D7">
      <w:pPr>
        <w:pStyle w:val="Heading4"/>
      </w:pPr>
      <w:r>
        <w:t>Wage costs</w:t>
      </w:r>
    </w:p>
    <w:p w14:paraId="3FC51AE6" w14:textId="51E81AE3" w:rsidR="00CA146C" w:rsidRPr="00303C25" w:rsidRDefault="001D30D7" w:rsidP="00303C25">
      <w:pPr>
        <w:pStyle w:val="CGC2025ParaNumbers"/>
      </w:pPr>
      <w:r>
        <w:t>The Commission applies its general method for measuring the influence of wage costs. The Commission’s approach to measuring wage costs is described in the wage costs assessment consultation paper.</w:t>
      </w:r>
      <w:r w:rsidR="00CA146C">
        <w:br w:type="page"/>
      </w:r>
    </w:p>
    <w:p w14:paraId="166C0DD2" w14:textId="5CB8A5D8" w:rsidR="002A75BA" w:rsidRDefault="008C0FFF" w:rsidP="001F5114">
      <w:pPr>
        <w:pStyle w:val="CGC2025Caption"/>
        <w:tabs>
          <w:tab w:val="left" w:pos="1134"/>
        </w:tabs>
      </w:pPr>
      <w:bookmarkStart w:id="10" w:name="_Ref138146215"/>
      <w:r>
        <w:lastRenderedPageBreak/>
        <w:t xml:space="preserve">Figure </w:t>
      </w:r>
      <w:fldSimple w:instr=" SEQ Figure \* ARABIC ">
        <w:r w:rsidR="00A009E6">
          <w:rPr>
            <w:noProof/>
          </w:rPr>
          <w:t>1</w:t>
        </w:r>
      </w:fldSimple>
      <w:bookmarkEnd w:id="8"/>
      <w:bookmarkEnd w:id="10"/>
      <w:r>
        <w:tab/>
      </w:r>
      <w:r w:rsidR="00CF4D02">
        <w:t xml:space="preserve">Drivers of </w:t>
      </w:r>
      <w:r w:rsidR="001C1BF9">
        <w:t>p</w:t>
      </w:r>
      <w:r w:rsidR="00CF4D02">
        <w:t xml:space="preserve">ost-secondary education expenses, 2020 </w:t>
      </w:r>
      <w:proofErr w:type="gramStart"/>
      <w:r w:rsidR="00CF4D02">
        <w:t>Review</w:t>
      </w:r>
      <w:proofErr w:type="gramEnd"/>
    </w:p>
    <w:p w14:paraId="57D3E4DB" w14:textId="6A5E3336" w:rsidR="002A75BA" w:rsidRDefault="001E035E" w:rsidP="00E2013D">
      <w:pPr>
        <w:pStyle w:val="CGC2025ParaNumbers"/>
        <w:numPr>
          <w:ilvl w:val="0"/>
          <w:numId w:val="0"/>
        </w:numPr>
        <w:ind w:left="567" w:hanging="567"/>
      </w:pPr>
      <w:r>
        <w:rPr>
          <w:noProof/>
        </w:rPr>
        <w:drawing>
          <wp:inline distT="0" distB="0" distL="0" distR="0" wp14:anchorId="2E852F79" wp14:editId="467AF4A5">
            <wp:extent cx="5727700" cy="2372360"/>
            <wp:effectExtent l="0" t="0" r="635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7700" cy="2372360"/>
                    </a:xfrm>
                    <a:prstGeom prst="rect">
                      <a:avLst/>
                    </a:prstGeom>
                    <a:noFill/>
                    <a:ln>
                      <a:noFill/>
                    </a:ln>
                  </pic:spPr>
                </pic:pic>
              </a:graphicData>
            </a:graphic>
          </wp:inline>
        </w:drawing>
      </w:r>
    </w:p>
    <w:p w14:paraId="6E676920" w14:textId="3CE421B7" w:rsidR="00457A10" w:rsidRPr="006C2533" w:rsidRDefault="000F36D6" w:rsidP="00381D13">
      <w:pPr>
        <w:pStyle w:val="CGCTablenote"/>
        <w:rPr>
          <w:rFonts w:ascii="Work Sans" w:hAnsi="Work Sans"/>
        </w:rPr>
      </w:pPr>
      <w:r w:rsidRPr="006C2533">
        <w:rPr>
          <w:rFonts w:ascii="Work Sans" w:hAnsi="Work Sans"/>
        </w:rPr>
        <w:t>Source</w:t>
      </w:r>
      <w:r w:rsidR="003F6165" w:rsidRPr="006C2533">
        <w:rPr>
          <w:rFonts w:ascii="Work Sans" w:hAnsi="Work Sans"/>
        </w:rPr>
        <w:t>: Commission</w:t>
      </w:r>
      <w:r w:rsidR="003F7BCB" w:rsidRPr="006C2533">
        <w:rPr>
          <w:rFonts w:ascii="Work Sans" w:hAnsi="Work Sans"/>
        </w:rPr>
        <w:t xml:space="preserve"> decision</w:t>
      </w:r>
      <w:r w:rsidR="00381D13" w:rsidRPr="006C2533">
        <w:rPr>
          <w:rFonts w:ascii="Work Sans" w:hAnsi="Work Sans"/>
        </w:rPr>
        <w:t>.</w:t>
      </w:r>
    </w:p>
    <w:p w14:paraId="3F644263" w14:textId="77777777" w:rsidR="007A0F3F" w:rsidRDefault="00D71528" w:rsidP="00E3102A">
      <w:pPr>
        <w:pStyle w:val="Heading3"/>
      </w:pPr>
      <w:bookmarkStart w:id="11" w:name="_Toc138146312"/>
      <w:r>
        <w:t xml:space="preserve">Data used in the </w:t>
      </w:r>
      <w:proofErr w:type="gramStart"/>
      <w:r>
        <w:t>assessment</w:t>
      </w:r>
      <w:bookmarkEnd w:id="6"/>
      <w:bookmarkEnd w:id="7"/>
      <w:bookmarkEnd w:id="11"/>
      <w:proofErr w:type="gramEnd"/>
    </w:p>
    <w:p w14:paraId="04539FD8" w14:textId="013D4EF9" w:rsidR="00E2013D" w:rsidRPr="00732FBD" w:rsidRDefault="00E2013D" w:rsidP="00E2013D">
      <w:pPr>
        <w:pStyle w:val="CGC2025ParaNumbers"/>
      </w:pPr>
      <w:bookmarkStart w:id="12" w:name="_Toc132729100"/>
      <w:bookmarkStart w:id="13" w:name="_Toc133236148"/>
      <w:bookmarkStart w:id="14" w:name="_Toc133236174"/>
      <w:r w:rsidRPr="00732FBD">
        <w:t xml:space="preserve">The National Centre for Vocational Education Research is the national professional body responsible for collecting, managing, analysing and communicating </w:t>
      </w:r>
      <w:hyperlink r:id="rId19" w:history="1">
        <w:r w:rsidRPr="00732FBD">
          <w:rPr>
            <w:rStyle w:val="Hyperlink"/>
            <w:color w:val="auto"/>
            <w:u w:val="none"/>
          </w:rPr>
          <w:t>research</w:t>
        </w:r>
      </w:hyperlink>
      <w:r w:rsidRPr="00732FBD">
        <w:t xml:space="preserve"> and </w:t>
      </w:r>
      <w:hyperlink r:id="rId20" w:history="1">
        <w:r w:rsidRPr="00732FBD">
          <w:rPr>
            <w:rStyle w:val="Hyperlink"/>
            <w:color w:val="auto"/>
            <w:u w:val="none"/>
          </w:rPr>
          <w:t>statistics</w:t>
        </w:r>
      </w:hyperlink>
      <w:r w:rsidRPr="00732FBD">
        <w:t xml:space="preserve"> on the Australian vocational education and training sector. It is an independent, not-for-profit Australian company owned by the Commonwealth, </w:t>
      </w:r>
      <w:r w:rsidR="00303C25">
        <w:t xml:space="preserve">and </w:t>
      </w:r>
      <w:r w:rsidRPr="00732FBD">
        <w:t xml:space="preserve">state and territory </w:t>
      </w:r>
      <w:proofErr w:type="gramStart"/>
      <w:r w:rsidRPr="00732FBD">
        <w:t>ministers</w:t>
      </w:r>
      <w:proofErr w:type="gramEnd"/>
      <w:r w:rsidRPr="00732FBD">
        <w:t xml:space="preserve"> responsible for </w:t>
      </w:r>
      <w:r w:rsidR="003F1698">
        <w:t>v</w:t>
      </w:r>
      <w:r w:rsidRPr="00732FBD">
        <w:t xml:space="preserve">ocational </w:t>
      </w:r>
      <w:r w:rsidR="003F1698">
        <w:t>e</w:t>
      </w:r>
      <w:r w:rsidRPr="00732FBD">
        <w:t xml:space="preserve">ducation and </w:t>
      </w:r>
      <w:r w:rsidR="003F1698">
        <w:t>t</w:t>
      </w:r>
      <w:r w:rsidRPr="00732FBD">
        <w:t>raining.</w:t>
      </w:r>
      <w:r w:rsidRPr="00732FBD">
        <w:rPr>
          <w:rStyle w:val="FootnoteReference"/>
        </w:rPr>
        <w:footnoteReference w:id="3"/>
      </w:r>
    </w:p>
    <w:p w14:paraId="1727C6B6" w14:textId="24D89C34" w:rsidR="00E2013D" w:rsidRDefault="00E2013D" w:rsidP="00E2013D">
      <w:pPr>
        <w:pStyle w:val="CGC2025ParaNumbers"/>
      </w:pPr>
      <w:r>
        <w:t>Most of the data for the socio-demographic composition and cross</w:t>
      </w:r>
      <w:r>
        <w:noBreakHyphen/>
        <w:t xml:space="preserve">border assessments are sourced from the National Centre for Vocational Education Research. </w:t>
      </w:r>
      <w:r w:rsidR="00320E1F">
        <w:t>It</w:t>
      </w:r>
      <w:r>
        <w:t xml:space="preserve"> provides calendar year data on government-funded contact hours for persons aged 15</w:t>
      </w:r>
      <w:r w:rsidR="00412D52">
        <w:t>-</w:t>
      </w:r>
      <w:r>
        <w:t>64 years</w:t>
      </w:r>
      <w:r w:rsidR="00F60034">
        <w:t>,</w:t>
      </w:r>
      <w:r>
        <w:t xml:space="preserve"> classified by Indigenous status, </w:t>
      </w:r>
      <w:proofErr w:type="gramStart"/>
      <w:r>
        <w:t>remoteness</w:t>
      </w:r>
      <w:proofErr w:type="gramEnd"/>
      <w:r>
        <w:t xml:space="preserve"> and socio</w:t>
      </w:r>
      <w:r w:rsidR="00F60034">
        <w:noBreakHyphen/>
      </w:r>
      <w:r>
        <w:t xml:space="preserve">economic status. The Commission combines state-provided data on the additional costs per contact hour of First Nations students and regional loadings from state </w:t>
      </w:r>
      <w:r w:rsidR="00021149">
        <w:t xml:space="preserve">vocational education </w:t>
      </w:r>
      <w:r w:rsidR="00371F9C">
        <w:t>and training</w:t>
      </w:r>
      <w:r>
        <w:t xml:space="preserve"> funding models with National Centre for Vocational Education Research data to calculate First Nations and remoteness cost drivers.</w:t>
      </w:r>
    </w:p>
    <w:p w14:paraId="3A055FBE" w14:textId="74530FA4" w:rsidR="00E2013D" w:rsidRDefault="00E2013D" w:rsidP="00554A84">
      <w:pPr>
        <w:pStyle w:val="CGC2025ParaNumbers"/>
      </w:pPr>
      <w:r>
        <w:t>State data on the cost per enrolled hour for First Nations students and students in more remote areas were collected in the 2020 Review</w:t>
      </w:r>
      <w:r w:rsidR="00F770F9">
        <w:t>.</w:t>
      </w:r>
      <w:r>
        <w:t xml:space="preserve"> </w:t>
      </w:r>
      <w:r w:rsidR="00F770F9">
        <w:t>A</w:t>
      </w:r>
      <w:r>
        <w:t xml:space="preserve">ll other data are updated annually. </w:t>
      </w:r>
    </w:p>
    <w:p w14:paraId="7B36CC0B" w14:textId="77777777" w:rsidR="00361D06" w:rsidRPr="00927945" w:rsidRDefault="00361D06" w:rsidP="00E2013D">
      <w:pPr>
        <w:pStyle w:val="Heading3"/>
      </w:pPr>
      <w:bookmarkStart w:id="15" w:name="_Toc138146313"/>
      <w:r w:rsidRPr="00927945">
        <w:t>Category and component expenses</w:t>
      </w:r>
      <w:bookmarkEnd w:id="12"/>
      <w:bookmarkEnd w:id="13"/>
      <w:bookmarkEnd w:id="14"/>
      <w:bookmarkEnd w:id="15"/>
    </w:p>
    <w:p w14:paraId="003EC1E7" w14:textId="57D78B0C" w:rsidR="00E2013D" w:rsidRDefault="277814D0" w:rsidP="00E2013D">
      <w:pPr>
        <w:pStyle w:val="CGC2025ParaNumbers"/>
      </w:pPr>
      <w:bookmarkStart w:id="16" w:name="_Toc121741486"/>
      <w:bookmarkStart w:id="17" w:name="_Toc132729102"/>
      <w:bookmarkStart w:id="18" w:name="_Toc133236149"/>
      <w:bookmarkStart w:id="19" w:name="_Toc133236175"/>
      <w:bookmarkStart w:id="20" w:name="_Toc127428352"/>
      <w:r>
        <w:t xml:space="preserve">The total expense for post-secondary education varied annually between </w:t>
      </w:r>
      <w:r w:rsidRPr="761AD2B1">
        <w:rPr>
          <w:noProof/>
        </w:rPr>
        <w:t>2018</w:t>
      </w:r>
      <w:r w:rsidR="163D6906" w:rsidRPr="761AD2B1">
        <w:rPr>
          <w:noProof/>
        </w:rPr>
        <w:t>-</w:t>
      </w:r>
      <w:r w:rsidRPr="761AD2B1">
        <w:rPr>
          <w:noProof/>
        </w:rPr>
        <w:t>19 to 2021</w:t>
      </w:r>
      <w:r w:rsidR="7824269D" w:rsidRPr="761AD2B1">
        <w:rPr>
          <w:noProof/>
        </w:rPr>
        <w:t>-</w:t>
      </w:r>
      <w:r w:rsidRPr="761AD2B1">
        <w:rPr>
          <w:noProof/>
        </w:rPr>
        <w:t xml:space="preserve">22, without any substantial growth over this period. There was a small fall </w:t>
      </w:r>
      <w:r w:rsidR="006E0E72">
        <w:rPr>
          <w:noProof/>
        </w:rPr>
        <w:t xml:space="preserve">in </w:t>
      </w:r>
      <w:r w:rsidRPr="761AD2B1">
        <w:rPr>
          <w:noProof/>
        </w:rPr>
        <w:t>this component as a proportion of total operating expenses.</w:t>
      </w:r>
    </w:p>
    <w:p w14:paraId="23378449" w14:textId="5371CDC6" w:rsidR="00DE0A77" w:rsidRDefault="00A07463" w:rsidP="00A07463">
      <w:pPr>
        <w:pStyle w:val="CGC2025Caption"/>
        <w:tabs>
          <w:tab w:val="left" w:pos="1134"/>
          <w:tab w:val="left" w:pos="1701"/>
        </w:tabs>
      </w:pPr>
      <w:bookmarkStart w:id="21" w:name="_Ref134181088"/>
      <w:r>
        <w:lastRenderedPageBreak/>
        <w:t xml:space="preserve">Table </w:t>
      </w:r>
      <w:fldSimple w:instr=" SEQ Table \* ARABIC ">
        <w:r w:rsidR="00A009E6">
          <w:rPr>
            <w:noProof/>
          </w:rPr>
          <w:t>2</w:t>
        </w:r>
      </w:fldSimple>
      <w:bookmarkEnd w:id="21"/>
      <w:r>
        <w:tab/>
      </w:r>
      <w:r w:rsidR="00B67F6C">
        <w:rPr>
          <w:noProof/>
        </w:rPr>
        <w:t>Post-</w:t>
      </w:r>
      <w:r w:rsidR="004C680E">
        <w:rPr>
          <w:noProof/>
        </w:rPr>
        <w:t>secondary education expenses, 2018</w:t>
      </w:r>
      <w:r w:rsidR="005C3428">
        <w:rPr>
          <w:noProof/>
        </w:rPr>
        <w:t>–</w:t>
      </w:r>
      <w:r w:rsidR="004C680E">
        <w:rPr>
          <w:noProof/>
        </w:rPr>
        <w:t xml:space="preserve">19 to </w:t>
      </w:r>
      <w:r w:rsidR="00276565">
        <w:rPr>
          <w:noProof/>
        </w:rPr>
        <w:t>2021</w:t>
      </w:r>
      <w:r w:rsidR="005C3428">
        <w:rPr>
          <w:noProof/>
        </w:rPr>
        <w:t>–</w:t>
      </w:r>
      <w:r w:rsidR="00276565">
        <w:rPr>
          <w:noProof/>
        </w:rPr>
        <w:t>22</w:t>
      </w:r>
    </w:p>
    <w:tbl>
      <w:tblPr>
        <w:tblW w:w="8780" w:type="dxa"/>
        <w:tblLook w:val="04A0" w:firstRow="1" w:lastRow="0" w:firstColumn="1" w:lastColumn="0" w:noHBand="0" w:noVBand="1"/>
      </w:tblPr>
      <w:tblGrid>
        <w:gridCol w:w="3420"/>
        <w:gridCol w:w="1340"/>
        <w:gridCol w:w="1340"/>
        <w:gridCol w:w="1340"/>
        <w:gridCol w:w="1340"/>
      </w:tblGrid>
      <w:tr w:rsidR="00F62425" w:rsidRPr="001D42CA" w14:paraId="4B80CB3F" w14:textId="77777777">
        <w:trPr>
          <w:trHeight w:val="315"/>
        </w:trPr>
        <w:tc>
          <w:tcPr>
            <w:tcW w:w="3420" w:type="dxa"/>
            <w:tcBorders>
              <w:top w:val="nil"/>
              <w:left w:val="nil"/>
              <w:bottom w:val="nil"/>
              <w:right w:val="nil"/>
            </w:tcBorders>
            <w:shd w:val="clear" w:color="000000" w:fill="006991"/>
            <w:vAlign w:val="center"/>
            <w:hideMark/>
          </w:tcPr>
          <w:p w14:paraId="352C1CFF" w14:textId="77777777" w:rsidR="00F62425" w:rsidRPr="001D42CA" w:rsidRDefault="00F62425">
            <w:pPr>
              <w:tabs>
                <w:tab w:val="clear" w:pos="567"/>
              </w:tabs>
              <w:spacing w:before="0" w:line="240" w:lineRule="auto"/>
              <w:jc w:val="right"/>
              <w:rPr>
                <w:rFonts w:ascii="Open Sans Semibold" w:eastAsia="Times New Roman" w:hAnsi="Open Sans Semibold" w:cs="Open Sans Semibold"/>
                <w:color w:val="FFFFFF"/>
                <w:sz w:val="16"/>
                <w:szCs w:val="16"/>
                <w:lang w:eastAsia="en-AU"/>
              </w:rPr>
            </w:pPr>
            <w:bookmarkStart w:id="22" w:name="RANGE!A2:E4"/>
            <w:r w:rsidRPr="001D42CA">
              <w:rPr>
                <w:rFonts w:ascii="Open Sans Semibold" w:eastAsia="Times New Roman" w:hAnsi="Open Sans Semibold" w:cs="Open Sans Semibold"/>
                <w:color w:val="FFFFFF"/>
                <w:sz w:val="16"/>
                <w:szCs w:val="16"/>
                <w:lang w:eastAsia="en-AU"/>
              </w:rPr>
              <w:t> </w:t>
            </w:r>
            <w:bookmarkEnd w:id="22"/>
          </w:p>
        </w:tc>
        <w:tc>
          <w:tcPr>
            <w:tcW w:w="1340" w:type="dxa"/>
            <w:tcBorders>
              <w:top w:val="nil"/>
              <w:left w:val="nil"/>
              <w:bottom w:val="nil"/>
              <w:right w:val="nil"/>
            </w:tcBorders>
            <w:shd w:val="clear" w:color="000000" w:fill="006991"/>
            <w:vAlign w:val="center"/>
            <w:hideMark/>
          </w:tcPr>
          <w:p w14:paraId="78612146" w14:textId="77777777" w:rsidR="00F62425" w:rsidRPr="001D42CA" w:rsidRDefault="00F62425">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D42CA">
              <w:rPr>
                <w:rFonts w:ascii="Open Sans Semibold" w:eastAsia="Times New Roman" w:hAnsi="Open Sans Semibold" w:cs="Open Sans Semibold"/>
                <w:color w:val="FFFFFF"/>
                <w:sz w:val="16"/>
                <w:szCs w:val="16"/>
                <w:lang w:eastAsia="en-AU"/>
              </w:rPr>
              <w:t>2018-19</w:t>
            </w:r>
          </w:p>
        </w:tc>
        <w:tc>
          <w:tcPr>
            <w:tcW w:w="1340" w:type="dxa"/>
            <w:tcBorders>
              <w:top w:val="nil"/>
              <w:left w:val="nil"/>
              <w:bottom w:val="nil"/>
              <w:right w:val="nil"/>
            </w:tcBorders>
            <w:shd w:val="clear" w:color="000000" w:fill="006991"/>
            <w:vAlign w:val="center"/>
            <w:hideMark/>
          </w:tcPr>
          <w:p w14:paraId="414674F0" w14:textId="77777777" w:rsidR="00F62425" w:rsidRPr="001D42CA" w:rsidRDefault="00F62425">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D42CA">
              <w:rPr>
                <w:rFonts w:ascii="Open Sans Semibold" w:eastAsia="Times New Roman" w:hAnsi="Open Sans Semibold" w:cs="Open Sans Semibold"/>
                <w:color w:val="FFFFFF"/>
                <w:sz w:val="16"/>
                <w:szCs w:val="16"/>
                <w:lang w:eastAsia="en-AU"/>
              </w:rPr>
              <w:t>2019-20</w:t>
            </w:r>
          </w:p>
        </w:tc>
        <w:tc>
          <w:tcPr>
            <w:tcW w:w="1340" w:type="dxa"/>
            <w:tcBorders>
              <w:top w:val="nil"/>
              <w:left w:val="nil"/>
              <w:bottom w:val="nil"/>
              <w:right w:val="nil"/>
            </w:tcBorders>
            <w:shd w:val="clear" w:color="000000" w:fill="006991"/>
            <w:vAlign w:val="center"/>
            <w:hideMark/>
          </w:tcPr>
          <w:p w14:paraId="4700F46D" w14:textId="77777777" w:rsidR="00F62425" w:rsidRPr="001D42CA" w:rsidRDefault="00F62425">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D42CA">
              <w:rPr>
                <w:rFonts w:ascii="Open Sans Semibold" w:eastAsia="Times New Roman" w:hAnsi="Open Sans Semibold" w:cs="Open Sans Semibold"/>
                <w:color w:val="FFFFFF"/>
                <w:sz w:val="16"/>
                <w:szCs w:val="16"/>
                <w:lang w:eastAsia="en-AU"/>
              </w:rPr>
              <w:t>2020-21</w:t>
            </w:r>
          </w:p>
        </w:tc>
        <w:tc>
          <w:tcPr>
            <w:tcW w:w="1340" w:type="dxa"/>
            <w:tcBorders>
              <w:top w:val="nil"/>
              <w:left w:val="nil"/>
              <w:bottom w:val="nil"/>
              <w:right w:val="nil"/>
            </w:tcBorders>
            <w:shd w:val="clear" w:color="000000" w:fill="006991"/>
            <w:vAlign w:val="center"/>
            <w:hideMark/>
          </w:tcPr>
          <w:p w14:paraId="0AADE041" w14:textId="77777777" w:rsidR="00F62425" w:rsidRPr="001D42CA" w:rsidRDefault="00F62425">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D42CA">
              <w:rPr>
                <w:rFonts w:ascii="Open Sans Semibold" w:eastAsia="Times New Roman" w:hAnsi="Open Sans Semibold" w:cs="Open Sans Semibold"/>
                <w:color w:val="FFFFFF"/>
                <w:sz w:val="16"/>
                <w:szCs w:val="16"/>
                <w:lang w:eastAsia="en-AU"/>
              </w:rPr>
              <w:t>2021-22</w:t>
            </w:r>
          </w:p>
        </w:tc>
      </w:tr>
      <w:tr w:rsidR="00F62425" w:rsidRPr="001D42CA" w14:paraId="29EA9772" w14:textId="77777777">
        <w:trPr>
          <w:trHeight w:val="315"/>
        </w:trPr>
        <w:tc>
          <w:tcPr>
            <w:tcW w:w="3420" w:type="dxa"/>
            <w:tcBorders>
              <w:top w:val="single" w:sz="4" w:space="0" w:color="ADD6EA"/>
              <w:left w:val="nil"/>
              <w:bottom w:val="nil"/>
              <w:right w:val="nil"/>
            </w:tcBorders>
            <w:shd w:val="clear" w:color="auto" w:fill="auto"/>
            <w:vAlign w:val="bottom"/>
            <w:hideMark/>
          </w:tcPr>
          <w:p w14:paraId="2701FB1E" w14:textId="77777777" w:rsidR="00F62425" w:rsidRPr="001D42CA" w:rsidRDefault="00F62425">
            <w:pPr>
              <w:tabs>
                <w:tab w:val="clear" w:pos="567"/>
              </w:tabs>
              <w:spacing w:before="0" w:line="240" w:lineRule="auto"/>
              <w:rPr>
                <w:rFonts w:eastAsia="Times New Roman" w:cs="Open Sans Light"/>
                <w:color w:val="000000"/>
                <w:sz w:val="16"/>
                <w:szCs w:val="16"/>
                <w:lang w:eastAsia="en-AU"/>
              </w:rPr>
            </w:pPr>
            <w:r w:rsidRPr="001D42CA">
              <w:rPr>
                <w:rFonts w:eastAsia="Times New Roman" w:cs="Open Sans Light"/>
                <w:color w:val="000000"/>
                <w:sz w:val="16"/>
                <w:szCs w:val="16"/>
                <w:lang w:eastAsia="en-AU"/>
              </w:rPr>
              <w:t>Total expenditure ($m)</w:t>
            </w:r>
          </w:p>
        </w:tc>
        <w:tc>
          <w:tcPr>
            <w:tcW w:w="1340" w:type="dxa"/>
            <w:tcBorders>
              <w:top w:val="single" w:sz="4" w:space="0" w:color="ADD6EA"/>
              <w:left w:val="nil"/>
              <w:bottom w:val="nil"/>
              <w:right w:val="nil"/>
            </w:tcBorders>
            <w:shd w:val="clear" w:color="auto" w:fill="auto"/>
            <w:noWrap/>
            <w:vAlign w:val="bottom"/>
            <w:hideMark/>
          </w:tcPr>
          <w:p w14:paraId="120B6F77" w14:textId="77777777" w:rsidR="00F62425" w:rsidRPr="001D42CA" w:rsidRDefault="00F62425">
            <w:pPr>
              <w:tabs>
                <w:tab w:val="clear" w:pos="567"/>
              </w:tabs>
              <w:spacing w:before="0" w:line="240" w:lineRule="auto"/>
              <w:jc w:val="right"/>
              <w:rPr>
                <w:rFonts w:eastAsia="Times New Roman" w:cs="Open Sans Light"/>
                <w:color w:val="000000"/>
                <w:sz w:val="16"/>
                <w:szCs w:val="16"/>
                <w:lang w:eastAsia="en-AU"/>
              </w:rPr>
            </w:pPr>
            <w:r w:rsidRPr="001D42CA">
              <w:rPr>
                <w:rFonts w:eastAsia="Times New Roman" w:cs="Open Sans Light"/>
                <w:color w:val="000000"/>
                <w:sz w:val="16"/>
                <w:szCs w:val="16"/>
                <w:lang w:eastAsia="en-AU"/>
              </w:rPr>
              <w:t>6,002</w:t>
            </w:r>
          </w:p>
        </w:tc>
        <w:tc>
          <w:tcPr>
            <w:tcW w:w="1340" w:type="dxa"/>
            <w:tcBorders>
              <w:top w:val="single" w:sz="4" w:space="0" w:color="ADD6EA"/>
              <w:left w:val="nil"/>
              <w:bottom w:val="nil"/>
              <w:right w:val="nil"/>
            </w:tcBorders>
            <w:shd w:val="clear" w:color="auto" w:fill="auto"/>
            <w:noWrap/>
            <w:vAlign w:val="bottom"/>
            <w:hideMark/>
          </w:tcPr>
          <w:p w14:paraId="5BBFD93B" w14:textId="77777777" w:rsidR="00F62425" w:rsidRPr="001D42CA" w:rsidRDefault="00F62425">
            <w:pPr>
              <w:tabs>
                <w:tab w:val="clear" w:pos="567"/>
              </w:tabs>
              <w:spacing w:before="0" w:line="240" w:lineRule="auto"/>
              <w:jc w:val="right"/>
              <w:rPr>
                <w:rFonts w:eastAsia="Times New Roman" w:cs="Open Sans Light"/>
                <w:color w:val="000000"/>
                <w:sz w:val="16"/>
                <w:szCs w:val="16"/>
                <w:lang w:eastAsia="en-AU"/>
              </w:rPr>
            </w:pPr>
            <w:r w:rsidRPr="001D42CA">
              <w:rPr>
                <w:rFonts w:eastAsia="Times New Roman" w:cs="Open Sans Light"/>
                <w:color w:val="000000"/>
                <w:sz w:val="16"/>
                <w:szCs w:val="16"/>
                <w:lang w:eastAsia="en-AU"/>
              </w:rPr>
              <w:t>6,369</w:t>
            </w:r>
          </w:p>
        </w:tc>
        <w:tc>
          <w:tcPr>
            <w:tcW w:w="1340" w:type="dxa"/>
            <w:tcBorders>
              <w:top w:val="single" w:sz="4" w:space="0" w:color="ADD6EA"/>
              <w:left w:val="nil"/>
              <w:bottom w:val="nil"/>
              <w:right w:val="nil"/>
            </w:tcBorders>
            <w:shd w:val="clear" w:color="auto" w:fill="auto"/>
            <w:noWrap/>
            <w:vAlign w:val="bottom"/>
            <w:hideMark/>
          </w:tcPr>
          <w:p w14:paraId="69FDA4B1" w14:textId="77777777" w:rsidR="00F62425" w:rsidRPr="001D42CA" w:rsidRDefault="00F62425">
            <w:pPr>
              <w:tabs>
                <w:tab w:val="clear" w:pos="567"/>
              </w:tabs>
              <w:spacing w:before="0" w:line="240" w:lineRule="auto"/>
              <w:jc w:val="right"/>
              <w:rPr>
                <w:rFonts w:eastAsia="Times New Roman" w:cs="Open Sans Light"/>
                <w:color w:val="000000"/>
                <w:sz w:val="16"/>
                <w:szCs w:val="16"/>
                <w:lang w:eastAsia="en-AU"/>
              </w:rPr>
            </w:pPr>
            <w:r w:rsidRPr="001D42CA">
              <w:rPr>
                <w:rFonts w:eastAsia="Times New Roman" w:cs="Open Sans Light"/>
                <w:color w:val="000000"/>
                <w:sz w:val="16"/>
                <w:szCs w:val="16"/>
                <w:lang w:eastAsia="en-AU"/>
              </w:rPr>
              <w:t>6,590</w:t>
            </w:r>
          </w:p>
        </w:tc>
        <w:tc>
          <w:tcPr>
            <w:tcW w:w="1340" w:type="dxa"/>
            <w:tcBorders>
              <w:top w:val="single" w:sz="4" w:space="0" w:color="ADD6EA"/>
              <w:left w:val="nil"/>
              <w:bottom w:val="nil"/>
              <w:right w:val="nil"/>
            </w:tcBorders>
            <w:shd w:val="clear" w:color="auto" w:fill="auto"/>
            <w:noWrap/>
            <w:vAlign w:val="bottom"/>
            <w:hideMark/>
          </w:tcPr>
          <w:p w14:paraId="42A40898" w14:textId="77777777" w:rsidR="00F62425" w:rsidRPr="001D42CA" w:rsidRDefault="00F62425">
            <w:pPr>
              <w:tabs>
                <w:tab w:val="clear" w:pos="567"/>
              </w:tabs>
              <w:spacing w:before="0" w:line="240" w:lineRule="auto"/>
              <w:jc w:val="right"/>
              <w:rPr>
                <w:rFonts w:eastAsia="Times New Roman" w:cs="Open Sans Light"/>
                <w:color w:val="000000"/>
                <w:sz w:val="16"/>
                <w:szCs w:val="16"/>
                <w:lang w:eastAsia="en-AU"/>
              </w:rPr>
            </w:pPr>
            <w:r w:rsidRPr="001D42CA">
              <w:rPr>
                <w:rFonts w:eastAsia="Times New Roman" w:cs="Open Sans Light"/>
                <w:color w:val="000000"/>
                <w:sz w:val="16"/>
                <w:szCs w:val="16"/>
                <w:lang w:eastAsia="en-AU"/>
              </w:rPr>
              <w:t>6,129</w:t>
            </w:r>
          </w:p>
        </w:tc>
      </w:tr>
      <w:tr w:rsidR="00F62425" w:rsidRPr="001D42CA" w14:paraId="4B71B85E" w14:textId="77777777">
        <w:trPr>
          <w:trHeight w:val="315"/>
        </w:trPr>
        <w:tc>
          <w:tcPr>
            <w:tcW w:w="3420" w:type="dxa"/>
            <w:tcBorders>
              <w:top w:val="single" w:sz="4" w:space="0" w:color="ADD6EA"/>
              <w:left w:val="nil"/>
              <w:bottom w:val="single" w:sz="4" w:space="0" w:color="ADD6EA"/>
              <w:right w:val="nil"/>
            </w:tcBorders>
            <w:shd w:val="clear" w:color="auto" w:fill="auto"/>
            <w:vAlign w:val="bottom"/>
            <w:hideMark/>
          </w:tcPr>
          <w:p w14:paraId="27C0BD4B" w14:textId="77777777" w:rsidR="00F62425" w:rsidRPr="001D42CA" w:rsidRDefault="00F62425">
            <w:pPr>
              <w:tabs>
                <w:tab w:val="clear" w:pos="567"/>
              </w:tabs>
              <w:spacing w:before="0" w:line="240" w:lineRule="auto"/>
              <w:rPr>
                <w:rFonts w:eastAsia="Times New Roman" w:cs="Open Sans Light"/>
                <w:color w:val="000000"/>
                <w:sz w:val="16"/>
                <w:szCs w:val="16"/>
                <w:lang w:eastAsia="en-AU"/>
              </w:rPr>
            </w:pPr>
            <w:r w:rsidRPr="001D42CA">
              <w:rPr>
                <w:rFonts w:eastAsia="Times New Roman" w:cs="Open Sans Light"/>
                <w:color w:val="000000"/>
                <w:sz w:val="16"/>
                <w:szCs w:val="16"/>
                <w:lang w:eastAsia="en-AU"/>
              </w:rPr>
              <w:t>Proportion of total expenditure (%)</w:t>
            </w:r>
          </w:p>
        </w:tc>
        <w:tc>
          <w:tcPr>
            <w:tcW w:w="1340" w:type="dxa"/>
            <w:tcBorders>
              <w:top w:val="single" w:sz="4" w:space="0" w:color="ADD6EA"/>
              <w:left w:val="nil"/>
              <w:bottom w:val="single" w:sz="4" w:space="0" w:color="ADD6EA"/>
              <w:right w:val="nil"/>
            </w:tcBorders>
            <w:shd w:val="clear" w:color="auto" w:fill="auto"/>
            <w:vAlign w:val="bottom"/>
            <w:hideMark/>
          </w:tcPr>
          <w:p w14:paraId="282AA7A9" w14:textId="77777777" w:rsidR="00F62425" w:rsidRPr="001D42CA" w:rsidRDefault="00F62425">
            <w:pPr>
              <w:tabs>
                <w:tab w:val="clear" w:pos="567"/>
              </w:tabs>
              <w:spacing w:before="0" w:line="240" w:lineRule="auto"/>
              <w:jc w:val="right"/>
              <w:rPr>
                <w:rFonts w:eastAsia="Times New Roman" w:cs="Open Sans Light"/>
                <w:color w:val="000000"/>
                <w:sz w:val="16"/>
                <w:szCs w:val="16"/>
                <w:lang w:eastAsia="en-AU"/>
              </w:rPr>
            </w:pPr>
            <w:r w:rsidRPr="001D42CA">
              <w:rPr>
                <w:rFonts w:eastAsia="Times New Roman" w:cs="Open Sans Light"/>
                <w:color w:val="000000"/>
                <w:sz w:val="16"/>
                <w:szCs w:val="16"/>
                <w:lang w:eastAsia="en-AU"/>
              </w:rPr>
              <w:t>2.5</w:t>
            </w:r>
          </w:p>
        </w:tc>
        <w:tc>
          <w:tcPr>
            <w:tcW w:w="1340" w:type="dxa"/>
            <w:tcBorders>
              <w:top w:val="single" w:sz="4" w:space="0" w:color="ADD6EA"/>
              <w:left w:val="nil"/>
              <w:bottom w:val="single" w:sz="4" w:space="0" w:color="ADD6EA"/>
              <w:right w:val="nil"/>
            </w:tcBorders>
            <w:shd w:val="clear" w:color="auto" w:fill="auto"/>
            <w:vAlign w:val="bottom"/>
            <w:hideMark/>
          </w:tcPr>
          <w:p w14:paraId="076EC7D4" w14:textId="77777777" w:rsidR="00F62425" w:rsidRPr="001D42CA" w:rsidRDefault="00F62425">
            <w:pPr>
              <w:tabs>
                <w:tab w:val="clear" w:pos="567"/>
              </w:tabs>
              <w:spacing w:before="0" w:line="240" w:lineRule="auto"/>
              <w:jc w:val="right"/>
              <w:rPr>
                <w:rFonts w:eastAsia="Times New Roman" w:cs="Open Sans Light"/>
                <w:color w:val="000000"/>
                <w:sz w:val="16"/>
                <w:szCs w:val="16"/>
                <w:lang w:eastAsia="en-AU"/>
              </w:rPr>
            </w:pPr>
            <w:r w:rsidRPr="001D42CA">
              <w:rPr>
                <w:rFonts w:eastAsia="Times New Roman" w:cs="Open Sans Light"/>
                <w:color w:val="000000"/>
                <w:sz w:val="16"/>
                <w:szCs w:val="16"/>
                <w:lang w:eastAsia="en-AU"/>
              </w:rPr>
              <w:t>2.8</w:t>
            </w:r>
          </w:p>
        </w:tc>
        <w:tc>
          <w:tcPr>
            <w:tcW w:w="1340" w:type="dxa"/>
            <w:tcBorders>
              <w:top w:val="single" w:sz="4" w:space="0" w:color="ADD6EA"/>
              <w:left w:val="nil"/>
              <w:bottom w:val="single" w:sz="4" w:space="0" w:color="ADD6EA"/>
              <w:right w:val="nil"/>
            </w:tcBorders>
            <w:shd w:val="clear" w:color="auto" w:fill="auto"/>
            <w:vAlign w:val="bottom"/>
            <w:hideMark/>
          </w:tcPr>
          <w:p w14:paraId="3FF4C3CB" w14:textId="77777777" w:rsidR="00F62425" w:rsidRPr="001D42CA" w:rsidRDefault="00F62425">
            <w:pPr>
              <w:tabs>
                <w:tab w:val="clear" w:pos="567"/>
              </w:tabs>
              <w:spacing w:before="0" w:line="240" w:lineRule="auto"/>
              <w:jc w:val="right"/>
              <w:rPr>
                <w:rFonts w:eastAsia="Times New Roman" w:cs="Open Sans Light"/>
                <w:color w:val="000000"/>
                <w:sz w:val="16"/>
                <w:szCs w:val="16"/>
                <w:lang w:eastAsia="en-AU"/>
              </w:rPr>
            </w:pPr>
            <w:r w:rsidRPr="001D42CA">
              <w:rPr>
                <w:rFonts w:eastAsia="Times New Roman" w:cs="Open Sans Light"/>
                <w:color w:val="000000"/>
                <w:sz w:val="16"/>
                <w:szCs w:val="16"/>
                <w:lang w:eastAsia="en-AU"/>
              </w:rPr>
              <w:t>2.6</w:t>
            </w:r>
          </w:p>
        </w:tc>
        <w:tc>
          <w:tcPr>
            <w:tcW w:w="1340" w:type="dxa"/>
            <w:tcBorders>
              <w:top w:val="single" w:sz="4" w:space="0" w:color="ADD6EA"/>
              <w:left w:val="nil"/>
              <w:bottom w:val="single" w:sz="4" w:space="0" w:color="ADD6EA"/>
              <w:right w:val="nil"/>
            </w:tcBorders>
            <w:shd w:val="clear" w:color="auto" w:fill="auto"/>
            <w:vAlign w:val="bottom"/>
            <w:hideMark/>
          </w:tcPr>
          <w:p w14:paraId="2C0809EE" w14:textId="77777777" w:rsidR="00F62425" w:rsidRPr="001D42CA" w:rsidRDefault="00F62425">
            <w:pPr>
              <w:tabs>
                <w:tab w:val="clear" w:pos="567"/>
              </w:tabs>
              <w:spacing w:before="0" w:line="240" w:lineRule="auto"/>
              <w:jc w:val="right"/>
              <w:rPr>
                <w:rFonts w:eastAsia="Times New Roman" w:cs="Open Sans Light"/>
                <w:color w:val="000000"/>
                <w:sz w:val="16"/>
                <w:szCs w:val="16"/>
                <w:lang w:eastAsia="en-AU"/>
              </w:rPr>
            </w:pPr>
            <w:r w:rsidRPr="001D42CA">
              <w:rPr>
                <w:rFonts w:eastAsia="Times New Roman" w:cs="Open Sans Light"/>
                <w:color w:val="000000"/>
                <w:sz w:val="16"/>
                <w:szCs w:val="16"/>
                <w:lang w:eastAsia="en-AU"/>
              </w:rPr>
              <w:t>2.1</w:t>
            </w:r>
          </w:p>
        </w:tc>
      </w:tr>
    </w:tbl>
    <w:p w14:paraId="4A01DDEC" w14:textId="77777777" w:rsidR="006636F0" w:rsidRPr="006C2533" w:rsidRDefault="006636F0" w:rsidP="00820F02">
      <w:pPr>
        <w:pStyle w:val="CGCTablenote"/>
        <w:rPr>
          <w:rFonts w:ascii="Work Sans" w:hAnsi="Work Sans"/>
        </w:rPr>
      </w:pPr>
      <w:r w:rsidRPr="006C2533">
        <w:rPr>
          <w:rFonts w:ascii="Work Sans" w:hAnsi="Work Sans"/>
        </w:rPr>
        <w:t xml:space="preserve">Note: Expenses are net of user charges. </w:t>
      </w:r>
    </w:p>
    <w:p w14:paraId="5DE3E6E9" w14:textId="44AB939B" w:rsidR="00F62425" w:rsidRPr="006C2533" w:rsidRDefault="006636F0" w:rsidP="00F361E9">
      <w:pPr>
        <w:pStyle w:val="CGCTablenote"/>
        <w:rPr>
          <w:rFonts w:ascii="Work Sans" w:hAnsi="Work Sans"/>
          <w:noProof/>
        </w:rPr>
      </w:pPr>
      <w:r w:rsidRPr="006C2533">
        <w:rPr>
          <w:rFonts w:ascii="Work Sans" w:hAnsi="Work Sans"/>
        </w:rPr>
        <w:t>Source: Commission calculation, 2023 Update.</w:t>
      </w:r>
    </w:p>
    <w:p w14:paraId="0670E63B" w14:textId="55D1EBF1" w:rsidR="00E2013D" w:rsidRDefault="0074480F" w:rsidP="00E2013D">
      <w:pPr>
        <w:pStyle w:val="CGC2025ParaNumbers"/>
      </w:pPr>
      <w:r w:rsidRPr="0074480F">
        <w:rPr>
          <w:highlight w:val="yellow"/>
        </w:rPr>
        <w:fldChar w:fldCharType="begin"/>
      </w:r>
      <w:r w:rsidRPr="0074480F">
        <w:instrText xml:space="preserve"> REF _Ref134181036 \h </w:instrText>
      </w:r>
      <w:r w:rsidRPr="0074480F">
        <w:rPr>
          <w:highlight w:val="yellow"/>
        </w:rPr>
        <w:instrText xml:space="preserve"> \* MERGEFORMAT </w:instrText>
      </w:r>
      <w:r w:rsidRPr="0074480F">
        <w:rPr>
          <w:highlight w:val="yellow"/>
        </w:rPr>
      </w:r>
      <w:r w:rsidRPr="0074480F">
        <w:rPr>
          <w:highlight w:val="yellow"/>
        </w:rPr>
        <w:fldChar w:fldCharType="separate"/>
      </w:r>
      <w:r w:rsidR="00A009E6">
        <w:t>Table 3</w:t>
      </w:r>
      <w:r w:rsidRPr="0074480F">
        <w:rPr>
          <w:highlight w:val="yellow"/>
        </w:rPr>
        <w:fldChar w:fldCharType="end"/>
      </w:r>
      <w:r>
        <w:t xml:space="preserve"> </w:t>
      </w:r>
      <w:r w:rsidR="00E2013D" w:rsidRPr="00E2013D">
        <w:t>shows the category’s assessment structure and drivers.</w:t>
      </w:r>
    </w:p>
    <w:p w14:paraId="5B475053" w14:textId="286B7DE0" w:rsidR="00A32EE6" w:rsidRDefault="00A07463" w:rsidP="00641F5D">
      <w:pPr>
        <w:pStyle w:val="CGC2025Caption"/>
        <w:tabs>
          <w:tab w:val="left" w:pos="1134"/>
        </w:tabs>
      </w:pPr>
      <w:bookmarkStart w:id="23" w:name="_Ref134181036"/>
      <w:r>
        <w:t xml:space="preserve">Table </w:t>
      </w:r>
      <w:fldSimple w:instr=" SEQ Table \* ARABIC ">
        <w:r w:rsidR="00A009E6">
          <w:rPr>
            <w:noProof/>
          </w:rPr>
          <w:t>3</w:t>
        </w:r>
      </w:fldSimple>
      <w:bookmarkEnd w:id="23"/>
      <w:r w:rsidR="001F5114">
        <w:tab/>
      </w:r>
      <w:r w:rsidR="00DD609A">
        <w:t xml:space="preserve">Structure of the </w:t>
      </w:r>
      <w:r w:rsidR="00C34722">
        <w:t>p</w:t>
      </w:r>
      <w:r w:rsidR="00DD609A">
        <w:t>ost-secondary education assessment, 2021</w:t>
      </w:r>
      <w:r w:rsidR="005C3428">
        <w:t>–</w:t>
      </w:r>
      <w:r w:rsidR="00DD609A">
        <w:t>22</w:t>
      </w:r>
    </w:p>
    <w:tbl>
      <w:tblPr>
        <w:tblW w:w="8360" w:type="dxa"/>
        <w:tblLook w:val="04A0" w:firstRow="1" w:lastRow="0" w:firstColumn="1" w:lastColumn="0" w:noHBand="0" w:noVBand="1"/>
      </w:tblPr>
      <w:tblGrid>
        <w:gridCol w:w="1378"/>
        <w:gridCol w:w="1124"/>
        <w:gridCol w:w="258"/>
        <w:gridCol w:w="1040"/>
        <w:gridCol w:w="4560"/>
      </w:tblGrid>
      <w:tr w:rsidR="00E547E1" w:rsidRPr="00E547E1" w14:paraId="1D048058" w14:textId="77777777" w:rsidTr="00E547E1">
        <w:trPr>
          <w:trHeight w:val="555"/>
        </w:trPr>
        <w:tc>
          <w:tcPr>
            <w:tcW w:w="1378" w:type="dxa"/>
            <w:tcBorders>
              <w:top w:val="nil"/>
              <w:left w:val="nil"/>
              <w:bottom w:val="nil"/>
              <w:right w:val="nil"/>
            </w:tcBorders>
            <w:shd w:val="clear" w:color="000000" w:fill="006991"/>
            <w:vAlign w:val="center"/>
            <w:hideMark/>
          </w:tcPr>
          <w:p w14:paraId="28676E8B" w14:textId="77777777" w:rsidR="00E547E1" w:rsidRPr="00E547E1" w:rsidRDefault="00E547E1" w:rsidP="00E547E1">
            <w:pPr>
              <w:tabs>
                <w:tab w:val="clear" w:pos="567"/>
              </w:tabs>
              <w:spacing w:before="0" w:line="240" w:lineRule="auto"/>
              <w:rPr>
                <w:rFonts w:ascii="Open Sans Semibold" w:eastAsia="Times New Roman" w:hAnsi="Open Sans Semibold" w:cs="Open Sans Semibold"/>
                <w:color w:val="FFFFFF"/>
                <w:sz w:val="16"/>
                <w:szCs w:val="16"/>
                <w:lang w:eastAsia="en-AU"/>
              </w:rPr>
            </w:pPr>
            <w:r w:rsidRPr="00E547E1">
              <w:rPr>
                <w:rFonts w:ascii="Open Sans Semibold" w:eastAsia="Times New Roman" w:hAnsi="Open Sans Semibold" w:cs="Open Sans Semibold"/>
                <w:color w:val="FFFFFF"/>
                <w:sz w:val="16"/>
                <w:szCs w:val="16"/>
                <w:lang w:eastAsia="en-AU"/>
              </w:rPr>
              <w:t>Component</w:t>
            </w:r>
          </w:p>
        </w:tc>
        <w:tc>
          <w:tcPr>
            <w:tcW w:w="1124" w:type="dxa"/>
            <w:tcBorders>
              <w:top w:val="nil"/>
              <w:left w:val="nil"/>
              <w:bottom w:val="nil"/>
              <w:right w:val="nil"/>
            </w:tcBorders>
            <w:shd w:val="clear" w:color="000000" w:fill="006991"/>
            <w:vAlign w:val="center"/>
            <w:hideMark/>
          </w:tcPr>
          <w:p w14:paraId="23089EF1" w14:textId="77777777" w:rsidR="00E547E1" w:rsidRPr="00E547E1" w:rsidRDefault="00E547E1" w:rsidP="00E547E1">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547E1">
              <w:rPr>
                <w:rFonts w:ascii="Open Sans Semibold" w:eastAsia="Times New Roman" w:hAnsi="Open Sans Semibold" w:cs="Open Sans Semibold"/>
                <w:color w:val="FFFFFF"/>
                <w:sz w:val="16"/>
                <w:szCs w:val="16"/>
                <w:lang w:eastAsia="en-AU"/>
              </w:rPr>
              <w:t>Component expense</w:t>
            </w:r>
          </w:p>
        </w:tc>
        <w:tc>
          <w:tcPr>
            <w:tcW w:w="258" w:type="dxa"/>
            <w:tcBorders>
              <w:top w:val="nil"/>
              <w:left w:val="nil"/>
              <w:bottom w:val="nil"/>
              <w:right w:val="nil"/>
            </w:tcBorders>
            <w:shd w:val="clear" w:color="000000" w:fill="006991"/>
            <w:vAlign w:val="center"/>
            <w:hideMark/>
          </w:tcPr>
          <w:p w14:paraId="1CC6523A" w14:textId="77777777" w:rsidR="00E547E1" w:rsidRPr="00E547E1" w:rsidRDefault="00E547E1" w:rsidP="00E547E1">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547E1">
              <w:rPr>
                <w:rFonts w:ascii="Open Sans Semibold" w:eastAsia="Times New Roman" w:hAnsi="Open Sans Semibold" w:cs="Open Sans Semibold"/>
                <w:color w:val="FFFFFF"/>
                <w:sz w:val="16"/>
                <w:szCs w:val="16"/>
                <w:lang w:eastAsia="en-AU"/>
              </w:rPr>
              <w:t> </w:t>
            </w:r>
          </w:p>
        </w:tc>
        <w:tc>
          <w:tcPr>
            <w:tcW w:w="1040" w:type="dxa"/>
            <w:tcBorders>
              <w:top w:val="nil"/>
              <w:left w:val="nil"/>
              <w:bottom w:val="nil"/>
              <w:right w:val="nil"/>
            </w:tcBorders>
            <w:shd w:val="clear" w:color="000000" w:fill="006991"/>
            <w:vAlign w:val="center"/>
            <w:hideMark/>
          </w:tcPr>
          <w:p w14:paraId="7F4D4A44" w14:textId="77777777" w:rsidR="00E547E1" w:rsidRPr="00E547E1" w:rsidRDefault="00E547E1" w:rsidP="00E547E1">
            <w:pPr>
              <w:tabs>
                <w:tab w:val="clear" w:pos="567"/>
              </w:tabs>
              <w:spacing w:before="0" w:line="240" w:lineRule="auto"/>
              <w:rPr>
                <w:rFonts w:ascii="Open Sans Semibold" w:eastAsia="Times New Roman" w:hAnsi="Open Sans Semibold" w:cs="Open Sans Semibold"/>
                <w:color w:val="FFFFFF"/>
                <w:sz w:val="16"/>
                <w:szCs w:val="16"/>
                <w:lang w:eastAsia="en-AU"/>
              </w:rPr>
            </w:pPr>
            <w:r w:rsidRPr="00E547E1">
              <w:rPr>
                <w:rFonts w:ascii="Open Sans Semibold" w:eastAsia="Times New Roman" w:hAnsi="Open Sans Semibold" w:cs="Open Sans Semibold"/>
                <w:color w:val="FFFFFF"/>
                <w:sz w:val="16"/>
                <w:szCs w:val="16"/>
                <w:lang w:eastAsia="en-AU"/>
              </w:rPr>
              <w:t>Driver</w:t>
            </w:r>
          </w:p>
        </w:tc>
        <w:tc>
          <w:tcPr>
            <w:tcW w:w="4560" w:type="dxa"/>
            <w:tcBorders>
              <w:top w:val="nil"/>
              <w:left w:val="nil"/>
              <w:bottom w:val="nil"/>
              <w:right w:val="nil"/>
            </w:tcBorders>
            <w:shd w:val="clear" w:color="000000" w:fill="006991"/>
            <w:vAlign w:val="center"/>
            <w:hideMark/>
          </w:tcPr>
          <w:p w14:paraId="532712AE" w14:textId="77777777" w:rsidR="00E547E1" w:rsidRPr="00E547E1" w:rsidRDefault="00E547E1" w:rsidP="00E547E1">
            <w:pPr>
              <w:tabs>
                <w:tab w:val="clear" w:pos="567"/>
              </w:tabs>
              <w:spacing w:before="0" w:line="240" w:lineRule="auto"/>
              <w:rPr>
                <w:rFonts w:ascii="Open Sans Semibold" w:eastAsia="Times New Roman" w:hAnsi="Open Sans Semibold" w:cs="Open Sans Semibold"/>
                <w:color w:val="FFFFFF"/>
                <w:sz w:val="16"/>
                <w:szCs w:val="16"/>
                <w:lang w:eastAsia="en-AU"/>
              </w:rPr>
            </w:pPr>
            <w:r w:rsidRPr="00E547E1">
              <w:rPr>
                <w:rFonts w:ascii="Open Sans Semibold" w:eastAsia="Times New Roman" w:hAnsi="Open Sans Semibold" w:cs="Open Sans Semibold"/>
                <w:color w:val="FFFFFF"/>
                <w:sz w:val="16"/>
                <w:szCs w:val="16"/>
                <w:lang w:eastAsia="en-AU"/>
              </w:rPr>
              <w:t>Influence measured by driver</w:t>
            </w:r>
          </w:p>
        </w:tc>
      </w:tr>
      <w:tr w:rsidR="00E547E1" w:rsidRPr="00E547E1" w14:paraId="75CB4BD1" w14:textId="77777777" w:rsidTr="00E547E1">
        <w:trPr>
          <w:trHeight w:val="259"/>
        </w:trPr>
        <w:tc>
          <w:tcPr>
            <w:tcW w:w="1378" w:type="dxa"/>
            <w:tcBorders>
              <w:top w:val="single" w:sz="4" w:space="0" w:color="ADD6EA"/>
              <w:left w:val="nil"/>
              <w:bottom w:val="nil"/>
              <w:right w:val="nil"/>
            </w:tcBorders>
            <w:shd w:val="clear" w:color="000000" w:fill="B6D5E4"/>
            <w:vAlign w:val="bottom"/>
            <w:hideMark/>
          </w:tcPr>
          <w:p w14:paraId="50BC6F5B" w14:textId="77777777" w:rsidR="00E547E1" w:rsidRPr="00E547E1" w:rsidRDefault="00E547E1" w:rsidP="00E547E1">
            <w:pPr>
              <w:tabs>
                <w:tab w:val="clear" w:pos="567"/>
              </w:tabs>
              <w:spacing w:before="0" w:line="240" w:lineRule="auto"/>
              <w:rPr>
                <w:rFonts w:ascii="Open Sans Semibold" w:eastAsia="Times New Roman" w:hAnsi="Open Sans Semibold" w:cs="Open Sans Semibold"/>
                <w:color w:val="000000"/>
                <w:sz w:val="16"/>
                <w:szCs w:val="16"/>
                <w:lang w:eastAsia="en-AU"/>
              </w:rPr>
            </w:pPr>
            <w:r w:rsidRPr="00E547E1">
              <w:rPr>
                <w:rFonts w:ascii="Open Sans Semibold" w:eastAsia="Times New Roman" w:hAnsi="Open Sans Semibold" w:cs="Open Sans Semibold"/>
                <w:color w:val="000000"/>
                <w:sz w:val="16"/>
                <w:szCs w:val="16"/>
                <w:lang w:eastAsia="en-AU"/>
              </w:rPr>
              <w:t> </w:t>
            </w:r>
          </w:p>
        </w:tc>
        <w:tc>
          <w:tcPr>
            <w:tcW w:w="1124" w:type="dxa"/>
            <w:tcBorders>
              <w:top w:val="single" w:sz="4" w:space="0" w:color="ADD6EA"/>
              <w:left w:val="nil"/>
              <w:bottom w:val="nil"/>
              <w:right w:val="nil"/>
            </w:tcBorders>
            <w:shd w:val="clear" w:color="000000" w:fill="B6D5E4"/>
            <w:noWrap/>
            <w:vAlign w:val="bottom"/>
            <w:hideMark/>
          </w:tcPr>
          <w:p w14:paraId="6808E985" w14:textId="77777777" w:rsidR="00E547E1" w:rsidRPr="00E547E1" w:rsidRDefault="00E547E1" w:rsidP="00E547E1">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547E1">
              <w:rPr>
                <w:rFonts w:ascii="Open Sans Semibold" w:eastAsia="Times New Roman" w:hAnsi="Open Sans Semibold" w:cs="Open Sans Semibold"/>
                <w:color w:val="000000"/>
                <w:sz w:val="16"/>
                <w:szCs w:val="16"/>
                <w:lang w:eastAsia="en-AU"/>
              </w:rPr>
              <w:t>$m</w:t>
            </w:r>
          </w:p>
        </w:tc>
        <w:tc>
          <w:tcPr>
            <w:tcW w:w="258" w:type="dxa"/>
            <w:tcBorders>
              <w:top w:val="single" w:sz="4" w:space="0" w:color="ADD6EA"/>
              <w:left w:val="nil"/>
              <w:bottom w:val="nil"/>
              <w:right w:val="nil"/>
            </w:tcBorders>
            <w:shd w:val="clear" w:color="000000" w:fill="B6D5E4"/>
            <w:noWrap/>
            <w:vAlign w:val="bottom"/>
            <w:hideMark/>
          </w:tcPr>
          <w:p w14:paraId="38F38FFF" w14:textId="77777777" w:rsidR="00E547E1" w:rsidRPr="00E547E1" w:rsidRDefault="00E547E1" w:rsidP="00E547E1">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547E1">
              <w:rPr>
                <w:rFonts w:ascii="Open Sans Semibold" w:eastAsia="Times New Roman" w:hAnsi="Open Sans Semibold" w:cs="Open Sans Semibold"/>
                <w:color w:val="000000"/>
                <w:sz w:val="16"/>
                <w:szCs w:val="16"/>
                <w:lang w:eastAsia="en-AU"/>
              </w:rPr>
              <w:t> </w:t>
            </w:r>
          </w:p>
        </w:tc>
        <w:tc>
          <w:tcPr>
            <w:tcW w:w="1040" w:type="dxa"/>
            <w:tcBorders>
              <w:top w:val="single" w:sz="4" w:space="0" w:color="ADD6EA"/>
              <w:left w:val="nil"/>
              <w:bottom w:val="nil"/>
              <w:right w:val="nil"/>
            </w:tcBorders>
            <w:shd w:val="clear" w:color="000000" w:fill="B6D5E4"/>
            <w:noWrap/>
            <w:vAlign w:val="bottom"/>
            <w:hideMark/>
          </w:tcPr>
          <w:p w14:paraId="72E80D10" w14:textId="77777777" w:rsidR="00E547E1" w:rsidRPr="00E547E1" w:rsidRDefault="00E547E1" w:rsidP="00E547E1">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547E1">
              <w:rPr>
                <w:rFonts w:ascii="Open Sans Semibold" w:eastAsia="Times New Roman" w:hAnsi="Open Sans Semibold" w:cs="Open Sans Semibold"/>
                <w:color w:val="000000"/>
                <w:sz w:val="16"/>
                <w:szCs w:val="16"/>
                <w:lang w:eastAsia="en-AU"/>
              </w:rPr>
              <w:t> </w:t>
            </w:r>
          </w:p>
        </w:tc>
        <w:tc>
          <w:tcPr>
            <w:tcW w:w="4560" w:type="dxa"/>
            <w:tcBorders>
              <w:top w:val="single" w:sz="4" w:space="0" w:color="ADD6EA"/>
              <w:left w:val="nil"/>
              <w:bottom w:val="nil"/>
              <w:right w:val="nil"/>
            </w:tcBorders>
            <w:shd w:val="clear" w:color="000000" w:fill="B6D5E4"/>
            <w:noWrap/>
            <w:vAlign w:val="bottom"/>
            <w:hideMark/>
          </w:tcPr>
          <w:p w14:paraId="4B4A2070" w14:textId="77777777" w:rsidR="00E547E1" w:rsidRPr="00E547E1" w:rsidRDefault="00E547E1" w:rsidP="00E547E1">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547E1">
              <w:rPr>
                <w:rFonts w:ascii="Open Sans Semibold" w:eastAsia="Times New Roman" w:hAnsi="Open Sans Semibold" w:cs="Open Sans Semibold"/>
                <w:color w:val="000000"/>
                <w:sz w:val="16"/>
                <w:szCs w:val="16"/>
                <w:lang w:eastAsia="en-AU"/>
              </w:rPr>
              <w:t> </w:t>
            </w:r>
          </w:p>
        </w:tc>
      </w:tr>
      <w:tr w:rsidR="00E547E1" w:rsidRPr="00E547E1" w14:paraId="222BF952" w14:textId="77777777" w:rsidTr="00E547E1">
        <w:trPr>
          <w:trHeight w:val="795"/>
        </w:trPr>
        <w:tc>
          <w:tcPr>
            <w:tcW w:w="1378" w:type="dxa"/>
            <w:vMerge w:val="restart"/>
            <w:tcBorders>
              <w:top w:val="nil"/>
              <w:left w:val="nil"/>
              <w:bottom w:val="nil"/>
              <w:right w:val="nil"/>
            </w:tcBorders>
            <w:shd w:val="clear" w:color="auto" w:fill="auto"/>
            <w:hideMark/>
          </w:tcPr>
          <w:p w14:paraId="132876AE" w14:textId="77777777" w:rsidR="00E547E1" w:rsidRPr="00E547E1" w:rsidRDefault="00E547E1" w:rsidP="00E547E1">
            <w:pPr>
              <w:tabs>
                <w:tab w:val="clear" w:pos="567"/>
              </w:tabs>
              <w:spacing w:before="0" w:line="240" w:lineRule="auto"/>
              <w:rPr>
                <w:rFonts w:eastAsia="Times New Roman" w:cs="Open Sans Light"/>
                <w:color w:val="000000"/>
                <w:sz w:val="16"/>
                <w:szCs w:val="16"/>
                <w:lang w:eastAsia="en-AU"/>
              </w:rPr>
            </w:pPr>
            <w:r w:rsidRPr="00E547E1">
              <w:rPr>
                <w:rFonts w:eastAsia="Times New Roman" w:cs="Open Sans Light"/>
                <w:color w:val="000000"/>
                <w:sz w:val="16"/>
                <w:szCs w:val="16"/>
                <w:lang w:eastAsia="en-AU"/>
              </w:rPr>
              <w:t>Post-secondary education</w:t>
            </w:r>
          </w:p>
        </w:tc>
        <w:tc>
          <w:tcPr>
            <w:tcW w:w="1124" w:type="dxa"/>
            <w:tcBorders>
              <w:top w:val="nil"/>
              <w:left w:val="nil"/>
              <w:bottom w:val="nil"/>
              <w:right w:val="nil"/>
            </w:tcBorders>
            <w:shd w:val="clear" w:color="auto" w:fill="auto"/>
            <w:noWrap/>
            <w:hideMark/>
          </w:tcPr>
          <w:p w14:paraId="125DBE77" w14:textId="77777777" w:rsidR="00E547E1" w:rsidRPr="00E547E1" w:rsidRDefault="00E547E1" w:rsidP="00E547E1">
            <w:pPr>
              <w:tabs>
                <w:tab w:val="clear" w:pos="567"/>
              </w:tabs>
              <w:spacing w:before="0" w:line="240" w:lineRule="auto"/>
              <w:jc w:val="right"/>
              <w:rPr>
                <w:rFonts w:eastAsia="Times New Roman" w:cs="Open Sans Light"/>
                <w:color w:val="000000"/>
                <w:sz w:val="16"/>
                <w:szCs w:val="16"/>
                <w:lang w:eastAsia="en-AU"/>
              </w:rPr>
            </w:pPr>
            <w:r w:rsidRPr="00E547E1">
              <w:rPr>
                <w:rFonts w:eastAsia="Times New Roman" w:cs="Open Sans Light"/>
                <w:color w:val="000000"/>
                <w:sz w:val="16"/>
                <w:szCs w:val="16"/>
                <w:lang w:eastAsia="en-AU"/>
              </w:rPr>
              <w:t>6,129</w:t>
            </w:r>
          </w:p>
        </w:tc>
        <w:tc>
          <w:tcPr>
            <w:tcW w:w="258" w:type="dxa"/>
            <w:tcBorders>
              <w:top w:val="single" w:sz="4" w:space="0" w:color="ADD6EA"/>
              <w:left w:val="nil"/>
              <w:bottom w:val="nil"/>
              <w:right w:val="nil"/>
            </w:tcBorders>
            <w:shd w:val="clear" w:color="auto" w:fill="auto"/>
            <w:noWrap/>
            <w:hideMark/>
          </w:tcPr>
          <w:p w14:paraId="3160991F" w14:textId="77777777" w:rsidR="00E547E1" w:rsidRPr="00E547E1" w:rsidRDefault="00E547E1" w:rsidP="00E547E1">
            <w:pPr>
              <w:tabs>
                <w:tab w:val="clear" w:pos="567"/>
              </w:tabs>
              <w:spacing w:before="0" w:line="240" w:lineRule="auto"/>
              <w:jc w:val="right"/>
              <w:rPr>
                <w:rFonts w:eastAsia="Times New Roman" w:cs="Open Sans Light"/>
                <w:color w:val="000000"/>
                <w:sz w:val="16"/>
                <w:szCs w:val="16"/>
                <w:lang w:eastAsia="en-AU"/>
              </w:rPr>
            </w:pPr>
            <w:r w:rsidRPr="00E547E1">
              <w:rPr>
                <w:rFonts w:eastAsia="Times New Roman" w:cs="Open Sans Light"/>
                <w:color w:val="000000"/>
                <w:sz w:val="16"/>
                <w:szCs w:val="16"/>
                <w:lang w:eastAsia="en-AU"/>
              </w:rPr>
              <w:t> </w:t>
            </w:r>
          </w:p>
        </w:tc>
        <w:tc>
          <w:tcPr>
            <w:tcW w:w="1040" w:type="dxa"/>
            <w:tcBorders>
              <w:top w:val="single" w:sz="4" w:space="0" w:color="ADD6EA"/>
              <w:left w:val="nil"/>
              <w:bottom w:val="nil"/>
              <w:right w:val="nil"/>
            </w:tcBorders>
            <w:shd w:val="clear" w:color="auto" w:fill="auto"/>
            <w:hideMark/>
          </w:tcPr>
          <w:p w14:paraId="61DF1573" w14:textId="77777777" w:rsidR="00E547E1" w:rsidRPr="00E547E1" w:rsidRDefault="00E547E1" w:rsidP="00E547E1">
            <w:pPr>
              <w:tabs>
                <w:tab w:val="clear" w:pos="567"/>
              </w:tabs>
              <w:spacing w:before="0" w:line="240" w:lineRule="auto"/>
              <w:rPr>
                <w:rFonts w:eastAsia="Times New Roman" w:cs="Open Sans Light"/>
                <w:color w:val="000000"/>
                <w:sz w:val="16"/>
                <w:szCs w:val="16"/>
                <w:lang w:eastAsia="en-AU"/>
              </w:rPr>
            </w:pPr>
            <w:r w:rsidRPr="00E547E1">
              <w:rPr>
                <w:rFonts w:eastAsia="Times New Roman" w:cs="Open Sans Light"/>
                <w:color w:val="000000"/>
                <w:sz w:val="16"/>
                <w:szCs w:val="16"/>
                <w:lang w:eastAsia="en-AU"/>
              </w:rPr>
              <w:t>SDC</w:t>
            </w:r>
          </w:p>
        </w:tc>
        <w:tc>
          <w:tcPr>
            <w:tcW w:w="4560" w:type="dxa"/>
            <w:tcBorders>
              <w:top w:val="single" w:sz="4" w:space="0" w:color="ADD6EA"/>
              <w:left w:val="nil"/>
              <w:bottom w:val="nil"/>
              <w:right w:val="nil"/>
            </w:tcBorders>
            <w:shd w:val="clear" w:color="auto" w:fill="auto"/>
            <w:hideMark/>
          </w:tcPr>
          <w:p w14:paraId="4646B8CA" w14:textId="77777777" w:rsidR="00E547E1" w:rsidRPr="00E547E1" w:rsidRDefault="00E547E1" w:rsidP="00E547E1">
            <w:pPr>
              <w:tabs>
                <w:tab w:val="clear" w:pos="567"/>
              </w:tabs>
              <w:spacing w:before="0" w:line="240" w:lineRule="auto"/>
              <w:rPr>
                <w:rFonts w:eastAsia="Times New Roman" w:cs="Open Sans Light"/>
                <w:color w:val="000000"/>
                <w:sz w:val="16"/>
                <w:szCs w:val="16"/>
                <w:lang w:eastAsia="en-AU"/>
              </w:rPr>
            </w:pPr>
            <w:r w:rsidRPr="00E547E1">
              <w:rPr>
                <w:rFonts w:eastAsia="Times New Roman" w:cs="Open Sans Light"/>
                <w:color w:val="000000"/>
                <w:sz w:val="16"/>
                <w:szCs w:val="16"/>
                <w:lang w:eastAsia="en-AU"/>
              </w:rPr>
              <w:t>Recognises that for the working age population certain characteristics affect the use and cost of services, namely: Indigenous status, remoteness, and socio-economic status.</w:t>
            </w:r>
          </w:p>
        </w:tc>
      </w:tr>
      <w:tr w:rsidR="00E547E1" w:rsidRPr="00E547E1" w14:paraId="0DDE8124" w14:textId="77777777" w:rsidTr="00E547E1">
        <w:trPr>
          <w:trHeight w:val="555"/>
        </w:trPr>
        <w:tc>
          <w:tcPr>
            <w:tcW w:w="1378" w:type="dxa"/>
            <w:vMerge/>
            <w:tcBorders>
              <w:top w:val="nil"/>
              <w:left w:val="nil"/>
              <w:bottom w:val="nil"/>
              <w:right w:val="nil"/>
            </w:tcBorders>
            <w:vAlign w:val="center"/>
            <w:hideMark/>
          </w:tcPr>
          <w:p w14:paraId="0C0893C3" w14:textId="77777777" w:rsidR="00E547E1" w:rsidRPr="00E547E1" w:rsidRDefault="00E547E1" w:rsidP="00E547E1">
            <w:pPr>
              <w:tabs>
                <w:tab w:val="clear" w:pos="567"/>
              </w:tabs>
              <w:spacing w:before="0" w:line="240" w:lineRule="auto"/>
              <w:rPr>
                <w:rFonts w:eastAsia="Times New Roman" w:cs="Open Sans Light"/>
                <w:color w:val="000000"/>
                <w:sz w:val="16"/>
                <w:szCs w:val="16"/>
                <w:lang w:eastAsia="en-AU"/>
              </w:rPr>
            </w:pPr>
          </w:p>
        </w:tc>
        <w:tc>
          <w:tcPr>
            <w:tcW w:w="1124" w:type="dxa"/>
            <w:tcBorders>
              <w:top w:val="nil"/>
              <w:left w:val="nil"/>
              <w:bottom w:val="nil"/>
              <w:right w:val="nil"/>
            </w:tcBorders>
            <w:shd w:val="clear" w:color="auto" w:fill="auto"/>
            <w:noWrap/>
            <w:hideMark/>
          </w:tcPr>
          <w:p w14:paraId="40195291" w14:textId="77777777" w:rsidR="00E547E1" w:rsidRPr="00E547E1" w:rsidRDefault="00E547E1" w:rsidP="00E547E1">
            <w:pPr>
              <w:tabs>
                <w:tab w:val="clear" w:pos="567"/>
              </w:tabs>
              <w:spacing w:before="0" w:line="240" w:lineRule="auto"/>
              <w:rPr>
                <w:rFonts w:eastAsia="Times New Roman" w:cs="Open Sans Light"/>
                <w:color w:val="000000"/>
                <w:sz w:val="16"/>
                <w:szCs w:val="16"/>
                <w:lang w:eastAsia="en-AU"/>
              </w:rPr>
            </w:pPr>
          </w:p>
        </w:tc>
        <w:tc>
          <w:tcPr>
            <w:tcW w:w="258" w:type="dxa"/>
            <w:tcBorders>
              <w:top w:val="single" w:sz="4" w:space="0" w:color="ADD6EA"/>
              <w:left w:val="nil"/>
              <w:bottom w:val="nil"/>
              <w:right w:val="nil"/>
            </w:tcBorders>
            <w:shd w:val="clear" w:color="auto" w:fill="auto"/>
            <w:noWrap/>
            <w:hideMark/>
          </w:tcPr>
          <w:p w14:paraId="26815D65" w14:textId="77777777" w:rsidR="00E547E1" w:rsidRPr="00E547E1" w:rsidRDefault="00E547E1" w:rsidP="00E547E1">
            <w:pPr>
              <w:tabs>
                <w:tab w:val="clear" w:pos="567"/>
              </w:tabs>
              <w:spacing w:before="0" w:line="240" w:lineRule="auto"/>
              <w:jc w:val="right"/>
              <w:rPr>
                <w:rFonts w:eastAsia="Times New Roman" w:cs="Open Sans Light"/>
                <w:color w:val="000000"/>
                <w:sz w:val="16"/>
                <w:szCs w:val="16"/>
                <w:lang w:eastAsia="en-AU"/>
              </w:rPr>
            </w:pPr>
            <w:r w:rsidRPr="00E547E1">
              <w:rPr>
                <w:rFonts w:eastAsia="Times New Roman" w:cs="Open Sans Light"/>
                <w:color w:val="000000"/>
                <w:sz w:val="16"/>
                <w:szCs w:val="16"/>
                <w:lang w:eastAsia="en-AU"/>
              </w:rPr>
              <w:t> </w:t>
            </w:r>
          </w:p>
        </w:tc>
        <w:tc>
          <w:tcPr>
            <w:tcW w:w="1040" w:type="dxa"/>
            <w:tcBorders>
              <w:top w:val="single" w:sz="4" w:space="0" w:color="ADD6EA"/>
              <w:left w:val="nil"/>
              <w:bottom w:val="nil"/>
              <w:right w:val="nil"/>
            </w:tcBorders>
            <w:shd w:val="clear" w:color="auto" w:fill="auto"/>
            <w:hideMark/>
          </w:tcPr>
          <w:p w14:paraId="4BE8A190" w14:textId="77777777" w:rsidR="00E547E1" w:rsidRPr="00E547E1" w:rsidRDefault="00E547E1" w:rsidP="00E547E1">
            <w:pPr>
              <w:tabs>
                <w:tab w:val="clear" w:pos="567"/>
              </w:tabs>
              <w:spacing w:before="0" w:line="240" w:lineRule="auto"/>
              <w:rPr>
                <w:rFonts w:eastAsia="Times New Roman" w:cs="Open Sans Light"/>
                <w:color w:val="000000"/>
                <w:sz w:val="16"/>
                <w:szCs w:val="16"/>
                <w:lang w:eastAsia="en-AU"/>
              </w:rPr>
            </w:pPr>
            <w:r w:rsidRPr="00E547E1">
              <w:rPr>
                <w:rFonts w:eastAsia="Times New Roman" w:cs="Open Sans Light"/>
                <w:color w:val="000000"/>
                <w:sz w:val="16"/>
                <w:szCs w:val="16"/>
                <w:lang w:eastAsia="en-AU"/>
              </w:rPr>
              <w:t>Cross border</w:t>
            </w:r>
          </w:p>
        </w:tc>
        <w:tc>
          <w:tcPr>
            <w:tcW w:w="4560" w:type="dxa"/>
            <w:tcBorders>
              <w:top w:val="single" w:sz="4" w:space="0" w:color="ADD6EA"/>
              <w:left w:val="nil"/>
              <w:bottom w:val="nil"/>
              <w:right w:val="nil"/>
            </w:tcBorders>
            <w:shd w:val="clear" w:color="auto" w:fill="auto"/>
            <w:hideMark/>
          </w:tcPr>
          <w:p w14:paraId="368B0228" w14:textId="77777777" w:rsidR="00E547E1" w:rsidRPr="00E547E1" w:rsidRDefault="00E547E1" w:rsidP="00E547E1">
            <w:pPr>
              <w:tabs>
                <w:tab w:val="clear" w:pos="567"/>
              </w:tabs>
              <w:spacing w:before="0" w:line="240" w:lineRule="auto"/>
              <w:rPr>
                <w:rFonts w:eastAsia="Times New Roman" w:cs="Open Sans Light"/>
                <w:color w:val="000000"/>
                <w:sz w:val="16"/>
                <w:szCs w:val="16"/>
                <w:lang w:eastAsia="en-AU"/>
              </w:rPr>
            </w:pPr>
            <w:r w:rsidRPr="00E547E1">
              <w:rPr>
                <w:rFonts w:eastAsia="Times New Roman" w:cs="Open Sans Light"/>
                <w:color w:val="000000"/>
                <w:sz w:val="16"/>
                <w:szCs w:val="16"/>
                <w:lang w:eastAsia="en-AU"/>
              </w:rPr>
              <w:t>Recognises the cost to the ACT of providing services to residents of New South Wales.</w:t>
            </w:r>
          </w:p>
        </w:tc>
      </w:tr>
      <w:tr w:rsidR="00E547E1" w:rsidRPr="00E547E1" w14:paraId="0832E000" w14:textId="77777777" w:rsidTr="00E547E1">
        <w:trPr>
          <w:trHeight w:val="315"/>
        </w:trPr>
        <w:tc>
          <w:tcPr>
            <w:tcW w:w="1378" w:type="dxa"/>
            <w:tcBorders>
              <w:top w:val="nil"/>
              <w:left w:val="nil"/>
              <w:bottom w:val="single" w:sz="4" w:space="0" w:color="ADD6EA"/>
              <w:right w:val="nil"/>
            </w:tcBorders>
            <w:shd w:val="clear" w:color="auto" w:fill="auto"/>
            <w:hideMark/>
          </w:tcPr>
          <w:p w14:paraId="2C0CF5EE" w14:textId="77777777" w:rsidR="00E547E1" w:rsidRPr="00E547E1" w:rsidRDefault="00E547E1" w:rsidP="00E547E1">
            <w:pPr>
              <w:tabs>
                <w:tab w:val="clear" w:pos="567"/>
              </w:tabs>
              <w:spacing w:before="0" w:line="240" w:lineRule="auto"/>
              <w:rPr>
                <w:rFonts w:eastAsia="Times New Roman" w:cs="Open Sans Light"/>
                <w:color w:val="000000"/>
                <w:sz w:val="16"/>
                <w:szCs w:val="16"/>
                <w:lang w:eastAsia="en-AU"/>
              </w:rPr>
            </w:pPr>
            <w:r w:rsidRPr="00E547E1">
              <w:rPr>
                <w:rFonts w:eastAsia="Times New Roman" w:cs="Open Sans Light"/>
                <w:color w:val="000000"/>
                <w:sz w:val="16"/>
                <w:szCs w:val="16"/>
                <w:lang w:eastAsia="en-AU"/>
              </w:rPr>
              <w:t> </w:t>
            </w:r>
          </w:p>
        </w:tc>
        <w:tc>
          <w:tcPr>
            <w:tcW w:w="1124" w:type="dxa"/>
            <w:tcBorders>
              <w:top w:val="nil"/>
              <w:left w:val="nil"/>
              <w:bottom w:val="single" w:sz="4" w:space="0" w:color="ADD6EA"/>
              <w:right w:val="nil"/>
            </w:tcBorders>
            <w:shd w:val="clear" w:color="auto" w:fill="auto"/>
            <w:noWrap/>
            <w:hideMark/>
          </w:tcPr>
          <w:p w14:paraId="0843799D" w14:textId="77777777" w:rsidR="00E547E1" w:rsidRPr="00E547E1" w:rsidRDefault="00E547E1" w:rsidP="00E547E1">
            <w:pPr>
              <w:tabs>
                <w:tab w:val="clear" w:pos="567"/>
              </w:tabs>
              <w:spacing w:before="0" w:line="240" w:lineRule="auto"/>
              <w:jc w:val="right"/>
              <w:rPr>
                <w:rFonts w:eastAsia="Times New Roman" w:cs="Open Sans Light"/>
                <w:color w:val="000000"/>
                <w:sz w:val="16"/>
                <w:szCs w:val="16"/>
                <w:lang w:eastAsia="en-AU"/>
              </w:rPr>
            </w:pPr>
            <w:r w:rsidRPr="00E547E1">
              <w:rPr>
                <w:rFonts w:eastAsia="Times New Roman" w:cs="Open Sans Light"/>
                <w:color w:val="000000"/>
                <w:sz w:val="16"/>
                <w:szCs w:val="16"/>
                <w:lang w:eastAsia="en-AU"/>
              </w:rPr>
              <w:t> </w:t>
            </w:r>
          </w:p>
        </w:tc>
        <w:tc>
          <w:tcPr>
            <w:tcW w:w="258" w:type="dxa"/>
            <w:tcBorders>
              <w:top w:val="single" w:sz="4" w:space="0" w:color="ADD6EA"/>
              <w:left w:val="nil"/>
              <w:bottom w:val="single" w:sz="4" w:space="0" w:color="ADD6EA"/>
              <w:right w:val="nil"/>
            </w:tcBorders>
            <w:shd w:val="clear" w:color="auto" w:fill="auto"/>
            <w:noWrap/>
            <w:hideMark/>
          </w:tcPr>
          <w:p w14:paraId="1F9D40D2" w14:textId="77777777" w:rsidR="00E547E1" w:rsidRPr="00E547E1" w:rsidRDefault="00E547E1" w:rsidP="00E547E1">
            <w:pPr>
              <w:tabs>
                <w:tab w:val="clear" w:pos="567"/>
              </w:tabs>
              <w:spacing w:before="0" w:line="240" w:lineRule="auto"/>
              <w:jc w:val="right"/>
              <w:rPr>
                <w:rFonts w:eastAsia="Times New Roman" w:cs="Open Sans Light"/>
                <w:color w:val="000000"/>
                <w:sz w:val="16"/>
                <w:szCs w:val="16"/>
                <w:lang w:eastAsia="en-AU"/>
              </w:rPr>
            </w:pPr>
            <w:r w:rsidRPr="00E547E1">
              <w:rPr>
                <w:rFonts w:eastAsia="Times New Roman" w:cs="Open Sans Light"/>
                <w:color w:val="000000"/>
                <w:sz w:val="16"/>
                <w:szCs w:val="16"/>
                <w:lang w:eastAsia="en-AU"/>
              </w:rPr>
              <w:t> </w:t>
            </w:r>
          </w:p>
        </w:tc>
        <w:tc>
          <w:tcPr>
            <w:tcW w:w="1040" w:type="dxa"/>
            <w:tcBorders>
              <w:top w:val="single" w:sz="4" w:space="0" w:color="ADD6EA"/>
              <w:left w:val="nil"/>
              <w:bottom w:val="single" w:sz="4" w:space="0" w:color="ADD6EA"/>
              <w:right w:val="nil"/>
            </w:tcBorders>
            <w:shd w:val="clear" w:color="auto" w:fill="auto"/>
            <w:hideMark/>
          </w:tcPr>
          <w:p w14:paraId="6ECC8863" w14:textId="77777777" w:rsidR="00E547E1" w:rsidRPr="00E547E1" w:rsidRDefault="00E547E1" w:rsidP="00E547E1">
            <w:pPr>
              <w:tabs>
                <w:tab w:val="clear" w:pos="567"/>
              </w:tabs>
              <w:spacing w:before="0" w:line="240" w:lineRule="auto"/>
              <w:rPr>
                <w:rFonts w:eastAsia="Times New Roman" w:cs="Open Sans Light"/>
                <w:color w:val="000000"/>
                <w:sz w:val="16"/>
                <w:szCs w:val="16"/>
                <w:lang w:eastAsia="en-AU"/>
              </w:rPr>
            </w:pPr>
            <w:r w:rsidRPr="00E547E1">
              <w:rPr>
                <w:rFonts w:eastAsia="Times New Roman" w:cs="Open Sans Light"/>
                <w:color w:val="000000"/>
                <w:sz w:val="16"/>
                <w:szCs w:val="16"/>
                <w:lang w:eastAsia="en-AU"/>
              </w:rPr>
              <w:t>Wage costs</w:t>
            </w:r>
          </w:p>
        </w:tc>
        <w:tc>
          <w:tcPr>
            <w:tcW w:w="4560" w:type="dxa"/>
            <w:tcBorders>
              <w:top w:val="single" w:sz="4" w:space="0" w:color="ADD6EA"/>
              <w:left w:val="nil"/>
              <w:bottom w:val="single" w:sz="4" w:space="0" w:color="ADD6EA"/>
              <w:right w:val="nil"/>
            </w:tcBorders>
            <w:shd w:val="clear" w:color="auto" w:fill="auto"/>
            <w:hideMark/>
          </w:tcPr>
          <w:p w14:paraId="37991E79" w14:textId="77777777" w:rsidR="00E547E1" w:rsidRPr="00E547E1" w:rsidRDefault="00E547E1" w:rsidP="00E547E1">
            <w:pPr>
              <w:tabs>
                <w:tab w:val="clear" w:pos="567"/>
              </w:tabs>
              <w:spacing w:before="0" w:line="240" w:lineRule="auto"/>
              <w:rPr>
                <w:rFonts w:eastAsia="Times New Roman" w:cs="Open Sans Light"/>
                <w:color w:val="000000"/>
                <w:sz w:val="16"/>
                <w:szCs w:val="16"/>
                <w:lang w:eastAsia="en-AU"/>
              </w:rPr>
            </w:pPr>
            <w:r w:rsidRPr="00E547E1">
              <w:rPr>
                <w:rFonts w:eastAsia="Times New Roman" w:cs="Open Sans Light"/>
                <w:color w:val="000000"/>
                <w:sz w:val="16"/>
                <w:szCs w:val="16"/>
                <w:lang w:eastAsia="en-AU"/>
              </w:rPr>
              <w:t>Recognises differences in wage costs between states.</w:t>
            </w:r>
          </w:p>
        </w:tc>
      </w:tr>
    </w:tbl>
    <w:p w14:paraId="674A8F56" w14:textId="77777777" w:rsidR="004C613F" w:rsidRPr="006C2533" w:rsidRDefault="004C613F" w:rsidP="004C613F">
      <w:pPr>
        <w:pStyle w:val="CGCTablenote"/>
        <w:rPr>
          <w:rFonts w:ascii="Work Sans" w:hAnsi="Work Sans"/>
        </w:rPr>
      </w:pPr>
      <w:r w:rsidRPr="006C2533">
        <w:rPr>
          <w:rFonts w:ascii="Work Sans" w:hAnsi="Work Sans"/>
        </w:rPr>
        <w:t xml:space="preserve">Note: Regional costs are captured through the socio-demographic composition driver. </w:t>
      </w:r>
    </w:p>
    <w:p w14:paraId="6F8399B7" w14:textId="147C96DB" w:rsidR="00A32EE6" w:rsidRPr="006C2533" w:rsidRDefault="004C613F" w:rsidP="004C613F">
      <w:pPr>
        <w:pStyle w:val="CGCTablenote"/>
        <w:rPr>
          <w:rFonts w:ascii="Work Sans" w:hAnsi="Work Sans"/>
        </w:rPr>
      </w:pPr>
      <w:r w:rsidRPr="006C2533">
        <w:rPr>
          <w:rFonts w:ascii="Work Sans" w:hAnsi="Work Sans"/>
        </w:rPr>
        <w:t>Source: Commission calculation.</w:t>
      </w:r>
    </w:p>
    <w:p w14:paraId="2683C641" w14:textId="77777777" w:rsidR="00E2013D" w:rsidRPr="00FA5E33" w:rsidRDefault="00E2013D" w:rsidP="00E2013D">
      <w:pPr>
        <w:pStyle w:val="Heading3"/>
      </w:pPr>
      <w:bookmarkStart w:id="24" w:name="_Toc128669056"/>
      <w:bookmarkStart w:id="25" w:name="_Toc128752022"/>
      <w:bookmarkStart w:id="26" w:name="_Toc138146314"/>
      <w:r>
        <w:t>GST distribution in the 2023 Update</w:t>
      </w:r>
      <w:bookmarkEnd w:id="24"/>
      <w:bookmarkEnd w:id="25"/>
      <w:bookmarkEnd w:id="26"/>
    </w:p>
    <w:p w14:paraId="28597F6C" w14:textId="0A4CBCBD" w:rsidR="00E2013D" w:rsidRDefault="0074480F" w:rsidP="00E2013D">
      <w:pPr>
        <w:pStyle w:val="CGC2025ParaNumbers"/>
      </w:pPr>
      <w:r>
        <w:rPr>
          <w:highlight w:val="yellow"/>
        </w:rPr>
        <w:fldChar w:fldCharType="begin"/>
      </w:r>
      <w:r>
        <w:instrText xml:space="preserve"> REF _Ref134181074 \h </w:instrText>
      </w:r>
      <w:r>
        <w:rPr>
          <w:highlight w:val="yellow"/>
        </w:rPr>
      </w:r>
      <w:r>
        <w:rPr>
          <w:highlight w:val="yellow"/>
        </w:rPr>
        <w:fldChar w:fldCharType="separate"/>
      </w:r>
      <w:r w:rsidR="00A009E6">
        <w:t xml:space="preserve">Table </w:t>
      </w:r>
      <w:r w:rsidR="00A009E6">
        <w:rPr>
          <w:noProof/>
        </w:rPr>
        <w:t>4</w:t>
      </w:r>
      <w:r>
        <w:rPr>
          <w:highlight w:val="yellow"/>
        </w:rPr>
        <w:fldChar w:fldCharType="end"/>
      </w:r>
      <w:r w:rsidR="376F288F">
        <w:t xml:space="preserve"> </w:t>
      </w:r>
      <w:r w:rsidR="277814D0" w:rsidRPr="00E2013D">
        <w:t xml:space="preserve">shows the GST impact of the assessment in the 2023 Update. The </w:t>
      </w:r>
      <w:r w:rsidR="00B622DF">
        <w:t>p</w:t>
      </w:r>
      <w:r w:rsidR="277814D0" w:rsidRPr="00E2013D">
        <w:t>ost</w:t>
      </w:r>
      <w:r w:rsidR="00075982">
        <w:noBreakHyphen/>
      </w:r>
      <w:r w:rsidR="277814D0" w:rsidRPr="00E2013D">
        <w:t xml:space="preserve">secondary education assessment distributed $136 million ($5 per capita) away from an equal per capita distribution. </w:t>
      </w:r>
    </w:p>
    <w:p w14:paraId="705D2BD1" w14:textId="306673ED" w:rsidR="00DB6891" w:rsidRDefault="00A07463" w:rsidP="00A07463">
      <w:pPr>
        <w:pStyle w:val="CGC2025Caption"/>
        <w:tabs>
          <w:tab w:val="left" w:pos="1134"/>
          <w:tab w:val="left" w:pos="1701"/>
        </w:tabs>
      </w:pPr>
      <w:bookmarkStart w:id="27" w:name="_Ref134181074"/>
      <w:r>
        <w:t xml:space="preserve">Table </w:t>
      </w:r>
      <w:fldSimple w:instr=" SEQ Table \* ARABIC ">
        <w:r w:rsidR="00A009E6">
          <w:rPr>
            <w:noProof/>
          </w:rPr>
          <w:t>4</w:t>
        </w:r>
      </w:fldSimple>
      <w:bookmarkEnd w:id="27"/>
      <w:r>
        <w:tab/>
      </w:r>
      <w:r w:rsidR="00DB6891" w:rsidRPr="00C12FA2">
        <w:t xml:space="preserve">GST impact of the </w:t>
      </w:r>
      <w:r w:rsidR="00C34722">
        <w:t>p</w:t>
      </w:r>
      <w:r w:rsidR="00DB6891" w:rsidRPr="00C12FA2">
        <w:t>ost-secondary education assessment, 2023</w:t>
      </w:r>
      <w:r w:rsidR="005C3428">
        <w:t>–</w:t>
      </w:r>
      <w:r w:rsidR="00DB6891" w:rsidRPr="00C12FA2">
        <w:t>24</w:t>
      </w:r>
    </w:p>
    <w:tbl>
      <w:tblPr>
        <w:tblW w:w="8360" w:type="dxa"/>
        <w:tblLook w:val="04A0" w:firstRow="1" w:lastRow="0" w:firstColumn="1" w:lastColumn="0" w:noHBand="0" w:noVBand="1"/>
      </w:tblPr>
      <w:tblGrid>
        <w:gridCol w:w="1380"/>
        <w:gridCol w:w="660"/>
        <w:gridCol w:w="900"/>
        <w:gridCol w:w="740"/>
        <w:gridCol w:w="720"/>
        <w:gridCol w:w="720"/>
        <w:gridCol w:w="720"/>
        <w:gridCol w:w="780"/>
        <w:gridCol w:w="840"/>
        <w:gridCol w:w="900"/>
      </w:tblGrid>
      <w:tr w:rsidR="00E547E1" w:rsidRPr="00E547E1" w14:paraId="41EDE5AF" w14:textId="77777777" w:rsidTr="00E547E1">
        <w:trPr>
          <w:trHeight w:val="510"/>
        </w:trPr>
        <w:tc>
          <w:tcPr>
            <w:tcW w:w="1380" w:type="dxa"/>
            <w:tcBorders>
              <w:top w:val="nil"/>
              <w:left w:val="nil"/>
              <w:bottom w:val="nil"/>
              <w:right w:val="nil"/>
            </w:tcBorders>
            <w:shd w:val="clear" w:color="000000" w:fill="006991"/>
            <w:vAlign w:val="bottom"/>
            <w:hideMark/>
          </w:tcPr>
          <w:p w14:paraId="167B4B1F" w14:textId="77777777" w:rsidR="00E547E1" w:rsidRPr="00E547E1" w:rsidRDefault="00E547E1" w:rsidP="00E547E1">
            <w:pPr>
              <w:tabs>
                <w:tab w:val="clear" w:pos="567"/>
              </w:tabs>
              <w:spacing w:before="0" w:line="240" w:lineRule="auto"/>
              <w:rPr>
                <w:rFonts w:ascii="Open Sans Semibold" w:eastAsia="Times New Roman" w:hAnsi="Open Sans Semibold" w:cs="Open Sans Semibold"/>
                <w:color w:val="FFFFFF"/>
                <w:sz w:val="16"/>
                <w:szCs w:val="16"/>
                <w:lang w:eastAsia="en-AU"/>
              </w:rPr>
            </w:pPr>
            <w:r w:rsidRPr="00E547E1">
              <w:rPr>
                <w:rFonts w:ascii="Open Sans Semibold" w:eastAsia="Times New Roman" w:hAnsi="Open Sans Semibold" w:cs="Open Sans Semibold"/>
                <w:color w:val="FFFFFF"/>
                <w:sz w:val="16"/>
                <w:szCs w:val="16"/>
                <w:lang w:eastAsia="en-AU"/>
              </w:rPr>
              <w:t> </w:t>
            </w:r>
          </w:p>
        </w:tc>
        <w:tc>
          <w:tcPr>
            <w:tcW w:w="660" w:type="dxa"/>
            <w:tcBorders>
              <w:top w:val="nil"/>
              <w:left w:val="nil"/>
              <w:bottom w:val="nil"/>
              <w:right w:val="nil"/>
            </w:tcBorders>
            <w:shd w:val="clear" w:color="000000" w:fill="006991"/>
            <w:vAlign w:val="center"/>
            <w:hideMark/>
          </w:tcPr>
          <w:p w14:paraId="12FDA035" w14:textId="77777777" w:rsidR="00E547E1" w:rsidRPr="00E547E1" w:rsidRDefault="00E547E1" w:rsidP="00E547E1">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547E1">
              <w:rPr>
                <w:rFonts w:ascii="Open Sans Semibold" w:eastAsia="Times New Roman" w:hAnsi="Open Sans Semibold" w:cs="Open Sans Semibold"/>
                <w:color w:val="FFFFFF"/>
                <w:sz w:val="16"/>
                <w:szCs w:val="16"/>
                <w:lang w:eastAsia="en-AU"/>
              </w:rPr>
              <w:t>NSW</w:t>
            </w:r>
          </w:p>
        </w:tc>
        <w:tc>
          <w:tcPr>
            <w:tcW w:w="900" w:type="dxa"/>
            <w:tcBorders>
              <w:top w:val="nil"/>
              <w:left w:val="nil"/>
              <w:bottom w:val="nil"/>
              <w:right w:val="nil"/>
            </w:tcBorders>
            <w:shd w:val="clear" w:color="000000" w:fill="006991"/>
            <w:vAlign w:val="center"/>
            <w:hideMark/>
          </w:tcPr>
          <w:p w14:paraId="26F7D0B8" w14:textId="77777777" w:rsidR="00E547E1" w:rsidRPr="00E547E1" w:rsidRDefault="00E547E1" w:rsidP="00E547E1">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547E1">
              <w:rPr>
                <w:rFonts w:ascii="Open Sans Semibold" w:eastAsia="Times New Roman" w:hAnsi="Open Sans Semibold" w:cs="Open Sans Semibold"/>
                <w:color w:val="FFFFFF"/>
                <w:sz w:val="16"/>
                <w:szCs w:val="16"/>
                <w:lang w:eastAsia="en-AU"/>
              </w:rPr>
              <w:t>Vic</w:t>
            </w:r>
          </w:p>
        </w:tc>
        <w:tc>
          <w:tcPr>
            <w:tcW w:w="740" w:type="dxa"/>
            <w:tcBorders>
              <w:top w:val="nil"/>
              <w:left w:val="nil"/>
              <w:bottom w:val="nil"/>
              <w:right w:val="nil"/>
            </w:tcBorders>
            <w:shd w:val="clear" w:color="000000" w:fill="006991"/>
            <w:vAlign w:val="center"/>
            <w:hideMark/>
          </w:tcPr>
          <w:p w14:paraId="0C0EF6EB" w14:textId="77777777" w:rsidR="00E547E1" w:rsidRPr="00E547E1" w:rsidRDefault="00E547E1" w:rsidP="00E547E1">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547E1">
              <w:rPr>
                <w:rFonts w:ascii="Open Sans Semibold" w:eastAsia="Times New Roman" w:hAnsi="Open Sans Semibold" w:cs="Open Sans Semibold"/>
                <w:color w:val="FFFFFF"/>
                <w:sz w:val="16"/>
                <w:szCs w:val="16"/>
                <w:lang w:eastAsia="en-AU"/>
              </w:rPr>
              <w:t>Qld</w:t>
            </w:r>
          </w:p>
        </w:tc>
        <w:tc>
          <w:tcPr>
            <w:tcW w:w="720" w:type="dxa"/>
            <w:tcBorders>
              <w:top w:val="nil"/>
              <w:left w:val="nil"/>
              <w:bottom w:val="nil"/>
              <w:right w:val="nil"/>
            </w:tcBorders>
            <w:shd w:val="clear" w:color="000000" w:fill="006991"/>
            <w:vAlign w:val="center"/>
            <w:hideMark/>
          </w:tcPr>
          <w:p w14:paraId="35234135" w14:textId="77777777" w:rsidR="00E547E1" w:rsidRPr="00E547E1" w:rsidRDefault="00E547E1" w:rsidP="00E547E1">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547E1">
              <w:rPr>
                <w:rFonts w:ascii="Open Sans Semibold" w:eastAsia="Times New Roman" w:hAnsi="Open Sans Semibold" w:cs="Open Sans Semibold"/>
                <w:color w:val="FFFFFF"/>
                <w:sz w:val="16"/>
                <w:szCs w:val="16"/>
                <w:lang w:eastAsia="en-AU"/>
              </w:rPr>
              <w:t>WA</w:t>
            </w:r>
          </w:p>
        </w:tc>
        <w:tc>
          <w:tcPr>
            <w:tcW w:w="720" w:type="dxa"/>
            <w:tcBorders>
              <w:top w:val="nil"/>
              <w:left w:val="nil"/>
              <w:bottom w:val="nil"/>
              <w:right w:val="nil"/>
            </w:tcBorders>
            <w:shd w:val="clear" w:color="000000" w:fill="006991"/>
            <w:vAlign w:val="center"/>
            <w:hideMark/>
          </w:tcPr>
          <w:p w14:paraId="24894BB2" w14:textId="77777777" w:rsidR="00E547E1" w:rsidRPr="00E547E1" w:rsidRDefault="00E547E1" w:rsidP="00E547E1">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547E1">
              <w:rPr>
                <w:rFonts w:ascii="Open Sans Semibold" w:eastAsia="Times New Roman" w:hAnsi="Open Sans Semibold" w:cs="Open Sans Semibold"/>
                <w:color w:val="FFFFFF"/>
                <w:sz w:val="16"/>
                <w:szCs w:val="16"/>
                <w:lang w:eastAsia="en-AU"/>
              </w:rPr>
              <w:t>SA</w:t>
            </w:r>
          </w:p>
        </w:tc>
        <w:tc>
          <w:tcPr>
            <w:tcW w:w="720" w:type="dxa"/>
            <w:tcBorders>
              <w:top w:val="nil"/>
              <w:left w:val="nil"/>
              <w:bottom w:val="nil"/>
              <w:right w:val="nil"/>
            </w:tcBorders>
            <w:shd w:val="clear" w:color="000000" w:fill="006991"/>
            <w:vAlign w:val="center"/>
            <w:hideMark/>
          </w:tcPr>
          <w:p w14:paraId="4229C368" w14:textId="77777777" w:rsidR="00E547E1" w:rsidRPr="00E547E1" w:rsidRDefault="00E547E1" w:rsidP="00E547E1">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547E1">
              <w:rPr>
                <w:rFonts w:ascii="Open Sans Semibold" w:eastAsia="Times New Roman" w:hAnsi="Open Sans Semibold" w:cs="Open Sans Semibold"/>
                <w:color w:val="FFFFFF"/>
                <w:sz w:val="16"/>
                <w:szCs w:val="16"/>
                <w:lang w:eastAsia="en-AU"/>
              </w:rPr>
              <w:t>Tas</w:t>
            </w:r>
          </w:p>
        </w:tc>
        <w:tc>
          <w:tcPr>
            <w:tcW w:w="780" w:type="dxa"/>
            <w:tcBorders>
              <w:top w:val="nil"/>
              <w:left w:val="nil"/>
              <w:bottom w:val="nil"/>
              <w:right w:val="nil"/>
            </w:tcBorders>
            <w:shd w:val="clear" w:color="000000" w:fill="006991"/>
            <w:vAlign w:val="center"/>
            <w:hideMark/>
          </w:tcPr>
          <w:p w14:paraId="573A3B28" w14:textId="77777777" w:rsidR="00E547E1" w:rsidRPr="00E547E1" w:rsidRDefault="00E547E1" w:rsidP="00E547E1">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547E1">
              <w:rPr>
                <w:rFonts w:ascii="Open Sans Semibold" w:eastAsia="Times New Roman" w:hAnsi="Open Sans Semibold" w:cs="Open Sans Semibold"/>
                <w:color w:val="FFFFFF"/>
                <w:sz w:val="16"/>
                <w:szCs w:val="16"/>
                <w:lang w:eastAsia="en-AU"/>
              </w:rPr>
              <w:t>ACT</w:t>
            </w:r>
          </w:p>
        </w:tc>
        <w:tc>
          <w:tcPr>
            <w:tcW w:w="840" w:type="dxa"/>
            <w:tcBorders>
              <w:top w:val="nil"/>
              <w:left w:val="nil"/>
              <w:bottom w:val="nil"/>
              <w:right w:val="nil"/>
            </w:tcBorders>
            <w:shd w:val="clear" w:color="000000" w:fill="006991"/>
            <w:vAlign w:val="center"/>
            <w:hideMark/>
          </w:tcPr>
          <w:p w14:paraId="6FFC4738" w14:textId="77777777" w:rsidR="00E547E1" w:rsidRPr="00E547E1" w:rsidRDefault="00E547E1" w:rsidP="00E547E1">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547E1">
              <w:rPr>
                <w:rFonts w:ascii="Open Sans Semibold" w:eastAsia="Times New Roman" w:hAnsi="Open Sans Semibold" w:cs="Open Sans Semibold"/>
                <w:color w:val="FFFFFF"/>
                <w:sz w:val="16"/>
                <w:szCs w:val="16"/>
                <w:lang w:eastAsia="en-AU"/>
              </w:rPr>
              <w:t>NT</w:t>
            </w:r>
          </w:p>
        </w:tc>
        <w:tc>
          <w:tcPr>
            <w:tcW w:w="900" w:type="dxa"/>
            <w:tcBorders>
              <w:top w:val="nil"/>
              <w:left w:val="nil"/>
              <w:bottom w:val="nil"/>
              <w:right w:val="nil"/>
            </w:tcBorders>
            <w:shd w:val="clear" w:color="000000" w:fill="006991"/>
            <w:vAlign w:val="center"/>
            <w:hideMark/>
          </w:tcPr>
          <w:p w14:paraId="3C451971" w14:textId="77777777" w:rsidR="00E547E1" w:rsidRPr="00E547E1" w:rsidRDefault="00E547E1" w:rsidP="00E547E1">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547E1">
              <w:rPr>
                <w:rFonts w:ascii="Open Sans Semibold" w:eastAsia="Times New Roman" w:hAnsi="Open Sans Semibold" w:cs="Open Sans Semibold"/>
                <w:color w:val="FFFFFF"/>
                <w:sz w:val="16"/>
                <w:szCs w:val="16"/>
                <w:lang w:eastAsia="en-AU"/>
              </w:rPr>
              <w:t>Total effect</w:t>
            </w:r>
          </w:p>
        </w:tc>
      </w:tr>
      <w:tr w:rsidR="00E547E1" w:rsidRPr="00E547E1" w14:paraId="2B009A4D" w14:textId="77777777" w:rsidTr="00E547E1">
        <w:trPr>
          <w:trHeight w:val="270"/>
        </w:trPr>
        <w:tc>
          <w:tcPr>
            <w:tcW w:w="1380" w:type="dxa"/>
            <w:tcBorders>
              <w:top w:val="single" w:sz="4" w:space="0" w:color="ADD6EA"/>
              <w:left w:val="nil"/>
              <w:bottom w:val="nil"/>
              <w:right w:val="nil"/>
            </w:tcBorders>
            <w:shd w:val="clear" w:color="000000" w:fill="B6D5E4"/>
            <w:vAlign w:val="bottom"/>
            <w:hideMark/>
          </w:tcPr>
          <w:p w14:paraId="5E91380C" w14:textId="77777777" w:rsidR="00E547E1" w:rsidRPr="00E547E1" w:rsidRDefault="00E547E1" w:rsidP="00E547E1">
            <w:pPr>
              <w:tabs>
                <w:tab w:val="clear" w:pos="567"/>
              </w:tabs>
              <w:spacing w:before="0" w:line="240" w:lineRule="auto"/>
              <w:rPr>
                <w:rFonts w:ascii="Open Sans Semibold" w:eastAsia="Times New Roman" w:hAnsi="Open Sans Semibold" w:cs="Open Sans Semibold"/>
                <w:color w:val="000000"/>
                <w:sz w:val="16"/>
                <w:szCs w:val="16"/>
                <w:lang w:eastAsia="en-AU"/>
              </w:rPr>
            </w:pPr>
            <w:r w:rsidRPr="00E547E1">
              <w:rPr>
                <w:rFonts w:ascii="Open Sans Semibold" w:eastAsia="Times New Roman" w:hAnsi="Open Sans Semibold" w:cs="Open Sans Semibold"/>
                <w:color w:val="000000"/>
                <w:sz w:val="16"/>
                <w:szCs w:val="16"/>
                <w:lang w:eastAsia="en-AU"/>
              </w:rPr>
              <w:t> </w:t>
            </w:r>
          </w:p>
        </w:tc>
        <w:tc>
          <w:tcPr>
            <w:tcW w:w="660" w:type="dxa"/>
            <w:tcBorders>
              <w:top w:val="single" w:sz="4" w:space="0" w:color="ADD6EA"/>
              <w:left w:val="nil"/>
              <w:bottom w:val="nil"/>
              <w:right w:val="nil"/>
            </w:tcBorders>
            <w:shd w:val="clear" w:color="000000" w:fill="B6D5E4"/>
            <w:noWrap/>
            <w:vAlign w:val="bottom"/>
            <w:hideMark/>
          </w:tcPr>
          <w:p w14:paraId="04201D86" w14:textId="77777777" w:rsidR="00E547E1" w:rsidRPr="00E547E1" w:rsidRDefault="00E547E1" w:rsidP="00E547E1">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547E1">
              <w:rPr>
                <w:rFonts w:ascii="Open Sans Semibold" w:eastAsia="Times New Roman" w:hAnsi="Open Sans Semibold" w:cs="Open Sans Semibold"/>
                <w:color w:val="000000"/>
                <w:sz w:val="16"/>
                <w:szCs w:val="16"/>
                <w:lang w:eastAsia="en-AU"/>
              </w:rPr>
              <w:t>$m</w:t>
            </w:r>
          </w:p>
        </w:tc>
        <w:tc>
          <w:tcPr>
            <w:tcW w:w="900" w:type="dxa"/>
            <w:tcBorders>
              <w:top w:val="single" w:sz="4" w:space="0" w:color="ADD6EA"/>
              <w:left w:val="nil"/>
              <w:bottom w:val="nil"/>
              <w:right w:val="nil"/>
            </w:tcBorders>
            <w:shd w:val="clear" w:color="000000" w:fill="B6D5E4"/>
            <w:noWrap/>
            <w:vAlign w:val="bottom"/>
            <w:hideMark/>
          </w:tcPr>
          <w:p w14:paraId="5F194624" w14:textId="77777777" w:rsidR="00E547E1" w:rsidRPr="00E547E1" w:rsidRDefault="00E547E1" w:rsidP="00E547E1">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547E1">
              <w:rPr>
                <w:rFonts w:ascii="Open Sans Semibold" w:eastAsia="Times New Roman" w:hAnsi="Open Sans Semibold" w:cs="Open Sans Semibold"/>
                <w:color w:val="000000"/>
                <w:sz w:val="16"/>
                <w:szCs w:val="16"/>
                <w:lang w:eastAsia="en-AU"/>
              </w:rPr>
              <w:t>$m</w:t>
            </w:r>
          </w:p>
        </w:tc>
        <w:tc>
          <w:tcPr>
            <w:tcW w:w="740" w:type="dxa"/>
            <w:tcBorders>
              <w:top w:val="single" w:sz="4" w:space="0" w:color="ADD6EA"/>
              <w:left w:val="nil"/>
              <w:bottom w:val="nil"/>
              <w:right w:val="nil"/>
            </w:tcBorders>
            <w:shd w:val="clear" w:color="000000" w:fill="B6D5E4"/>
            <w:noWrap/>
            <w:vAlign w:val="bottom"/>
            <w:hideMark/>
          </w:tcPr>
          <w:p w14:paraId="67A4B036" w14:textId="77777777" w:rsidR="00E547E1" w:rsidRPr="00E547E1" w:rsidRDefault="00E547E1" w:rsidP="00E547E1">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547E1">
              <w:rPr>
                <w:rFonts w:ascii="Open Sans Semibold" w:eastAsia="Times New Roman" w:hAnsi="Open Sans Semibold" w:cs="Open Sans Semibold"/>
                <w:color w:val="000000"/>
                <w:sz w:val="16"/>
                <w:szCs w:val="16"/>
                <w:lang w:eastAsia="en-AU"/>
              </w:rPr>
              <w:t>$m</w:t>
            </w:r>
          </w:p>
        </w:tc>
        <w:tc>
          <w:tcPr>
            <w:tcW w:w="720" w:type="dxa"/>
            <w:tcBorders>
              <w:top w:val="single" w:sz="4" w:space="0" w:color="ADD6EA"/>
              <w:left w:val="nil"/>
              <w:bottom w:val="nil"/>
              <w:right w:val="nil"/>
            </w:tcBorders>
            <w:shd w:val="clear" w:color="000000" w:fill="B6D5E4"/>
            <w:noWrap/>
            <w:vAlign w:val="bottom"/>
            <w:hideMark/>
          </w:tcPr>
          <w:p w14:paraId="3408FF5B" w14:textId="77777777" w:rsidR="00E547E1" w:rsidRPr="00E547E1" w:rsidRDefault="00E547E1" w:rsidP="00E547E1">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547E1">
              <w:rPr>
                <w:rFonts w:ascii="Open Sans Semibold" w:eastAsia="Times New Roman" w:hAnsi="Open Sans Semibold" w:cs="Open Sans Semibold"/>
                <w:color w:val="000000"/>
                <w:sz w:val="16"/>
                <w:szCs w:val="16"/>
                <w:lang w:eastAsia="en-AU"/>
              </w:rPr>
              <w:t>$m</w:t>
            </w:r>
          </w:p>
        </w:tc>
        <w:tc>
          <w:tcPr>
            <w:tcW w:w="720" w:type="dxa"/>
            <w:tcBorders>
              <w:top w:val="single" w:sz="4" w:space="0" w:color="ADD6EA"/>
              <w:left w:val="nil"/>
              <w:bottom w:val="nil"/>
              <w:right w:val="nil"/>
            </w:tcBorders>
            <w:shd w:val="clear" w:color="000000" w:fill="B6D5E4"/>
            <w:noWrap/>
            <w:vAlign w:val="bottom"/>
            <w:hideMark/>
          </w:tcPr>
          <w:p w14:paraId="58390393" w14:textId="77777777" w:rsidR="00E547E1" w:rsidRPr="00E547E1" w:rsidRDefault="00E547E1" w:rsidP="00E547E1">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547E1">
              <w:rPr>
                <w:rFonts w:ascii="Open Sans Semibold" w:eastAsia="Times New Roman" w:hAnsi="Open Sans Semibold" w:cs="Open Sans Semibold"/>
                <w:color w:val="000000"/>
                <w:sz w:val="16"/>
                <w:szCs w:val="16"/>
                <w:lang w:eastAsia="en-AU"/>
              </w:rPr>
              <w:t>$m</w:t>
            </w:r>
          </w:p>
        </w:tc>
        <w:tc>
          <w:tcPr>
            <w:tcW w:w="720" w:type="dxa"/>
            <w:tcBorders>
              <w:top w:val="single" w:sz="4" w:space="0" w:color="ADD6EA"/>
              <w:left w:val="nil"/>
              <w:bottom w:val="nil"/>
              <w:right w:val="nil"/>
            </w:tcBorders>
            <w:shd w:val="clear" w:color="000000" w:fill="B6D5E4"/>
            <w:noWrap/>
            <w:vAlign w:val="bottom"/>
            <w:hideMark/>
          </w:tcPr>
          <w:p w14:paraId="1E4AFD1D" w14:textId="77777777" w:rsidR="00E547E1" w:rsidRPr="00E547E1" w:rsidRDefault="00E547E1" w:rsidP="00E547E1">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547E1">
              <w:rPr>
                <w:rFonts w:ascii="Open Sans Semibold" w:eastAsia="Times New Roman" w:hAnsi="Open Sans Semibold" w:cs="Open Sans Semibold"/>
                <w:color w:val="000000"/>
                <w:sz w:val="16"/>
                <w:szCs w:val="16"/>
                <w:lang w:eastAsia="en-AU"/>
              </w:rPr>
              <w:t>$m</w:t>
            </w:r>
          </w:p>
        </w:tc>
        <w:tc>
          <w:tcPr>
            <w:tcW w:w="780" w:type="dxa"/>
            <w:tcBorders>
              <w:top w:val="single" w:sz="4" w:space="0" w:color="ADD6EA"/>
              <w:left w:val="nil"/>
              <w:bottom w:val="nil"/>
              <w:right w:val="nil"/>
            </w:tcBorders>
            <w:shd w:val="clear" w:color="000000" w:fill="B6D5E4"/>
            <w:noWrap/>
            <w:vAlign w:val="bottom"/>
            <w:hideMark/>
          </w:tcPr>
          <w:p w14:paraId="3DDD0BCA" w14:textId="77777777" w:rsidR="00E547E1" w:rsidRPr="00E547E1" w:rsidRDefault="00E547E1" w:rsidP="00E547E1">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547E1">
              <w:rPr>
                <w:rFonts w:ascii="Open Sans Semibold" w:eastAsia="Times New Roman" w:hAnsi="Open Sans Semibold" w:cs="Open Sans Semibold"/>
                <w:color w:val="000000"/>
                <w:sz w:val="16"/>
                <w:szCs w:val="16"/>
                <w:lang w:eastAsia="en-AU"/>
              </w:rPr>
              <w:t>$m</w:t>
            </w:r>
          </w:p>
        </w:tc>
        <w:tc>
          <w:tcPr>
            <w:tcW w:w="840" w:type="dxa"/>
            <w:tcBorders>
              <w:top w:val="single" w:sz="4" w:space="0" w:color="ADD6EA"/>
              <w:left w:val="nil"/>
              <w:bottom w:val="nil"/>
              <w:right w:val="nil"/>
            </w:tcBorders>
            <w:shd w:val="clear" w:color="000000" w:fill="B6D5E4"/>
            <w:noWrap/>
            <w:vAlign w:val="bottom"/>
            <w:hideMark/>
          </w:tcPr>
          <w:p w14:paraId="641A1E72" w14:textId="77777777" w:rsidR="00E547E1" w:rsidRPr="00E547E1" w:rsidRDefault="00E547E1" w:rsidP="00E547E1">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547E1">
              <w:rPr>
                <w:rFonts w:ascii="Open Sans Semibold" w:eastAsia="Times New Roman" w:hAnsi="Open Sans Semibold" w:cs="Open Sans Semibold"/>
                <w:color w:val="000000"/>
                <w:sz w:val="16"/>
                <w:szCs w:val="16"/>
                <w:lang w:eastAsia="en-AU"/>
              </w:rPr>
              <w:t>$m</w:t>
            </w:r>
          </w:p>
        </w:tc>
        <w:tc>
          <w:tcPr>
            <w:tcW w:w="900" w:type="dxa"/>
            <w:tcBorders>
              <w:top w:val="single" w:sz="4" w:space="0" w:color="ADD6EA"/>
              <w:left w:val="nil"/>
              <w:bottom w:val="nil"/>
              <w:right w:val="nil"/>
            </w:tcBorders>
            <w:shd w:val="clear" w:color="000000" w:fill="B6D5E4"/>
            <w:noWrap/>
            <w:vAlign w:val="bottom"/>
            <w:hideMark/>
          </w:tcPr>
          <w:p w14:paraId="590EE1FD" w14:textId="77777777" w:rsidR="00E547E1" w:rsidRPr="00E547E1" w:rsidRDefault="00E547E1" w:rsidP="00E547E1">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547E1">
              <w:rPr>
                <w:rFonts w:ascii="Open Sans Semibold" w:eastAsia="Times New Roman" w:hAnsi="Open Sans Semibold" w:cs="Open Sans Semibold"/>
                <w:color w:val="000000"/>
                <w:sz w:val="16"/>
                <w:szCs w:val="16"/>
                <w:lang w:eastAsia="en-AU"/>
              </w:rPr>
              <w:t>$m</w:t>
            </w:r>
          </w:p>
        </w:tc>
      </w:tr>
      <w:tr w:rsidR="00E547E1" w:rsidRPr="00E547E1" w14:paraId="70B24049" w14:textId="77777777" w:rsidTr="00E547E1">
        <w:trPr>
          <w:trHeight w:val="270"/>
        </w:trPr>
        <w:tc>
          <w:tcPr>
            <w:tcW w:w="1380" w:type="dxa"/>
            <w:tcBorders>
              <w:top w:val="single" w:sz="4" w:space="0" w:color="ADD6EA"/>
              <w:left w:val="nil"/>
              <w:bottom w:val="nil"/>
              <w:right w:val="nil"/>
            </w:tcBorders>
            <w:shd w:val="clear" w:color="auto" w:fill="auto"/>
            <w:vAlign w:val="bottom"/>
            <w:hideMark/>
          </w:tcPr>
          <w:p w14:paraId="512C4B52" w14:textId="77777777" w:rsidR="00E547E1" w:rsidRPr="00E547E1" w:rsidRDefault="00E547E1" w:rsidP="00E547E1">
            <w:pPr>
              <w:tabs>
                <w:tab w:val="clear" w:pos="567"/>
              </w:tabs>
              <w:spacing w:before="0" w:line="240" w:lineRule="auto"/>
              <w:rPr>
                <w:rFonts w:eastAsia="Times New Roman" w:cs="Open Sans Light"/>
                <w:color w:val="000000"/>
                <w:sz w:val="16"/>
                <w:szCs w:val="16"/>
                <w:lang w:eastAsia="en-AU"/>
              </w:rPr>
            </w:pPr>
            <w:r w:rsidRPr="00E547E1">
              <w:rPr>
                <w:rFonts w:eastAsia="Times New Roman" w:cs="Open Sans Light"/>
                <w:color w:val="000000"/>
                <w:sz w:val="16"/>
                <w:szCs w:val="16"/>
                <w:lang w:eastAsia="en-AU"/>
              </w:rPr>
              <w:t>Total</w:t>
            </w:r>
          </w:p>
        </w:tc>
        <w:tc>
          <w:tcPr>
            <w:tcW w:w="660" w:type="dxa"/>
            <w:tcBorders>
              <w:top w:val="single" w:sz="4" w:space="0" w:color="ADD6EA"/>
              <w:left w:val="nil"/>
              <w:bottom w:val="nil"/>
              <w:right w:val="nil"/>
            </w:tcBorders>
            <w:shd w:val="clear" w:color="auto" w:fill="auto"/>
            <w:noWrap/>
            <w:vAlign w:val="bottom"/>
            <w:hideMark/>
          </w:tcPr>
          <w:p w14:paraId="2B527057" w14:textId="77777777" w:rsidR="00E547E1" w:rsidRPr="00E547E1" w:rsidRDefault="00E547E1" w:rsidP="00E547E1">
            <w:pPr>
              <w:tabs>
                <w:tab w:val="clear" w:pos="567"/>
              </w:tabs>
              <w:spacing w:before="0" w:line="240" w:lineRule="auto"/>
              <w:jc w:val="right"/>
              <w:rPr>
                <w:rFonts w:eastAsia="Times New Roman" w:cs="Open Sans Light"/>
                <w:color w:val="000000"/>
                <w:sz w:val="16"/>
                <w:szCs w:val="16"/>
                <w:lang w:eastAsia="en-AU"/>
              </w:rPr>
            </w:pPr>
            <w:r w:rsidRPr="00E547E1">
              <w:rPr>
                <w:rFonts w:eastAsia="Times New Roman" w:cs="Open Sans Light"/>
                <w:color w:val="000000"/>
                <w:sz w:val="16"/>
                <w:szCs w:val="16"/>
                <w:lang w:eastAsia="en-AU"/>
              </w:rPr>
              <w:t>-43</w:t>
            </w:r>
          </w:p>
        </w:tc>
        <w:tc>
          <w:tcPr>
            <w:tcW w:w="900" w:type="dxa"/>
            <w:tcBorders>
              <w:top w:val="single" w:sz="4" w:space="0" w:color="ADD6EA"/>
              <w:left w:val="nil"/>
              <w:bottom w:val="nil"/>
              <w:right w:val="nil"/>
            </w:tcBorders>
            <w:shd w:val="clear" w:color="auto" w:fill="auto"/>
            <w:noWrap/>
            <w:vAlign w:val="bottom"/>
            <w:hideMark/>
          </w:tcPr>
          <w:p w14:paraId="14AC947F" w14:textId="77777777" w:rsidR="00E547E1" w:rsidRPr="00E547E1" w:rsidRDefault="00E547E1" w:rsidP="00E547E1">
            <w:pPr>
              <w:tabs>
                <w:tab w:val="clear" w:pos="567"/>
              </w:tabs>
              <w:spacing w:before="0" w:line="240" w:lineRule="auto"/>
              <w:jc w:val="right"/>
              <w:rPr>
                <w:rFonts w:eastAsia="Times New Roman" w:cs="Open Sans Light"/>
                <w:color w:val="000000"/>
                <w:sz w:val="16"/>
                <w:szCs w:val="16"/>
                <w:lang w:eastAsia="en-AU"/>
              </w:rPr>
            </w:pPr>
            <w:r w:rsidRPr="00E547E1">
              <w:rPr>
                <w:rFonts w:eastAsia="Times New Roman" w:cs="Open Sans Light"/>
                <w:color w:val="000000"/>
                <w:sz w:val="16"/>
                <w:szCs w:val="16"/>
                <w:lang w:eastAsia="en-AU"/>
              </w:rPr>
              <w:t>-88</w:t>
            </w:r>
          </w:p>
        </w:tc>
        <w:tc>
          <w:tcPr>
            <w:tcW w:w="740" w:type="dxa"/>
            <w:tcBorders>
              <w:top w:val="single" w:sz="4" w:space="0" w:color="ADD6EA"/>
              <w:left w:val="nil"/>
              <w:bottom w:val="nil"/>
              <w:right w:val="nil"/>
            </w:tcBorders>
            <w:shd w:val="clear" w:color="auto" w:fill="auto"/>
            <w:noWrap/>
            <w:vAlign w:val="bottom"/>
            <w:hideMark/>
          </w:tcPr>
          <w:p w14:paraId="3BC98C47" w14:textId="77777777" w:rsidR="00E547E1" w:rsidRPr="00E547E1" w:rsidRDefault="00E547E1" w:rsidP="00E547E1">
            <w:pPr>
              <w:tabs>
                <w:tab w:val="clear" w:pos="567"/>
              </w:tabs>
              <w:spacing w:before="0" w:line="240" w:lineRule="auto"/>
              <w:jc w:val="right"/>
              <w:rPr>
                <w:rFonts w:eastAsia="Times New Roman" w:cs="Open Sans Light"/>
                <w:color w:val="000000"/>
                <w:sz w:val="16"/>
                <w:szCs w:val="16"/>
                <w:lang w:eastAsia="en-AU"/>
              </w:rPr>
            </w:pPr>
            <w:r w:rsidRPr="00E547E1">
              <w:rPr>
                <w:rFonts w:eastAsia="Times New Roman" w:cs="Open Sans Light"/>
                <w:color w:val="000000"/>
                <w:sz w:val="16"/>
                <w:szCs w:val="16"/>
                <w:lang w:eastAsia="en-AU"/>
              </w:rPr>
              <w:t>44</w:t>
            </w:r>
          </w:p>
        </w:tc>
        <w:tc>
          <w:tcPr>
            <w:tcW w:w="720" w:type="dxa"/>
            <w:tcBorders>
              <w:top w:val="single" w:sz="4" w:space="0" w:color="ADD6EA"/>
              <w:left w:val="nil"/>
              <w:bottom w:val="nil"/>
              <w:right w:val="nil"/>
            </w:tcBorders>
            <w:shd w:val="clear" w:color="auto" w:fill="auto"/>
            <w:noWrap/>
            <w:vAlign w:val="bottom"/>
            <w:hideMark/>
          </w:tcPr>
          <w:p w14:paraId="3E1745DA" w14:textId="77777777" w:rsidR="00E547E1" w:rsidRPr="00E547E1" w:rsidRDefault="00E547E1" w:rsidP="00E547E1">
            <w:pPr>
              <w:tabs>
                <w:tab w:val="clear" w:pos="567"/>
              </w:tabs>
              <w:spacing w:before="0" w:line="240" w:lineRule="auto"/>
              <w:jc w:val="right"/>
              <w:rPr>
                <w:rFonts w:eastAsia="Times New Roman" w:cs="Open Sans Light"/>
                <w:color w:val="000000"/>
                <w:sz w:val="16"/>
                <w:szCs w:val="16"/>
                <w:lang w:eastAsia="en-AU"/>
              </w:rPr>
            </w:pPr>
            <w:r w:rsidRPr="00E547E1">
              <w:rPr>
                <w:rFonts w:eastAsia="Times New Roman" w:cs="Open Sans Light"/>
                <w:color w:val="000000"/>
                <w:sz w:val="16"/>
                <w:szCs w:val="16"/>
                <w:lang w:eastAsia="en-AU"/>
              </w:rPr>
              <w:t>21</w:t>
            </w:r>
          </w:p>
        </w:tc>
        <w:tc>
          <w:tcPr>
            <w:tcW w:w="720" w:type="dxa"/>
            <w:tcBorders>
              <w:top w:val="single" w:sz="4" w:space="0" w:color="ADD6EA"/>
              <w:left w:val="nil"/>
              <w:bottom w:val="nil"/>
              <w:right w:val="nil"/>
            </w:tcBorders>
            <w:shd w:val="clear" w:color="auto" w:fill="auto"/>
            <w:noWrap/>
            <w:vAlign w:val="bottom"/>
            <w:hideMark/>
          </w:tcPr>
          <w:p w14:paraId="1DDF8FAB" w14:textId="77777777" w:rsidR="00E547E1" w:rsidRPr="00E547E1" w:rsidRDefault="00E547E1" w:rsidP="00E547E1">
            <w:pPr>
              <w:tabs>
                <w:tab w:val="clear" w:pos="567"/>
              </w:tabs>
              <w:spacing w:before="0" w:line="240" w:lineRule="auto"/>
              <w:jc w:val="right"/>
              <w:rPr>
                <w:rFonts w:eastAsia="Times New Roman" w:cs="Open Sans Light"/>
                <w:color w:val="000000"/>
                <w:sz w:val="16"/>
                <w:szCs w:val="16"/>
                <w:lang w:eastAsia="en-AU"/>
              </w:rPr>
            </w:pPr>
            <w:r w:rsidRPr="00E547E1">
              <w:rPr>
                <w:rFonts w:eastAsia="Times New Roman" w:cs="Open Sans Light"/>
                <w:color w:val="000000"/>
                <w:sz w:val="16"/>
                <w:szCs w:val="16"/>
                <w:lang w:eastAsia="en-AU"/>
              </w:rPr>
              <w:t>-4</w:t>
            </w:r>
          </w:p>
        </w:tc>
        <w:tc>
          <w:tcPr>
            <w:tcW w:w="720" w:type="dxa"/>
            <w:tcBorders>
              <w:top w:val="single" w:sz="4" w:space="0" w:color="ADD6EA"/>
              <w:left w:val="nil"/>
              <w:bottom w:val="nil"/>
              <w:right w:val="nil"/>
            </w:tcBorders>
            <w:shd w:val="clear" w:color="auto" w:fill="auto"/>
            <w:noWrap/>
            <w:vAlign w:val="bottom"/>
            <w:hideMark/>
          </w:tcPr>
          <w:p w14:paraId="249753F0" w14:textId="77777777" w:rsidR="00E547E1" w:rsidRPr="00E547E1" w:rsidRDefault="00E547E1" w:rsidP="00E547E1">
            <w:pPr>
              <w:tabs>
                <w:tab w:val="clear" w:pos="567"/>
              </w:tabs>
              <w:spacing w:before="0" w:line="240" w:lineRule="auto"/>
              <w:jc w:val="right"/>
              <w:rPr>
                <w:rFonts w:eastAsia="Times New Roman" w:cs="Open Sans Light"/>
                <w:color w:val="000000"/>
                <w:sz w:val="16"/>
                <w:szCs w:val="16"/>
                <w:lang w:eastAsia="en-AU"/>
              </w:rPr>
            </w:pPr>
            <w:r w:rsidRPr="00E547E1">
              <w:rPr>
                <w:rFonts w:eastAsia="Times New Roman" w:cs="Open Sans Light"/>
                <w:color w:val="000000"/>
                <w:sz w:val="16"/>
                <w:szCs w:val="16"/>
                <w:lang w:eastAsia="en-AU"/>
              </w:rPr>
              <w:t>21</w:t>
            </w:r>
          </w:p>
        </w:tc>
        <w:tc>
          <w:tcPr>
            <w:tcW w:w="780" w:type="dxa"/>
            <w:tcBorders>
              <w:top w:val="single" w:sz="4" w:space="0" w:color="ADD6EA"/>
              <w:left w:val="nil"/>
              <w:bottom w:val="nil"/>
              <w:right w:val="nil"/>
            </w:tcBorders>
            <w:shd w:val="clear" w:color="auto" w:fill="auto"/>
            <w:noWrap/>
            <w:vAlign w:val="bottom"/>
            <w:hideMark/>
          </w:tcPr>
          <w:p w14:paraId="5C7BD63C" w14:textId="77777777" w:rsidR="00E547E1" w:rsidRPr="00E547E1" w:rsidRDefault="00E547E1" w:rsidP="00E547E1">
            <w:pPr>
              <w:tabs>
                <w:tab w:val="clear" w:pos="567"/>
              </w:tabs>
              <w:spacing w:before="0" w:line="240" w:lineRule="auto"/>
              <w:jc w:val="right"/>
              <w:rPr>
                <w:rFonts w:eastAsia="Times New Roman" w:cs="Open Sans Light"/>
                <w:color w:val="000000"/>
                <w:sz w:val="16"/>
                <w:szCs w:val="16"/>
                <w:lang w:eastAsia="en-AU"/>
              </w:rPr>
            </w:pPr>
            <w:r w:rsidRPr="00E547E1">
              <w:rPr>
                <w:rFonts w:eastAsia="Times New Roman" w:cs="Open Sans Light"/>
                <w:color w:val="000000"/>
                <w:sz w:val="16"/>
                <w:szCs w:val="16"/>
                <w:lang w:eastAsia="en-AU"/>
              </w:rPr>
              <w:t>-1</w:t>
            </w:r>
          </w:p>
        </w:tc>
        <w:tc>
          <w:tcPr>
            <w:tcW w:w="840" w:type="dxa"/>
            <w:tcBorders>
              <w:top w:val="single" w:sz="4" w:space="0" w:color="ADD6EA"/>
              <w:left w:val="nil"/>
              <w:bottom w:val="nil"/>
              <w:right w:val="nil"/>
            </w:tcBorders>
            <w:shd w:val="clear" w:color="auto" w:fill="auto"/>
            <w:noWrap/>
            <w:vAlign w:val="bottom"/>
            <w:hideMark/>
          </w:tcPr>
          <w:p w14:paraId="15D6908B" w14:textId="77777777" w:rsidR="00E547E1" w:rsidRPr="00E547E1" w:rsidRDefault="00E547E1" w:rsidP="00E547E1">
            <w:pPr>
              <w:tabs>
                <w:tab w:val="clear" w:pos="567"/>
              </w:tabs>
              <w:spacing w:before="0" w:line="240" w:lineRule="auto"/>
              <w:jc w:val="right"/>
              <w:rPr>
                <w:rFonts w:eastAsia="Times New Roman" w:cs="Open Sans Light"/>
                <w:color w:val="000000"/>
                <w:sz w:val="16"/>
                <w:szCs w:val="16"/>
                <w:lang w:eastAsia="en-AU"/>
              </w:rPr>
            </w:pPr>
            <w:r w:rsidRPr="00E547E1">
              <w:rPr>
                <w:rFonts w:eastAsia="Times New Roman" w:cs="Open Sans Light"/>
                <w:color w:val="000000"/>
                <w:sz w:val="16"/>
                <w:szCs w:val="16"/>
                <w:lang w:eastAsia="en-AU"/>
              </w:rPr>
              <w:t>49</w:t>
            </w:r>
          </w:p>
        </w:tc>
        <w:tc>
          <w:tcPr>
            <w:tcW w:w="900" w:type="dxa"/>
            <w:tcBorders>
              <w:top w:val="single" w:sz="4" w:space="0" w:color="ADD6EA"/>
              <w:left w:val="nil"/>
              <w:bottom w:val="nil"/>
              <w:right w:val="nil"/>
            </w:tcBorders>
            <w:shd w:val="clear" w:color="auto" w:fill="auto"/>
            <w:noWrap/>
            <w:vAlign w:val="bottom"/>
            <w:hideMark/>
          </w:tcPr>
          <w:p w14:paraId="6373E8AE" w14:textId="77777777" w:rsidR="00E547E1" w:rsidRPr="00E547E1" w:rsidRDefault="00E547E1" w:rsidP="00E547E1">
            <w:pPr>
              <w:tabs>
                <w:tab w:val="clear" w:pos="567"/>
              </w:tabs>
              <w:spacing w:before="0" w:line="240" w:lineRule="auto"/>
              <w:jc w:val="right"/>
              <w:rPr>
                <w:rFonts w:eastAsia="Times New Roman" w:cs="Open Sans Light"/>
                <w:color w:val="000000"/>
                <w:sz w:val="16"/>
                <w:szCs w:val="16"/>
                <w:lang w:eastAsia="en-AU"/>
              </w:rPr>
            </w:pPr>
            <w:r w:rsidRPr="00E547E1">
              <w:rPr>
                <w:rFonts w:eastAsia="Times New Roman" w:cs="Open Sans Light"/>
                <w:color w:val="000000"/>
                <w:sz w:val="16"/>
                <w:szCs w:val="16"/>
                <w:lang w:eastAsia="en-AU"/>
              </w:rPr>
              <w:t>136</w:t>
            </w:r>
          </w:p>
        </w:tc>
      </w:tr>
      <w:tr w:rsidR="00E547E1" w:rsidRPr="00E547E1" w14:paraId="371A03ED" w14:textId="77777777" w:rsidTr="00E547E1">
        <w:trPr>
          <w:trHeight w:val="270"/>
        </w:trPr>
        <w:tc>
          <w:tcPr>
            <w:tcW w:w="1380" w:type="dxa"/>
            <w:tcBorders>
              <w:top w:val="single" w:sz="4" w:space="0" w:color="ADD6EA"/>
              <w:left w:val="nil"/>
              <w:bottom w:val="single" w:sz="4" w:space="0" w:color="ADD6EA"/>
              <w:right w:val="nil"/>
            </w:tcBorders>
            <w:shd w:val="clear" w:color="000000" w:fill="B6D5E4"/>
            <w:vAlign w:val="bottom"/>
            <w:hideMark/>
          </w:tcPr>
          <w:p w14:paraId="01593200" w14:textId="77777777" w:rsidR="00E547E1" w:rsidRPr="00E547E1" w:rsidRDefault="00E547E1" w:rsidP="00E547E1">
            <w:pPr>
              <w:tabs>
                <w:tab w:val="clear" w:pos="567"/>
              </w:tabs>
              <w:spacing w:before="0" w:line="240" w:lineRule="auto"/>
              <w:rPr>
                <w:rFonts w:ascii="Open Sans Semibold" w:eastAsia="Times New Roman" w:hAnsi="Open Sans Semibold" w:cs="Open Sans Semibold"/>
                <w:color w:val="000000"/>
                <w:sz w:val="16"/>
                <w:szCs w:val="16"/>
                <w:lang w:eastAsia="en-AU"/>
              </w:rPr>
            </w:pPr>
            <w:r w:rsidRPr="00E547E1">
              <w:rPr>
                <w:rFonts w:ascii="Open Sans Semibold" w:eastAsia="Times New Roman" w:hAnsi="Open Sans Semibold" w:cs="Open Sans Semibold"/>
                <w:color w:val="000000"/>
                <w:sz w:val="16"/>
                <w:szCs w:val="16"/>
                <w:lang w:eastAsia="en-AU"/>
              </w:rPr>
              <w:t>Total ($pc)</w:t>
            </w:r>
          </w:p>
        </w:tc>
        <w:tc>
          <w:tcPr>
            <w:tcW w:w="660" w:type="dxa"/>
            <w:tcBorders>
              <w:top w:val="single" w:sz="4" w:space="0" w:color="ADD6EA"/>
              <w:left w:val="nil"/>
              <w:bottom w:val="single" w:sz="4" w:space="0" w:color="ADD6EA"/>
              <w:right w:val="nil"/>
            </w:tcBorders>
            <w:shd w:val="clear" w:color="000000" w:fill="B6D5E4"/>
            <w:noWrap/>
            <w:vAlign w:val="bottom"/>
            <w:hideMark/>
          </w:tcPr>
          <w:p w14:paraId="55DFD8AE" w14:textId="77777777" w:rsidR="00E547E1" w:rsidRPr="00E547E1" w:rsidRDefault="00E547E1" w:rsidP="00E547E1">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547E1">
              <w:rPr>
                <w:rFonts w:ascii="Open Sans Semibold" w:eastAsia="Times New Roman" w:hAnsi="Open Sans Semibold" w:cs="Open Sans Semibold"/>
                <w:color w:val="000000"/>
                <w:sz w:val="16"/>
                <w:szCs w:val="16"/>
                <w:lang w:eastAsia="en-AU"/>
              </w:rPr>
              <w:t>-5</w:t>
            </w:r>
          </w:p>
        </w:tc>
        <w:tc>
          <w:tcPr>
            <w:tcW w:w="900" w:type="dxa"/>
            <w:tcBorders>
              <w:top w:val="single" w:sz="4" w:space="0" w:color="ADD6EA"/>
              <w:left w:val="nil"/>
              <w:bottom w:val="single" w:sz="4" w:space="0" w:color="ADD6EA"/>
              <w:right w:val="nil"/>
            </w:tcBorders>
            <w:shd w:val="clear" w:color="000000" w:fill="B6D5E4"/>
            <w:noWrap/>
            <w:vAlign w:val="bottom"/>
            <w:hideMark/>
          </w:tcPr>
          <w:p w14:paraId="07886B46" w14:textId="77777777" w:rsidR="00E547E1" w:rsidRPr="00E547E1" w:rsidRDefault="00E547E1" w:rsidP="00E547E1">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547E1">
              <w:rPr>
                <w:rFonts w:ascii="Open Sans Semibold" w:eastAsia="Times New Roman" w:hAnsi="Open Sans Semibold" w:cs="Open Sans Semibold"/>
                <w:color w:val="000000"/>
                <w:sz w:val="16"/>
                <w:szCs w:val="16"/>
                <w:lang w:eastAsia="en-AU"/>
              </w:rPr>
              <w:t>-13</w:t>
            </w:r>
          </w:p>
        </w:tc>
        <w:tc>
          <w:tcPr>
            <w:tcW w:w="740" w:type="dxa"/>
            <w:tcBorders>
              <w:top w:val="single" w:sz="4" w:space="0" w:color="ADD6EA"/>
              <w:left w:val="nil"/>
              <w:bottom w:val="single" w:sz="4" w:space="0" w:color="ADD6EA"/>
              <w:right w:val="nil"/>
            </w:tcBorders>
            <w:shd w:val="clear" w:color="000000" w:fill="B6D5E4"/>
            <w:noWrap/>
            <w:vAlign w:val="bottom"/>
            <w:hideMark/>
          </w:tcPr>
          <w:p w14:paraId="17881621" w14:textId="77777777" w:rsidR="00E547E1" w:rsidRPr="00E547E1" w:rsidRDefault="00E547E1" w:rsidP="00E547E1">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547E1">
              <w:rPr>
                <w:rFonts w:ascii="Open Sans Semibold" w:eastAsia="Times New Roman" w:hAnsi="Open Sans Semibold" w:cs="Open Sans Semibold"/>
                <w:color w:val="000000"/>
                <w:sz w:val="16"/>
                <w:szCs w:val="16"/>
                <w:lang w:eastAsia="en-AU"/>
              </w:rPr>
              <w:t>8</w:t>
            </w:r>
          </w:p>
        </w:tc>
        <w:tc>
          <w:tcPr>
            <w:tcW w:w="720" w:type="dxa"/>
            <w:tcBorders>
              <w:top w:val="single" w:sz="4" w:space="0" w:color="ADD6EA"/>
              <w:left w:val="nil"/>
              <w:bottom w:val="single" w:sz="4" w:space="0" w:color="ADD6EA"/>
              <w:right w:val="nil"/>
            </w:tcBorders>
            <w:shd w:val="clear" w:color="000000" w:fill="B6D5E4"/>
            <w:noWrap/>
            <w:vAlign w:val="bottom"/>
            <w:hideMark/>
          </w:tcPr>
          <w:p w14:paraId="5AC59E38" w14:textId="77777777" w:rsidR="00E547E1" w:rsidRPr="00E547E1" w:rsidRDefault="00E547E1" w:rsidP="00E547E1">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547E1">
              <w:rPr>
                <w:rFonts w:ascii="Open Sans Semibold" w:eastAsia="Times New Roman" w:hAnsi="Open Sans Semibold" w:cs="Open Sans Semibold"/>
                <w:color w:val="000000"/>
                <w:sz w:val="16"/>
                <w:szCs w:val="16"/>
                <w:lang w:eastAsia="en-AU"/>
              </w:rPr>
              <w:t>7</w:t>
            </w:r>
          </w:p>
        </w:tc>
        <w:tc>
          <w:tcPr>
            <w:tcW w:w="720" w:type="dxa"/>
            <w:tcBorders>
              <w:top w:val="single" w:sz="4" w:space="0" w:color="ADD6EA"/>
              <w:left w:val="nil"/>
              <w:bottom w:val="single" w:sz="4" w:space="0" w:color="ADD6EA"/>
              <w:right w:val="nil"/>
            </w:tcBorders>
            <w:shd w:val="clear" w:color="000000" w:fill="B6D5E4"/>
            <w:noWrap/>
            <w:vAlign w:val="bottom"/>
            <w:hideMark/>
          </w:tcPr>
          <w:p w14:paraId="6A53A6F4" w14:textId="77777777" w:rsidR="00E547E1" w:rsidRPr="00E547E1" w:rsidRDefault="00E547E1" w:rsidP="00E547E1">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547E1">
              <w:rPr>
                <w:rFonts w:ascii="Open Sans Semibold" w:eastAsia="Times New Roman" w:hAnsi="Open Sans Semibold" w:cs="Open Sans Semibold"/>
                <w:color w:val="000000"/>
                <w:sz w:val="16"/>
                <w:szCs w:val="16"/>
                <w:lang w:eastAsia="en-AU"/>
              </w:rPr>
              <w:t>-2</w:t>
            </w:r>
          </w:p>
        </w:tc>
        <w:tc>
          <w:tcPr>
            <w:tcW w:w="720" w:type="dxa"/>
            <w:tcBorders>
              <w:top w:val="single" w:sz="4" w:space="0" w:color="ADD6EA"/>
              <w:left w:val="nil"/>
              <w:bottom w:val="single" w:sz="4" w:space="0" w:color="ADD6EA"/>
              <w:right w:val="nil"/>
            </w:tcBorders>
            <w:shd w:val="clear" w:color="000000" w:fill="B6D5E4"/>
            <w:noWrap/>
            <w:vAlign w:val="bottom"/>
            <w:hideMark/>
          </w:tcPr>
          <w:p w14:paraId="2638CBF7" w14:textId="77777777" w:rsidR="00E547E1" w:rsidRPr="00E547E1" w:rsidRDefault="00E547E1" w:rsidP="00E547E1">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547E1">
              <w:rPr>
                <w:rFonts w:ascii="Open Sans Semibold" w:eastAsia="Times New Roman" w:hAnsi="Open Sans Semibold" w:cs="Open Sans Semibold"/>
                <w:color w:val="000000"/>
                <w:sz w:val="16"/>
                <w:szCs w:val="16"/>
                <w:lang w:eastAsia="en-AU"/>
              </w:rPr>
              <w:t>36</w:t>
            </w:r>
          </w:p>
        </w:tc>
        <w:tc>
          <w:tcPr>
            <w:tcW w:w="780" w:type="dxa"/>
            <w:tcBorders>
              <w:top w:val="single" w:sz="4" w:space="0" w:color="ADD6EA"/>
              <w:left w:val="nil"/>
              <w:bottom w:val="single" w:sz="4" w:space="0" w:color="ADD6EA"/>
              <w:right w:val="nil"/>
            </w:tcBorders>
            <w:shd w:val="clear" w:color="000000" w:fill="B6D5E4"/>
            <w:noWrap/>
            <w:vAlign w:val="bottom"/>
            <w:hideMark/>
          </w:tcPr>
          <w:p w14:paraId="6BF576BA" w14:textId="77777777" w:rsidR="00E547E1" w:rsidRPr="00E547E1" w:rsidRDefault="00E547E1" w:rsidP="00E547E1">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547E1">
              <w:rPr>
                <w:rFonts w:ascii="Open Sans Semibold" w:eastAsia="Times New Roman" w:hAnsi="Open Sans Semibold" w:cs="Open Sans Semibold"/>
                <w:color w:val="000000"/>
                <w:sz w:val="16"/>
                <w:szCs w:val="16"/>
                <w:lang w:eastAsia="en-AU"/>
              </w:rPr>
              <w:t>-2</w:t>
            </w:r>
          </w:p>
        </w:tc>
        <w:tc>
          <w:tcPr>
            <w:tcW w:w="840" w:type="dxa"/>
            <w:tcBorders>
              <w:top w:val="single" w:sz="4" w:space="0" w:color="ADD6EA"/>
              <w:left w:val="nil"/>
              <w:bottom w:val="single" w:sz="4" w:space="0" w:color="ADD6EA"/>
              <w:right w:val="nil"/>
            </w:tcBorders>
            <w:shd w:val="clear" w:color="000000" w:fill="B6D5E4"/>
            <w:noWrap/>
            <w:vAlign w:val="bottom"/>
            <w:hideMark/>
          </w:tcPr>
          <w:p w14:paraId="42D8C005" w14:textId="77777777" w:rsidR="00E547E1" w:rsidRPr="00E547E1" w:rsidRDefault="00E547E1" w:rsidP="00E547E1">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547E1">
              <w:rPr>
                <w:rFonts w:ascii="Open Sans Semibold" w:eastAsia="Times New Roman" w:hAnsi="Open Sans Semibold" w:cs="Open Sans Semibold"/>
                <w:color w:val="000000"/>
                <w:sz w:val="16"/>
                <w:szCs w:val="16"/>
                <w:lang w:eastAsia="en-AU"/>
              </w:rPr>
              <w:t>190</w:t>
            </w:r>
          </w:p>
        </w:tc>
        <w:tc>
          <w:tcPr>
            <w:tcW w:w="900" w:type="dxa"/>
            <w:tcBorders>
              <w:top w:val="single" w:sz="4" w:space="0" w:color="ADD6EA"/>
              <w:left w:val="nil"/>
              <w:bottom w:val="single" w:sz="4" w:space="0" w:color="ADD6EA"/>
              <w:right w:val="nil"/>
            </w:tcBorders>
            <w:shd w:val="clear" w:color="000000" w:fill="B6D5E4"/>
            <w:noWrap/>
            <w:vAlign w:val="bottom"/>
            <w:hideMark/>
          </w:tcPr>
          <w:p w14:paraId="104B62CD" w14:textId="77777777" w:rsidR="00E547E1" w:rsidRPr="00E547E1" w:rsidRDefault="00E547E1" w:rsidP="00E547E1">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547E1">
              <w:rPr>
                <w:rFonts w:ascii="Open Sans Semibold" w:eastAsia="Times New Roman" w:hAnsi="Open Sans Semibold" w:cs="Open Sans Semibold"/>
                <w:color w:val="000000"/>
                <w:sz w:val="16"/>
                <w:szCs w:val="16"/>
                <w:lang w:eastAsia="en-AU"/>
              </w:rPr>
              <w:t>5</w:t>
            </w:r>
          </w:p>
        </w:tc>
      </w:tr>
    </w:tbl>
    <w:p w14:paraId="40AFEC60" w14:textId="3788F093" w:rsidR="00E50E6C" w:rsidRPr="006C2533" w:rsidRDefault="00290CB3" w:rsidP="00E50E6C">
      <w:pPr>
        <w:pStyle w:val="CGCTablenote"/>
        <w:rPr>
          <w:rFonts w:ascii="Work Sans" w:hAnsi="Work Sans"/>
        </w:rPr>
      </w:pPr>
      <w:r>
        <w:rPr>
          <w:rFonts w:ascii="Work Sans" w:hAnsi="Work Sans"/>
        </w:rPr>
        <w:t>Source</w:t>
      </w:r>
      <w:r w:rsidR="00E50E6C" w:rsidRPr="006C2533">
        <w:rPr>
          <w:rFonts w:ascii="Work Sans" w:hAnsi="Work Sans"/>
        </w:rPr>
        <w:t>: Commission calculation, 2023 Update.</w:t>
      </w:r>
    </w:p>
    <w:p w14:paraId="354C3E8B" w14:textId="325A3C56" w:rsidR="00E2013D" w:rsidRPr="00E2013D" w:rsidRDefault="00E2013D" w:rsidP="001F5114">
      <w:pPr>
        <w:pStyle w:val="CGC2025ParaNumbers"/>
      </w:pPr>
      <w:r>
        <w:t xml:space="preserve">Further detail on service provision arrangements, the range of services included within this category and the underlying conceptual cases for the assessment methods are explained in Volume 2 </w:t>
      </w:r>
      <w:r w:rsidRPr="6C712F4C">
        <w:rPr>
          <w:i/>
          <w:iCs/>
        </w:rPr>
        <w:t>Chapter 14 – Post-secondary education</w:t>
      </w:r>
      <w:r>
        <w:t xml:space="preserve"> of the </w:t>
      </w:r>
      <w:hyperlink r:id="rId21">
        <w:r w:rsidRPr="001F5114">
          <w:rPr>
            <w:rStyle w:val="Hyperlink"/>
          </w:rPr>
          <w:t>Report on GST Revenue Sharing Relativities, 2020 Review.</w:t>
        </w:r>
      </w:hyperlink>
    </w:p>
    <w:p w14:paraId="49083529" w14:textId="77777777" w:rsidR="00D45001" w:rsidRDefault="00D45001" w:rsidP="001F458A">
      <w:pPr>
        <w:pStyle w:val="Heading2"/>
      </w:pPr>
      <w:bookmarkStart w:id="28" w:name="_Toc138146315"/>
      <w:r w:rsidRPr="00D45001">
        <w:t>What has changed since the 2020 Review?</w:t>
      </w:r>
      <w:bookmarkEnd w:id="16"/>
      <w:bookmarkEnd w:id="17"/>
      <w:bookmarkEnd w:id="18"/>
      <w:bookmarkEnd w:id="19"/>
      <w:bookmarkEnd w:id="28"/>
      <w:r w:rsidRPr="00D45001">
        <w:t xml:space="preserve"> </w:t>
      </w:r>
      <w:bookmarkEnd w:id="20"/>
    </w:p>
    <w:p w14:paraId="5AEC377D" w14:textId="77777777" w:rsidR="00E2013D" w:rsidRPr="00C46389" w:rsidRDefault="00E2013D" w:rsidP="00E2013D">
      <w:pPr>
        <w:pStyle w:val="Heading3"/>
      </w:pPr>
      <w:bookmarkStart w:id="29" w:name="_Toc128669058"/>
      <w:bookmarkStart w:id="30" w:name="_Toc128752024"/>
      <w:bookmarkStart w:id="31" w:name="_Toc138146316"/>
      <w:r w:rsidRPr="00C46389">
        <w:t xml:space="preserve">The Australian labour market is </w:t>
      </w:r>
      <w:proofErr w:type="gramStart"/>
      <w:r w:rsidRPr="00C46389">
        <w:t>evolving</w:t>
      </w:r>
      <w:bookmarkEnd w:id="31"/>
      <w:proofErr w:type="gramEnd"/>
    </w:p>
    <w:p w14:paraId="3319AF32" w14:textId="12A1FF2D" w:rsidR="00E2013D" w:rsidRPr="00C46389" w:rsidRDefault="00E2013D" w:rsidP="00E2013D">
      <w:pPr>
        <w:pStyle w:val="CGC2025ParaNumbers"/>
      </w:pPr>
      <w:r w:rsidRPr="00C46389">
        <w:t>Since 2020, unemployment rates</w:t>
      </w:r>
      <w:r>
        <w:t xml:space="preserve"> have fallen</w:t>
      </w:r>
      <w:r w:rsidRPr="00C46389">
        <w:t xml:space="preserve"> and the occupational mix </w:t>
      </w:r>
      <w:r>
        <w:t xml:space="preserve">of those employed </w:t>
      </w:r>
      <w:r w:rsidRPr="00C46389">
        <w:t xml:space="preserve">has changed, largely in line with longer term trends. </w:t>
      </w:r>
    </w:p>
    <w:p w14:paraId="5D5322E6" w14:textId="02199033" w:rsidR="00037E9B" w:rsidRPr="00500855" w:rsidRDefault="00E2013D" w:rsidP="00500855">
      <w:pPr>
        <w:pStyle w:val="CGC2025ParaNumbers"/>
        <w:rPr>
          <w:rFonts w:ascii="Calibri" w:hAnsi="Calibri"/>
        </w:rPr>
      </w:pPr>
      <w:r w:rsidRPr="00C46389">
        <w:lastRenderedPageBreak/>
        <w:t>Between November 2019 and November 2022, 63% of all employment growth was in skill level 1 occupations</w:t>
      </w:r>
      <w:r w:rsidR="00AF13EB">
        <w:t xml:space="preserve"> </w:t>
      </w:r>
      <w:r w:rsidR="00B16405">
        <w:t>(</w:t>
      </w:r>
      <w:r w:rsidRPr="00C46389">
        <w:t>where university qualifications are the primary pathway</w:t>
      </w:r>
      <w:r w:rsidR="00B16405">
        <w:t>)</w:t>
      </w:r>
      <w:r w:rsidRPr="00C46389">
        <w:t xml:space="preserve">, with 40% in skill level 2-4 (where </w:t>
      </w:r>
      <w:r w:rsidR="007778E2">
        <w:t>vocational education and training</w:t>
      </w:r>
      <w:r w:rsidRPr="00C46389">
        <w:t xml:space="preserve"> qualifications are the primary pathway). There has been a 3% decline in employment in skill level 5</w:t>
      </w:r>
      <w:r w:rsidR="00AF63A3">
        <w:t> </w:t>
      </w:r>
      <w:r w:rsidRPr="00C46389">
        <w:t>jobs (</w:t>
      </w:r>
      <w:r w:rsidR="009C3A49">
        <w:t>where jobs</w:t>
      </w:r>
      <w:r w:rsidR="009C3A49" w:rsidRPr="00C46389">
        <w:t xml:space="preserve"> </w:t>
      </w:r>
      <w:r w:rsidRPr="00C46389">
        <w:t xml:space="preserve">do not typically require a post—school qualification). </w:t>
      </w:r>
      <w:bookmarkEnd w:id="29"/>
      <w:bookmarkEnd w:id="30"/>
    </w:p>
    <w:p w14:paraId="1BBEE3F8" w14:textId="5D27DCEC" w:rsidR="00E2013D" w:rsidRDefault="00E2013D" w:rsidP="00E2013D">
      <w:pPr>
        <w:pStyle w:val="Heading3"/>
      </w:pPr>
      <w:bookmarkStart w:id="32" w:name="_Toc138146317"/>
      <w:r>
        <w:t xml:space="preserve">Policies are changing and relative spending has been </w:t>
      </w:r>
      <w:proofErr w:type="gramStart"/>
      <w:r>
        <w:t>declining</w:t>
      </w:r>
      <w:bookmarkEnd w:id="32"/>
      <w:proofErr w:type="gramEnd"/>
    </w:p>
    <w:p w14:paraId="053C70BF" w14:textId="6280FFD2" w:rsidR="00E2013D" w:rsidRDefault="00E2013D" w:rsidP="00E2013D">
      <w:pPr>
        <w:pStyle w:val="CGC2025ParaNumbers"/>
      </w:pPr>
      <w:r w:rsidRPr="003B3BE0">
        <w:t>Since the initial move to demand</w:t>
      </w:r>
      <w:r>
        <w:t>-</w:t>
      </w:r>
      <w:r w:rsidRPr="003B3BE0">
        <w:t xml:space="preserve">driven </w:t>
      </w:r>
      <w:r w:rsidR="00433A3E">
        <w:t>v</w:t>
      </w:r>
      <w:r w:rsidR="004C2289" w:rsidRPr="00E2013D">
        <w:t xml:space="preserve">ocational </w:t>
      </w:r>
      <w:r w:rsidR="00433A3E">
        <w:t>e</w:t>
      </w:r>
      <w:r w:rsidR="004C2289" w:rsidRPr="00E2013D">
        <w:t xml:space="preserve">ducation and </w:t>
      </w:r>
      <w:r w:rsidR="00433A3E">
        <w:t>t</w:t>
      </w:r>
      <w:r w:rsidR="004C2289" w:rsidRPr="00E2013D">
        <w:t>raining</w:t>
      </w:r>
      <w:r w:rsidR="00CA146C">
        <w:t xml:space="preserve"> </w:t>
      </w:r>
      <w:r w:rsidRPr="003B3BE0">
        <w:t>funding by Victoria and South Australia more than a decade ago, there has been a gradual tightening of student entitlements</w:t>
      </w:r>
      <w:r w:rsidR="009259B5">
        <w:t>.</w:t>
      </w:r>
      <w:r w:rsidRPr="003B3BE0">
        <w:t xml:space="preserve"> </w:t>
      </w:r>
      <w:r w:rsidR="009259B5">
        <w:t>This</w:t>
      </w:r>
      <w:r w:rsidRPr="003B3BE0">
        <w:t xml:space="preserve"> ensure</w:t>
      </w:r>
      <w:r w:rsidR="009259B5">
        <w:t>s</w:t>
      </w:r>
      <w:r w:rsidRPr="003B3BE0">
        <w:t xml:space="preserve"> government subsidies are more </w:t>
      </w:r>
      <w:r w:rsidRPr="00AC3AE7">
        <w:t>align</w:t>
      </w:r>
      <w:r>
        <w:t>ed</w:t>
      </w:r>
      <w:r w:rsidRPr="00AC3AE7">
        <w:t xml:space="preserve"> with current and emerging industry needs</w:t>
      </w:r>
      <w:r w:rsidRPr="003B3BE0">
        <w:t xml:space="preserve">. </w:t>
      </w:r>
      <w:r>
        <w:t xml:space="preserve">Recently, the Commonwealth and states have introduced programs to jointly fund </w:t>
      </w:r>
      <w:r w:rsidRPr="00333068">
        <w:t>low and no</w:t>
      </w:r>
      <w:r>
        <w:t>-</w:t>
      </w:r>
      <w:r w:rsidRPr="00333068">
        <w:t xml:space="preserve">fee </w:t>
      </w:r>
      <w:r>
        <w:t xml:space="preserve">courses, with the aim of </w:t>
      </w:r>
      <w:r w:rsidRPr="00333068">
        <w:t>increas</w:t>
      </w:r>
      <w:r>
        <w:t xml:space="preserve">ing </w:t>
      </w:r>
      <w:r w:rsidR="00BC14E8">
        <w:t>v</w:t>
      </w:r>
      <w:r w:rsidR="00544085" w:rsidRPr="00E2013D">
        <w:t xml:space="preserve">ocational </w:t>
      </w:r>
      <w:r w:rsidR="00BC14E8">
        <w:t>e</w:t>
      </w:r>
      <w:r w:rsidR="00544085" w:rsidRPr="00E2013D">
        <w:t xml:space="preserve">ducation and </w:t>
      </w:r>
      <w:r w:rsidR="00BC14E8">
        <w:t>t</w:t>
      </w:r>
      <w:r w:rsidR="00544085" w:rsidRPr="00E2013D">
        <w:t>raining</w:t>
      </w:r>
      <w:r w:rsidR="00CA146C">
        <w:t xml:space="preserve"> </w:t>
      </w:r>
      <w:r w:rsidRPr="00333068">
        <w:t>participation, particularly in areas where there are skill shortages.</w:t>
      </w:r>
      <w:r>
        <w:t xml:space="preserve"> </w:t>
      </w:r>
    </w:p>
    <w:p w14:paraId="7ABE0615" w14:textId="000C546D" w:rsidR="00E2013D" w:rsidRDefault="00E2013D" w:rsidP="00E2013D">
      <w:pPr>
        <w:pStyle w:val="CGC2025ParaNumbers"/>
      </w:pPr>
      <w:r>
        <w:t xml:space="preserve">In addition to the tightening of student entitlements and introducing low or no-fee </w:t>
      </w:r>
      <w:r w:rsidR="00801131">
        <w:t>v</w:t>
      </w:r>
      <w:r w:rsidR="00544085" w:rsidRPr="00E2013D">
        <w:t xml:space="preserve">ocational </w:t>
      </w:r>
      <w:r w:rsidR="00801131">
        <w:t>e</w:t>
      </w:r>
      <w:r w:rsidR="00544085" w:rsidRPr="00E2013D">
        <w:t xml:space="preserve">ducation and </w:t>
      </w:r>
      <w:r w:rsidR="00801131">
        <w:t>t</w:t>
      </w:r>
      <w:r w:rsidR="00544085" w:rsidRPr="00E2013D">
        <w:t>raining</w:t>
      </w:r>
      <w:r w:rsidR="00CA146C">
        <w:t xml:space="preserve"> </w:t>
      </w:r>
      <w:r>
        <w:t xml:space="preserve">courses, all governments have committed to increasing real investment in the </w:t>
      </w:r>
      <w:r w:rsidR="00290CB3">
        <w:t>v</w:t>
      </w:r>
      <w:r w:rsidR="00544085" w:rsidRPr="00E2013D">
        <w:t xml:space="preserve">ocational </w:t>
      </w:r>
      <w:r w:rsidR="00290CB3">
        <w:t>e</w:t>
      </w:r>
      <w:r w:rsidR="00544085" w:rsidRPr="00E2013D">
        <w:t xml:space="preserve">ducation and </w:t>
      </w:r>
      <w:r w:rsidR="00290CB3">
        <w:t>t</w:t>
      </w:r>
      <w:r w:rsidR="00544085" w:rsidRPr="00E2013D">
        <w:t>raining</w:t>
      </w:r>
      <w:r w:rsidR="00CA146C">
        <w:t xml:space="preserve"> </w:t>
      </w:r>
      <w:r>
        <w:t>system. All states have agreed to work together to adopt a new funding model that improves n</w:t>
      </w:r>
      <w:r w:rsidRPr="00911FE3">
        <w:t>ational consistency for students, integrates subsidies and loans, and is linked with efficient pricing and skills need</w:t>
      </w:r>
      <w:r>
        <w:t>s</w:t>
      </w:r>
      <w:r w:rsidRPr="00911FE3">
        <w:t>. This work is likely to be completed towards the end of th</w:t>
      </w:r>
      <w:r>
        <w:t>is</w:t>
      </w:r>
      <w:r w:rsidRPr="00911FE3">
        <w:t xml:space="preserve"> review and may tie in with the next 5</w:t>
      </w:r>
      <w:r>
        <w:noBreakHyphen/>
      </w:r>
      <w:r w:rsidRPr="00911FE3">
        <w:t xml:space="preserve">yearly National Skills Agreement, </w:t>
      </w:r>
      <w:r w:rsidR="00F2678C">
        <w:t xml:space="preserve">which is </w:t>
      </w:r>
      <w:r w:rsidRPr="00911FE3">
        <w:t>du</w:t>
      </w:r>
      <w:r>
        <w:t>e to commence in 2024. There is also a push for greater standardisation of courses across jurisdictions.</w:t>
      </w:r>
    </w:p>
    <w:p w14:paraId="66FC4465" w14:textId="7A27830F" w:rsidR="00E547E1" w:rsidRDefault="00E2013D" w:rsidP="00E2013D">
      <w:pPr>
        <w:pStyle w:val="CGC2025ParaNumbers"/>
      </w:pPr>
      <w:r>
        <w:t xml:space="preserve">These initiatives are likely to result in an increase in </w:t>
      </w:r>
      <w:r w:rsidR="00FD1048">
        <w:t>v</w:t>
      </w:r>
      <w:r w:rsidR="004E5707" w:rsidRPr="00E2013D">
        <w:t xml:space="preserve">ocational </w:t>
      </w:r>
      <w:r w:rsidR="00FD1048">
        <w:t>e</w:t>
      </w:r>
      <w:r w:rsidR="004E5707" w:rsidRPr="00E2013D">
        <w:t xml:space="preserve">ducation and </w:t>
      </w:r>
      <w:r w:rsidR="00FD1048">
        <w:t>t</w:t>
      </w:r>
      <w:r w:rsidR="004E5707" w:rsidRPr="00E2013D">
        <w:t>raining</w:t>
      </w:r>
      <w:r w:rsidR="00CA146C">
        <w:t xml:space="preserve"> </w:t>
      </w:r>
      <w:r>
        <w:t xml:space="preserve">participation and </w:t>
      </w:r>
      <w:r w:rsidR="00F11DDB">
        <w:t xml:space="preserve">related </w:t>
      </w:r>
      <w:r>
        <w:t xml:space="preserve">state </w:t>
      </w:r>
      <w:proofErr w:type="gramStart"/>
      <w:r>
        <w:t>expenses</w:t>
      </w:r>
      <w:r w:rsidR="007D1BFC">
        <w:t>,</w:t>
      </w:r>
      <w:r>
        <w:t xml:space="preserve"> and</w:t>
      </w:r>
      <w:proofErr w:type="gramEnd"/>
      <w:r>
        <w:t xml:space="preserve"> may result in changes to use rates among different socio-demographic groups. State spending on post-secondary education has been falling relative to other state spending, with relatively slow growth in nominal expenditure. The reforms described above may lead to a reversal, or at least a slowing, of this decline.</w:t>
      </w:r>
      <w:r w:rsidR="00CA146C">
        <w:t xml:space="preserve"> </w:t>
      </w:r>
    </w:p>
    <w:p w14:paraId="2558C7DC" w14:textId="77777777" w:rsidR="00E547E1" w:rsidRDefault="00E547E1">
      <w:pPr>
        <w:tabs>
          <w:tab w:val="clear" w:pos="567"/>
        </w:tabs>
        <w:spacing w:before="0" w:after="200" w:line="276" w:lineRule="auto"/>
        <w:rPr>
          <w:rFonts w:ascii="Work Sans" w:hAnsi="Work Sans"/>
          <w:szCs w:val="24"/>
        </w:rPr>
      </w:pPr>
      <w:r>
        <w:br w:type="page"/>
      </w:r>
    </w:p>
    <w:p w14:paraId="2A9B4F57" w14:textId="18A63CC5" w:rsidR="0067584C" w:rsidRDefault="00A07463" w:rsidP="00441E86">
      <w:pPr>
        <w:pStyle w:val="CGC2025Caption"/>
        <w:tabs>
          <w:tab w:val="left" w:pos="1134"/>
        </w:tabs>
      </w:pPr>
      <w:r>
        <w:lastRenderedPageBreak/>
        <w:t xml:space="preserve">Figure </w:t>
      </w:r>
      <w:fldSimple w:instr=" SEQ Figure \* ARABIC ">
        <w:r w:rsidR="00A009E6">
          <w:rPr>
            <w:noProof/>
          </w:rPr>
          <w:t>2</w:t>
        </w:r>
      </w:fldSimple>
      <w:r w:rsidR="00441E86">
        <w:tab/>
      </w:r>
      <w:proofErr w:type="gramStart"/>
      <w:r w:rsidR="0067584C">
        <w:t>P</w:t>
      </w:r>
      <w:r w:rsidR="00F43EA6">
        <w:t>ost</w:t>
      </w:r>
      <w:r w:rsidR="00C92B47">
        <w:t>-secondary</w:t>
      </w:r>
      <w:proofErr w:type="gramEnd"/>
      <w:r w:rsidR="00C92B47">
        <w:t xml:space="preserve"> education as proportion of total state expenses</w:t>
      </w:r>
    </w:p>
    <w:p w14:paraId="5F0EADB0" w14:textId="5AA473B4" w:rsidR="00FA6E5C" w:rsidRDefault="00B43D1D" w:rsidP="00C92B47">
      <w:pPr>
        <w:pStyle w:val="CGC2025Caption"/>
      </w:pPr>
      <w:r>
        <w:rPr>
          <w:noProof/>
        </w:rPr>
        <w:drawing>
          <wp:inline distT="0" distB="0" distL="0" distR="0" wp14:anchorId="3537943A" wp14:editId="5A6FDE4F">
            <wp:extent cx="5663565" cy="35788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63565" cy="3578860"/>
                    </a:xfrm>
                    <a:prstGeom prst="rect">
                      <a:avLst/>
                    </a:prstGeom>
                    <a:noFill/>
                  </pic:spPr>
                </pic:pic>
              </a:graphicData>
            </a:graphic>
          </wp:inline>
        </w:drawing>
      </w:r>
    </w:p>
    <w:p w14:paraId="3F5299AA" w14:textId="76AF26B4" w:rsidR="004C2356" w:rsidRPr="006C2533" w:rsidRDefault="00561E76" w:rsidP="003B308F">
      <w:pPr>
        <w:pStyle w:val="CGCTablenote"/>
        <w:tabs>
          <w:tab w:val="clear" w:pos="567"/>
        </w:tabs>
        <w:ind w:left="567" w:hanging="454"/>
        <w:rPr>
          <w:rFonts w:ascii="Work Sans" w:hAnsi="Work Sans"/>
        </w:rPr>
      </w:pPr>
      <w:r w:rsidRPr="006C2533">
        <w:rPr>
          <w:rFonts w:ascii="Work Sans" w:hAnsi="Work Sans"/>
        </w:rPr>
        <w:t xml:space="preserve">Note: Numbers in this figure </w:t>
      </w:r>
      <w:proofErr w:type="gramStart"/>
      <w:r w:rsidRPr="006C2533">
        <w:rPr>
          <w:rFonts w:ascii="Work Sans" w:hAnsi="Work Sans"/>
        </w:rPr>
        <w:t>compare</w:t>
      </w:r>
      <w:proofErr w:type="gramEnd"/>
      <w:r w:rsidRPr="006C2533">
        <w:rPr>
          <w:rFonts w:ascii="Work Sans" w:hAnsi="Work Sans"/>
        </w:rPr>
        <w:t xml:space="preserve"> to total expenses, excluding investment, and differ from estimates in </w:t>
      </w:r>
      <w:r w:rsidR="0074480F" w:rsidRPr="006C2533">
        <w:rPr>
          <w:rFonts w:ascii="Work Sans" w:hAnsi="Work Sans"/>
          <w:highlight w:val="yellow"/>
        </w:rPr>
        <w:fldChar w:fldCharType="begin"/>
      </w:r>
      <w:r w:rsidR="0074480F" w:rsidRPr="006C2533">
        <w:rPr>
          <w:rFonts w:ascii="Work Sans" w:hAnsi="Work Sans"/>
        </w:rPr>
        <w:instrText xml:space="preserve"> REF _Ref134181088 \h </w:instrText>
      </w:r>
      <w:r w:rsidR="006C2533">
        <w:rPr>
          <w:rFonts w:ascii="Work Sans" w:hAnsi="Work Sans"/>
          <w:highlight w:val="yellow"/>
        </w:rPr>
        <w:instrText xml:space="preserve"> \* MERGEFORMAT </w:instrText>
      </w:r>
      <w:r w:rsidR="0074480F" w:rsidRPr="006C2533">
        <w:rPr>
          <w:rFonts w:ascii="Work Sans" w:hAnsi="Work Sans"/>
          <w:highlight w:val="yellow"/>
        </w:rPr>
      </w:r>
      <w:r w:rsidR="0074480F" w:rsidRPr="006C2533">
        <w:rPr>
          <w:rFonts w:ascii="Work Sans" w:hAnsi="Work Sans"/>
          <w:highlight w:val="yellow"/>
        </w:rPr>
        <w:fldChar w:fldCharType="separate"/>
      </w:r>
      <w:r w:rsidR="00A009E6" w:rsidRPr="00A009E6">
        <w:rPr>
          <w:rFonts w:ascii="Work Sans" w:hAnsi="Work Sans"/>
        </w:rPr>
        <w:t xml:space="preserve">Table </w:t>
      </w:r>
      <w:r w:rsidR="00A009E6" w:rsidRPr="00A009E6">
        <w:rPr>
          <w:rFonts w:ascii="Work Sans" w:hAnsi="Work Sans"/>
          <w:noProof/>
        </w:rPr>
        <w:t>2</w:t>
      </w:r>
      <w:r w:rsidR="0074480F" w:rsidRPr="006C2533">
        <w:rPr>
          <w:rFonts w:ascii="Work Sans" w:hAnsi="Work Sans"/>
          <w:highlight w:val="yellow"/>
        </w:rPr>
        <w:fldChar w:fldCharType="end"/>
      </w:r>
      <w:r w:rsidR="0074480F" w:rsidRPr="006C2533">
        <w:rPr>
          <w:rFonts w:ascii="Work Sans" w:hAnsi="Work Sans"/>
        </w:rPr>
        <w:t xml:space="preserve"> </w:t>
      </w:r>
      <w:r w:rsidRPr="006C2533">
        <w:rPr>
          <w:rFonts w:ascii="Work Sans" w:hAnsi="Work Sans"/>
        </w:rPr>
        <w:t xml:space="preserve">which compare to </w:t>
      </w:r>
      <w:r w:rsidRPr="006C2533" w:rsidDel="007C1584">
        <w:rPr>
          <w:rFonts w:ascii="Work Sans" w:hAnsi="Work Sans"/>
        </w:rPr>
        <w:t>total</w:t>
      </w:r>
      <w:r w:rsidR="00CA146C" w:rsidRPr="006C2533" w:rsidDel="007C1584">
        <w:rPr>
          <w:rFonts w:ascii="Work Sans" w:hAnsi="Work Sans"/>
        </w:rPr>
        <w:t xml:space="preserve"> </w:t>
      </w:r>
      <w:r w:rsidR="007C1584" w:rsidRPr="006C2533">
        <w:rPr>
          <w:rFonts w:ascii="Work Sans" w:hAnsi="Work Sans"/>
        </w:rPr>
        <w:t>expenditure</w:t>
      </w:r>
      <w:r w:rsidRPr="006C2533">
        <w:rPr>
          <w:rFonts w:ascii="Work Sans" w:hAnsi="Work Sans"/>
        </w:rPr>
        <w:t xml:space="preserve"> including investment.</w:t>
      </w:r>
    </w:p>
    <w:p w14:paraId="31CD0A5D" w14:textId="43BCDE9F" w:rsidR="00E547E1" w:rsidRPr="006C2533" w:rsidRDefault="00E547E1" w:rsidP="00E547E1">
      <w:pPr>
        <w:pStyle w:val="CGCTablenote"/>
        <w:rPr>
          <w:rFonts w:ascii="Work Sans" w:hAnsi="Work Sans"/>
        </w:rPr>
      </w:pPr>
      <w:r w:rsidRPr="006C2533">
        <w:rPr>
          <w:rFonts w:ascii="Work Sans" w:hAnsi="Work Sans"/>
        </w:rPr>
        <w:t>Source: Commission calculation</w:t>
      </w:r>
    </w:p>
    <w:p w14:paraId="741B4A81" w14:textId="35B9E5DA" w:rsidR="00E2013D" w:rsidRDefault="00E2013D" w:rsidP="00E2013D">
      <w:pPr>
        <w:pStyle w:val="Heading3"/>
      </w:pPr>
      <w:bookmarkStart w:id="33" w:name="_Toc128669059"/>
      <w:bookmarkStart w:id="34" w:name="_Toc128752025"/>
      <w:bookmarkStart w:id="35" w:name="_Toc138146318"/>
      <w:r>
        <w:t xml:space="preserve">New data have become </w:t>
      </w:r>
      <w:proofErr w:type="gramStart"/>
      <w:r>
        <w:t>available</w:t>
      </w:r>
      <w:bookmarkEnd w:id="33"/>
      <w:bookmarkEnd w:id="34"/>
      <w:bookmarkEnd w:id="35"/>
      <w:proofErr w:type="gramEnd"/>
    </w:p>
    <w:p w14:paraId="560626E1" w14:textId="3BF69094" w:rsidR="00E2013D" w:rsidRPr="00E2013D" w:rsidRDefault="00E2013D" w:rsidP="00E2013D">
      <w:pPr>
        <w:pStyle w:val="CGC2025ParaNumbers"/>
      </w:pPr>
      <w:r w:rsidRPr="00A1297A" w:rsidDel="00450E39">
        <w:t xml:space="preserve">The Commission has </w:t>
      </w:r>
      <w:r>
        <w:t xml:space="preserve">recently identified that </w:t>
      </w:r>
      <w:r w:rsidRPr="00A1297A">
        <w:t xml:space="preserve">the </w:t>
      </w:r>
      <w:r>
        <w:t xml:space="preserve">National Centre for Vocational Education Research </w:t>
      </w:r>
      <w:r w:rsidRPr="00A1297A">
        <w:t xml:space="preserve">produces data that measure the effect of states </w:t>
      </w:r>
      <w:proofErr w:type="gramStart"/>
      <w:r w:rsidRPr="00A1297A">
        <w:t>providing  different</w:t>
      </w:r>
      <w:proofErr w:type="gramEnd"/>
      <w:r w:rsidRPr="00A1297A">
        <w:t xml:space="preserve"> mix</w:t>
      </w:r>
      <w:r w:rsidR="003849A3">
        <w:t>es</w:t>
      </w:r>
      <w:r w:rsidRPr="00A1297A">
        <w:t xml:space="preserve"> of courses, and </w:t>
      </w:r>
      <w:r w:rsidR="00164A78">
        <w:t xml:space="preserve">that </w:t>
      </w:r>
      <w:r w:rsidR="00601EEC">
        <w:t>different</w:t>
      </w:r>
      <w:r w:rsidRPr="00A1297A">
        <w:t xml:space="preserve"> courses hav</w:t>
      </w:r>
      <w:r w:rsidR="00DB47D4">
        <w:t>e</w:t>
      </w:r>
      <w:r w:rsidRPr="00A1297A">
        <w:t xml:space="preserve"> different costs of provision. </w:t>
      </w:r>
    </w:p>
    <w:p w14:paraId="450E74DB" w14:textId="77777777" w:rsidR="00BB7B9C" w:rsidRPr="00BB7B9C" w:rsidRDefault="00BB7B9C" w:rsidP="00BB7B9C">
      <w:pPr>
        <w:pStyle w:val="Heading2"/>
      </w:pPr>
      <w:bookmarkStart w:id="36" w:name="_Toc121741487"/>
      <w:bookmarkStart w:id="37" w:name="_Toc127428353"/>
      <w:bookmarkStart w:id="38" w:name="_Toc132729106"/>
      <w:bookmarkStart w:id="39" w:name="_Toc133236151"/>
      <w:bookmarkStart w:id="40" w:name="_Toc133236177"/>
      <w:bookmarkStart w:id="41" w:name="_Toc138146319"/>
      <w:r w:rsidRPr="00BB7B9C">
        <w:t>Implications for assessment</w:t>
      </w:r>
      <w:bookmarkEnd w:id="36"/>
      <w:bookmarkEnd w:id="37"/>
      <w:bookmarkEnd w:id="38"/>
      <w:bookmarkEnd w:id="39"/>
      <w:bookmarkEnd w:id="40"/>
      <w:bookmarkEnd w:id="41"/>
    </w:p>
    <w:p w14:paraId="56A5DDB5" w14:textId="5FF05929" w:rsidR="00E2013D" w:rsidRDefault="00E2013D" w:rsidP="00E2013D">
      <w:pPr>
        <w:pStyle w:val="CGC2025ParaNumbers"/>
      </w:pPr>
      <w:bookmarkStart w:id="42" w:name="_Toc132729107"/>
      <w:bookmarkStart w:id="43" w:name="_Toc133236152"/>
      <w:bookmarkStart w:id="44" w:name="_Toc133236178"/>
      <w:r>
        <w:t>The Commission has identified several issues for consideration</w:t>
      </w:r>
      <w:r w:rsidR="0000006B">
        <w:t>:</w:t>
      </w:r>
    </w:p>
    <w:p w14:paraId="34375507" w14:textId="77777777" w:rsidR="00E2013D" w:rsidRPr="00E2013D" w:rsidRDefault="00E2013D" w:rsidP="00E2013D">
      <w:pPr>
        <w:pStyle w:val="CGC2025Bullet1"/>
      </w:pPr>
      <w:r w:rsidRPr="00E2013D">
        <w:t>Do the social, economic or policy changes challenge the appropriateness of the current assessment?</w:t>
      </w:r>
    </w:p>
    <w:p w14:paraId="49C5B313" w14:textId="63D855C0" w:rsidR="00E2013D" w:rsidRPr="00E2013D" w:rsidRDefault="00E2013D" w:rsidP="00E2013D">
      <w:pPr>
        <w:pStyle w:val="CGC2025Bullet1"/>
      </w:pPr>
      <w:r w:rsidRPr="00E2013D">
        <w:t>Do new data mean that a course mix driver should be assessed?</w:t>
      </w:r>
    </w:p>
    <w:p w14:paraId="4073CF52" w14:textId="77777777" w:rsidR="00E2013D" w:rsidRPr="00E2013D" w:rsidRDefault="00E2013D" w:rsidP="00E2013D">
      <w:pPr>
        <w:pStyle w:val="CGC2025Bullet1"/>
      </w:pPr>
      <w:r w:rsidRPr="00E2013D">
        <w:t>Does the socio-demographic composition driver need to be adjusted?</w:t>
      </w:r>
    </w:p>
    <w:p w14:paraId="35E55A73" w14:textId="77777777" w:rsidR="00E2013D" w:rsidRPr="00E2013D" w:rsidRDefault="00E2013D" w:rsidP="00E2013D">
      <w:pPr>
        <w:pStyle w:val="CGC2025Bullet1"/>
      </w:pPr>
      <w:r w:rsidRPr="00E2013D">
        <w:t>Do the cost weights need to be adjusted?</w:t>
      </w:r>
    </w:p>
    <w:p w14:paraId="3ACBC991" w14:textId="77777777" w:rsidR="00DA5B6D" w:rsidRDefault="00DA5B6D" w:rsidP="00DA5B6D">
      <w:pPr>
        <w:pStyle w:val="Heading3"/>
        <w:keepLines/>
      </w:pPr>
      <w:bookmarkStart w:id="45" w:name="_Toc128669061"/>
      <w:bookmarkStart w:id="46" w:name="_Toc128752027"/>
      <w:bookmarkStart w:id="47" w:name="_Toc138146320"/>
      <w:bookmarkEnd w:id="42"/>
      <w:bookmarkEnd w:id="43"/>
      <w:bookmarkEnd w:id="44"/>
      <w:r>
        <w:t>Do the social, economic or policy changes challenge the appropriateness of the current assessment?</w:t>
      </w:r>
      <w:bookmarkEnd w:id="45"/>
      <w:bookmarkEnd w:id="46"/>
      <w:bookmarkEnd w:id="47"/>
    </w:p>
    <w:p w14:paraId="370086B5" w14:textId="60FEA461" w:rsidR="00DA5B6D" w:rsidRPr="00A1297A" w:rsidRDefault="06FD8BCA" w:rsidP="00DA5B6D">
      <w:pPr>
        <w:pStyle w:val="CGC2025ParaNumbers"/>
      </w:pPr>
      <w:r w:rsidRPr="00A1297A">
        <w:t xml:space="preserve">The Commission is not aware of any </w:t>
      </w:r>
      <w:r>
        <w:t xml:space="preserve">changes </w:t>
      </w:r>
      <w:r w:rsidRPr="00A1297A">
        <w:t xml:space="preserve">that would mean that </w:t>
      </w:r>
      <w:r>
        <w:t>socio</w:t>
      </w:r>
      <w:r w:rsidR="0000006B">
        <w:noBreakHyphen/>
      </w:r>
      <w:r w:rsidR="4E770FCD">
        <w:t>d</w:t>
      </w:r>
      <w:r>
        <w:t>emographic composition</w:t>
      </w:r>
      <w:r w:rsidRPr="00A1297A">
        <w:t xml:space="preserve"> factors are no longer the primary driver of need. </w:t>
      </w:r>
      <w:r>
        <w:lastRenderedPageBreak/>
        <w:t xml:space="preserve">While changes </w:t>
      </w:r>
      <w:r w:rsidRPr="00A1297A">
        <w:t xml:space="preserve">to the </w:t>
      </w:r>
      <w:r>
        <w:t>labour market or</w:t>
      </w:r>
      <w:r w:rsidRPr="00A1297A">
        <w:t xml:space="preserve"> </w:t>
      </w:r>
      <w:r w:rsidR="00826B02">
        <w:t>v</w:t>
      </w:r>
      <w:r w:rsidR="004E5707" w:rsidRPr="00E2013D">
        <w:t xml:space="preserve">ocational </w:t>
      </w:r>
      <w:r w:rsidR="00826B02">
        <w:t>e</w:t>
      </w:r>
      <w:r w:rsidR="004E5707" w:rsidRPr="00E2013D">
        <w:t xml:space="preserve">ducation and </w:t>
      </w:r>
      <w:r w:rsidR="00826B02">
        <w:t>t</w:t>
      </w:r>
      <w:r w:rsidR="004E5707" w:rsidRPr="00E2013D">
        <w:t>raining</w:t>
      </w:r>
      <w:r w:rsidR="00CA146C">
        <w:t xml:space="preserve"> </w:t>
      </w:r>
      <w:r w:rsidRPr="00A1297A">
        <w:t xml:space="preserve">sector may change the use rates and costs for different socio-demographic groups, the current assessment methods should appropriately capture these changes as they occur. This is because the assessment uses </w:t>
      </w:r>
      <w:r>
        <w:t xml:space="preserve">contemporaneous </w:t>
      </w:r>
      <w:r w:rsidRPr="00A1297A">
        <w:t xml:space="preserve">annual data and </w:t>
      </w:r>
      <w:r>
        <w:t xml:space="preserve">so </w:t>
      </w:r>
      <w:r w:rsidRPr="00A1297A">
        <w:t xml:space="preserve">will reflect </w:t>
      </w:r>
      <w:r>
        <w:t>changes</w:t>
      </w:r>
      <w:r w:rsidRPr="00A1297A">
        <w:t xml:space="preserve"> in service use by different socio-demographic groups. </w:t>
      </w:r>
    </w:p>
    <w:p w14:paraId="2A3CAF16" w14:textId="40D5C492" w:rsidR="00DA5B6D" w:rsidRDefault="00DA5B6D" w:rsidP="00DA5B6D">
      <w:pPr>
        <w:pStyle w:val="Heading3"/>
      </w:pPr>
      <w:bookmarkStart w:id="48" w:name="_Toc128669062"/>
      <w:bookmarkStart w:id="49" w:name="_Toc128752028"/>
      <w:bookmarkStart w:id="50" w:name="_Toc138146321"/>
      <w:r>
        <w:t xml:space="preserve">Do new data mean that </w:t>
      </w:r>
      <w:r w:rsidRPr="003D59E8">
        <w:t xml:space="preserve">a course mix driver </w:t>
      </w:r>
      <w:r>
        <w:t>should be assessed</w:t>
      </w:r>
      <w:r w:rsidRPr="003D59E8">
        <w:t>?</w:t>
      </w:r>
      <w:bookmarkEnd w:id="48"/>
      <w:bookmarkEnd w:id="49"/>
      <w:bookmarkEnd w:id="50"/>
    </w:p>
    <w:p w14:paraId="7515B6F5" w14:textId="23F50C49" w:rsidR="00DA5B6D" w:rsidRDefault="00DA5B6D" w:rsidP="00DA5B6D">
      <w:pPr>
        <w:pStyle w:val="CGC2025ParaNumbers"/>
      </w:pPr>
      <w:r>
        <w:t xml:space="preserve">In previous reviews, states have argued that the </w:t>
      </w:r>
      <w:r w:rsidR="00C34722">
        <w:t>p</w:t>
      </w:r>
      <w:r>
        <w:t>ost-secondary education assessment should recognise additional drivers of state spending</w:t>
      </w:r>
      <w:r w:rsidR="00D60E66">
        <w:t>,</w:t>
      </w:r>
      <w:r>
        <w:t xml:space="preserve"> including course mix. Differences in the industry structure of states may lead to students enrolling in different courses in different states. Some courses are more expensive to provide than others.</w:t>
      </w:r>
    </w:p>
    <w:p w14:paraId="5D18B848" w14:textId="77777777" w:rsidR="00DA5B6D" w:rsidRDefault="00DA5B6D" w:rsidP="00DA5B6D">
      <w:pPr>
        <w:pStyle w:val="CGC2025ParaNumbers"/>
      </w:pPr>
      <w:r>
        <w:t xml:space="preserve">In the 2020 Review, the Commission accepted the conceptual case for including a course mix driver, noting the influence of state industry profiles on course mix and costs. However, no data were found to incorporate a course mix driver. </w:t>
      </w:r>
    </w:p>
    <w:p w14:paraId="186295EC" w14:textId="04CD5DCE" w:rsidR="00DA5B6D" w:rsidRDefault="00DA5B6D" w:rsidP="00DA5B6D">
      <w:pPr>
        <w:pStyle w:val="CGC2025ParaNumbers"/>
      </w:pPr>
      <w:r>
        <w:t xml:space="preserve">The </w:t>
      </w:r>
      <w:r w:rsidDel="00FF102D">
        <w:t xml:space="preserve">Commission has </w:t>
      </w:r>
      <w:r>
        <w:t>recently identified a National Centre for Vocational Education Research measure of the average course mix cost weights of the states</w:t>
      </w:r>
      <w:r w:rsidR="00774CD1">
        <w:t>.</w:t>
      </w:r>
      <w:r>
        <w:rPr>
          <w:rStyle w:val="FootnoteReference"/>
        </w:rPr>
        <w:footnoteReference w:id="4"/>
      </w:r>
      <w:r>
        <w:t xml:space="preserve"> The weights incorporate the differences in enrolment patterns between states and the costs of 12 fields of study. For most states, the mix of courses means the average cost is close to the national average. However, students in the Northern Territory study courses that are 4% more costly than average (</w:t>
      </w:r>
      <w:r w:rsidR="0074480F">
        <w:fldChar w:fldCharType="begin"/>
      </w:r>
      <w:r w:rsidR="0074480F">
        <w:instrText xml:space="preserve"> REF _Ref134181105 \h </w:instrText>
      </w:r>
      <w:r w:rsidR="0074480F">
        <w:fldChar w:fldCharType="separate"/>
      </w:r>
      <w:r w:rsidR="00A009E6">
        <w:t xml:space="preserve">Table </w:t>
      </w:r>
      <w:r w:rsidR="00A009E6">
        <w:rPr>
          <w:noProof/>
        </w:rPr>
        <w:t>5</w:t>
      </w:r>
      <w:r w:rsidR="0074480F">
        <w:fldChar w:fldCharType="end"/>
      </w:r>
      <w:r w:rsidRPr="001B2E17">
        <w:t>)</w:t>
      </w:r>
      <w:r>
        <w:t xml:space="preserve">. Based on the 2023 Update, the Northern Territory would need to spend $492 per capita to deliver the national average standard of post-secondary education. If this were 4% higher, to account for the course mix of Northern Territory students, the Northern Territory would require an additional $21 per capita in GST. </w:t>
      </w:r>
      <w:r w:rsidRPr="00B94128">
        <w:t>This is not material for any state</w:t>
      </w:r>
      <w:r>
        <w:t xml:space="preserve">. </w:t>
      </w:r>
    </w:p>
    <w:p w14:paraId="191E4A91" w14:textId="25D65860" w:rsidR="00DA5B6D" w:rsidRDefault="00DA5B6D" w:rsidP="00DA5B6D">
      <w:pPr>
        <w:pStyle w:val="CGC2025ParaNumbers"/>
      </w:pPr>
      <w:r w:rsidRPr="00C46389">
        <w:t xml:space="preserve">As state labour markets and needs for skills continue to evolve </w:t>
      </w:r>
      <w:proofErr w:type="gramStart"/>
      <w:r w:rsidRPr="00C46389">
        <w:t>in light of</w:t>
      </w:r>
      <w:proofErr w:type="gramEnd"/>
      <w:r w:rsidRPr="00C46389">
        <w:t xml:space="preserve"> social, economic and industry policy changes, these course mix cost differentials may change.</w:t>
      </w:r>
    </w:p>
    <w:p w14:paraId="3484CD0B" w14:textId="3DA6EDA5" w:rsidR="00C8669A" w:rsidRDefault="00441E86" w:rsidP="00441E86">
      <w:pPr>
        <w:pStyle w:val="CGC2025Caption"/>
        <w:tabs>
          <w:tab w:val="left" w:pos="1134"/>
          <w:tab w:val="left" w:pos="1560"/>
        </w:tabs>
      </w:pPr>
      <w:bookmarkStart w:id="51" w:name="_Ref134181105"/>
      <w:r>
        <w:t xml:space="preserve">Table </w:t>
      </w:r>
      <w:fldSimple w:instr=" SEQ Table \* ARABIC ">
        <w:r w:rsidR="00A009E6">
          <w:rPr>
            <w:noProof/>
          </w:rPr>
          <w:t>5</w:t>
        </w:r>
      </w:fldSimple>
      <w:bookmarkEnd w:id="51"/>
      <w:r>
        <w:tab/>
      </w:r>
      <w:r w:rsidR="00480BB7">
        <w:t>Materiality of a course mix driver, 2023</w:t>
      </w:r>
      <w:r w:rsidR="005C3428">
        <w:t>–</w:t>
      </w:r>
      <w:r w:rsidR="00480BB7">
        <w:t>24</w:t>
      </w:r>
    </w:p>
    <w:p w14:paraId="2DC3BD5F" w14:textId="00716EE9" w:rsidR="00C8669A" w:rsidRDefault="00C8669A" w:rsidP="00264FD6">
      <w:r w:rsidRPr="00C8669A">
        <w:rPr>
          <w:noProof/>
        </w:rPr>
        <w:drawing>
          <wp:inline distT="0" distB="0" distL="0" distR="0" wp14:anchorId="73D22CF7" wp14:editId="7FA53865">
            <wp:extent cx="5581650" cy="100203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81650" cy="1002030"/>
                    </a:xfrm>
                    <a:prstGeom prst="rect">
                      <a:avLst/>
                    </a:prstGeom>
                    <a:noFill/>
                    <a:ln>
                      <a:noFill/>
                    </a:ln>
                  </pic:spPr>
                </pic:pic>
              </a:graphicData>
            </a:graphic>
          </wp:inline>
        </w:drawing>
      </w:r>
    </w:p>
    <w:p w14:paraId="4F233927" w14:textId="74A0A00C" w:rsidR="00223ED2" w:rsidRPr="006C2533" w:rsidRDefault="00223ED2" w:rsidP="00223ED2">
      <w:pPr>
        <w:pStyle w:val="CGCTablenote"/>
        <w:rPr>
          <w:rFonts w:ascii="Work Sans" w:hAnsi="Work Sans"/>
        </w:rPr>
      </w:pPr>
      <w:r w:rsidRPr="006C2533">
        <w:rPr>
          <w:rFonts w:ascii="Work Sans" w:hAnsi="Work Sans"/>
        </w:rPr>
        <w:t xml:space="preserve">Source: Commission calculation using </w:t>
      </w:r>
      <w:r w:rsidR="00747447" w:rsidRPr="006C2533">
        <w:rPr>
          <w:rFonts w:ascii="Work Sans" w:hAnsi="Work Sans"/>
        </w:rPr>
        <w:t>National Centre for Vocational Education Research</w:t>
      </w:r>
      <w:r w:rsidRPr="006C2533">
        <w:rPr>
          <w:rFonts w:ascii="Work Sans" w:hAnsi="Work Sans"/>
        </w:rPr>
        <w:t xml:space="preserve"> course mix weights for 2020.</w:t>
      </w:r>
    </w:p>
    <w:p w14:paraId="59B1D361" w14:textId="5D9FC6D0" w:rsidR="00EB0B35" w:rsidRPr="00C46389" w:rsidRDefault="00842BC9" w:rsidP="00EB0B35">
      <w:pPr>
        <w:pStyle w:val="CGC2025ParaNumbers"/>
      </w:pPr>
      <w:r>
        <w:lastRenderedPageBreak/>
        <w:t>T</w:t>
      </w:r>
      <w:r w:rsidR="00EB0B35">
        <w:t xml:space="preserve">he </w:t>
      </w:r>
      <w:r w:rsidR="00EB0B35" w:rsidRPr="00B94128">
        <w:t>Commission</w:t>
      </w:r>
      <w:r w:rsidR="00B361E2" w:rsidRPr="00B94128">
        <w:t>’</w:t>
      </w:r>
      <w:r w:rsidR="00EB0B35" w:rsidRPr="00B94128">
        <w:t>s preliminary view</w:t>
      </w:r>
      <w:r w:rsidR="00EB0B35">
        <w:t xml:space="preserve"> </w:t>
      </w:r>
      <w:r w:rsidR="00DA4D63">
        <w:t xml:space="preserve">is </w:t>
      </w:r>
      <w:r w:rsidR="00EB0B35">
        <w:t>that a course mix adjustment should not be introduced as it is not material.</w:t>
      </w:r>
    </w:p>
    <w:p w14:paraId="5D4A45BC" w14:textId="77777777" w:rsidR="00B42EA7" w:rsidRDefault="00B42EA7" w:rsidP="00B42EA7">
      <w:pPr>
        <w:pStyle w:val="Heading4"/>
      </w:pPr>
      <w:r>
        <w:t>Consultation question</w:t>
      </w:r>
    </w:p>
    <w:p w14:paraId="0562388F" w14:textId="77777777" w:rsidR="00B42EA7" w:rsidRDefault="00B42EA7" w:rsidP="00B42EA7">
      <w:r w:rsidRPr="001C4DF3">
        <w:rPr>
          <w:noProof/>
        </w:rPr>
        <mc:AlternateContent>
          <mc:Choice Requires="wps">
            <w:drawing>
              <wp:inline distT="0" distB="0" distL="0" distR="0" wp14:anchorId="6D7A5D3C" wp14:editId="00EBA278">
                <wp:extent cx="5648325" cy="396815"/>
                <wp:effectExtent l="0" t="0" r="9525" b="3810"/>
                <wp:docPr id="8"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48325" cy="396815"/>
                        </a:xfrm>
                        <a:prstGeom prst="rect">
                          <a:avLst/>
                        </a:prstGeom>
                        <a:solidFill>
                          <a:srgbClr val="EBF3F5"/>
                        </a:solidFill>
                        <a:ln w="25400" cap="flat" cmpd="sng" algn="ctr">
                          <a:noFill/>
                          <a:prstDash val="solid"/>
                        </a:ln>
                        <a:effectLst/>
                      </wps:spPr>
                      <wps:txbx>
                        <w:txbxContent>
                          <w:p w14:paraId="5BA2FF48" w14:textId="6E40D5F1" w:rsidR="00DA5B6D" w:rsidRPr="005B4DCE" w:rsidRDefault="0071634C" w:rsidP="005B4DCE">
                            <w:pPr>
                              <w:pStyle w:val="CGC2025QuestionNumbers"/>
                            </w:pPr>
                            <w:r w:rsidRPr="00B94128">
                              <w:t xml:space="preserve">Do </w:t>
                            </w:r>
                            <w:r w:rsidR="00B22CE3" w:rsidRPr="00B94128">
                              <w:t>s</w:t>
                            </w:r>
                            <w:r w:rsidRPr="00B94128">
                              <w:t>tates agree</w:t>
                            </w:r>
                            <w:r>
                              <w:t xml:space="preserve"> that</w:t>
                            </w:r>
                            <w:r w:rsidR="00B361E2">
                              <w:t xml:space="preserve"> </w:t>
                            </w:r>
                            <w:r w:rsidR="00DA5B6D" w:rsidRPr="005B4DCE">
                              <w:t xml:space="preserve">a course mix </w:t>
                            </w:r>
                            <w:r w:rsidR="007B1E40">
                              <w:t>driver</w:t>
                            </w:r>
                            <w:r>
                              <w:t xml:space="preserve"> </w:t>
                            </w:r>
                            <w:r w:rsidR="00B361E2">
                              <w:t>should</w:t>
                            </w:r>
                            <w:r w:rsidR="00207B88">
                              <w:t xml:space="preserve"> not</w:t>
                            </w:r>
                            <w:r>
                              <w:t xml:space="preserve"> </w:t>
                            </w:r>
                            <w:r w:rsidR="00B361E2">
                              <w:t xml:space="preserve">be </w:t>
                            </w:r>
                            <w:r>
                              <w:t>introduced</w:t>
                            </w:r>
                            <w:r w:rsidR="002A184B">
                              <w:t>?</w:t>
                            </w:r>
                            <w:r w:rsidR="00DA5B6D" w:rsidRPr="005B4DCE">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D7A5D3C" id="Rectangle 8" o:spid="_x0000_s1029" alt="&quot;&quot;" style="width:444.75pt;height:3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" fillcolor="#ebf3f5" stroked="f" strokeweight="2pt">
                <v:textbox>
                  <w:txbxContent>
                    <w:p w14:paraId="5BA2FF48" w14:textId="6E40D5F1" w:rsidR="00DA5B6D" w:rsidRPr="005B4DCE" w:rsidRDefault="0071634C" w:rsidP="005B4DCE">
                      <w:pPr>
                        <w:pStyle w:val="CGC2025QuestionNumbers"/>
                      </w:pPr>
                      <w:r w:rsidRPr="00B94128">
                        <w:t xml:space="preserve">Do </w:t>
                      </w:r>
                      <w:r w:rsidR="00B22CE3" w:rsidRPr="00B94128">
                        <w:t>s</w:t>
                      </w:r>
                      <w:r w:rsidRPr="00B94128">
                        <w:t>tates agree</w:t>
                      </w:r>
                      <w:r>
                        <w:t xml:space="preserve"> that</w:t>
                      </w:r>
                      <w:r w:rsidR="00B361E2">
                        <w:t xml:space="preserve"> </w:t>
                      </w:r>
                      <w:r w:rsidR="00DA5B6D" w:rsidRPr="005B4DCE">
                        <w:t xml:space="preserve">a course mix </w:t>
                      </w:r>
                      <w:r w:rsidR="007B1E40">
                        <w:t>driver</w:t>
                      </w:r>
                      <w:r>
                        <w:t xml:space="preserve"> </w:t>
                      </w:r>
                      <w:r w:rsidR="00B361E2">
                        <w:t>should</w:t>
                      </w:r>
                      <w:r w:rsidR="00207B88">
                        <w:t xml:space="preserve"> not</w:t>
                      </w:r>
                      <w:r>
                        <w:t xml:space="preserve"> </w:t>
                      </w:r>
                      <w:r w:rsidR="00B361E2">
                        <w:t xml:space="preserve">be </w:t>
                      </w:r>
                      <w:r>
                        <w:t>introduced</w:t>
                      </w:r>
                      <w:r w:rsidR="002A184B">
                        <w:t>?</w:t>
                      </w:r>
                      <w:r w:rsidR="00DA5B6D" w:rsidRPr="005B4DCE">
                        <w:t xml:space="preserve"> </w:t>
                      </w:r>
                    </w:p>
                  </w:txbxContent>
                </v:textbox>
                <w10:anchorlock/>
              </v:rect>
            </w:pict>
          </mc:Fallback>
        </mc:AlternateContent>
      </w:r>
    </w:p>
    <w:p w14:paraId="0BB70998" w14:textId="77777777" w:rsidR="00DA5B6D" w:rsidRDefault="00DA5B6D" w:rsidP="00E63DEE">
      <w:pPr>
        <w:pStyle w:val="Heading3"/>
      </w:pPr>
      <w:bookmarkStart w:id="52" w:name="_Toc128669063"/>
      <w:bookmarkStart w:id="53" w:name="_Toc128752029"/>
      <w:bookmarkStart w:id="54" w:name="_Toc138146322"/>
      <w:r>
        <w:t>Does the socio-demographic composition driver need to be adjusted?</w:t>
      </w:r>
      <w:bookmarkEnd w:id="52"/>
      <w:bookmarkEnd w:id="53"/>
      <w:bookmarkEnd w:id="54"/>
    </w:p>
    <w:p w14:paraId="07F7C1B9" w14:textId="7C3910C9" w:rsidR="00DA5B6D" w:rsidRPr="00390F15" w:rsidRDefault="06FD8BCA" w:rsidP="00DA5B6D">
      <w:pPr>
        <w:pStyle w:val="CGC2025ParaNumbers"/>
      </w:pPr>
      <w:r w:rsidRPr="0955323A">
        <w:t>The 2020</w:t>
      </w:r>
      <w:r>
        <w:t> </w:t>
      </w:r>
      <w:r w:rsidRPr="0955323A">
        <w:t>Review method recognises that spending by each state on post</w:t>
      </w:r>
      <w:r w:rsidR="00DA5B6D">
        <w:noBreakHyphen/>
      </w:r>
      <w:r w:rsidRPr="0955323A">
        <w:t>secondary education services is affected by the size of its working age (15</w:t>
      </w:r>
      <w:r w:rsidR="004B68D8">
        <w:t>-</w:t>
      </w:r>
      <w:r w:rsidRPr="0955323A">
        <w:t>64 years) population and the presence of those population groups that use services more intensively</w:t>
      </w:r>
      <w:r w:rsidR="00720204">
        <w:t>. These include</w:t>
      </w:r>
      <w:r w:rsidRPr="0955323A">
        <w:t>:</w:t>
      </w:r>
    </w:p>
    <w:p w14:paraId="46CF7DD8" w14:textId="77777777" w:rsidR="00DA5B6D" w:rsidRDefault="00DA5B6D" w:rsidP="00DA5B6D">
      <w:pPr>
        <w:pStyle w:val="CGC2025Bullet1"/>
      </w:pPr>
      <w:r w:rsidRPr="0071D25A">
        <w:t xml:space="preserve">First Nations </w:t>
      </w:r>
      <w:r w:rsidRPr="6603BE58">
        <w:t>people</w:t>
      </w:r>
    </w:p>
    <w:p w14:paraId="211BA4AF" w14:textId="77777777" w:rsidR="00DA5B6D" w:rsidRDefault="00DA5B6D" w:rsidP="00DA5B6D">
      <w:pPr>
        <w:pStyle w:val="CGC2025Bullet1"/>
      </w:pPr>
      <w:r w:rsidRPr="6603BE58">
        <w:t xml:space="preserve">people living in less remote </w:t>
      </w:r>
      <w:proofErr w:type="gramStart"/>
      <w:r w:rsidRPr="6603BE58">
        <w:t>areas</w:t>
      </w:r>
      <w:proofErr w:type="gramEnd"/>
    </w:p>
    <w:p w14:paraId="3C897F8D" w14:textId="77777777" w:rsidR="00DA5B6D" w:rsidRDefault="00DA5B6D" w:rsidP="00DA5B6D">
      <w:pPr>
        <w:pStyle w:val="CGC2025Bullet1"/>
      </w:pPr>
      <w:r w:rsidRPr="6603BE58">
        <w:t>socio-economically disadvantaged people living in non-remote areas.</w:t>
      </w:r>
    </w:p>
    <w:p w14:paraId="01EF23FC" w14:textId="3445E3FC" w:rsidR="00DA5B6D" w:rsidRDefault="06FD8BCA" w:rsidP="00DA5B6D">
      <w:pPr>
        <w:pStyle w:val="CGC2025ParaNumbers"/>
      </w:pPr>
      <w:r>
        <w:t>Annual data capture any change in the socio-demographic groups that use post</w:t>
      </w:r>
      <w:r w:rsidR="009F4BDE">
        <w:noBreakHyphen/>
      </w:r>
      <w:r w:rsidR="20CF8A7C">
        <w:t>s</w:t>
      </w:r>
      <w:r>
        <w:t>econdary education. However, it is normal practice in a review for the Commission to re-examine service use patterns using the latest available data to determine if the socio-demographic composition breakdown adopted in the previous review remains appropriate.</w:t>
      </w:r>
    </w:p>
    <w:p w14:paraId="4E443344" w14:textId="26E1237D" w:rsidR="00DA5B6D" w:rsidRPr="00DA5B6D" w:rsidRDefault="00DA5B6D" w:rsidP="00DA5B6D">
      <w:pPr>
        <w:pStyle w:val="CGC2025ParaNumbers"/>
      </w:pPr>
      <w:r w:rsidRPr="6C712F4C">
        <w:t xml:space="preserve">The use of </w:t>
      </w:r>
      <w:r w:rsidR="007A030A">
        <w:t>v</w:t>
      </w:r>
      <w:r w:rsidR="004E5707" w:rsidRPr="00E2013D">
        <w:t xml:space="preserve">ocational </w:t>
      </w:r>
      <w:r w:rsidR="007A030A">
        <w:t>e</w:t>
      </w:r>
      <w:r w:rsidR="004E5707" w:rsidRPr="00E2013D">
        <w:t xml:space="preserve">ducation and </w:t>
      </w:r>
      <w:r w:rsidR="007A030A">
        <w:t>t</w:t>
      </w:r>
      <w:r w:rsidR="004E5707" w:rsidRPr="00E2013D">
        <w:t>raining</w:t>
      </w:r>
      <w:r w:rsidR="00CA146C">
        <w:t xml:space="preserve"> </w:t>
      </w:r>
      <w:r w:rsidRPr="6C712F4C">
        <w:t>services is higher among 15</w:t>
      </w:r>
      <w:r w:rsidR="00AF63A3">
        <w:noBreakHyphen/>
      </w:r>
      <w:r w:rsidRPr="6C712F4C">
        <w:t>24</w:t>
      </w:r>
      <w:r w:rsidR="003D7421">
        <w:t> </w:t>
      </w:r>
      <w:r w:rsidRPr="6C712F4C">
        <w:t>year</w:t>
      </w:r>
      <w:r w:rsidR="00085077">
        <w:noBreakHyphen/>
      </w:r>
      <w:r w:rsidRPr="6C712F4C">
        <w:t xml:space="preserve">olds than among older </w:t>
      </w:r>
      <w:r>
        <w:t xml:space="preserve">working </w:t>
      </w:r>
      <w:r w:rsidRPr="6C712F4C">
        <w:t xml:space="preserve">age groups. However, given that state shares are similar for the groups within the </w:t>
      </w:r>
      <w:proofErr w:type="gramStart"/>
      <w:r w:rsidRPr="6C712F4C">
        <w:t>15-64</w:t>
      </w:r>
      <w:r>
        <w:t xml:space="preserve"> </w:t>
      </w:r>
      <w:r w:rsidRPr="6C712F4C">
        <w:t>year</w:t>
      </w:r>
      <w:proofErr w:type="gramEnd"/>
      <w:r w:rsidRPr="6C712F4C">
        <w:t xml:space="preserve"> age group, there </w:t>
      </w:r>
      <w:r>
        <w:t>appears to be</w:t>
      </w:r>
      <w:r w:rsidRPr="6C712F4C">
        <w:t xml:space="preserve"> little value in the added complexity of disaggregating age groups further.</w:t>
      </w:r>
      <w:r>
        <w:t xml:space="preserve"> Less than 1% of enrolled hours are for people aged 65 and over. </w:t>
      </w:r>
    </w:p>
    <w:p w14:paraId="272E02E9" w14:textId="2E0607AF" w:rsidR="00747447" w:rsidRDefault="0074480F" w:rsidP="00DA5B6D">
      <w:pPr>
        <w:pStyle w:val="CGC2025ParaNumbers"/>
      </w:pPr>
      <w:r>
        <w:rPr>
          <w:highlight w:val="yellow"/>
        </w:rPr>
        <w:fldChar w:fldCharType="begin"/>
      </w:r>
      <w:r>
        <w:instrText xml:space="preserve"> REF _Ref134181122 \h </w:instrText>
      </w:r>
      <w:r>
        <w:rPr>
          <w:highlight w:val="yellow"/>
        </w:rPr>
      </w:r>
      <w:r>
        <w:rPr>
          <w:highlight w:val="yellow"/>
        </w:rPr>
        <w:fldChar w:fldCharType="separate"/>
      </w:r>
      <w:r w:rsidR="00A009E6">
        <w:t xml:space="preserve">Figure </w:t>
      </w:r>
      <w:r w:rsidR="00A009E6">
        <w:rPr>
          <w:noProof/>
        </w:rPr>
        <w:t>3</w:t>
      </w:r>
      <w:r>
        <w:rPr>
          <w:highlight w:val="yellow"/>
        </w:rPr>
        <w:fldChar w:fldCharType="end"/>
      </w:r>
      <w:r w:rsidR="06FD8BCA">
        <w:t xml:space="preserve"> </w:t>
      </w:r>
      <w:r w:rsidR="06FD8BCA" w:rsidRPr="6603BE58">
        <w:t xml:space="preserve">shows that </w:t>
      </w:r>
      <w:r w:rsidR="005B5EB9">
        <w:t>v</w:t>
      </w:r>
      <w:r w:rsidR="00D314E4" w:rsidRPr="00E2013D">
        <w:t xml:space="preserve">ocational </w:t>
      </w:r>
      <w:r w:rsidR="005B5EB9">
        <w:t>e</w:t>
      </w:r>
      <w:r w:rsidR="00D314E4" w:rsidRPr="00E2013D">
        <w:t xml:space="preserve">ducation and </w:t>
      </w:r>
      <w:r w:rsidR="005B5EB9">
        <w:t>t</w:t>
      </w:r>
      <w:r w:rsidR="00D314E4" w:rsidRPr="00E2013D">
        <w:t>raining</w:t>
      </w:r>
      <w:r w:rsidR="00CA146C">
        <w:t xml:space="preserve"> </w:t>
      </w:r>
      <w:r w:rsidR="06FD8BCA" w:rsidRPr="6603BE58">
        <w:t xml:space="preserve">contact hours vary significantly between </w:t>
      </w:r>
      <w:r w:rsidR="06FD8BCA">
        <w:t>First Nations</w:t>
      </w:r>
      <w:r w:rsidR="06FD8BCA" w:rsidRPr="6603BE58">
        <w:t xml:space="preserve"> and non</w:t>
      </w:r>
      <w:r w:rsidR="00DA5B6D">
        <w:noBreakHyphen/>
      </w:r>
      <w:r w:rsidR="06FD8BCA" w:rsidRPr="6603BE58">
        <w:t xml:space="preserve">Indigenous students. </w:t>
      </w:r>
      <w:r w:rsidR="06FD8BCA">
        <w:t xml:space="preserve">National Centre for Vocational Education Research </w:t>
      </w:r>
      <w:r w:rsidR="06FD8BCA" w:rsidRPr="6603BE58">
        <w:t>data ha</w:t>
      </w:r>
      <w:r w:rsidR="06FD8BCA">
        <w:t>ve</w:t>
      </w:r>
      <w:r w:rsidR="06FD8BCA" w:rsidRPr="6603BE58">
        <w:t xml:space="preserve"> consistently </w:t>
      </w:r>
      <w:r w:rsidR="06FD8BCA">
        <w:t>shown</w:t>
      </w:r>
      <w:r w:rsidR="06FD8BCA" w:rsidRPr="6603BE58">
        <w:t xml:space="preserve"> that </w:t>
      </w:r>
      <w:r w:rsidR="06FD8BCA">
        <w:t>First Nations</w:t>
      </w:r>
      <w:r w:rsidR="06FD8BCA" w:rsidRPr="6603BE58">
        <w:t xml:space="preserve"> service use rates are approximately twice th</w:t>
      </w:r>
      <w:r w:rsidR="06FD8BCA">
        <w:t>ose</w:t>
      </w:r>
      <w:r w:rsidR="06FD8BCA" w:rsidRPr="6603BE58">
        <w:t xml:space="preserve"> of non-Indigenous students</w:t>
      </w:r>
      <w:r w:rsidR="06FD8BCA">
        <w:t>.</w:t>
      </w:r>
    </w:p>
    <w:p w14:paraId="480930CD" w14:textId="77777777" w:rsidR="00747447" w:rsidRDefault="00747447">
      <w:pPr>
        <w:tabs>
          <w:tab w:val="clear" w:pos="567"/>
        </w:tabs>
        <w:spacing w:before="0" w:after="200" w:line="276" w:lineRule="auto"/>
        <w:rPr>
          <w:rFonts w:ascii="Work Sans" w:hAnsi="Work Sans"/>
          <w:szCs w:val="24"/>
        </w:rPr>
      </w:pPr>
      <w:r>
        <w:br w:type="page"/>
      </w:r>
    </w:p>
    <w:p w14:paraId="006DA858" w14:textId="2B53EE0D" w:rsidR="008D75B5" w:rsidRDefault="00441E86" w:rsidP="0074480F">
      <w:pPr>
        <w:pStyle w:val="CGC2025Caption"/>
        <w:tabs>
          <w:tab w:val="left" w:pos="1134"/>
          <w:tab w:val="left" w:pos="1560"/>
        </w:tabs>
        <w:ind w:left="1134" w:hanging="1134"/>
      </w:pPr>
      <w:bookmarkStart w:id="55" w:name="_Ref134181122"/>
      <w:r>
        <w:lastRenderedPageBreak/>
        <w:t xml:space="preserve">Figure </w:t>
      </w:r>
      <w:fldSimple w:instr=" SEQ Figure \* ARABIC ">
        <w:r w:rsidR="00A009E6">
          <w:rPr>
            <w:noProof/>
          </w:rPr>
          <w:t>3</w:t>
        </w:r>
      </w:fldSimple>
      <w:bookmarkEnd w:id="55"/>
      <w:r>
        <w:tab/>
      </w:r>
      <w:r w:rsidR="00D60BCD">
        <w:t>Government funded contact hours per person by Indigenous status, 2016</w:t>
      </w:r>
      <w:r w:rsidR="00F711C0">
        <w:t>–</w:t>
      </w:r>
      <w:proofErr w:type="gramStart"/>
      <w:r w:rsidR="00206285">
        <w:t>2020</w:t>
      </w:r>
      <w:proofErr w:type="gramEnd"/>
    </w:p>
    <w:p w14:paraId="4158C420" w14:textId="77993609" w:rsidR="001C46C2" w:rsidRDefault="008D75B5" w:rsidP="00DA5B6D">
      <w:pPr>
        <w:pStyle w:val="CGC2025ParaNumbers"/>
        <w:numPr>
          <w:ilvl w:val="0"/>
          <w:numId w:val="0"/>
        </w:numPr>
      </w:pPr>
      <w:r w:rsidRPr="008D75B5">
        <w:rPr>
          <w:noProof/>
        </w:rPr>
        <w:drawing>
          <wp:inline distT="0" distB="0" distL="0" distR="0" wp14:anchorId="4BBAF047" wp14:editId="23F0C520">
            <wp:extent cx="5731510" cy="3648710"/>
            <wp:effectExtent l="0" t="0" r="254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3648710"/>
                    </a:xfrm>
                    <a:prstGeom prst="rect">
                      <a:avLst/>
                    </a:prstGeom>
                  </pic:spPr>
                </pic:pic>
              </a:graphicData>
            </a:graphic>
          </wp:inline>
        </w:drawing>
      </w:r>
    </w:p>
    <w:p w14:paraId="038A7958" w14:textId="40CEAC3E" w:rsidR="001C46C2" w:rsidRPr="006C2533" w:rsidRDefault="00080290" w:rsidP="00080290">
      <w:pPr>
        <w:pStyle w:val="CGCTablenote"/>
        <w:rPr>
          <w:rFonts w:ascii="Work Sans" w:hAnsi="Work Sans"/>
        </w:rPr>
      </w:pPr>
      <w:r w:rsidRPr="006C2533">
        <w:rPr>
          <w:rFonts w:ascii="Work Sans" w:hAnsi="Work Sans"/>
        </w:rPr>
        <w:t>Source: Commission calculation using N</w:t>
      </w:r>
      <w:r w:rsidR="00C07BCE">
        <w:rPr>
          <w:rFonts w:ascii="Work Sans" w:hAnsi="Work Sans"/>
        </w:rPr>
        <w:t xml:space="preserve">ational </w:t>
      </w:r>
      <w:r w:rsidRPr="006C2533">
        <w:rPr>
          <w:rFonts w:ascii="Work Sans" w:hAnsi="Work Sans"/>
        </w:rPr>
        <w:t>C</w:t>
      </w:r>
      <w:r w:rsidR="00C07BCE">
        <w:rPr>
          <w:rFonts w:ascii="Work Sans" w:hAnsi="Work Sans"/>
        </w:rPr>
        <w:t xml:space="preserve">entre </w:t>
      </w:r>
      <w:r w:rsidR="000E211E">
        <w:rPr>
          <w:rFonts w:ascii="Work Sans" w:hAnsi="Work Sans"/>
        </w:rPr>
        <w:t xml:space="preserve">for </w:t>
      </w:r>
      <w:r w:rsidRPr="006C2533">
        <w:rPr>
          <w:rFonts w:ascii="Work Sans" w:hAnsi="Work Sans"/>
        </w:rPr>
        <w:t>V</w:t>
      </w:r>
      <w:r w:rsidR="00C07BCE">
        <w:rPr>
          <w:rFonts w:ascii="Work Sans" w:hAnsi="Work Sans"/>
        </w:rPr>
        <w:t xml:space="preserve">ocational </w:t>
      </w:r>
      <w:r w:rsidRPr="006C2533">
        <w:rPr>
          <w:rFonts w:ascii="Work Sans" w:hAnsi="Work Sans"/>
        </w:rPr>
        <w:t>E</w:t>
      </w:r>
      <w:r w:rsidR="00C07BCE">
        <w:rPr>
          <w:rFonts w:ascii="Work Sans" w:hAnsi="Work Sans"/>
        </w:rPr>
        <w:t xml:space="preserve">ducation </w:t>
      </w:r>
      <w:r w:rsidRPr="006C2533">
        <w:rPr>
          <w:rFonts w:ascii="Work Sans" w:hAnsi="Work Sans"/>
        </w:rPr>
        <w:t>R</w:t>
      </w:r>
      <w:r w:rsidR="00C07BCE">
        <w:rPr>
          <w:rFonts w:ascii="Work Sans" w:hAnsi="Work Sans"/>
        </w:rPr>
        <w:t>esearch</w:t>
      </w:r>
      <w:r w:rsidRPr="006C2533">
        <w:rPr>
          <w:rFonts w:ascii="Work Sans" w:hAnsi="Work Sans"/>
        </w:rPr>
        <w:t xml:space="preserve"> data.</w:t>
      </w:r>
    </w:p>
    <w:p w14:paraId="42B93835" w14:textId="00F2248D" w:rsidR="00DA5B6D" w:rsidRDefault="00DA5B6D" w:rsidP="00DA5B6D">
      <w:pPr>
        <w:pStyle w:val="CGC2025ParaNumbers"/>
      </w:pPr>
      <w:r w:rsidRPr="6C712F4C">
        <w:t xml:space="preserve">Non-remote </w:t>
      </w:r>
      <w:r w:rsidR="00791808">
        <w:t>v</w:t>
      </w:r>
      <w:r w:rsidR="00D314E4" w:rsidRPr="00E2013D">
        <w:t xml:space="preserve">ocational </w:t>
      </w:r>
      <w:r w:rsidR="00791808">
        <w:t>e</w:t>
      </w:r>
      <w:r w:rsidR="00D314E4" w:rsidRPr="00E2013D">
        <w:t xml:space="preserve">ducation and </w:t>
      </w:r>
      <w:r w:rsidR="00791808">
        <w:t>t</w:t>
      </w:r>
      <w:r w:rsidR="00D314E4" w:rsidRPr="00E2013D">
        <w:t>raining</w:t>
      </w:r>
      <w:r w:rsidR="00CA146C">
        <w:t xml:space="preserve"> </w:t>
      </w:r>
      <w:r w:rsidRPr="6C712F4C">
        <w:t xml:space="preserve">use rates exceed remote use rates, however the </w:t>
      </w:r>
      <w:proofErr w:type="gramStart"/>
      <w:r w:rsidRPr="6C712F4C">
        <w:t>cost of service</w:t>
      </w:r>
      <w:proofErr w:type="gramEnd"/>
      <w:r w:rsidRPr="6C712F4C">
        <w:t xml:space="preserve"> delivery </w:t>
      </w:r>
      <w:r>
        <w:t xml:space="preserve">is higher for remote </w:t>
      </w:r>
      <w:r w:rsidR="00310691">
        <w:t>v</w:t>
      </w:r>
      <w:r w:rsidR="00D314E4" w:rsidRPr="00E2013D">
        <w:t xml:space="preserve">ocational </w:t>
      </w:r>
      <w:r w:rsidR="00310691">
        <w:t>e</w:t>
      </w:r>
      <w:r w:rsidR="00D314E4" w:rsidRPr="00E2013D">
        <w:t xml:space="preserve">ducation and </w:t>
      </w:r>
      <w:r w:rsidR="00310691">
        <w:t>t</w:t>
      </w:r>
      <w:r w:rsidR="00D314E4" w:rsidRPr="00E2013D">
        <w:t>raining</w:t>
      </w:r>
      <w:r w:rsidR="00CA146C">
        <w:t xml:space="preserve"> </w:t>
      </w:r>
      <w:r>
        <w:t>use</w:t>
      </w:r>
      <w:r w:rsidRPr="6C712F4C">
        <w:t xml:space="preserve">. For the First </w:t>
      </w:r>
      <w:r>
        <w:t>N</w:t>
      </w:r>
      <w:r w:rsidRPr="6C712F4C">
        <w:t>ations population, spending per capita is higher in non</w:t>
      </w:r>
      <w:r w:rsidR="00310691">
        <w:noBreakHyphen/>
      </w:r>
      <w:r w:rsidRPr="6C712F4C">
        <w:t>remote areas</w:t>
      </w:r>
      <w:r>
        <w:t>;</w:t>
      </w:r>
      <w:r w:rsidRPr="6C712F4C">
        <w:t xml:space="preserve"> for the non-Indigenous population it is higher in remote areas. Since differences in remote and non-remote spend rates exist, and remoteness is material across all assessments, the Commission proposes to continue to recognise the </w:t>
      </w:r>
      <w:r>
        <w:t xml:space="preserve">differential use and cost of </w:t>
      </w:r>
      <w:r w:rsidR="001003C0">
        <w:t>v</w:t>
      </w:r>
      <w:r w:rsidR="00C00059" w:rsidRPr="00E2013D">
        <w:t xml:space="preserve">ocational </w:t>
      </w:r>
      <w:r w:rsidR="001003C0">
        <w:t>e</w:t>
      </w:r>
      <w:r w:rsidR="00C00059" w:rsidRPr="00E2013D">
        <w:t xml:space="preserve">ducation and </w:t>
      </w:r>
      <w:r w:rsidR="001003C0">
        <w:t>t</w:t>
      </w:r>
      <w:r w:rsidR="00C00059" w:rsidRPr="00E2013D">
        <w:t>raining</w:t>
      </w:r>
      <w:r w:rsidR="00CA146C">
        <w:t xml:space="preserve"> </w:t>
      </w:r>
      <w:r w:rsidRPr="6C712F4C">
        <w:t xml:space="preserve">services in </w:t>
      </w:r>
      <w:r>
        <w:t>different remoteness regions</w:t>
      </w:r>
      <w:r w:rsidRPr="6C712F4C">
        <w:t xml:space="preserve">. </w:t>
      </w:r>
    </w:p>
    <w:p w14:paraId="56AE2BDC" w14:textId="46AB0909" w:rsidR="00DA5B6D" w:rsidRPr="001D698D" w:rsidRDefault="00DA5B6D" w:rsidP="00DA5B6D">
      <w:pPr>
        <w:pStyle w:val="CGC2025ParaNumbers"/>
      </w:pPr>
      <w:r>
        <w:t xml:space="preserve">Consistent with the pattern seen in the </w:t>
      </w:r>
      <w:r w:rsidRPr="6603BE58">
        <w:t>2020</w:t>
      </w:r>
      <w:r>
        <w:t> </w:t>
      </w:r>
      <w:r w:rsidRPr="6603BE58">
        <w:t xml:space="preserve">Review, </w:t>
      </w:r>
      <w:r>
        <w:t>the latest National Centre for Vocational Education Research data show that people living in low socio-economic status areas have higher use of post-secondary education than people living in higher socio-economic status areas (</w:t>
      </w:r>
      <w:r w:rsidR="0074480F">
        <w:rPr>
          <w:highlight w:val="yellow"/>
        </w:rPr>
        <w:fldChar w:fldCharType="begin"/>
      </w:r>
      <w:r w:rsidR="0074480F">
        <w:instrText xml:space="preserve"> REF _Ref134181135 \h </w:instrText>
      </w:r>
      <w:r w:rsidR="0074480F">
        <w:rPr>
          <w:highlight w:val="yellow"/>
        </w:rPr>
      </w:r>
      <w:r w:rsidR="0074480F">
        <w:rPr>
          <w:highlight w:val="yellow"/>
        </w:rPr>
        <w:fldChar w:fldCharType="separate"/>
      </w:r>
      <w:r w:rsidR="00A009E6">
        <w:t xml:space="preserve">Figure </w:t>
      </w:r>
      <w:r w:rsidR="00A009E6">
        <w:rPr>
          <w:noProof/>
        </w:rPr>
        <w:t>4</w:t>
      </w:r>
      <w:r w:rsidR="0074480F">
        <w:rPr>
          <w:highlight w:val="yellow"/>
        </w:rPr>
        <w:fldChar w:fldCharType="end"/>
      </w:r>
      <w:r>
        <w:t xml:space="preserve">). For the non-Indigenous population living in non-remote areas, this evidence is strong and consistent. For First Nations people in non-remote areas, there was significant noise in the data, and in remote areas there was little evidence of a relationship between socio-economic status and enrolling in post-secondary education enrolment. Based on comparable data up to 2018, in the 2020 Review the Commission decided to group the socio-economic status quintiles for the non-remote population </w:t>
      </w:r>
      <w:r w:rsidRPr="6603BE58">
        <w:t>(top 20%, middle 60% and bottom 20%)</w:t>
      </w:r>
      <w:r>
        <w:t xml:space="preserve">, and not disaggregate the remote population by socio-economic status. More recent data shown in </w:t>
      </w:r>
      <w:r w:rsidR="0074480F">
        <w:rPr>
          <w:highlight w:val="yellow"/>
        </w:rPr>
        <w:fldChar w:fldCharType="begin"/>
      </w:r>
      <w:r w:rsidR="0074480F">
        <w:instrText xml:space="preserve"> REF _Ref134181135 \h </w:instrText>
      </w:r>
      <w:r w:rsidR="0074480F">
        <w:rPr>
          <w:highlight w:val="yellow"/>
        </w:rPr>
      </w:r>
      <w:r w:rsidR="0074480F">
        <w:rPr>
          <w:highlight w:val="yellow"/>
        </w:rPr>
        <w:fldChar w:fldCharType="separate"/>
      </w:r>
      <w:r w:rsidR="00A009E6">
        <w:t xml:space="preserve">Figure </w:t>
      </w:r>
      <w:r w:rsidR="00A009E6">
        <w:rPr>
          <w:noProof/>
        </w:rPr>
        <w:t>4</w:t>
      </w:r>
      <w:r w:rsidR="0074480F">
        <w:rPr>
          <w:highlight w:val="yellow"/>
        </w:rPr>
        <w:fldChar w:fldCharType="end"/>
      </w:r>
      <w:r w:rsidR="00A07463">
        <w:t xml:space="preserve"> </w:t>
      </w:r>
      <w:r>
        <w:t xml:space="preserve">suggests this approach remains appropriate. While service use varies among socio-economic status quintiles in remote </w:t>
      </w:r>
      <w:r w:rsidRPr="00AD6941">
        <w:t xml:space="preserve">areas, those </w:t>
      </w:r>
      <w:r w:rsidRPr="00AD6941">
        <w:lastRenderedPageBreak/>
        <w:t xml:space="preserve">patterns, particularly for </w:t>
      </w:r>
      <w:r>
        <w:t>First Nations</w:t>
      </w:r>
      <w:r w:rsidRPr="00AD6941">
        <w:t xml:space="preserve"> students, do not have </w:t>
      </w:r>
      <w:r>
        <w:t>a</w:t>
      </w:r>
      <w:r w:rsidRPr="00AD6941">
        <w:t xml:space="preserve"> strong conceptual basis to justify a </w:t>
      </w:r>
      <w:r>
        <w:t>disaggregation of socio-economic status in remote areas</w:t>
      </w:r>
      <w:r w:rsidRPr="00AD6941">
        <w:t>.</w:t>
      </w:r>
    </w:p>
    <w:p w14:paraId="72D57242" w14:textId="77777777" w:rsidR="00DA5B6D" w:rsidRDefault="00DA5B6D" w:rsidP="00DA5B6D">
      <w:pPr>
        <w:pStyle w:val="CGC2025ParaNumbers"/>
      </w:pPr>
      <w:r>
        <w:t>S</w:t>
      </w:r>
      <w:r w:rsidRPr="6C712F4C">
        <w:t>ocio-economic status</w:t>
      </w:r>
      <w:r>
        <w:t xml:space="preserve"> is being considered separately</w:t>
      </w:r>
      <w:r w:rsidRPr="6C712F4C">
        <w:t xml:space="preserve">. The Commission </w:t>
      </w:r>
      <w:r>
        <w:t xml:space="preserve">may reconsider </w:t>
      </w:r>
      <w:r w:rsidRPr="0071D25A">
        <w:t xml:space="preserve">the socio-economic </w:t>
      </w:r>
      <w:r>
        <w:t xml:space="preserve">status </w:t>
      </w:r>
      <w:r w:rsidRPr="0071D25A">
        <w:t xml:space="preserve">groupings that are currently used to ensure that they remain appropriate </w:t>
      </w:r>
      <w:proofErr w:type="gramStart"/>
      <w:r>
        <w:t>in light of</w:t>
      </w:r>
      <w:proofErr w:type="gramEnd"/>
      <w:r>
        <w:t xml:space="preserve"> any </w:t>
      </w:r>
      <w:r w:rsidRPr="0071D25A">
        <w:t xml:space="preserve">updated methods determined for measuring socio-economic status. </w:t>
      </w:r>
    </w:p>
    <w:p w14:paraId="7709712A" w14:textId="45C8A760" w:rsidR="00710368" w:rsidRDefault="0074480F" w:rsidP="0074480F">
      <w:pPr>
        <w:pStyle w:val="CGC2025Caption"/>
        <w:tabs>
          <w:tab w:val="left" w:pos="1134"/>
          <w:tab w:val="left" w:pos="1701"/>
        </w:tabs>
        <w:ind w:left="1134" w:hanging="1134"/>
      </w:pPr>
      <w:bookmarkStart w:id="56" w:name="_Ref134181135"/>
      <w:r>
        <w:t xml:space="preserve">Figure </w:t>
      </w:r>
      <w:fldSimple w:instr=" SEQ Figure \* ARABIC ">
        <w:r w:rsidR="00A009E6">
          <w:rPr>
            <w:noProof/>
          </w:rPr>
          <w:t>4</w:t>
        </w:r>
      </w:fldSimple>
      <w:bookmarkEnd w:id="56"/>
      <w:r>
        <w:tab/>
      </w:r>
      <w:r w:rsidR="006D6F5B">
        <w:t>Hours of post-secondary education per capita by socio-demographic attributes, 2020</w:t>
      </w:r>
      <w:r w:rsidR="00D16490">
        <w:t>–</w:t>
      </w:r>
      <w:r w:rsidR="006D6F5B">
        <w:t>21</w:t>
      </w:r>
    </w:p>
    <w:p w14:paraId="1F525C7B" w14:textId="4A89B8B0" w:rsidR="0045366D" w:rsidRDefault="00526E9C" w:rsidP="00DA5B6D">
      <w:pPr>
        <w:pStyle w:val="CGC2025ParaNumbers"/>
        <w:numPr>
          <w:ilvl w:val="0"/>
          <w:numId w:val="0"/>
        </w:numPr>
        <w:ind w:left="567" w:hanging="567"/>
      </w:pPr>
      <w:r>
        <w:rPr>
          <w:noProof/>
        </w:rPr>
        <w:drawing>
          <wp:inline distT="0" distB="0" distL="0" distR="0" wp14:anchorId="487E2FC3" wp14:editId="2BFB3351">
            <wp:extent cx="5676265" cy="3605530"/>
            <wp:effectExtent l="0" t="0" r="635" b="0"/>
            <wp:docPr id="14" name="Picture 14" descr="A picture containing text, screenshot,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screenshot, diagram, plo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76265" cy="3605530"/>
                    </a:xfrm>
                    <a:prstGeom prst="rect">
                      <a:avLst/>
                    </a:prstGeom>
                    <a:noFill/>
                    <a:ln>
                      <a:noFill/>
                    </a:ln>
                  </pic:spPr>
                </pic:pic>
              </a:graphicData>
            </a:graphic>
          </wp:inline>
        </w:drawing>
      </w:r>
    </w:p>
    <w:p w14:paraId="054AA2BD" w14:textId="18DF91EF" w:rsidR="0045366D" w:rsidRPr="006C2533" w:rsidRDefault="002F5FE4" w:rsidP="002F5FE4">
      <w:pPr>
        <w:pStyle w:val="CGCTablenote"/>
        <w:rPr>
          <w:rFonts w:ascii="Work Sans" w:hAnsi="Work Sans"/>
        </w:rPr>
      </w:pPr>
      <w:r w:rsidRPr="006C2533">
        <w:rPr>
          <w:rFonts w:ascii="Work Sans" w:hAnsi="Work Sans"/>
        </w:rPr>
        <w:t>Source: Commission calculation.</w:t>
      </w:r>
    </w:p>
    <w:p w14:paraId="2A942FB1" w14:textId="43280790" w:rsidR="00EB0B35" w:rsidRPr="00C46389" w:rsidRDefault="00842BC9" w:rsidP="00EB0B35">
      <w:pPr>
        <w:pStyle w:val="CGC2025ParaNumbers"/>
      </w:pPr>
      <w:r>
        <w:t>The</w:t>
      </w:r>
      <w:r w:rsidR="00EB0B35">
        <w:t xml:space="preserve"> </w:t>
      </w:r>
      <w:r w:rsidR="00EB0B35" w:rsidRPr="00B94128">
        <w:t>Commission</w:t>
      </w:r>
      <w:r w:rsidR="00B22CE3" w:rsidRPr="00B94128">
        <w:t>’</w:t>
      </w:r>
      <w:r w:rsidR="00EB0B35" w:rsidRPr="00B94128">
        <w:t>s preliminary view</w:t>
      </w:r>
      <w:r w:rsidR="00EB0B35">
        <w:t xml:space="preserve"> </w:t>
      </w:r>
      <w:r>
        <w:t xml:space="preserve">is </w:t>
      </w:r>
      <w:r w:rsidR="00EB0B35">
        <w:t>that the variab</w:t>
      </w:r>
      <w:r w:rsidR="0016258C">
        <w:t>les currently used in the socio</w:t>
      </w:r>
      <w:r w:rsidR="0016258C">
        <w:noBreakHyphen/>
        <w:t>demographic assessment of needs be retained</w:t>
      </w:r>
      <w:r w:rsidR="00EB0B35">
        <w:t>.</w:t>
      </w:r>
    </w:p>
    <w:p w14:paraId="21A752F2" w14:textId="184BC2A3" w:rsidR="00DA5B6D" w:rsidRDefault="00DA5B6D" w:rsidP="00DA5B6D">
      <w:pPr>
        <w:pStyle w:val="Heading4"/>
      </w:pPr>
      <w:r>
        <w:t>Consultation question</w:t>
      </w:r>
    </w:p>
    <w:p w14:paraId="2B25CB35" w14:textId="77777777" w:rsidR="00DA5B6D" w:rsidRDefault="00DA5B6D" w:rsidP="00DA5B6D">
      <w:r w:rsidRPr="001C4DF3">
        <w:rPr>
          <w:noProof/>
        </w:rPr>
        <mc:AlternateContent>
          <mc:Choice Requires="wps">
            <w:drawing>
              <wp:inline distT="0" distB="0" distL="0" distR="0" wp14:anchorId="64409F55" wp14:editId="765B6E3C">
                <wp:extent cx="5648325" cy="534838"/>
                <wp:effectExtent l="0" t="0" r="9525" b="0"/>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48325" cy="534838"/>
                        </a:xfrm>
                        <a:prstGeom prst="rect">
                          <a:avLst/>
                        </a:prstGeom>
                        <a:solidFill>
                          <a:srgbClr val="EBF3F5"/>
                        </a:solidFill>
                        <a:ln w="25400" cap="flat" cmpd="sng" algn="ctr">
                          <a:noFill/>
                          <a:prstDash val="solid"/>
                        </a:ln>
                        <a:effectLst/>
                      </wps:spPr>
                      <wps:txbx>
                        <w:txbxContent>
                          <w:p w14:paraId="56D80BAA" w14:textId="2412F2DB" w:rsidR="00DA5B6D" w:rsidRDefault="00644727" w:rsidP="00DA5B6D">
                            <w:pPr>
                              <w:pStyle w:val="CGC2025QuestionNumbers"/>
                            </w:pPr>
                            <w:r w:rsidRPr="00B94128">
                              <w:t xml:space="preserve">Do </w:t>
                            </w:r>
                            <w:r w:rsidR="0071634C" w:rsidRPr="00B94128">
                              <w:t>s</w:t>
                            </w:r>
                            <w:r w:rsidRPr="00B94128">
                              <w:t>tates agree</w:t>
                            </w:r>
                            <w:r>
                              <w:t xml:space="preserve"> that </w:t>
                            </w:r>
                            <w:r w:rsidR="00DA5B6D">
                              <w:t>the variables used in the socio-demographic assessment of needs be retained?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4409F55" id="Rectangle 2" o:spid="_x0000_s1030" alt="&quot;&quot;" style="width:444.75pt;height:4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" fillcolor="#ebf3f5" stroked="f" strokeweight="2pt">
                <v:textbox>
                  <w:txbxContent>
                    <w:p w14:paraId="56D80BAA" w14:textId="2412F2DB" w:rsidR="00DA5B6D" w:rsidRDefault="00644727" w:rsidP="00DA5B6D">
                      <w:pPr>
                        <w:pStyle w:val="CGC2025QuestionNumbers"/>
                      </w:pPr>
                      <w:r w:rsidRPr="00B94128">
                        <w:t xml:space="preserve">Do </w:t>
                      </w:r>
                      <w:r w:rsidR="0071634C" w:rsidRPr="00B94128">
                        <w:t>s</w:t>
                      </w:r>
                      <w:r w:rsidRPr="00B94128">
                        <w:t>tates agree</w:t>
                      </w:r>
                      <w:r>
                        <w:t xml:space="preserve"> that </w:t>
                      </w:r>
                      <w:r w:rsidR="00DA5B6D">
                        <w:t>the variables used in the socio-demographic assessment of needs be retained?</w:t>
                      </w:r>
                    </w:p>
                  </w:txbxContent>
                </v:textbox>
                <w10:anchorlock/>
              </v:rect>
            </w:pict>
          </mc:Fallback>
        </mc:AlternateContent>
      </w:r>
    </w:p>
    <w:p w14:paraId="735D2F8F" w14:textId="77777777" w:rsidR="00F427F0" w:rsidRPr="00FE3C19" w:rsidRDefault="00F427F0" w:rsidP="00F427F0">
      <w:pPr>
        <w:pStyle w:val="Heading2"/>
      </w:pPr>
      <w:bookmarkStart w:id="57" w:name="_Toc121741490"/>
      <w:bookmarkStart w:id="58" w:name="_Toc127428359"/>
      <w:bookmarkStart w:id="59" w:name="_Toc132729113"/>
      <w:bookmarkStart w:id="60" w:name="_Toc133236154"/>
      <w:bookmarkStart w:id="61" w:name="_Toc133236180"/>
      <w:bookmarkStart w:id="62" w:name="_Toc138146323"/>
      <w:r w:rsidRPr="00FE3C19">
        <w:t>Proposed assessment</w:t>
      </w:r>
      <w:bookmarkEnd w:id="57"/>
      <w:bookmarkEnd w:id="58"/>
      <w:bookmarkEnd w:id="59"/>
      <w:bookmarkEnd w:id="60"/>
      <w:bookmarkEnd w:id="61"/>
      <w:bookmarkEnd w:id="62"/>
    </w:p>
    <w:p w14:paraId="58F66A13" w14:textId="77777777" w:rsidR="00F427F0" w:rsidRPr="00FE3C19" w:rsidRDefault="00F427F0" w:rsidP="001F4B1F">
      <w:pPr>
        <w:pStyle w:val="Heading3"/>
      </w:pPr>
      <w:bookmarkStart w:id="63" w:name="_Toc132729114"/>
      <w:bookmarkStart w:id="64" w:name="_Toc133236155"/>
      <w:bookmarkStart w:id="65" w:name="_Toc133236181"/>
      <w:bookmarkStart w:id="66" w:name="_Toc138146324"/>
      <w:r w:rsidRPr="00FE3C19">
        <w:t>Differences from the 2020 Review approach</w:t>
      </w:r>
      <w:bookmarkEnd w:id="63"/>
      <w:bookmarkEnd w:id="64"/>
      <w:bookmarkEnd w:id="65"/>
      <w:bookmarkEnd w:id="66"/>
    </w:p>
    <w:p w14:paraId="00502EC0" w14:textId="77777777" w:rsidR="009C15DA" w:rsidRPr="00A1297A" w:rsidRDefault="009C15DA" w:rsidP="009C15DA">
      <w:pPr>
        <w:pStyle w:val="CGC2025ParaNumbers"/>
      </w:pPr>
      <w:bookmarkStart w:id="67" w:name="_Toc132729115"/>
      <w:bookmarkStart w:id="68" w:name="_Toc133236156"/>
      <w:bookmarkStart w:id="69" w:name="_Toc133236182"/>
      <w:r>
        <w:t>Subject to state views, the</w:t>
      </w:r>
      <w:r w:rsidRPr="00A1297A">
        <w:t xml:space="preserve"> Commission proposes no substantive </w:t>
      </w:r>
      <w:r>
        <w:t xml:space="preserve">method </w:t>
      </w:r>
      <w:r w:rsidRPr="00A1297A">
        <w:t xml:space="preserve">changes for this assessment. </w:t>
      </w:r>
    </w:p>
    <w:p w14:paraId="4555B947" w14:textId="77777777" w:rsidR="00986E55" w:rsidRDefault="00986E55">
      <w:pPr>
        <w:tabs>
          <w:tab w:val="clear" w:pos="567"/>
        </w:tabs>
        <w:spacing w:before="0" w:after="200" w:line="276" w:lineRule="auto"/>
        <w:rPr>
          <w:rFonts w:ascii="Work Sans" w:eastAsia="Times New Roman" w:hAnsi="Work Sans" w:cs="Open Sans"/>
          <w:b/>
          <w:bCs/>
          <w:color w:val="006991"/>
          <w:sz w:val="28"/>
          <w:szCs w:val="28"/>
        </w:rPr>
      </w:pPr>
      <w:r>
        <w:br w:type="page"/>
      </w:r>
    </w:p>
    <w:p w14:paraId="1F1E390B" w14:textId="7D01B3A5" w:rsidR="00F427F0" w:rsidRPr="00FE3C19" w:rsidRDefault="00F427F0" w:rsidP="001F4B1F">
      <w:pPr>
        <w:pStyle w:val="Heading3"/>
      </w:pPr>
      <w:bookmarkStart w:id="70" w:name="_Toc138146325"/>
      <w:r w:rsidRPr="00FE3C19">
        <w:lastRenderedPageBreak/>
        <w:t>Proposed assessment structure</w:t>
      </w:r>
      <w:bookmarkEnd w:id="67"/>
      <w:bookmarkEnd w:id="68"/>
      <w:bookmarkEnd w:id="69"/>
      <w:bookmarkEnd w:id="70"/>
    </w:p>
    <w:bookmarkStart w:id="71" w:name="_Toc132729116"/>
    <w:bookmarkStart w:id="72" w:name="_Toc133236157"/>
    <w:bookmarkStart w:id="73" w:name="_Toc133236183"/>
    <w:p w14:paraId="32A9D92F" w14:textId="071FCBFB" w:rsidR="00CA146C" w:rsidRPr="0064009D" w:rsidRDefault="009E7E9B" w:rsidP="0064009D">
      <w:pPr>
        <w:pStyle w:val="CGC2025ParaNumbers"/>
      </w:pPr>
      <w:r>
        <w:fldChar w:fldCharType="begin"/>
      </w:r>
      <w:r>
        <w:instrText xml:space="preserve"> REF _Ref138146038 \h </w:instrText>
      </w:r>
      <w:r>
        <w:fldChar w:fldCharType="separate"/>
      </w:r>
      <w:r w:rsidR="00A009E6">
        <w:t xml:space="preserve">Table </w:t>
      </w:r>
      <w:r w:rsidR="00A009E6">
        <w:rPr>
          <w:noProof/>
        </w:rPr>
        <w:t>6</w:t>
      </w:r>
      <w:r>
        <w:fldChar w:fldCharType="end"/>
      </w:r>
      <w:r>
        <w:t xml:space="preserve"> </w:t>
      </w:r>
      <w:r w:rsidR="009C15DA" w:rsidRPr="00A1297A">
        <w:t xml:space="preserve">shows the same proposed assessment structure as the current structure, </w:t>
      </w:r>
      <w:r w:rsidR="00066D73">
        <w:t xml:space="preserve">which is </w:t>
      </w:r>
      <w:r w:rsidR="009C15DA" w:rsidRPr="00A1297A">
        <w:t xml:space="preserve">shown in </w:t>
      </w:r>
      <w:r w:rsidR="0074480F">
        <w:fldChar w:fldCharType="begin"/>
      </w:r>
      <w:r w:rsidR="0074480F">
        <w:instrText xml:space="preserve"> REF _Ref134181036 \h </w:instrText>
      </w:r>
      <w:r w:rsidR="0074480F">
        <w:fldChar w:fldCharType="separate"/>
      </w:r>
      <w:r w:rsidR="00A009E6">
        <w:t xml:space="preserve">Table </w:t>
      </w:r>
      <w:r w:rsidR="00A009E6">
        <w:rPr>
          <w:noProof/>
        </w:rPr>
        <w:t>3</w:t>
      </w:r>
      <w:r w:rsidR="0074480F">
        <w:fldChar w:fldCharType="end"/>
      </w:r>
      <w:r w:rsidR="0074480F">
        <w:t>.</w:t>
      </w:r>
      <w:bookmarkStart w:id="74" w:name="_Ref134181160"/>
    </w:p>
    <w:p w14:paraId="4DE8917A" w14:textId="6E8C9256" w:rsidR="004A4636" w:rsidRDefault="0074480F" w:rsidP="0074480F">
      <w:pPr>
        <w:pStyle w:val="CGC2025Caption"/>
        <w:tabs>
          <w:tab w:val="left" w:pos="1134"/>
          <w:tab w:val="left" w:pos="1701"/>
        </w:tabs>
      </w:pPr>
      <w:bookmarkStart w:id="75" w:name="_Ref138146038"/>
      <w:r>
        <w:t xml:space="preserve">Table </w:t>
      </w:r>
      <w:fldSimple w:instr=" SEQ Table \* ARABIC ">
        <w:r w:rsidR="00A009E6">
          <w:rPr>
            <w:noProof/>
          </w:rPr>
          <w:t>6</w:t>
        </w:r>
      </w:fldSimple>
      <w:bookmarkEnd w:id="74"/>
      <w:bookmarkEnd w:id="75"/>
      <w:r>
        <w:tab/>
      </w:r>
      <w:r w:rsidR="00E53438">
        <w:t>Proposed assessment structure for post-secondary education</w:t>
      </w:r>
    </w:p>
    <w:tbl>
      <w:tblPr>
        <w:tblW w:w="9020" w:type="dxa"/>
        <w:tblLook w:val="04A0" w:firstRow="1" w:lastRow="0" w:firstColumn="1" w:lastColumn="0" w:noHBand="0" w:noVBand="1"/>
      </w:tblPr>
      <w:tblGrid>
        <w:gridCol w:w="1498"/>
        <w:gridCol w:w="1124"/>
        <w:gridCol w:w="258"/>
        <w:gridCol w:w="1180"/>
        <w:gridCol w:w="3840"/>
        <w:gridCol w:w="1120"/>
      </w:tblGrid>
      <w:tr w:rsidR="00747447" w:rsidRPr="00747447" w14:paraId="59AA0D75" w14:textId="77777777" w:rsidTr="00747447">
        <w:trPr>
          <w:trHeight w:val="765"/>
        </w:trPr>
        <w:tc>
          <w:tcPr>
            <w:tcW w:w="1540" w:type="dxa"/>
            <w:tcBorders>
              <w:top w:val="nil"/>
              <w:left w:val="nil"/>
              <w:bottom w:val="nil"/>
              <w:right w:val="nil"/>
            </w:tcBorders>
            <w:shd w:val="clear" w:color="000000" w:fill="006991"/>
            <w:vAlign w:val="center"/>
            <w:hideMark/>
          </w:tcPr>
          <w:p w14:paraId="0FAE322A" w14:textId="77777777" w:rsidR="00747447" w:rsidRPr="00747447" w:rsidRDefault="00747447" w:rsidP="00747447">
            <w:pPr>
              <w:tabs>
                <w:tab w:val="clear" w:pos="567"/>
              </w:tabs>
              <w:spacing w:before="0" w:line="240" w:lineRule="auto"/>
              <w:rPr>
                <w:rFonts w:ascii="Open Sans Semibold" w:eastAsia="Times New Roman" w:hAnsi="Open Sans Semibold" w:cs="Open Sans Semibold"/>
                <w:color w:val="FFFFFF"/>
                <w:sz w:val="16"/>
                <w:szCs w:val="16"/>
                <w:lang w:eastAsia="en-AU"/>
              </w:rPr>
            </w:pPr>
            <w:r w:rsidRPr="00747447">
              <w:rPr>
                <w:rFonts w:ascii="Open Sans Semibold" w:eastAsia="Times New Roman" w:hAnsi="Open Sans Semibold" w:cs="Open Sans Semibold"/>
                <w:color w:val="FFFFFF"/>
                <w:sz w:val="16"/>
                <w:szCs w:val="16"/>
                <w:lang w:eastAsia="en-AU"/>
              </w:rPr>
              <w:t>Component</w:t>
            </w:r>
          </w:p>
        </w:tc>
        <w:tc>
          <w:tcPr>
            <w:tcW w:w="1120" w:type="dxa"/>
            <w:tcBorders>
              <w:top w:val="nil"/>
              <w:left w:val="nil"/>
              <w:bottom w:val="nil"/>
              <w:right w:val="nil"/>
            </w:tcBorders>
            <w:shd w:val="clear" w:color="000000" w:fill="006991"/>
            <w:vAlign w:val="center"/>
            <w:hideMark/>
          </w:tcPr>
          <w:p w14:paraId="28C72EBB" w14:textId="77777777" w:rsidR="00747447" w:rsidRPr="00747447" w:rsidRDefault="00747447" w:rsidP="0074744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47447">
              <w:rPr>
                <w:rFonts w:ascii="Open Sans Semibold" w:eastAsia="Times New Roman" w:hAnsi="Open Sans Semibold" w:cs="Open Sans Semibold"/>
                <w:color w:val="FFFFFF"/>
                <w:sz w:val="16"/>
                <w:szCs w:val="16"/>
                <w:lang w:eastAsia="en-AU"/>
              </w:rPr>
              <w:t>Component expense</w:t>
            </w:r>
          </w:p>
        </w:tc>
        <w:tc>
          <w:tcPr>
            <w:tcW w:w="220" w:type="dxa"/>
            <w:tcBorders>
              <w:top w:val="nil"/>
              <w:left w:val="nil"/>
              <w:bottom w:val="nil"/>
              <w:right w:val="nil"/>
            </w:tcBorders>
            <w:shd w:val="clear" w:color="000000" w:fill="006991"/>
            <w:vAlign w:val="center"/>
            <w:hideMark/>
          </w:tcPr>
          <w:p w14:paraId="7C587B9F" w14:textId="77777777" w:rsidR="00747447" w:rsidRPr="00747447" w:rsidRDefault="00747447" w:rsidP="0074744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47447">
              <w:rPr>
                <w:rFonts w:ascii="Open Sans Semibold" w:eastAsia="Times New Roman" w:hAnsi="Open Sans Semibold" w:cs="Open Sans Semibold"/>
                <w:color w:val="FFFFFF"/>
                <w:sz w:val="16"/>
                <w:szCs w:val="16"/>
                <w:lang w:eastAsia="en-AU"/>
              </w:rPr>
              <w:t> </w:t>
            </w:r>
          </w:p>
        </w:tc>
        <w:tc>
          <w:tcPr>
            <w:tcW w:w="1180" w:type="dxa"/>
            <w:tcBorders>
              <w:top w:val="nil"/>
              <w:left w:val="nil"/>
              <w:bottom w:val="nil"/>
              <w:right w:val="nil"/>
            </w:tcBorders>
            <w:shd w:val="clear" w:color="000000" w:fill="006991"/>
            <w:vAlign w:val="center"/>
            <w:hideMark/>
          </w:tcPr>
          <w:p w14:paraId="698B6BBC" w14:textId="77777777" w:rsidR="00747447" w:rsidRPr="00747447" w:rsidRDefault="00747447" w:rsidP="00747447">
            <w:pPr>
              <w:tabs>
                <w:tab w:val="clear" w:pos="567"/>
              </w:tabs>
              <w:spacing w:before="0" w:line="240" w:lineRule="auto"/>
              <w:rPr>
                <w:rFonts w:ascii="Open Sans Semibold" w:eastAsia="Times New Roman" w:hAnsi="Open Sans Semibold" w:cs="Open Sans Semibold"/>
                <w:color w:val="FFFFFF"/>
                <w:sz w:val="16"/>
                <w:szCs w:val="16"/>
                <w:lang w:eastAsia="en-AU"/>
              </w:rPr>
            </w:pPr>
            <w:r w:rsidRPr="00747447">
              <w:rPr>
                <w:rFonts w:ascii="Open Sans Semibold" w:eastAsia="Times New Roman" w:hAnsi="Open Sans Semibold" w:cs="Open Sans Semibold"/>
                <w:color w:val="FFFFFF"/>
                <w:sz w:val="16"/>
                <w:szCs w:val="16"/>
                <w:lang w:eastAsia="en-AU"/>
              </w:rPr>
              <w:t>Driver</w:t>
            </w:r>
          </w:p>
        </w:tc>
        <w:tc>
          <w:tcPr>
            <w:tcW w:w="3840" w:type="dxa"/>
            <w:tcBorders>
              <w:top w:val="nil"/>
              <w:left w:val="nil"/>
              <w:bottom w:val="nil"/>
              <w:right w:val="nil"/>
            </w:tcBorders>
            <w:shd w:val="clear" w:color="000000" w:fill="006991"/>
            <w:vAlign w:val="center"/>
            <w:hideMark/>
          </w:tcPr>
          <w:p w14:paraId="24B0F792" w14:textId="77777777" w:rsidR="00747447" w:rsidRPr="00747447" w:rsidRDefault="00747447" w:rsidP="00747447">
            <w:pPr>
              <w:tabs>
                <w:tab w:val="clear" w:pos="567"/>
              </w:tabs>
              <w:spacing w:before="0" w:line="240" w:lineRule="auto"/>
              <w:rPr>
                <w:rFonts w:ascii="Open Sans Semibold" w:eastAsia="Times New Roman" w:hAnsi="Open Sans Semibold" w:cs="Open Sans Semibold"/>
                <w:color w:val="FFFFFF"/>
                <w:sz w:val="16"/>
                <w:szCs w:val="16"/>
                <w:lang w:eastAsia="en-AU"/>
              </w:rPr>
            </w:pPr>
            <w:r w:rsidRPr="00747447">
              <w:rPr>
                <w:rFonts w:ascii="Open Sans Semibold" w:eastAsia="Times New Roman" w:hAnsi="Open Sans Semibold" w:cs="Open Sans Semibold"/>
                <w:color w:val="FFFFFF"/>
                <w:sz w:val="16"/>
                <w:szCs w:val="16"/>
                <w:lang w:eastAsia="en-AU"/>
              </w:rPr>
              <w:t>Influence measured by driver</w:t>
            </w:r>
          </w:p>
        </w:tc>
        <w:tc>
          <w:tcPr>
            <w:tcW w:w="1120" w:type="dxa"/>
            <w:tcBorders>
              <w:top w:val="nil"/>
              <w:left w:val="nil"/>
              <w:bottom w:val="nil"/>
              <w:right w:val="nil"/>
            </w:tcBorders>
            <w:shd w:val="clear" w:color="000000" w:fill="006991"/>
            <w:vAlign w:val="center"/>
            <w:hideMark/>
          </w:tcPr>
          <w:p w14:paraId="34166193" w14:textId="77777777" w:rsidR="00747447" w:rsidRPr="00747447" w:rsidRDefault="00747447" w:rsidP="00747447">
            <w:pPr>
              <w:tabs>
                <w:tab w:val="clear" w:pos="567"/>
              </w:tabs>
              <w:spacing w:before="0" w:line="240" w:lineRule="auto"/>
              <w:rPr>
                <w:rFonts w:ascii="Open Sans Semibold" w:eastAsia="Times New Roman" w:hAnsi="Open Sans Semibold" w:cs="Open Sans Semibold"/>
                <w:color w:val="FFFFFF"/>
                <w:sz w:val="16"/>
                <w:szCs w:val="16"/>
                <w:lang w:eastAsia="en-AU"/>
              </w:rPr>
            </w:pPr>
            <w:r w:rsidRPr="00747447">
              <w:rPr>
                <w:rFonts w:ascii="Open Sans Semibold" w:eastAsia="Times New Roman" w:hAnsi="Open Sans Semibold" w:cs="Open Sans Semibold"/>
                <w:color w:val="FFFFFF"/>
                <w:sz w:val="16"/>
                <w:szCs w:val="16"/>
                <w:lang w:eastAsia="en-AU"/>
              </w:rPr>
              <w:t>Change since 2020 Review</w:t>
            </w:r>
          </w:p>
        </w:tc>
      </w:tr>
      <w:tr w:rsidR="00747447" w:rsidRPr="00747447" w14:paraId="1A235317" w14:textId="77777777" w:rsidTr="00747447">
        <w:trPr>
          <w:trHeight w:val="270"/>
        </w:trPr>
        <w:tc>
          <w:tcPr>
            <w:tcW w:w="1540" w:type="dxa"/>
            <w:tcBorders>
              <w:top w:val="single" w:sz="4" w:space="0" w:color="ADD6EA"/>
              <w:left w:val="nil"/>
              <w:bottom w:val="nil"/>
              <w:right w:val="nil"/>
            </w:tcBorders>
            <w:shd w:val="clear" w:color="000000" w:fill="B6D5E4"/>
            <w:vAlign w:val="bottom"/>
            <w:hideMark/>
          </w:tcPr>
          <w:p w14:paraId="6BD31F29" w14:textId="77777777" w:rsidR="00747447" w:rsidRPr="00747447" w:rsidRDefault="00747447" w:rsidP="00747447">
            <w:pPr>
              <w:tabs>
                <w:tab w:val="clear" w:pos="567"/>
              </w:tabs>
              <w:spacing w:before="0" w:line="240" w:lineRule="auto"/>
              <w:rPr>
                <w:rFonts w:ascii="Open Sans Semibold" w:eastAsia="Times New Roman" w:hAnsi="Open Sans Semibold" w:cs="Open Sans Semibold"/>
                <w:color w:val="000000"/>
                <w:sz w:val="16"/>
                <w:szCs w:val="16"/>
                <w:lang w:eastAsia="en-AU"/>
              </w:rPr>
            </w:pPr>
            <w:r w:rsidRPr="00747447">
              <w:rPr>
                <w:rFonts w:ascii="Open Sans Semibold" w:eastAsia="Times New Roman" w:hAnsi="Open Sans Semibold" w:cs="Open Sans Semibold"/>
                <w:color w:val="000000"/>
                <w:sz w:val="16"/>
                <w:szCs w:val="16"/>
                <w:lang w:eastAsia="en-AU"/>
              </w:rPr>
              <w:t> </w:t>
            </w:r>
          </w:p>
        </w:tc>
        <w:tc>
          <w:tcPr>
            <w:tcW w:w="1120" w:type="dxa"/>
            <w:tcBorders>
              <w:top w:val="single" w:sz="4" w:space="0" w:color="ADD6EA"/>
              <w:left w:val="nil"/>
              <w:bottom w:val="nil"/>
              <w:right w:val="nil"/>
            </w:tcBorders>
            <w:shd w:val="clear" w:color="000000" w:fill="B6D5E4"/>
            <w:noWrap/>
            <w:vAlign w:val="bottom"/>
            <w:hideMark/>
          </w:tcPr>
          <w:p w14:paraId="1D5F6A0C" w14:textId="77777777" w:rsidR="00747447" w:rsidRPr="00747447" w:rsidRDefault="00747447" w:rsidP="0074744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47447">
              <w:rPr>
                <w:rFonts w:ascii="Open Sans Semibold" w:eastAsia="Times New Roman" w:hAnsi="Open Sans Semibold" w:cs="Open Sans Semibold"/>
                <w:color w:val="000000"/>
                <w:sz w:val="16"/>
                <w:szCs w:val="16"/>
                <w:lang w:eastAsia="en-AU"/>
              </w:rPr>
              <w:t>$m</w:t>
            </w:r>
          </w:p>
        </w:tc>
        <w:tc>
          <w:tcPr>
            <w:tcW w:w="220" w:type="dxa"/>
            <w:tcBorders>
              <w:top w:val="single" w:sz="4" w:space="0" w:color="ADD6EA"/>
              <w:left w:val="nil"/>
              <w:bottom w:val="nil"/>
              <w:right w:val="nil"/>
            </w:tcBorders>
            <w:shd w:val="clear" w:color="000000" w:fill="B6D5E4"/>
            <w:noWrap/>
            <w:vAlign w:val="bottom"/>
            <w:hideMark/>
          </w:tcPr>
          <w:p w14:paraId="70741577" w14:textId="77777777" w:rsidR="00747447" w:rsidRPr="00747447" w:rsidRDefault="00747447" w:rsidP="0074744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47447">
              <w:rPr>
                <w:rFonts w:ascii="Open Sans Semibold" w:eastAsia="Times New Roman" w:hAnsi="Open Sans Semibold" w:cs="Open Sans Semibold"/>
                <w:color w:val="000000"/>
                <w:sz w:val="16"/>
                <w:szCs w:val="16"/>
                <w:lang w:eastAsia="en-AU"/>
              </w:rPr>
              <w:t> </w:t>
            </w:r>
          </w:p>
        </w:tc>
        <w:tc>
          <w:tcPr>
            <w:tcW w:w="1180" w:type="dxa"/>
            <w:tcBorders>
              <w:top w:val="single" w:sz="4" w:space="0" w:color="ADD6EA"/>
              <w:left w:val="nil"/>
              <w:bottom w:val="nil"/>
              <w:right w:val="nil"/>
            </w:tcBorders>
            <w:shd w:val="clear" w:color="000000" w:fill="B6D5E4"/>
            <w:noWrap/>
            <w:vAlign w:val="bottom"/>
            <w:hideMark/>
          </w:tcPr>
          <w:p w14:paraId="30685E88" w14:textId="77777777" w:rsidR="00747447" w:rsidRPr="00747447" w:rsidRDefault="00747447" w:rsidP="0074744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47447">
              <w:rPr>
                <w:rFonts w:ascii="Open Sans Semibold" w:eastAsia="Times New Roman" w:hAnsi="Open Sans Semibold" w:cs="Open Sans Semibold"/>
                <w:color w:val="000000"/>
                <w:sz w:val="16"/>
                <w:szCs w:val="16"/>
                <w:lang w:eastAsia="en-AU"/>
              </w:rPr>
              <w:t> </w:t>
            </w:r>
          </w:p>
        </w:tc>
        <w:tc>
          <w:tcPr>
            <w:tcW w:w="3840" w:type="dxa"/>
            <w:tcBorders>
              <w:top w:val="single" w:sz="4" w:space="0" w:color="ADD6EA"/>
              <w:left w:val="nil"/>
              <w:bottom w:val="nil"/>
              <w:right w:val="nil"/>
            </w:tcBorders>
            <w:shd w:val="clear" w:color="000000" w:fill="B6D5E4"/>
            <w:noWrap/>
            <w:vAlign w:val="bottom"/>
            <w:hideMark/>
          </w:tcPr>
          <w:p w14:paraId="2EFF5B41" w14:textId="77777777" w:rsidR="00747447" w:rsidRPr="00747447" w:rsidRDefault="00747447" w:rsidP="0074744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47447">
              <w:rPr>
                <w:rFonts w:ascii="Open Sans Semibold" w:eastAsia="Times New Roman" w:hAnsi="Open Sans Semibold" w:cs="Open Sans Semibold"/>
                <w:color w:val="000000"/>
                <w:sz w:val="16"/>
                <w:szCs w:val="16"/>
                <w:lang w:eastAsia="en-AU"/>
              </w:rPr>
              <w:t> </w:t>
            </w:r>
          </w:p>
        </w:tc>
        <w:tc>
          <w:tcPr>
            <w:tcW w:w="1120" w:type="dxa"/>
            <w:tcBorders>
              <w:top w:val="single" w:sz="4" w:space="0" w:color="ADD6EA"/>
              <w:left w:val="nil"/>
              <w:bottom w:val="nil"/>
              <w:right w:val="nil"/>
            </w:tcBorders>
            <w:shd w:val="clear" w:color="000000" w:fill="B6D5E4"/>
            <w:noWrap/>
            <w:vAlign w:val="bottom"/>
            <w:hideMark/>
          </w:tcPr>
          <w:p w14:paraId="155C89E8" w14:textId="77777777" w:rsidR="00747447" w:rsidRPr="00747447" w:rsidRDefault="00747447" w:rsidP="0074744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47447">
              <w:rPr>
                <w:rFonts w:ascii="Open Sans Semibold" w:eastAsia="Times New Roman" w:hAnsi="Open Sans Semibold" w:cs="Open Sans Semibold"/>
                <w:color w:val="000000"/>
                <w:sz w:val="16"/>
                <w:szCs w:val="16"/>
                <w:lang w:eastAsia="en-AU"/>
              </w:rPr>
              <w:t> </w:t>
            </w:r>
          </w:p>
        </w:tc>
      </w:tr>
      <w:tr w:rsidR="00747447" w:rsidRPr="00747447" w14:paraId="31D35268" w14:textId="77777777" w:rsidTr="00747447">
        <w:trPr>
          <w:trHeight w:val="1020"/>
        </w:trPr>
        <w:tc>
          <w:tcPr>
            <w:tcW w:w="1540" w:type="dxa"/>
            <w:tcBorders>
              <w:top w:val="nil"/>
              <w:left w:val="nil"/>
              <w:bottom w:val="nil"/>
              <w:right w:val="nil"/>
            </w:tcBorders>
            <w:shd w:val="clear" w:color="auto" w:fill="auto"/>
            <w:hideMark/>
          </w:tcPr>
          <w:p w14:paraId="5837499C" w14:textId="77777777" w:rsidR="00747447" w:rsidRPr="00747447" w:rsidRDefault="00747447" w:rsidP="00747447">
            <w:pPr>
              <w:tabs>
                <w:tab w:val="clear" w:pos="567"/>
              </w:tabs>
              <w:spacing w:before="0" w:line="240" w:lineRule="auto"/>
              <w:rPr>
                <w:rFonts w:eastAsia="Times New Roman" w:cs="Open Sans Light"/>
                <w:color w:val="000000"/>
                <w:sz w:val="16"/>
                <w:szCs w:val="16"/>
                <w:lang w:eastAsia="en-AU"/>
              </w:rPr>
            </w:pPr>
            <w:r w:rsidRPr="00747447">
              <w:rPr>
                <w:rFonts w:eastAsia="Times New Roman" w:cs="Open Sans Light"/>
                <w:color w:val="000000"/>
                <w:sz w:val="16"/>
                <w:szCs w:val="16"/>
                <w:lang w:eastAsia="en-AU"/>
              </w:rPr>
              <w:t>Post-secondary education</w:t>
            </w:r>
          </w:p>
        </w:tc>
        <w:tc>
          <w:tcPr>
            <w:tcW w:w="1120" w:type="dxa"/>
            <w:tcBorders>
              <w:top w:val="nil"/>
              <w:left w:val="nil"/>
              <w:bottom w:val="nil"/>
              <w:right w:val="nil"/>
            </w:tcBorders>
            <w:shd w:val="clear" w:color="auto" w:fill="auto"/>
            <w:noWrap/>
            <w:hideMark/>
          </w:tcPr>
          <w:p w14:paraId="5C0FBE9C" w14:textId="77777777" w:rsidR="00747447" w:rsidRPr="00747447" w:rsidRDefault="00747447" w:rsidP="00747447">
            <w:pPr>
              <w:tabs>
                <w:tab w:val="clear" w:pos="567"/>
              </w:tabs>
              <w:spacing w:before="0" w:line="240" w:lineRule="auto"/>
              <w:jc w:val="right"/>
              <w:rPr>
                <w:rFonts w:eastAsia="Times New Roman" w:cs="Open Sans Light"/>
                <w:color w:val="000000"/>
                <w:sz w:val="16"/>
                <w:szCs w:val="16"/>
                <w:lang w:eastAsia="en-AU"/>
              </w:rPr>
            </w:pPr>
            <w:r w:rsidRPr="00747447">
              <w:rPr>
                <w:rFonts w:eastAsia="Times New Roman" w:cs="Open Sans Light"/>
                <w:color w:val="000000"/>
                <w:sz w:val="16"/>
                <w:szCs w:val="16"/>
                <w:lang w:eastAsia="en-AU"/>
              </w:rPr>
              <w:t>6,129</w:t>
            </w:r>
          </w:p>
        </w:tc>
        <w:tc>
          <w:tcPr>
            <w:tcW w:w="220" w:type="dxa"/>
            <w:tcBorders>
              <w:top w:val="single" w:sz="4" w:space="0" w:color="ADD6EA"/>
              <w:left w:val="nil"/>
              <w:bottom w:val="nil"/>
              <w:right w:val="nil"/>
            </w:tcBorders>
            <w:shd w:val="clear" w:color="auto" w:fill="auto"/>
            <w:noWrap/>
            <w:hideMark/>
          </w:tcPr>
          <w:p w14:paraId="631057D0" w14:textId="77777777" w:rsidR="00747447" w:rsidRPr="00747447" w:rsidRDefault="00747447" w:rsidP="00747447">
            <w:pPr>
              <w:tabs>
                <w:tab w:val="clear" w:pos="567"/>
              </w:tabs>
              <w:spacing w:before="0" w:line="240" w:lineRule="auto"/>
              <w:jc w:val="right"/>
              <w:rPr>
                <w:rFonts w:eastAsia="Times New Roman" w:cs="Open Sans Light"/>
                <w:color w:val="000000"/>
                <w:sz w:val="16"/>
                <w:szCs w:val="16"/>
                <w:lang w:eastAsia="en-AU"/>
              </w:rPr>
            </w:pPr>
            <w:r w:rsidRPr="00747447">
              <w:rPr>
                <w:rFonts w:eastAsia="Times New Roman" w:cs="Open Sans Light"/>
                <w:color w:val="000000"/>
                <w:sz w:val="16"/>
                <w:szCs w:val="16"/>
                <w:lang w:eastAsia="en-AU"/>
              </w:rPr>
              <w:t> </w:t>
            </w:r>
          </w:p>
        </w:tc>
        <w:tc>
          <w:tcPr>
            <w:tcW w:w="1180" w:type="dxa"/>
            <w:tcBorders>
              <w:top w:val="single" w:sz="4" w:space="0" w:color="ADD6EA"/>
              <w:left w:val="nil"/>
              <w:bottom w:val="nil"/>
              <w:right w:val="nil"/>
            </w:tcBorders>
            <w:shd w:val="clear" w:color="auto" w:fill="auto"/>
            <w:hideMark/>
          </w:tcPr>
          <w:p w14:paraId="0505AB0C" w14:textId="77777777" w:rsidR="00747447" w:rsidRPr="00747447" w:rsidRDefault="00747447" w:rsidP="00747447">
            <w:pPr>
              <w:tabs>
                <w:tab w:val="clear" w:pos="567"/>
              </w:tabs>
              <w:spacing w:before="0" w:line="240" w:lineRule="auto"/>
              <w:rPr>
                <w:rFonts w:eastAsia="Times New Roman" w:cs="Open Sans Light"/>
                <w:color w:val="000000"/>
                <w:sz w:val="16"/>
                <w:szCs w:val="16"/>
                <w:lang w:eastAsia="en-AU"/>
              </w:rPr>
            </w:pPr>
            <w:r w:rsidRPr="00747447">
              <w:rPr>
                <w:rFonts w:eastAsia="Times New Roman" w:cs="Open Sans Light"/>
                <w:color w:val="000000"/>
                <w:sz w:val="16"/>
                <w:szCs w:val="16"/>
                <w:lang w:eastAsia="en-AU"/>
              </w:rPr>
              <w:t>SDC</w:t>
            </w:r>
          </w:p>
        </w:tc>
        <w:tc>
          <w:tcPr>
            <w:tcW w:w="3840" w:type="dxa"/>
            <w:tcBorders>
              <w:top w:val="single" w:sz="4" w:space="0" w:color="ADD6EA"/>
              <w:left w:val="nil"/>
              <w:bottom w:val="nil"/>
              <w:right w:val="nil"/>
            </w:tcBorders>
            <w:shd w:val="clear" w:color="auto" w:fill="auto"/>
            <w:hideMark/>
          </w:tcPr>
          <w:p w14:paraId="457F8EBA" w14:textId="77777777" w:rsidR="00747447" w:rsidRPr="00747447" w:rsidRDefault="00747447" w:rsidP="00747447">
            <w:pPr>
              <w:tabs>
                <w:tab w:val="clear" w:pos="567"/>
              </w:tabs>
              <w:spacing w:before="0" w:line="240" w:lineRule="auto"/>
              <w:rPr>
                <w:rFonts w:eastAsia="Times New Roman" w:cs="Open Sans Light"/>
                <w:color w:val="000000"/>
                <w:sz w:val="16"/>
                <w:szCs w:val="16"/>
                <w:lang w:eastAsia="en-AU"/>
              </w:rPr>
            </w:pPr>
            <w:r w:rsidRPr="00747447">
              <w:rPr>
                <w:rFonts w:eastAsia="Times New Roman" w:cs="Open Sans Light"/>
                <w:color w:val="000000"/>
                <w:sz w:val="16"/>
                <w:szCs w:val="16"/>
                <w:lang w:eastAsia="en-AU"/>
              </w:rPr>
              <w:t>Recognises that for the working age population certain characteristics affect the use and cost of services, namely: Indigenous status, remoteness, and socio-economic status.</w:t>
            </w:r>
          </w:p>
        </w:tc>
        <w:tc>
          <w:tcPr>
            <w:tcW w:w="1120" w:type="dxa"/>
            <w:tcBorders>
              <w:top w:val="nil"/>
              <w:left w:val="nil"/>
              <w:bottom w:val="nil"/>
              <w:right w:val="nil"/>
            </w:tcBorders>
            <w:shd w:val="clear" w:color="auto" w:fill="auto"/>
            <w:hideMark/>
          </w:tcPr>
          <w:p w14:paraId="49934538" w14:textId="77777777" w:rsidR="00747447" w:rsidRPr="00747447" w:rsidRDefault="00747447" w:rsidP="00747447">
            <w:pPr>
              <w:tabs>
                <w:tab w:val="clear" w:pos="567"/>
              </w:tabs>
              <w:spacing w:before="0" w:line="240" w:lineRule="auto"/>
              <w:rPr>
                <w:rFonts w:eastAsia="Times New Roman" w:cs="Open Sans Light"/>
                <w:color w:val="000000"/>
                <w:sz w:val="16"/>
                <w:szCs w:val="16"/>
                <w:lang w:eastAsia="en-AU"/>
              </w:rPr>
            </w:pPr>
            <w:r w:rsidRPr="00747447">
              <w:rPr>
                <w:rFonts w:eastAsia="Times New Roman" w:cs="Open Sans Light"/>
                <w:color w:val="000000"/>
                <w:sz w:val="16"/>
                <w:szCs w:val="16"/>
                <w:lang w:eastAsia="en-AU"/>
              </w:rPr>
              <w:t>Refresh</w:t>
            </w:r>
          </w:p>
        </w:tc>
      </w:tr>
      <w:tr w:rsidR="00747447" w:rsidRPr="00747447" w14:paraId="63238928" w14:textId="77777777" w:rsidTr="00747447">
        <w:trPr>
          <w:trHeight w:val="510"/>
        </w:trPr>
        <w:tc>
          <w:tcPr>
            <w:tcW w:w="1540" w:type="dxa"/>
            <w:tcBorders>
              <w:top w:val="nil"/>
              <w:left w:val="nil"/>
              <w:bottom w:val="nil"/>
              <w:right w:val="nil"/>
            </w:tcBorders>
            <w:shd w:val="clear" w:color="auto" w:fill="auto"/>
            <w:hideMark/>
          </w:tcPr>
          <w:p w14:paraId="130D2A30" w14:textId="77777777" w:rsidR="00747447" w:rsidRPr="00747447" w:rsidRDefault="00747447" w:rsidP="00747447">
            <w:pPr>
              <w:tabs>
                <w:tab w:val="clear" w:pos="567"/>
              </w:tabs>
              <w:spacing w:before="0" w:line="240" w:lineRule="auto"/>
              <w:rPr>
                <w:rFonts w:eastAsia="Times New Roman" w:cs="Open Sans Light"/>
                <w:color w:val="000000"/>
                <w:sz w:val="16"/>
                <w:szCs w:val="16"/>
                <w:lang w:eastAsia="en-AU"/>
              </w:rPr>
            </w:pPr>
          </w:p>
        </w:tc>
        <w:tc>
          <w:tcPr>
            <w:tcW w:w="1120" w:type="dxa"/>
            <w:tcBorders>
              <w:top w:val="nil"/>
              <w:left w:val="nil"/>
              <w:bottom w:val="nil"/>
              <w:right w:val="nil"/>
            </w:tcBorders>
            <w:shd w:val="clear" w:color="auto" w:fill="auto"/>
            <w:noWrap/>
            <w:hideMark/>
          </w:tcPr>
          <w:p w14:paraId="7B183512" w14:textId="77777777" w:rsidR="00747447" w:rsidRPr="00747447" w:rsidRDefault="00747447" w:rsidP="00747447">
            <w:pPr>
              <w:tabs>
                <w:tab w:val="clear" w:pos="567"/>
              </w:tabs>
              <w:spacing w:before="0" w:line="240" w:lineRule="auto"/>
              <w:rPr>
                <w:rFonts w:ascii="Times New Roman" w:eastAsia="Times New Roman" w:hAnsi="Times New Roman" w:cs="Times New Roman"/>
                <w:szCs w:val="20"/>
                <w:lang w:eastAsia="en-AU"/>
              </w:rPr>
            </w:pPr>
          </w:p>
        </w:tc>
        <w:tc>
          <w:tcPr>
            <w:tcW w:w="220" w:type="dxa"/>
            <w:tcBorders>
              <w:top w:val="nil"/>
              <w:left w:val="nil"/>
              <w:bottom w:val="nil"/>
              <w:right w:val="nil"/>
            </w:tcBorders>
            <w:shd w:val="clear" w:color="auto" w:fill="auto"/>
            <w:noWrap/>
            <w:hideMark/>
          </w:tcPr>
          <w:p w14:paraId="6AB8F83C" w14:textId="77777777" w:rsidR="00747447" w:rsidRPr="00747447" w:rsidRDefault="00747447" w:rsidP="00747447">
            <w:pPr>
              <w:tabs>
                <w:tab w:val="clear" w:pos="567"/>
              </w:tabs>
              <w:spacing w:before="0" w:line="240" w:lineRule="auto"/>
              <w:jc w:val="right"/>
              <w:rPr>
                <w:rFonts w:ascii="Times New Roman" w:eastAsia="Times New Roman" w:hAnsi="Times New Roman" w:cs="Times New Roman"/>
                <w:szCs w:val="20"/>
                <w:lang w:eastAsia="en-AU"/>
              </w:rPr>
            </w:pPr>
          </w:p>
        </w:tc>
        <w:tc>
          <w:tcPr>
            <w:tcW w:w="1180" w:type="dxa"/>
            <w:tcBorders>
              <w:top w:val="single" w:sz="4" w:space="0" w:color="ADD6EA"/>
              <w:left w:val="nil"/>
              <w:bottom w:val="nil"/>
              <w:right w:val="nil"/>
            </w:tcBorders>
            <w:shd w:val="clear" w:color="auto" w:fill="auto"/>
            <w:hideMark/>
          </w:tcPr>
          <w:p w14:paraId="55180A02" w14:textId="77777777" w:rsidR="00747447" w:rsidRPr="00747447" w:rsidRDefault="00747447" w:rsidP="00747447">
            <w:pPr>
              <w:tabs>
                <w:tab w:val="clear" w:pos="567"/>
              </w:tabs>
              <w:spacing w:before="0" w:line="240" w:lineRule="auto"/>
              <w:rPr>
                <w:rFonts w:eastAsia="Times New Roman" w:cs="Open Sans Light"/>
                <w:color w:val="000000"/>
                <w:sz w:val="16"/>
                <w:szCs w:val="16"/>
                <w:lang w:eastAsia="en-AU"/>
              </w:rPr>
            </w:pPr>
            <w:r w:rsidRPr="00747447">
              <w:rPr>
                <w:rFonts w:eastAsia="Times New Roman" w:cs="Open Sans Light"/>
                <w:color w:val="000000"/>
                <w:sz w:val="16"/>
                <w:szCs w:val="16"/>
                <w:lang w:eastAsia="en-AU"/>
              </w:rPr>
              <w:t>Cross-border</w:t>
            </w:r>
          </w:p>
        </w:tc>
        <w:tc>
          <w:tcPr>
            <w:tcW w:w="3840" w:type="dxa"/>
            <w:tcBorders>
              <w:top w:val="single" w:sz="4" w:space="0" w:color="ADD6EA"/>
              <w:left w:val="nil"/>
              <w:bottom w:val="nil"/>
              <w:right w:val="nil"/>
            </w:tcBorders>
            <w:shd w:val="clear" w:color="auto" w:fill="auto"/>
            <w:hideMark/>
          </w:tcPr>
          <w:p w14:paraId="1644E45E" w14:textId="77777777" w:rsidR="00747447" w:rsidRPr="00747447" w:rsidRDefault="00747447" w:rsidP="00747447">
            <w:pPr>
              <w:tabs>
                <w:tab w:val="clear" w:pos="567"/>
              </w:tabs>
              <w:spacing w:before="0" w:line="240" w:lineRule="auto"/>
              <w:rPr>
                <w:rFonts w:eastAsia="Times New Roman" w:cs="Open Sans Light"/>
                <w:color w:val="000000"/>
                <w:sz w:val="16"/>
                <w:szCs w:val="16"/>
                <w:lang w:eastAsia="en-AU"/>
              </w:rPr>
            </w:pPr>
            <w:r w:rsidRPr="00747447">
              <w:rPr>
                <w:rFonts w:eastAsia="Times New Roman" w:cs="Open Sans Light"/>
                <w:color w:val="000000"/>
                <w:sz w:val="16"/>
                <w:szCs w:val="16"/>
                <w:lang w:eastAsia="en-AU"/>
              </w:rPr>
              <w:t>Recognises the cost to the ACT of providing services to residents of New South Wales.</w:t>
            </w:r>
          </w:p>
        </w:tc>
        <w:tc>
          <w:tcPr>
            <w:tcW w:w="1120" w:type="dxa"/>
            <w:tcBorders>
              <w:top w:val="single" w:sz="4" w:space="0" w:color="ADD6EA"/>
              <w:left w:val="nil"/>
              <w:bottom w:val="nil"/>
              <w:right w:val="nil"/>
            </w:tcBorders>
            <w:shd w:val="clear" w:color="auto" w:fill="auto"/>
            <w:hideMark/>
          </w:tcPr>
          <w:p w14:paraId="6BF9A45E" w14:textId="77777777" w:rsidR="00747447" w:rsidRPr="00747447" w:rsidRDefault="00747447" w:rsidP="00747447">
            <w:pPr>
              <w:tabs>
                <w:tab w:val="clear" w:pos="567"/>
              </w:tabs>
              <w:spacing w:before="0" w:line="240" w:lineRule="auto"/>
              <w:rPr>
                <w:rFonts w:eastAsia="Times New Roman" w:cs="Open Sans Light"/>
                <w:color w:val="000000"/>
                <w:sz w:val="16"/>
                <w:szCs w:val="16"/>
                <w:lang w:eastAsia="en-AU"/>
              </w:rPr>
            </w:pPr>
            <w:r w:rsidRPr="00747447">
              <w:rPr>
                <w:rFonts w:eastAsia="Times New Roman" w:cs="Open Sans Light"/>
                <w:color w:val="000000"/>
                <w:sz w:val="16"/>
                <w:szCs w:val="16"/>
                <w:lang w:eastAsia="en-AU"/>
              </w:rPr>
              <w:t>No</w:t>
            </w:r>
          </w:p>
        </w:tc>
      </w:tr>
      <w:tr w:rsidR="00747447" w:rsidRPr="00747447" w14:paraId="304EAFDB" w14:textId="77777777" w:rsidTr="00747447">
        <w:trPr>
          <w:trHeight w:val="315"/>
        </w:trPr>
        <w:tc>
          <w:tcPr>
            <w:tcW w:w="1540" w:type="dxa"/>
            <w:tcBorders>
              <w:top w:val="nil"/>
              <w:left w:val="nil"/>
              <w:bottom w:val="single" w:sz="4" w:space="0" w:color="ADD6EA"/>
              <w:right w:val="nil"/>
            </w:tcBorders>
            <w:shd w:val="clear" w:color="auto" w:fill="auto"/>
            <w:hideMark/>
          </w:tcPr>
          <w:p w14:paraId="6551A9A8" w14:textId="77777777" w:rsidR="00747447" w:rsidRPr="00747447" w:rsidRDefault="00747447" w:rsidP="00747447">
            <w:pPr>
              <w:tabs>
                <w:tab w:val="clear" w:pos="567"/>
              </w:tabs>
              <w:spacing w:before="0" w:line="240" w:lineRule="auto"/>
              <w:rPr>
                <w:rFonts w:eastAsia="Times New Roman" w:cs="Open Sans Light"/>
                <w:color w:val="000000"/>
                <w:sz w:val="16"/>
                <w:szCs w:val="16"/>
                <w:lang w:eastAsia="en-AU"/>
              </w:rPr>
            </w:pPr>
            <w:r w:rsidRPr="00747447">
              <w:rPr>
                <w:rFonts w:eastAsia="Times New Roman" w:cs="Open Sans Light"/>
                <w:color w:val="000000"/>
                <w:sz w:val="16"/>
                <w:szCs w:val="16"/>
                <w:lang w:eastAsia="en-AU"/>
              </w:rPr>
              <w:t> </w:t>
            </w:r>
          </w:p>
        </w:tc>
        <w:tc>
          <w:tcPr>
            <w:tcW w:w="1120" w:type="dxa"/>
            <w:tcBorders>
              <w:top w:val="nil"/>
              <w:left w:val="nil"/>
              <w:bottom w:val="single" w:sz="4" w:space="0" w:color="ADD6EA"/>
              <w:right w:val="nil"/>
            </w:tcBorders>
            <w:shd w:val="clear" w:color="auto" w:fill="auto"/>
            <w:hideMark/>
          </w:tcPr>
          <w:p w14:paraId="08E681FA" w14:textId="77777777" w:rsidR="00747447" w:rsidRPr="00747447" w:rsidRDefault="00747447" w:rsidP="00747447">
            <w:pPr>
              <w:tabs>
                <w:tab w:val="clear" w:pos="567"/>
              </w:tabs>
              <w:spacing w:before="0" w:line="240" w:lineRule="auto"/>
              <w:rPr>
                <w:rFonts w:eastAsia="Times New Roman" w:cs="Open Sans Light"/>
                <w:color w:val="000000"/>
                <w:sz w:val="16"/>
                <w:szCs w:val="16"/>
                <w:lang w:eastAsia="en-AU"/>
              </w:rPr>
            </w:pPr>
            <w:r w:rsidRPr="00747447">
              <w:rPr>
                <w:rFonts w:eastAsia="Times New Roman" w:cs="Open Sans Light"/>
                <w:color w:val="000000"/>
                <w:sz w:val="16"/>
                <w:szCs w:val="16"/>
                <w:lang w:eastAsia="en-AU"/>
              </w:rPr>
              <w:t> </w:t>
            </w:r>
          </w:p>
        </w:tc>
        <w:tc>
          <w:tcPr>
            <w:tcW w:w="220" w:type="dxa"/>
            <w:tcBorders>
              <w:top w:val="nil"/>
              <w:left w:val="nil"/>
              <w:bottom w:val="single" w:sz="4" w:space="0" w:color="ADD6EA"/>
              <w:right w:val="nil"/>
            </w:tcBorders>
            <w:shd w:val="clear" w:color="auto" w:fill="auto"/>
            <w:hideMark/>
          </w:tcPr>
          <w:p w14:paraId="0E151589" w14:textId="77777777" w:rsidR="00747447" w:rsidRPr="00747447" w:rsidRDefault="00747447" w:rsidP="00747447">
            <w:pPr>
              <w:tabs>
                <w:tab w:val="clear" w:pos="567"/>
              </w:tabs>
              <w:spacing w:before="0" w:line="240" w:lineRule="auto"/>
              <w:rPr>
                <w:rFonts w:eastAsia="Times New Roman" w:cs="Open Sans Light"/>
                <w:color w:val="000000"/>
                <w:sz w:val="16"/>
                <w:szCs w:val="16"/>
                <w:lang w:eastAsia="en-AU"/>
              </w:rPr>
            </w:pPr>
            <w:r w:rsidRPr="00747447">
              <w:rPr>
                <w:rFonts w:eastAsia="Times New Roman" w:cs="Open Sans Light"/>
                <w:color w:val="000000"/>
                <w:sz w:val="16"/>
                <w:szCs w:val="16"/>
                <w:lang w:eastAsia="en-AU"/>
              </w:rPr>
              <w:t> </w:t>
            </w:r>
          </w:p>
        </w:tc>
        <w:tc>
          <w:tcPr>
            <w:tcW w:w="1180" w:type="dxa"/>
            <w:tcBorders>
              <w:top w:val="single" w:sz="4" w:space="0" w:color="ADD6EA"/>
              <w:left w:val="nil"/>
              <w:bottom w:val="single" w:sz="4" w:space="0" w:color="ADD6EA"/>
              <w:right w:val="nil"/>
            </w:tcBorders>
            <w:shd w:val="clear" w:color="auto" w:fill="auto"/>
            <w:hideMark/>
          </w:tcPr>
          <w:p w14:paraId="59E7E7B5" w14:textId="77777777" w:rsidR="00747447" w:rsidRPr="00747447" w:rsidRDefault="00747447" w:rsidP="00747447">
            <w:pPr>
              <w:tabs>
                <w:tab w:val="clear" w:pos="567"/>
              </w:tabs>
              <w:spacing w:before="0" w:line="240" w:lineRule="auto"/>
              <w:rPr>
                <w:rFonts w:eastAsia="Times New Roman" w:cs="Open Sans Light"/>
                <w:color w:val="000000"/>
                <w:sz w:val="16"/>
                <w:szCs w:val="16"/>
                <w:lang w:eastAsia="en-AU"/>
              </w:rPr>
            </w:pPr>
            <w:r w:rsidRPr="00747447">
              <w:rPr>
                <w:rFonts w:eastAsia="Times New Roman" w:cs="Open Sans Light"/>
                <w:color w:val="000000"/>
                <w:sz w:val="16"/>
                <w:szCs w:val="16"/>
                <w:lang w:eastAsia="en-AU"/>
              </w:rPr>
              <w:t>Wage costs</w:t>
            </w:r>
          </w:p>
        </w:tc>
        <w:tc>
          <w:tcPr>
            <w:tcW w:w="3840" w:type="dxa"/>
            <w:tcBorders>
              <w:top w:val="single" w:sz="4" w:space="0" w:color="ADD6EA"/>
              <w:left w:val="nil"/>
              <w:bottom w:val="single" w:sz="4" w:space="0" w:color="ADD6EA"/>
              <w:right w:val="nil"/>
            </w:tcBorders>
            <w:shd w:val="clear" w:color="auto" w:fill="auto"/>
            <w:hideMark/>
          </w:tcPr>
          <w:p w14:paraId="30B0FAC6" w14:textId="77777777" w:rsidR="00747447" w:rsidRPr="00747447" w:rsidRDefault="00747447" w:rsidP="00747447">
            <w:pPr>
              <w:tabs>
                <w:tab w:val="clear" w:pos="567"/>
              </w:tabs>
              <w:spacing w:before="0" w:line="240" w:lineRule="auto"/>
              <w:rPr>
                <w:rFonts w:eastAsia="Times New Roman" w:cs="Open Sans Light"/>
                <w:color w:val="000000"/>
                <w:sz w:val="16"/>
                <w:szCs w:val="16"/>
                <w:lang w:eastAsia="en-AU"/>
              </w:rPr>
            </w:pPr>
            <w:r w:rsidRPr="00747447">
              <w:rPr>
                <w:rFonts w:eastAsia="Times New Roman" w:cs="Open Sans Light"/>
                <w:color w:val="000000"/>
                <w:sz w:val="16"/>
                <w:szCs w:val="16"/>
                <w:lang w:eastAsia="en-AU"/>
              </w:rPr>
              <w:t>Recognises differences in wage costs between states.</w:t>
            </w:r>
          </w:p>
        </w:tc>
        <w:tc>
          <w:tcPr>
            <w:tcW w:w="1120" w:type="dxa"/>
            <w:tcBorders>
              <w:top w:val="single" w:sz="4" w:space="0" w:color="ADD6EA"/>
              <w:left w:val="nil"/>
              <w:bottom w:val="single" w:sz="4" w:space="0" w:color="ADD6EA"/>
              <w:right w:val="nil"/>
            </w:tcBorders>
            <w:shd w:val="clear" w:color="auto" w:fill="auto"/>
            <w:hideMark/>
          </w:tcPr>
          <w:p w14:paraId="1091469D" w14:textId="77777777" w:rsidR="00747447" w:rsidRPr="00747447" w:rsidRDefault="00747447" w:rsidP="00747447">
            <w:pPr>
              <w:tabs>
                <w:tab w:val="clear" w:pos="567"/>
              </w:tabs>
              <w:spacing w:before="0" w:line="240" w:lineRule="auto"/>
              <w:rPr>
                <w:rFonts w:eastAsia="Times New Roman" w:cs="Open Sans Light"/>
                <w:color w:val="000000"/>
                <w:sz w:val="16"/>
                <w:szCs w:val="16"/>
                <w:lang w:eastAsia="en-AU"/>
              </w:rPr>
            </w:pPr>
            <w:r w:rsidRPr="00747447">
              <w:rPr>
                <w:rFonts w:eastAsia="Times New Roman" w:cs="Open Sans Light"/>
                <w:color w:val="000000"/>
                <w:sz w:val="16"/>
                <w:szCs w:val="16"/>
                <w:lang w:eastAsia="en-AU"/>
              </w:rPr>
              <w:t>No</w:t>
            </w:r>
          </w:p>
        </w:tc>
      </w:tr>
    </w:tbl>
    <w:p w14:paraId="476335E2" w14:textId="75A4AEE2" w:rsidR="005B5BD2" w:rsidRPr="006C2533" w:rsidRDefault="000132F5" w:rsidP="000132F5">
      <w:pPr>
        <w:pStyle w:val="CGCTablenote"/>
        <w:rPr>
          <w:rFonts w:ascii="Work Sans" w:hAnsi="Work Sans"/>
        </w:rPr>
      </w:pPr>
      <w:r w:rsidRPr="006C2533">
        <w:rPr>
          <w:rFonts w:ascii="Work Sans" w:hAnsi="Work Sans"/>
        </w:rPr>
        <w:t>Source: Commission calculation.</w:t>
      </w:r>
    </w:p>
    <w:p w14:paraId="086096BC" w14:textId="77777777" w:rsidR="0097733B" w:rsidRDefault="0097733B" w:rsidP="008801E6">
      <w:pPr>
        <w:pStyle w:val="Heading3"/>
      </w:pPr>
      <w:bookmarkStart w:id="76" w:name="_Toc121741493"/>
      <w:bookmarkStart w:id="77" w:name="_Toc127428362"/>
      <w:bookmarkStart w:id="78" w:name="_Toc132729117"/>
      <w:bookmarkStart w:id="79" w:name="_Toc133236158"/>
      <w:bookmarkStart w:id="80" w:name="_Toc133236184"/>
      <w:bookmarkStart w:id="81" w:name="_Toc138146326"/>
      <w:bookmarkEnd w:id="71"/>
      <w:bookmarkEnd w:id="72"/>
      <w:bookmarkEnd w:id="73"/>
      <w:r>
        <w:t>New data requirements</w:t>
      </w:r>
      <w:bookmarkEnd w:id="81"/>
    </w:p>
    <w:p w14:paraId="1D0654CF" w14:textId="77777777" w:rsidR="00C015BA" w:rsidRDefault="00C015BA" w:rsidP="00C015BA">
      <w:pPr>
        <w:pStyle w:val="Heading4"/>
      </w:pPr>
      <w:bookmarkStart w:id="82" w:name="_Toc128669064"/>
      <w:bookmarkStart w:id="83" w:name="_Toc128752030"/>
      <w:r>
        <w:t xml:space="preserve">Cost weights to be </w:t>
      </w:r>
      <w:proofErr w:type="gramStart"/>
      <w:r>
        <w:t>updated</w:t>
      </w:r>
      <w:bookmarkEnd w:id="82"/>
      <w:bookmarkEnd w:id="83"/>
      <w:proofErr w:type="gramEnd"/>
    </w:p>
    <w:p w14:paraId="16F0564E" w14:textId="77777777" w:rsidR="00C015BA" w:rsidRPr="00A1297A" w:rsidRDefault="00C015BA" w:rsidP="00C015BA">
      <w:pPr>
        <w:pStyle w:val="CGC2025ParaNumbers"/>
        <w:rPr>
          <w:rFonts w:eastAsia="Work Sans" w:cs="Work Sans"/>
        </w:rPr>
      </w:pPr>
      <w:r>
        <w:t xml:space="preserve">The current </w:t>
      </w:r>
      <w:r w:rsidRPr="00A1297A">
        <w:t>assessment recognises the additional costs of providing services to First</w:t>
      </w:r>
      <w:r>
        <w:t> </w:t>
      </w:r>
      <w:r w:rsidRPr="00A1297A">
        <w:t>Nations students and students living in remote areas. For this review, the Commis</w:t>
      </w:r>
      <w:r w:rsidRPr="00A1297A">
        <w:rPr>
          <w:rFonts w:eastAsia="Work Sans" w:cs="Work Sans"/>
        </w:rPr>
        <w:t>sion intends to collect data from states to re-calculate Australian average First Nations and remoteness cost weights for the post-secondary education assessment.</w:t>
      </w:r>
    </w:p>
    <w:p w14:paraId="1D2B9E4B" w14:textId="77777777" w:rsidR="00C015BA" w:rsidRPr="00347F2A" w:rsidRDefault="00C015BA" w:rsidP="00C015BA">
      <w:pPr>
        <w:pStyle w:val="CGC2025ParaNumbers"/>
        <w:rPr>
          <w:rFonts w:eastAsia="Work Sans" w:cs="Work Sans"/>
        </w:rPr>
      </w:pPr>
      <w:r w:rsidRPr="00A1297A">
        <w:rPr>
          <w:rFonts w:eastAsia="Work Sans" w:cs="Work Sans"/>
        </w:rPr>
        <w:t>The First Nations cost</w:t>
      </w:r>
      <w:r w:rsidRPr="6C712F4C">
        <w:rPr>
          <w:rFonts w:eastAsia="Work Sans" w:cs="Work Sans"/>
        </w:rPr>
        <w:t xml:space="preserve"> weight for the post-secondary education assessment is derived from state spending data on </w:t>
      </w:r>
      <w:r>
        <w:rPr>
          <w:rFonts w:eastAsia="Work Sans" w:cs="Work Sans"/>
        </w:rPr>
        <w:t>First Nations-</w:t>
      </w:r>
      <w:r w:rsidRPr="6C712F4C">
        <w:rPr>
          <w:rFonts w:eastAsia="Work Sans" w:cs="Work Sans"/>
        </w:rPr>
        <w:t xml:space="preserve">specific </w:t>
      </w:r>
      <w:r>
        <w:t>v</w:t>
      </w:r>
      <w:r w:rsidRPr="00E2013D">
        <w:t xml:space="preserve">ocational </w:t>
      </w:r>
      <w:r>
        <w:t>e</w:t>
      </w:r>
      <w:r w:rsidRPr="00E2013D">
        <w:t xml:space="preserve">ducation and </w:t>
      </w:r>
      <w:r>
        <w:t>t</w:t>
      </w:r>
      <w:r w:rsidRPr="00E2013D">
        <w:t>raining</w:t>
      </w:r>
      <w:r>
        <w:t xml:space="preserve"> </w:t>
      </w:r>
      <w:r w:rsidRPr="6C712F4C">
        <w:rPr>
          <w:rFonts w:eastAsia="Work Sans" w:cs="Work Sans"/>
        </w:rPr>
        <w:t xml:space="preserve">programs and </w:t>
      </w:r>
      <w:r>
        <w:t>National Centre for Vocational Education Research</w:t>
      </w:r>
      <w:r w:rsidRPr="6C712F4C">
        <w:rPr>
          <w:rFonts w:eastAsia="Work Sans" w:cs="Work Sans"/>
        </w:rPr>
        <w:t xml:space="preserve"> contact hours data. </w:t>
      </w:r>
      <w:r>
        <w:rPr>
          <w:rFonts w:eastAsia="Work Sans" w:cs="Work Sans"/>
        </w:rPr>
        <w:t>T</w:t>
      </w:r>
      <w:r w:rsidRPr="6C712F4C">
        <w:rPr>
          <w:rFonts w:eastAsia="Work Sans" w:cs="Work Sans"/>
        </w:rPr>
        <w:t xml:space="preserve">he burden on states in supplying the spending data </w:t>
      </w:r>
      <w:r>
        <w:rPr>
          <w:rFonts w:eastAsia="Work Sans" w:cs="Work Sans"/>
        </w:rPr>
        <w:t>means they are</w:t>
      </w:r>
      <w:r w:rsidRPr="6C712F4C">
        <w:rPr>
          <w:rFonts w:eastAsia="Work Sans" w:cs="Work Sans"/>
        </w:rPr>
        <w:t xml:space="preserve"> only collected once during a review cycle and the weight remains fixed for the duration of the review.</w:t>
      </w:r>
      <w:r>
        <w:rPr>
          <w:rFonts w:eastAsia="Work Sans" w:cs="Work Sans"/>
        </w:rPr>
        <w:t xml:space="preserve"> Information on the timing of these data requests will be provided in July 2023.</w:t>
      </w:r>
      <w:r w:rsidRPr="6C712F4C">
        <w:rPr>
          <w:rFonts w:eastAsia="Work Sans" w:cs="Work Sans"/>
        </w:rPr>
        <w:t xml:space="preserve"> </w:t>
      </w:r>
    </w:p>
    <w:p w14:paraId="2D646050" w14:textId="77777777" w:rsidR="00C015BA" w:rsidRPr="008E41F3" w:rsidRDefault="00C015BA" w:rsidP="00C015BA">
      <w:pPr>
        <w:pStyle w:val="CGC2025ParaNumbers"/>
        <w:rPr>
          <w:rFonts w:eastAsia="Work Sans" w:cs="Work Sans"/>
        </w:rPr>
      </w:pPr>
      <w:r w:rsidRPr="6C712F4C">
        <w:rPr>
          <w:rFonts w:eastAsia="Work Sans" w:cs="Work Sans"/>
        </w:rPr>
        <w:t xml:space="preserve">The remoteness cost weights for the assessment are based on regional loadings in state </w:t>
      </w:r>
      <w:r>
        <w:t>v</w:t>
      </w:r>
      <w:r w:rsidRPr="00E2013D">
        <w:t xml:space="preserve">ocational </w:t>
      </w:r>
      <w:r>
        <w:t>e</w:t>
      </w:r>
      <w:r w:rsidRPr="00E2013D">
        <w:t xml:space="preserve">ducation and </w:t>
      </w:r>
      <w:r>
        <w:t>t</w:t>
      </w:r>
      <w:r w:rsidRPr="00E2013D">
        <w:t>raining</w:t>
      </w:r>
      <w:r>
        <w:t xml:space="preserve"> </w:t>
      </w:r>
      <w:r w:rsidRPr="6C712F4C">
        <w:rPr>
          <w:rFonts w:eastAsia="Work Sans" w:cs="Work Sans"/>
        </w:rPr>
        <w:t xml:space="preserve">funding models and </w:t>
      </w:r>
      <w:r>
        <w:t>National Centre for Vocational Education Research</w:t>
      </w:r>
      <w:r w:rsidRPr="6C712F4C">
        <w:rPr>
          <w:rFonts w:eastAsia="Work Sans" w:cs="Work Sans"/>
        </w:rPr>
        <w:t xml:space="preserve"> contact hours data. Given the stability of the regional loadings in state </w:t>
      </w:r>
      <w:r>
        <w:t>v</w:t>
      </w:r>
      <w:r w:rsidRPr="00E2013D">
        <w:t xml:space="preserve">ocational </w:t>
      </w:r>
      <w:r>
        <w:t>e</w:t>
      </w:r>
      <w:r w:rsidRPr="00E2013D">
        <w:t xml:space="preserve">ducation and </w:t>
      </w:r>
      <w:r>
        <w:t>t</w:t>
      </w:r>
      <w:r w:rsidRPr="00E2013D">
        <w:t>raining</w:t>
      </w:r>
      <w:r>
        <w:t xml:space="preserve"> </w:t>
      </w:r>
      <w:r w:rsidRPr="6C712F4C">
        <w:rPr>
          <w:rFonts w:eastAsia="Work Sans" w:cs="Work Sans"/>
        </w:rPr>
        <w:t>funding models</w:t>
      </w:r>
      <w:r>
        <w:rPr>
          <w:rFonts w:eastAsia="Work Sans" w:cs="Work Sans"/>
        </w:rPr>
        <w:t>,</w:t>
      </w:r>
      <w:r w:rsidRPr="6C712F4C">
        <w:rPr>
          <w:rFonts w:eastAsia="Work Sans" w:cs="Work Sans"/>
        </w:rPr>
        <w:t xml:space="preserve"> there</w:t>
      </w:r>
      <w:r>
        <w:rPr>
          <w:rFonts w:eastAsia="Work Sans" w:cs="Work Sans"/>
        </w:rPr>
        <w:t xml:space="preserve"> does not appear to be a case for </w:t>
      </w:r>
      <w:r w:rsidRPr="6C712F4C">
        <w:rPr>
          <w:rFonts w:eastAsia="Work Sans" w:cs="Work Sans"/>
        </w:rPr>
        <w:t>updat</w:t>
      </w:r>
      <w:r>
        <w:rPr>
          <w:rFonts w:eastAsia="Work Sans" w:cs="Work Sans"/>
        </w:rPr>
        <w:t>ing</w:t>
      </w:r>
      <w:r w:rsidRPr="6C712F4C">
        <w:rPr>
          <w:rFonts w:eastAsia="Work Sans" w:cs="Work Sans"/>
        </w:rPr>
        <w:t xml:space="preserve"> them between reviews.</w:t>
      </w:r>
      <w:r>
        <w:rPr>
          <w:rFonts w:eastAsia="Work Sans" w:cs="Work Sans"/>
        </w:rPr>
        <w:t xml:space="preserve"> Information on the timing of these data requests will be provided in July 2023.</w:t>
      </w:r>
      <w:r w:rsidRPr="6C712F4C">
        <w:rPr>
          <w:rFonts w:eastAsia="Work Sans" w:cs="Work Sans"/>
        </w:rPr>
        <w:t xml:space="preserve"> </w:t>
      </w:r>
    </w:p>
    <w:p w14:paraId="199E708A" w14:textId="55E68A9D" w:rsidR="0064009D" w:rsidRDefault="0064009D" w:rsidP="0097733B">
      <w:pPr>
        <w:rPr>
          <w:sz w:val="36"/>
          <w:szCs w:val="36"/>
        </w:rPr>
      </w:pPr>
      <w:r>
        <w:br w:type="page"/>
      </w:r>
    </w:p>
    <w:p w14:paraId="5DAC6977" w14:textId="098049DE" w:rsidR="00AB6FFE" w:rsidRDefault="00AB6FFE" w:rsidP="00F971B0">
      <w:pPr>
        <w:pStyle w:val="Heading2"/>
      </w:pPr>
      <w:bookmarkStart w:id="84" w:name="_Toc138146327"/>
      <w:r w:rsidRPr="00AB6FFE">
        <w:lastRenderedPageBreak/>
        <w:t>Consultation</w:t>
      </w:r>
      <w:bookmarkEnd w:id="76"/>
      <w:bookmarkEnd w:id="77"/>
      <w:bookmarkEnd w:id="78"/>
      <w:bookmarkEnd w:id="79"/>
      <w:bookmarkEnd w:id="80"/>
      <w:bookmarkEnd w:id="84"/>
    </w:p>
    <w:p w14:paraId="3A56D365" w14:textId="5520A269" w:rsidR="009C15DA" w:rsidRPr="00A9648E" w:rsidRDefault="29557354" w:rsidP="0064009D">
      <w:pPr>
        <w:pStyle w:val="CGC2025ParaNumbers"/>
        <w:rPr>
          <w:szCs w:val="20"/>
        </w:rPr>
      </w:pPr>
      <w:bookmarkStart w:id="85" w:name="_Hlk121314611"/>
      <w:r w:rsidRPr="761AD2B1">
        <w:t xml:space="preserve">The Commission welcomes state </w:t>
      </w:r>
      <w:r w:rsidRPr="761AD2B1">
        <w:rPr>
          <w:szCs w:val="20"/>
        </w:rPr>
        <w:t>views on the consultation question</w:t>
      </w:r>
      <w:r w:rsidR="00D46B08">
        <w:rPr>
          <w:szCs w:val="20"/>
        </w:rPr>
        <w:t>s</w:t>
      </w:r>
      <w:r w:rsidRPr="761AD2B1">
        <w:rPr>
          <w:szCs w:val="20"/>
        </w:rPr>
        <w:t xml:space="preserve"> identified in this paper (outlined below) and the proposed assessment. State submissions should accord with the 2025 Review framework. States are welcome to raise other relevant issues with the Commission.</w:t>
      </w:r>
      <w:bookmarkEnd w:id="85"/>
    </w:p>
    <w:p w14:paraId="2FF8A960" w14:textId="77777777" w:rsidR="00B17FBC" w:rsidRDefault="00B17FBC" w:rsidP="00A5102B">
      <w:pPr>
        <w:rPr>
          <w:rFonts w:ascii="Work Sans" w:hAnsi="Work Sans"/>
          <w:szCs w:val="20"/>
        </w:rPr>
      </w:pPr>
      <w:r w:rsidRPr="001C4DF3">
        <w:rPr>
          <w:noProof/>
        </w:rPr>
        <mc:AlternateContent>
          <mc:Choice Requires="wps">
            <w:drawing>
              <wp:inline distT="0" distB="0" distL="0" distR="0" wp14:anchorId="0766CD40" wp14:editId="613AD50C">
                <wp:extent cx="5648325" cy="933995"/>
                <wp:effectExtent l="0" t="0" r="9525" b="0"/>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48325" cy="933995"/>
                        </a:xfrm>
                        <a:prstGeom prst="rect">
                          <a:avLst/>
                        </a:prstGeom>
                        <a:solidFill>
                          <a:srgbClr val="EBF3F5"/>
                        </a:solidFill>
                        <a:ln w="25400" cap="flat" cmpd="sng" algn="ctr">
                          <a:noFill/>
                          <a:prstDash val="solid"/>
                        </a:ln>
                        <a:effectLst/>
                      </wps:spPr>
                      <wps:txbx>
                        <w:txbxContent>
                          <w:p w14:paraId="7C05607F" w14:textId="0D000530" w:rsidR="00B22CE3" w:rsidRPr="005B4DCE" w:rsidRDefault="00B22CE3" w:rsidP="00B22CE3">
                            <w:pPr>
                              <w:pStyle w:val="CGC2025Q2s"/>
                            </w:pPr>
                            <w:r w:rsidRPr="00B94128">
                              <w:t>Do states agree</w:t>
                            </w:r>
                            <w:r>
                              <w:t xml:space="preserve"> that </w:t>
                            </w:r>
                            <w:r w:rsidRPr="005B4DCE">
                              <w:t xml:space="preserve">a course mix </w:t>
                            </w:r>
                            <w:r w:rsidR="0084710D">
                              <w:t>driver</w:t>
                            </w:r>
                            <w:r>
                              <w:t xml:space="preserve"> should not be introduced</w:t>
                            </w:r>
                            <w:r w:rsidR="002A184B">
                              <w:t>?</w:t>
                            </w:r>
                            <w:r w:rsidRPr="005B4DCE">
                              <w:t xml:space="preserve"> </w:t>
                            </w:r>
                          </w:p>
                          <w:p w14:paraId="33A146B2" w14:textId="6B24C5BA" w:rsidR="00122221" w:rsidRDefault="00122221" w:rsidP="00122221">
                            <w:pPr>
                              <w:pStyle w:val="CGC2025Q2s"/>
                            </w:pPr>
                            <w:r w:rsidRPr="00B94128">
                              <w:t>Do states agree</w:t>
                            </w:r>
                            <w:r>
                              <w:t xml:space="preserve"> that the variables used in the socio-demographic assessment of needs be retained?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766CD40" id="Rectangle 1" o:spid="_x0000_s1031" alt="&quot;&quot;" style="width:444.75pt;height:7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" fillcolor="#ebf3f5" stroked="f" strokeweight="2pt">
                <v:textbox>
                  <w:txbxContent>
                    <w:p w14:paraId="7C05607F" w14:textId="0D000530" w:rsidR="00B22CE3" w:rsidRPr="005B4DCE" w:rsidRDefault="00B22CE3" w:rsidP="00B22CE3">
                      <w:pPr>
                        <w:pStyle w:val="CGC2025Q2s"/>
                      </w:pPr>
                      <w:r w:rsidRPr="00B94128">
                        <w:t>Do states agree</w:t>
                      </w:r>
                      <w:r>
                        <w:t xml:space="preserve"> that </w:t>
                      </w:r>
                      <w:r w:rsidRPr="005B4DCE">
                        <w:t xml:space="preserve">a course mix </w:t>
                      </w:r>
                      <w:r w:rsidR="0084710D">
                        <w:t>driver</w:t>
                      </w:r>
                      <w:r>
                        <w:t xml:space="preserve"> should not be introduced</w:t>
                      </w:r>
                      <w:r w:rsidR="002A184B">
                        <w:t>?</w:t>
                      </w:r>
                      <w:r w:rsidRPr="005B4DCE">
                        <w:t xml:space="preserve"> </w:t>
                      </w:r>
                    </w:p>
                    <w:p w14:paraId="33A146B2" w14:textId="6B24C5BA" w:rsidR="00122221" w:rsidRDefault="00122221" w:rsidP="00122221">
                      <w:pPr>
                        <w:pStyle w:val="CGC2025Q2s"/>
                      </w:pPr>
                      <w:r w:rsidRPr="00B94128">
                        <w:t>Do states agree</w:t>
                      </w:r>
                      <w:r>
                        <w:t xml:space="preserve"> that the variables used in the socio-demographic assessment of needs be retained?</w:t>
                      </w:r>
                    </w:p>
                  </w:txbxContent>
                </v:textbox>
                <w10:anchorlock/>
              </v:rect>
            </w:pict>
          </mc:Fallback>
        </mc:AlternateContent>
      </w:r>
    </w:p>
    <w:p w14:paraId="71869FFD" w14:textId="071E8028" w:rsidR="005B4DCE" w:rsidRPr="009C15DA" w:rsidRDefault="005B4DCE" w:rsidP="00A9648E">
      <w:pPr>
        <w:pStyle w:val="CGC2025ParaNumbers"/>
        <w:numPr>
          <w:ilvl w:val="0"/>
          <w:numId w:val="0"/>
        </w:numPr>
      </w:pPr>
    </w:p>
    <w:sectPr w:rsidR="005B4DCE" w:rsidRPr="009C15DA" w:rsidSect="004F0684">
      <w:footerReference w:type="default" r:id="rId26"/>
      <w:pgSz w:w="11906" w:h="16838" w:code="9"/>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6E1AFF" w14:textId="77777777" w:rsidR="00144154" w:rsidRDefault="00144154">
      <w:r>
        <w:separator/>
      </w:r>
    </w:p>
    <w:p w14:paraId="0A0E7DC3" w14:textId="77777777" w:rsidR="00144154" w:rsidRDefault="00144154"/>
  </w:endnote>
  <w:endnote w:type="continuationSeparator" w:id="0">
    <w:p w14:paraId="0B52C9A1" w14:textId="77777777" w:rsidR="00144154" w:rsidRDefault="00144154">
      <w:r>
        <w:continuationSeparator/>
      </w:r>
    </w:p>
    <w:p w14:paraId="020DE0FC" w14:textId="77777777" w:rsidR="00144154" w:rsidRDefault="00144154"/>
  </w:endnote>
  <w:endnote w:type="continuationNotice" w:id="1">
    <w:p w14:paraId="7699841C" w14:textId="77777777" w:rsidR="00144154" w:rsidRDefault="00144154">
      <w:pPr>
        <w:spacing w:before="0" w:line="240" w:lineRule="auto"/>
      </w:pPr>
    </w:p>
    <w:p w14:paraId="7A6E0D1F" w14:textId="77777777" w:rsidR="00144154" w:rsidRDefault="001441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ork Sans">
    <w:altName w:val="Calibri"/>
    <w:charset w:val="00"/>
    <w:family w:val="auto"/>
    <w:pitch w:val="variable"/>
    <w:sig w:usb0="A00000FF" w:usb1="5000E07B" w:usb2="00000000" w:usb3="00000000" w:csb0="00000193" w:csb1="00000000"/>
  </w:font>
  <w:font w:name="Open Sans Light">
    <w:panose1 w:val="020B0306030504020204"/>
    <w:charset w:val="00"/>
    <w:family w:val="swiss"/>
    <w:pitch w:val="variable"/>
    <w:sig w:usb0="E00002EF" w:usb1="4000205B" w:usb2="00000028"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ontserrat Semi Bold">
    <w:panose1 w:val="00000700000000000000"/>
    <w:charset w:val="00"/>
    <w:family w:val="modern"/>
    <w:notTrueType/>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Montserrat Ultra Light">
    <w:panose1 w:val="000003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Open Sans Semibold">
    <w:panose1 w:val="020B07060308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114B7" w14:textId="77777777" w:rsidR="00E4564D" w:rsidRDefault="00E4564D" w:rsidP="00D221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80007" w14:textId="77777777" w:rsidR="00B80B50" w:rsidRDefault="008E230B" w:rsidP="008E230B">
    <w:pPr>
      <w:pStyle w:val="Footer"/>
    </w:pPr>
    <w:r>
      <w:fldChar w:fldCharType="begin"/>
    </w:r>
    <w:r>
      <w:instrText xml:space="preserve"> PAGE   \* MERGEFORMAT </w:instrText>
    </w:r>
    <w:r>
      <w:fldChar w:fldCharType="separate"/>
    </w:r>
    <w:r>
      <w:rPr>
        <w:noProof/>
      </w:rPr>
      <w:t>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6684187"/>
      <w:docPartObj>
        <w:docPartGallery w:val="Page Numbers (Bottom of Page)"/>
        <w:docPartUnique/>
      </w:docPartObj>
    </w:sdtPr>
    <w:sdtEndPr>
      <w:rPr>
        <w:noProof/>
      </w:rPr>
    </w:sdtEndPr>
    <w:sdtContent>
      <w:p w14:paraId="7717EC4D" w14:textId="77777777" w:rsidR="005B6B61" w:rsidRDefault="005B6B61" w:rsidP="00D22166">
        <w:pPr>
          <w:pStyle w:val="Footer"/>
        </w:pPr>
        <w:r>
          <w:fldChar w:fldCharType="begin"/>
        </w:r>
        <w:r>
          <w:instrText xml:space="preserve"> PAGE   \* MERGEFORMAT </w:instrText>
        </w:r>
        <w:r>
          <w:fldChar w:fldCharType="separate"/>
        </w:r>
        <w:r>
          <w:rPr>
            <w:noProof/>
          </w:rPr>
          <w:t>2</w:t>
        </w:r>
        <w:r>
          <w:rPr>
            <w:noProof/>
          </w:rPr>
          <w:fldChar w:fldCharType="end"/>
        </w:r>
      </w:p>
    </w:sdtContent>
  </w:sdt>
  <w:p w14:paraId="6BD136D0" w14:textId="77777777" w:rsidR="00C66676" w:rsidRDefault="00C6667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2BAB42" w14:textId="77777777" w:rsidR="00144154" w:rsidRPr="001C1AC5" w:rsidRDefault="00144154">
      <w:pPr>
        <w:rPr>
          <w:color w:val="ADD6EA"/>
        </w:rPr>
      </w:pPr>
      <w:r w:rsidRPr="001C1AC5">
        <w:rPr>
          <w:color w:val="ADD6EA"/>
        </w:rPr>
        <w:separator/>
      </w:r>
    </w:p>
    <w:p w14:paraId="2855F34C" w14:textId="77777777" w:rsidR="00144154" w:rsidRDefault="00144154"/>
  </w:footnote>
  <w:footnote w:type="continuationSeparator" w:id="0">
    <w:p w14:paraId="74B8512B" w14:textId="77777777" w:rsidR="00144154" w:rsidRDefault="00144154">
      <w:r>
        <w:continuationSeparator/>
      </w:r>
    </w:p>
    <w:p w14:paraId="5E0ED083" w14:textId="77777777" w:rsidR="00144154" w:rsidRDefault="00144154"/>
  </w:footnote>
  <w:footnote w:type="continuationNotice" w:id="1">
    <w:p w14:paraId="41E7466D" w14:textId="77777777" w:rsidR="00144154" w:rsidRDefault="00144154">
      <w:pPr>
        <w:spacing w:before="0" w:line="240" w:lineRule="auto"/>
      </w:pPr>
    </w:p>
    <w:p w14:paraId="60859724" w14:textId="77777777" w:rsidR="00144154" w:rsidRDefault="00144154"/>
  </w:footnote>
  <w:footnote w:id="2">
    <w:p w14:paraId="1BA13C91" w14:textId="11463E8B" w:rsidR="00E2013D" w:rsidRDefault="00E2013D" w:rsidP="002C2B39">
      <w:pPr>
        <w:pStyle w:val="FootnoteText"/>
      </w:pPr>
      <w:r>
        <w:rPr>
          <w:rStyle w:val="FootnoteReference"/>
        </w:rPr>
        <w:footnoteRef/>
      </w:r>
      <w:r>
        <w:t xml:space="preserve"> </w:t>
      </w:r>
      <w:r w:rsidRPr="00F866ED">
        <w:t xml:space="preserve">The Commonwealth provides most of the funding for </w:t>
      </w:r>
      <w:r>
        <w:t>universities</w:t>
      </w:r>
      <w:r w:rsidRPr="00F866ED">
        <w:t xml:space="preserve"> in Australia. Commonwealth higher education expenses are not included in the </w:t>
      </w:r>
      <w:r w:rsidR="00EE1D90">
        <w:t>p</w:t>
      </w:r>
      <w:r w:rsidRPr="00F866ED">
        <w:t xml:space="preserve">ost-secondary assessment as they do not affect </w:t>
      </w:r>
      <w:proofErr w:type="gramStart"/>
      <w:r w:rsidRPr="00F866ED">
        <w:t>states'</w:t>
      </w:r>
      <w:proofErr w:type="gramEnd"/>
      <w:r w:rsidRPr="00F866ED">
        <w:t xml:space="preserve"> assessed fiscal capacities.</w:t>
      </w:r>
    </w:p>
  </w:footnote>
  <w:footnote w:id="3">
    <w:p w14:paraId="139D483E" w14:textId="7E2E2E2A" w:rsidR="00E2013D" w:rsidRDefault="00E2013D" w:rsidP="002C2B39">
      <w:pPr>
        <w:pStyle w:val="FootnoteText"/>
      </w:pPr>
      <w:r>
        <w:rPr>
          <w:rStyle w:val="FootnoteReference"/>
        </w:rPr>
        <w:footnoteRef/>
      </w:r>
      <w:r>
        <w:t xml:space="preserve"> </w:t>
      </w:r>
      <w:r w:rsidR="002C2B39">
        <w:t>‘</w:t>
      </w:r>
      <w:r w:rsidR="00624012" w:rsidRPr="00B94128">
        <w:t>About us</w:t>
      </w:r>
      <w:r w:rsidR="00085A8D">
        <w:t>’</w:t>
      </w:r>
      <w:r w:rsidR="00624012" w:rsidRPr="00B94128">
        <w:t>,</w:t>
      </w:r>
      <w:r w:rsidR="00624012">
        <w:rPr>
          <w:i/>
          <w:iCs/>
        </w:rPr>
        <w:t xml:space="preserve"> </w:t>
      </w:r>
      <w:r w:rsidR="00624012" w:rsidRPr="00B94128">
        <w:rPr>
          <w:i/>
          <w:iCs/>
        </w:rPr>
        <w:t>NCVER</w:t>
      </w:r>
      <w:r w:rsidR="00624012">
        <w:t xml:space="preserve">, </w:t>
      </w:r>
      <w:r w:rsidR="00C439A8">
        <w:t xml:space="preserve">Canberra, 2022, </w:t>
      </w:r>
      <w:hyperlink r:id="rId1" w:history="1">
        <w:r w:rsidR="005672F8" w:rsidRPr="00632D1C">
          <w:rPr>
            <w:rStyle w:val="Hyperlink"/>
          </w:rPr>
          <w:t>https://www.ncver.edu.au/about-ncver/about-us</w:t>
        </w:r>
      </w:hyperlink>
      <w:r w:rsidR="000F161B">
        <w:t xml:space="preserve">, (accessed </w:t>
      </w:r>
      <w:r w:rsidR="009E1C25">
        <w:t>1</w:t>
      </w:r>
      <w:r w:rsidR="00C81AD0">
        <w:t xml:space="preserve"> June 2023)</w:t>
      </w:r>
      <w:r w:rsidR="005672F8">
        <w:t xml:space="preserve">. </w:t>
      </w:r>
    </w:p>
  </w:footnote>
  <w:footnote w:id="4">
    <w:p w14:paraId="13E92388" w14:textId="2DC7897A" w:rsidR="00DA5B6D" w:rsidRDefault="00DA5B6D" w:rsidP="002C2B39">
      <w:pPr>
        <w:pStyle w:val="FootnoteText"/>
      </w:pPr>
      <w:r>
        <w:rPr>
          <w:rStyle w:val="FootnoteReference"/>
        </w:rPr>
        <w:footnoteRef/>
      </w:r>
      <w:r>
        <w:t xml:space="preserve"> </w:t>
      </w:r>
      <w:r w:rsidR="007979A2">
        <w:t>‘</w:t>
      </w:r>
      <w:r w:rsidR="005F54B4" w:rsidRPr="007979A2">
        <w:t>Revising course mix weight methodology for the 'Annual national report'</w:t>
      </w:r>
      <w:r w:rsidR="00351718">
        <w:t>’</w:t>
      </w:r>
      <w:r w:rsidR="005F54B4" w:rsidRPr="00B94128">
        <w:t>,</w:t>
      </w:r>
      <w:r w:rsidR="005F54B4">
        <w:rPr>
          <w:i/>
          <w:iCs/>
        </w:rPr>
        <w:t xml:space="preserve"> </w:t>
      </w:r>
      <w:r w:rsidR="005F54B4" w:rsidRPr="00B94128">
        <w:rPr>
          <w:i/>
          <w:iCs/>
        </w:rPr>
        <w:t>NCVER</w:t>
      </w:r>
      <w:r w:rsidR="005F54B4">
        <w:t>, Canberra</w:t>
      </w:r>
      <w:r w:rsidR="00AC57F6">
        <w:t xml:space="preserve">, </w:t>
      </w:r>
      <w:r w:rsidR="00351718">
        <w:t xml:space="preserve">2011, </w:t>
      </w:r>
      <w:hyperlink r:id="rId2" w:history="1">
        <w:r w:rsidR="00CD2DE8" w:rsidRPr="00632D1C">
          <w:rPr>
            <w:rStyle w:val="Hyperlink"/>
          </w:rPr>
          <w:t>https://www.ncver.edu.au/research-and-statistics/publications/all-publications/revising-course-mix-weight-methodology-for-the-annual-national-report</w:t>
        </w:r>
      </w:hyperlink>
      <w:r w:rsidR="00351718">
        <w:t xml:space="preserve">, (accessed </w:t>
      </w:r>
      <w:r w:rsidR="00C86B9E">
        <w:t>31</w:t>
      </w:r>
      <w:r w:rsidR="00EE0A38">
        <w:t xml:space="preserve"> </w:t>
      </w:r>
      <w:r w:rsidR="00C86B9E">
        <w:t>October</w:t>
      </w:r>
      <w:r w:rsidR="00EE0A38">
        <w:t xml:space="preserve"> 2023)</w:t>
      </w:r>
      <w:r w:rsidR="00CD2DE8">
        <w:t xml:space="preserve">. </w:t>
      </w:r>
      <w:r w:rsidR="005F54B4" w:rsidRPr="005F54B4" w:rsidDel="00F53B84">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9D2B9" w14:textId="77777777" w:rsidR="00A5102B" w:rsidRDefault="00A5102B" w:rsidP="003A04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5161D"/>
    <w:multiLevelType w:val="hybridMultilevel"/>
    <w:tmpl w:val="D9CAB28C"/>
    <w:lvl w:ilvl="0" w:tplc="2B7CBD9E">
      <w:start w:val="1"/>
      <w:numFmt w:val="lowerRoman"/>
      <w:pStyle w:val="CGCBullet3"/>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5C03A3A"/>
    <w:multiLevelType w:val="multilevel"/>
    <w:tmpl w:val="A310237C"/>
    <w:numStyleLink w:val="CGCConsultQuestion"/>
  </w:abstractNum>
  <w:abstractNum w:abstractNumId="2" w15:restartNumberingAfterBreak="0">
    <w:nsid w:val="06AC2900"/>
    <w:multiLevelType w:val="hybridMultilevel"/>
    <w:tmpl w:val="42981272"/>
    <w:lvl w:ilvl="0" w:tplc="769465D8">
      <w:start w:val="1"/>
      <w:numFmt w:val="decimal"/>
      <w:pStyle w:val="CGC2025Q2s"/>
      <w:lvlText w:val="Q%1."/>
      <w:lvlJc w:val="left"/>
      <w:pPr>
        <w:ind w:left="720" w:hanging="360"/>
      </w:pPr>
      <w:rPr>
        <w:rFonts w:ascii="Work Sans" w:hAnsi="Work Sans" w:hint="default"/>
        <w:b w:val="0"/>
        <w:i w:val="0"/>
        <w:caps w:val="0"/>
        <w:strike w:val="0"/>
        <w:dstrike w:val="0"/>
        <w:vanish w:val="0"/>
        <w:color w:val="000000" w:themeColor="text1"/>
        <w:sz w:val="2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F2D71BA"/>
    <w:multiLevelType w:val="hybridMultilevel"/>
    <w:tmpl w:val="5D88B44C"/>
    <w:lvl w:ilvl="0" w:tplc="389064B4">
      <w:start w:val="1"/>
      <w:numFmt w:val="decimal"/>
      <w:lvlText w:val="%1"/>
      <w:lvlJc w:val="left"/>
      <w:pPr>
        <w:ind w:left="360" w:hanging="360"/>
      </w:pPr>
      <w:rPr>
        <w:rFonts w:ascii="Open Sans Light" w:hAnsi="Open Sans Light" w:hint="default"/>
        <w:b w:val="0"/>
        <w:i w:val="0"/>
        <w:caps w:val="0"/>
        <w:strike w:val="0"/>
        <w:dstrike w:val="0"/>
        <w:vanish w:val="0"/>
        <w:color w:val="000000" w:themeColor="text1"/>
        <w:sz w:val="20"/>
        <w:vertAlign w:val="baseline"/>
      </w:rPr>
    </w:lvl>
    <w:lvl w:ilvl="1" w:tplc="FFFFFFFF">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153D7BB4"/>
    <w:multiLevelType w:val="multilevel"/>
    <w:tmpl w:val="254084B6"/>
    <w:lvl w:ilvl="0">
      <w:start w:val="1"/>
      <w:numFmt w:val="decimal"/>
      <w:suff w:val="space"/>
      <w:lvlText w:val="Chapter %1"/>
      <w:lvlJc w:val="left"/>
      <w:pPr>
        <w:ind w:left="0" w:firstLine="0"/>
      </w:pPr>
      <w:rPr>
        <w:rFonts w:hint="default"/>
      </w:rPr>
    </w:lvl>
    <w:lvl w:ilvl="1">
      <w:start w:val="1"/>
      <w:numFmt w:val="decimal"/>
      <w:pStyle w:val="CGCNumberedPara"/>
      <w:lvlText w:val="%2"/>
      <w:lvlJc w:val="left"/>
      <w:pPr>
        <w:tabs>
          <w:tab w:val="num" w:pos="567"/>
        </w:tabs>
        <w:ind w:left="567" w:hanging="567"/>
      </w:pPr>
      <w:rPr>
        <w:rFonts w:hint="default"/>
        <w:sz w:val="20"/>
        <w:szCs w:val="20"/>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15BF05D3"/>
    <w:multiLevelType w:val="hybridMultilevel"/>
    <w:tmpl w:val="970C0F1A"/>
    <w:lvl w:ilvl="0" w:tplc="034498D4">
      <w:start w:val="1"/>
      <w:numFmt w:val="bullet"/>
      <w:pStyle w:val="CGCBullet2"/>
      <w:lvlText w:val=""/>
      <w:lvlJc w:val="left"/>
      <w:pPr>
        <w:ind w:left="1211" w:hanging="360"/>
      </w:pPr>
      <w:rPr>
        <w:rFonts w:ascii="Symbol" w:hAnsi="Symbol" w:hint="default"/>
        <w:b/>
        <w:color w:val="63646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E71B9C"/>
    <w:multiLevelType w:val="hybridMultilevel"/>
    <w:tmpl w:val="7110E312"/>
    <w:lvl w:ilvl="0" w:tplc="DB96A0AC">
      <w:start w:val="1"/>
      <w:numFmt w:val="bullet"/>
      <w:pStyle w:val="CGC2025Bullet1"/>
      <w:lvlText w:val=""/>
      <w:lvlJc w:val="left"/>
      <w:pPr>
        <w:ind w:left="927" w:hanging="360"/>
      </w:pPr>
      <w:rPr>
        <w:rFonts w:ascii="Symbol" w:hAnsi="Symbol" w:hint="default"/>
        <w:color w:val="63646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2AF3A2E"/>
    <w:multiLevelType w:val="multilevel"/>
    <w:tmpl w:val="CA8C0118"/>
    <w:lvl w:ilvl="0">
      <w:start w:val="1"/>
      <w:numFmt w:val="none"/>
      <w:lvlText w:val="%1."/>
      <w:lvlJc w:val="left"/>
      <w:pPr>
        <w:tabs>
          <w:tab w:val="num" w:pos="0"/>
        </w:tabs>
        <w:ind w:left="0" w:firstLine="0"/>
      </w:pPr>
      <w:rPr>
        <w:rFonts w:hint="default"/>
      </w:rPr>
    </w:lvl>
    <w:lvl w:ilvl="1">
      <w:start w:val="1"/>
      <w:numFmt w:val="none"/>
      <w:lvlText w:val="%2"/>
      <w:lvlJc w:val="left"/>
      <w:pPr>
        <w:tabs>
          <w:tab w:val="num" w:pos="720"/>
        </w:tabs>
        <w:ind w:left="720" w:firstLine="0"/>
      </w:pPr>
      <w:rPr>
        <w:rFonts w:hint="default"/>
      </w:rPr>
    </w:lvl>
    <w:lvl w:ilvl="2">
      <w:start w:val="1"/>
      <w:numFmt w:val="none"/>
      <w:lvlText w:val="%3"/>
      <w:lvlJc w:val="left"/>
      <w:pPr>
        <w:tabs>
          <w:tab w:val="num" w:pos="0"/>
        </w:tabs>
        <w:ind w:left="0" w:firstLine="0"/>
      </w:pPr>
      <w:rPr>
        <w:rFonts w:hint="default"/>
      </w:rPr>
    </w:lvl>
    <w:lvl w:ilvl="3">
      <w:start w:val="1"/>
      <w:numFmt w:val="none"/>
      <w:lvlText w:val="%4)"/>
      <w:lvlJc w:val="left"/>
      <w:pPr>
        <w:tabs>
          <w:tab w:val="num" w:pos="2160"/>
        </w:tabs>
        <w:ind w:left="2160" w:firstLine="0"/>
      </w:pPr>
      <w:rPr>
        <w:rFonts w:hint="default"/>
      </w:rPr>
    </w:lvl>
    <w:lvl w:ilvl="4">
      <w:start w:val="1"/>
      <w:numFmt w:val="none"/>
      <w:lvlText w:val="(%5)"/>
      <w:lvlJc w:val="left"/>
      <w:pPr>
        <w:tabs>
          <w:tab w:val="num" w:pos="288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8" w15:restartNumberingAfterBreak="0">
    <w:nsid w:val="305A2F29"/>
    <w:multiLevelType w:val="hybridMultilevel"/>
    <w:tmpl w:val="AF086F92"/>
    <w:lvl w:ilvl="0" w:tplc="A61AAA14">
      <w:start w:val="1"/>
      <w:numFmt w:val="decimal"/>
      <w:pStyle w:val="CGCParaNumber"/>
      <w:lvlText w:val="%1"/>
      <w:lvlJc w:val="left"/>
      <w:pPr>
        <w:ind w:left="720" w:hanging="360"/>
      </w:pPr>
      <w:rPr>
        <w:rFonts w:ascii="Open Sans Light" w:hAnsi="Open Sans Light" w:hint="default"/>
        <w:b w:val="0"/>
        <w:i w:val="0"/>
        <w:caps w:val="0"/>
        <w:strike w:val="0"/>
        <w:dstrike w:val="0"/>
        <w:vanish w:val="0"/>
        <w:color w:val="000000" w:themeColor="text1"/>
        <w:sz w:val="20"/>
        <w:vertAlign w:val="baseline"/>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4511CFA"/>
    <w:multiLevelType w:val="hybridMultilevel"/>
    <w:tmpl w:val="68BC51BA"/>
    <w:lvl w:ilvl="0" w:tplc="A4FE0E92">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7B52DA0"/>
    <w:multiLevelType w:val="multilevel"/>
    <w:tmpl w:val="A310237C"/>
    <w:styleLink w:val="CGCConsultQuestion"/>
    <w:lvl w:ilvl="0">
      <w:start w:val="1"/>
      <w:numFmt w:val="decimal"/>
      <w:lvlText w:val="Q%1."/>
      <w:lvlJc w:val="left"/>
      <w:pPr>
        <w:ind w:left="454" w:hanging="454"/>
      </w:pPr>
      <w:rPr>
        <w:rFonts w:ascii="Work Sans" w:hAnsi="Work Sans"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E1E2A55"/>
    <w:multiLevelType w:val="multilevel"/>
    <w:tmpl w:val="8C78535C"/>
    <w:lvl w:ilvl="0">
      <w:start w:val="1"/>
      <w:numFmt w:val="decimal"/>
      <w:pStyle w:val="CGC2025QuestionNumbers"/>
      <w:lvlText w:val="Q%1."/>
      <w:lvlJc w:val="left"/>
      <w:pPr>
        <w:ind w:left="454" w:hanging="454"/>
      </w:pPr>
      <w:rPr>
        <w:rFonts w:ascii="Work Sans" w:hAnsi="Work Sans"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E974B00"/>
    <w:multiLevelType w:val="multilevel"/>
    <w:tmpl w:val="A310237C"/>
    <w:numStyleLink w:val="CGCConsultQuestion"/>
  </w:abstractNum>
  <w:abstractNum w:abstractNumId="13" w15:restartNumberingAfterBreak="0">
    <w:nsid w:val="500F1895"/>
    <w:multiLevelType w:val="multilevel"/>
    <w:tmpl w:val="A310237C"/>
    <w:numStyleLink w:val="CGCConsultQuestion"/>
  </w:abstractNum>
  <w:abstractNum w:abstractNumId="14" w15:restartNumberingAfterBreak="0">
    <w:nsid w:val="66B56961"/>
    <w:multiLevelType w:val="hybridMultilevel"/>
    <w:tmpl w:val="4BB6122E"/>
    <w:lvl w:ilvl="0" w:tplc="8A0205E8">
      <w:start w:val="1"/>
      <w:numFmt w:val="bullet"/>
      <w:pStyle w:val="CGCQuoteBullet"/>
      <w:lvlText w:val=""/>
      <w:lvlJc w:val="left"/>
      <w:pPr>
        <w:ind w:left="1741" w:hanging="360"/>
      </w:pPr>
      <w:rPr>
        <w:rFonts w:ascii="Symbol" w:hAnsi="Symbol" w:hint="default"/>
        <w:color w:val="5CA5C2"/>
      </w:rPr>
    </w:lvl>
    <w:lvl w:ilvl="1" w:tplc="0C090003" w:tentative="1">
      <w:start w:val="1"/>
      <w:numFmt w:val="bullet"/>
      <w:lvlText w:val="o"/>
      <w:lvlJc w:val="left"/>
      <w:pPr>
        <w:ind w:left="2461" w:hanging="360"/>
      </w:pPr>
      <w:rPr>
        <w:rFonts w:ascii="Courier New" w:hAnsi="Courier New" w:cs="Courier New" w:hint="default"/>
      </w:rPr>
    </w:lvl>
    <w:lvl w:ilvl="2" w:tplc="0C090005" w:tentative="1">
      <w:start w:val="1"/>
      <w:numFmt w:val="bullet"/>
      <w:lvlText w:val=""/>
      <w:lvlJc w:val="left"/>
      <w:pPr>
        <w:ind w:left="3181" w:hanging="360"/>
      </w:pPr>
      <w:rPr>
        <w:rFonts w:ascii="Wingdings" w:hAnsi="Wingdings" w:hint="default"/>
      </w:rPr>
    </w:lvl>
    <w:lvl w:ilvl="3" w:tplc="0C090001" w:tentative="1">
      <w:start w:val="1"/>
      <w:numFmt w:val="bullet"/>
      <w:lvlText w:val=""/>
      <w:lvlJc w:val="left"/>
      <w:pPr>
        <w:ind w:left="3901" w:hanging="360"/>
      </w:pPr>
      <w:rPr>
        <w:rFonts w:ascii="Symbol" w:hAnsi="Symbol" w:hint="default"/>
      </w:rPr>
    </w:lvl>
    <w:lvl w:ilvl="4" w:tplc="0C090003" w:tentative="1">
      <w:start w:val="1"/>
      <w:numFmt w:val="bullet"/>
      <w:lvlText w:val="o"/>
      <w:lvlJc w:val="left"/>
      <w:pPr>
        <w:ind w:left="4621" w:hanging="360"/>
      </w:pPr>
      <w:rPr>
        <w:rFonts w:ascii="Courier New" w:hAnsi="Courier New" w:cs="Courier New" w:hint="default"/>
      </w:rPr>
    </w:lvl>
    <w:lvl w:ilvl="5" w:tplc="0C090005" w:tentative="1">
      <w:start w:val="1"/>
      <w:numFmt w:val="bullet"/>
      <w:lvlText w:val=""/>
      <w:lvlJc w:val="left"/>
      <w:pPr>
        <w:ind w:left="5341" w:hanging="360"/>
      </w:pPr>
      <w:rPr>
        <w:rFonts w:ascii="Wingdings" w:hAnsi="Wingdings" w:hint="default"/>
      </w:rPr>
    </w:lvl>
    <w:lvl w:ilvl="6" w:tplc="0C090001" w:tentative="1">
      <w:start w:val="1"/>
      <w:numFmt w:val="bullet"/>
      <w:lvlText w:val=""/>
      <w:lvlJc w:val="left"/>
      <w:pPr>
        <w:ind w:left="6061" w:hanging="360"/>
      </w:pPr>
      <w:rPr>
        <w:rFonts w:ascii="Symbol" w:hAnsi="Symbol" w:hint="default"/>
      </w:rPr>
    </w:lvl>
    <w:lvl w:ilvl="7" w:tplc="0C090003" w:tentative="1">
      <w:start w:val="1"/>
      <w:numFmt w:val="bullet"/>
      <w:lvlText w:val="o"/>
      <w:lvlJc w:val="left"/>
      <w:pPr>
        <w:ind w:left="6781" w:hanging="360"/>
      </w:pPr>
      <w:rPr>
        <w:rFonts w:ascii="Courier New" w:hAnsi="Courier New" w:cs="Courier New" w:hint="default"/>
      </w:rPr>
    </w:lvl>
    <w:lvl w:ilvl="8" w:tplc="0C090005" w:tentative="1">
      <w:start w:val="1"/>
      <w:numFmt w:val="bullet"/>
      <w:lvlText w:val=""/>
      <w:lvlJc w:val="left"/>
      <w:pPr>
        <w:ind w:left="7501" w:hanging="360"/>
      </w:pPr>
      <w:rPr>
        <w:rFonts w:ascii="Wingdings" w:hAnsi="Wingdings" w:hint="default"/>
      </w:rPr>
    </w:lvl>
  </w:abstractNum>
  <w:abstractNum w:abstractNumId="15" w15:restartNumberingAfterBreak="0">
    <w:nsid w:val="6CAF34B1"/>
    <w:multiLevelType w:val="hybridMultilevel"/>
    <w:tmpl w:val="02DAE2AC"/>
    <w:lvl w:ilvl="0" w:tplc="FFFFFFFF">
      <w:start w:val="1"/>
      <w:numFmt w:val="decimal"/>
      <w:lvlText w:val="%1."/>
      <w:lvlJc w:val="left"/>
      <w:pPr>
        <w:ind w:left="927" w:hanging="360"/>
      </w:pPr>
      <w:rPr>
        <w:rFonts w:hint="default"/>
        <w:color w:val="636466"/>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6D517EA6"/>
    <w:multiLevelType w:val="multilevel"/>
    <w:tmpl w:val="8CEE0058"/>
    <w:lvl w:ilvl="0">
      <w:start w:val="1"/>
      <w:numFmt w:val="bullet"/>
      <w:pStyle w:val="CGCBulletlist"/>
      <w:lvlText w:val=""/>
      <w:lvlJc w:val="left"/>
      <w:pPr>
        <w:tabs>
          <w:tab w:val="num" w:pos="927"/>
        </w:tabs>
        <w:ind w:left="927" w:hanging="360"/>
      </w:pPr>
      <w:rPr>
        <w:rFonts w:ascii="Symbol" w:hAnsi="Symbol" w:hint="default"/>
      </w:rPr>
    </w:lvl>
    <w:lvl w:ilvl="1">
      <w:start w:val="1"/>
      <w:numFmt w:val="lowerLetter"/>
      <w:lvlText w:val="%2)"/>
      <w:lvlJc w:val="left"/>
      <w:pPr>
        <w:tabs>
          <w:tab w:val="num" w:pos="1593"/>
        </w:tabs>
        <w:ind w:left="1593" w:hanging="360"/>
      </w:pPr>
      <w:rPr>
        <w:rFonts w:hint="default"/>
      </w:rPr>
    </w:lvl>
    <w:lvl w:ilvl="2">
      <w:start w:val="1"/>
      <w:numFmt w:val="lowerRoman"/>
      <w:lvlText w:val="%3)"/>
      <w:lvlJc w:val="left"/>
      <w:pPr>
        <w:tabs>
          <w:tab w:val="num" w:pos="1953"/>
        </w:tabs>
        <w:ind w:left="1953" w:hanging="360"/>
      </w:pPr>
      <w:rPr>
        <w:rFonts w:hint="default"/>
      </w:rPr>
    </w:lvl>
    <w:lvl w:ilvl="3">
      <w:start w:val="1"/>
      <w:numFmt w:val="decimal"/>
      <w:lvlText w:val="(%4)"/>
      <w:lvlJc w:val="left"/>
      <w:pPr>
        <w:tabs>
          <w:tab w:val="num" w:pos="2313"/>
        </w:tabs>
        <w:ind w:left="2313" w:hanging="360"/>
      </w:pPr>
      <w:rPr>
        <w:rFonts w:hint="default"/>
      </w:rPr>
    </w:lvl>
    <w:lvl w:ilvl="4">
      <w:start w:val="1"/>
      <w:numFmt w:val="lowerLetter"/>
      <w:lvlText w:val="(%5)"/>
      <w:lvlJc w:val="left"/>
      <w:pPr>
        <w:tabs>
          <w:tab w:val="num" w:pos="2673"/>
        </w:tabs>
        <w:ind w:left="2673" w:hanging="360"/>
      </w:pPr>
      <w:rPr>
        <w:rFonts w:hint="default"/>
      </w:rPr>
    </w:lvl>
    <w:lvl w:ilvl="5">
      <w:start w:val="1"/>
      <w:numFmt w:val="lowerRoman"/>
      <w:lvlText w:val="(%6)"/>
      <w:lvlJc w:val="left"/>
      <w:pPr>
        <w:tabs>
          <w:tab w:val="num" w:pos="3033"/>
        </w:tabs>
        <w:ind w:left="3033" w:hanging="360"/>
      </w:pPr>
      <w:rPr>
        <w:rFonts w:hint="default"/>
      </w:rPr>
    </w:lvl>
    <w:lvl w:ilvl="6">
      <w:start w:val="1"/>
      <w:numFmt w:val="decimal"/>
      <w:lvlText w:val="%7."/>
      <w:lvlJc w:val="left"/>
      <w:pPr>
        <w:tabs>
          <w:tab w:val="num" w:pos="3393"/>
        </w:tabs>
        <w:ind w:left="3393" w:hanging="360"/>
      </w:pPr>
      <w:rPr>
        <w:rFonts w:hint="default"/>
      </w:rPr>
    </w:lvl>
    <w:lvl w:ilvl="7">
      <w:start w:val="1"/>
      <w:numFmt w:val="lowerLetter"/>
      <w:lvlText w:val="%8."/>
      <w:lvlJc w:val="left"/>
      <w:pPr>
        <w:tabs>
          <w:tab w:val="num" w:pos="3753"/>
        </w:tabs>
        <w:ind w:left="3753" w:hanging="360"/>
      </w:pPr>
      <w:rPr>
        <w:rFonts w:hint="default"/>
      </w:rPr>
    </w:lvl>
    <w:lvl w:ilvl="8">
      <w:start w:val="1"/>
      <w:numFmt w:val="lowerRoman"/>
      <w:lvlText w:val="%9."/>
      <w:lvlJc w:val="left"/>
      <w:pPr>
        <w:tabs>
          <w:tab w:val="num" w:pos="4113"/>
        </w:tabs>
        <w:ind w:left="4113" w:hanging="360"/>
      </w:pPr>
      <w:rPr>
        <w:rFonts w:hint="default"/>
      </w:rPr>
    </w:lvl>
  </w:abstractNum>
  <w:abstractNum w:abstractNumId="17" w15:restartNumberingAfterBreak="0">
    <w:nsid w:val="77D62F87"/>
    <w:multiLevelType w:val="hybridMultilevel"/>
    <w:tmpl w:val="E332B1EE"/>
    <w:lvl w:ilvl="0" w:tplc="7898E74C">
      <w:start w:val="1"/>
      <w:numFmt w:val="bullet"/>
      <w:pStyle w:val="CGCSubbulletlist"/>
      <w:lvlText w:val=""/>
      <w:lvlJc w:val="left"/>
      <w:pPr>
        <w:tabs>
          <w:tab w:val="num" w:pos="927"/>
        </w:tabs>
        <w:ind w:left="1134" w:firstLine="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9A32FB1"/>
    <w:multiLevelType w:val="hybridMultilevel"/>
    <w:tmpl w:val="AB40554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num w:numId="1" w16cid:durableId="1649357354">
    <w:abstractNumId w:val="7"/>
  </w:num>
  <w:num w:numId="2" w16cid:durableId="1003897054">
    <w:abstractNumId w:val="17"/>
  </w:num>
  <w:num w:numId="3" w16cid:durableId="1334529044">
    <w:abstractNumId w:val="6"/>
  </w:num>
  <w:num w:numId="4" w16cid:durableId="1514761234">
    <w:abstractNumId w:val="5"/>
  </w:num>
  <w:num w:numId="5" w16cid:durableId="920797300">
    <w:abstractNumId w:val="0"/>
  </w:num>
  <w:num w:numId="6" w16cid:durableId="1807814447">
    <w:abstractNumId w:val="14"/>
  </w:num>
  <w:num w:numId="7" w16cid:durableId="801770153">
    <w:abstractNumId w:val="8"/>
  </w:num>
  <w:num w:numId="8" w16cid:durableId="1737627722">
    <w:abstractNumId w:val="16"/>
  </w:num>
  <w:num w:numId="9" w16cid:durableId="176697617">
    <w:abstractNumId w:val="4"/>
  </w:num>
  <w:num w:numId="10" w16cid:durableId="14589770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99625981">
    <w:abstractNumId w:val="9"/>
  </w:num>
  <w:num w:numId="12" w16cid:durableId="1771046321">
    <w:abstractNumId w:val="0"/>
    <w:lvlOverride w:ilvl="0">
      <w:startOverride w:val="1"/>
    </w:lvlOverride>
  </w:num>
  <w:num w:numId="13" w16cid:durableId="2076128190">
    <w:abstractNumId w:val="3"/>
  </w:num>
  <w:num w:numId="14" w16cid:durableId="146821968">
    <w:abstractNumId w:val="3"/>
    <w:lvlOverride w:ilvl="0">
      <w:startOverride w:val="1"/>
    </w:lvlOverride>
  </w:num>
  <w:num w:numId="15" w16cid:durableId="750010158">
    <w:abstractNumId w:val="4"/>
  </w:num>
  <w:num w:numId="16" w16cid:durableId="1765958258">
    <w:abstractNumId w:val="4"/>
  </w:num>
  <w:num w:numId="17" w16cid:durableId="86155398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68870352">
    <w:abstractNumId w:val="4"/>
  </w:num>
  <w:num w:numId="19" w16cid:durableId="1018392761">
    <w:abstractNumId w:val="4"/>
  </w:num>
  <w:num w:numId="20" w16cid:durableId="1456800917">
    <w:abstractNumId w:val="4"/>
  </w:num>
  <w:num w:numId="21" w16cid:durableId="1829638297">
    <w:abstractNumId w:val="4"/>
  </w:num>
  <w:num w:numId="22" w16cid:durableId="13718646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38457137">
    <w:abstractNumId w:val="4"/>
  </w:num>
  <w:num w:numId="24" w16cid:durableId="401173516">
    <w:abstractNumId w:val="4"/>
  </w:num>
  <w:num w:numId="25" w16cid:durableId="1260065371">
    <w:abstractNumId w:val="4"/>
  </w:num>
  <w:num w:numId="26" w16cid:durableId="2126151283">
    <w:abstractNumId w:val="4"/>
  </w:num>
  <w:num w:numId="27" w16cid:durableId="754130895">
    <w:abstractNumId w:val="4"/>
  </w:num>
  <w:num w:numId="28" w16cid:durableId="181431780">
    <w:abstractNumId w:val="4"/>
  </w:num>
  <w:num w:numId="29" w16cid:durableId="1613199100">
    <w:abstractNumId w:val="4"/>
  </w:num>
  <w:num w:numId="30" w16cid:durableId="222909449">
    <w:abstractNumId w:val="16"/>
  </w:num>
  <w:num w:numId="31" w16cid:durableId="893783368">
    <w:abstractNumId w:val="16"/>
  </w:num>
  <w:num w:numId="32" w16cid:durableId="317272699">
    <w:abstractNumId w:val="4"/>
  </w:num>
  <w:num w:numId="33" w16cid:durableId="1927374591">
    <w:abstractNumId w:val="8"/>
    <w:lvlOverride w:ilvl="0">
      <w:startOverride w:val="1"/>
    </w:lvlOverride>
  </w:num>
  <w:num w:numId="34" w16cid:durableId="62026035">
    <w:abstractNumId w:val="4"/>
    <w:lvlOverride w:ilvl="0">
      <w:startOverride w:val="2"/>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407537804">
    <w:abstractNumId w:val="4"/>
    <w:lvlOverride w:ilvl="0">
      <w:startOverride w:val="3"/>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801261251">
    <w:abstractNumId w:val="4"/>
    <w:lvlOverride w:ilvl="0">
      <w:startOverride w:val="4"/>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408111535">
    <w:abstractNumId w:val="10"/>
  </w:num>
  <w:num w:numId="38" w16cid:durableId="2111199834">
    <w:abstractNumId w:val="1"/>
  </w:num>
  <w:num w:numId="39" w16cid:durableId="2056999759">
    <w:abstractNumId w:val="13"/>
  </w:num>
  <w:num w:numId="40" w16cid:durableId="2080126907">
    <w:abstractNumId w:val="11"/>
  </w:num>
  <w:num w:numId="41" w16cid:durableId="820391670">
    <w:abstractNumId w:val="12"/>
  </w:num>
  <w:num w:numId="42" w16cid:durableId="1074552354">
    <w:abstractNumId w:val="15"/>
  </w:num>
  <w:num w:numId="43" w16cid:durableId="1200127037">
    <w:abstractNumId w:val="2"/>
  </w:num>
  <w:num w:numId="44" w16cid:durableId="622276446">
    <w:abstractNumId w:val="1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57"/>
  <w:drawingGridVerticalSpacing w:val="57"/>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2334"/>
    <w:rsid w:val="0000006B"/>
    <w:rsid w:val="00000AB2"/>
    <w:rsid w:val="00000C9F"/>
    <w:rsid w:val="00001078"/>
    <w:rsid w:val="000014F2"/>
    <w:rsid w:val="00001882"/>
    <w:rsid w:val="000019C0"/>
    <w:rsid w:val="00001D6F"/>
    <w:rsid w:val="00001DA2"/>
    <w:rsid w:val="00001E8B"/>
    <w:rsid w:val="00002144"/>
    <w:rsid w:val="00002356"/>
    <w:rsid w:val="000025E6"/>
    <w:rsid w:val="0000270C"/>
    <w:rsid w:val="00002923"/>
    <w:rsid w:val="00002F86"/>
    <w:rsid w:val="000032B9"/>
    <w:rsid w:val="000036D8"/>
    <w:rsid w:val="000042F1"/>
    <w:rsid w:val="000043F9"/>
    <w:rsid w:val="00004719"/>
    <w:rsid w:val="0000485A"/>
    <w:rsid w:val="00004C67"/>
    <w:rsid w:val="000053F8"/>
    <w:rsid w:val="00005EEE"/>
    <w:rsid w:val="00005F0B"/>
    <w:rsid w:val="0000618C"/>
    <w:rsid w:val="0000648D"/>
    <w:rsid w:val="00006C9A"/>
    <w:rsid w:val="00006E30"/>
    <w:rsid w:val="00006F3D"/>
    <w:rsid w:val="00007899"/>
    <w:rsid w:val="00007AB8"/>
    <w:rsid w:val="00007FD5"/>
    <w:rsid w:val="000105A1"/>
    <w:rsid w:val="00010711"/>
    <w:rsid w:val="00010B75"/>
    <w:rsid w:val="00010CEC"/>
    <w:rsid w:val="00010F5B"/>
    <w:rsid w:val="00011BB3"/>
    <w:rsid w:val="00011C73"/>
    <w:rsid w:val="00011D1A"/>
    <w:rsid w:val="00011DA8"/>
    <w:rsid w:val="00011F7D"/>
    <w:rsid w:val="000120A6"/>
    <w:rsid w:val="0001218F"/>
    <w:rsid w:val="00012AC0"/>
    <w:rsid w:val="00012B67"/>
    <w:rsid w:val="00012C74"/>
    <w:rsid w:val="000132F5"/>
    <w:rsid w:val="00013B63"/>
    <w:rsid w:val="000141E3"/>
    <w:rsid w:val="00014864"/>
    <w:rsid w:val="000148C5"/>
    <w:rsid w:val="0001491F"/>
    <w:rsid w:val="00014CB0"/>
    <w:rsid w:val="000150BF"/>
    <w:rsid w:val="00015283"/>
    <w:rsid w:val="00015500"/>
    <w:rsid w:val="000156B2"/>
    <w:rsid w:val="00015818"/>
    <w:rsid w:val="00015A97"/>
    <w:rsid w:val="00015C57"/>
    <w:rsid w:val="00015D0B"/>
    <w:rsid w:val="000162E7"/>
    <w:rsid w:val="0001698B"/>
    <w:rsid w:val="00016C62"/>
    <w:rsid w:val="00016FE0"/>
    <w:rsid w:val="00016FE9"/>
    <w:rsid w:val="00017640"/>
    <w:rsid w:val="000176D7"/>
    <w:rsid w:val="0001770B"/>
    <w:rsid w:val="000178EF"/>
    <w:rsid w:val="00017E5B"/>
    <w:rsid w:val="00017EB6"/>
    <w:rsid w:val="0002041C"/>
    <w:rsid w:val="000204C9"/>
    <w:rsid w:val="00020799"/>
    <w:rsid w:val="00020D21"/>
    <w:rsid w:val="00020EA3"/>
    <w:rsid w:val="00021149"/>
    <w:rsid w:val="00021727"/>
    <w:rsid w:val="00021827"/>
    <w:rsid w:val="00021C7A"/>
    <w:rsid w:val="00021E88"/>
    <w:rsid w:val="000222BF"/>
    <w:rsid w:val="00022C1B"/>
    <w:rsid w:val="00022CE0"/>
    <w:rsid w:val="00022CF4"/>
    <w:rsid w:val="00022EA9"/>
    <w:rsid w:val="00023068"/>
    <w:rsid w:val="00023137"/>
    <w:rsid w:val="00023B03"/>
    <w:rsid w:val="00023BDB"/>
    <w:rsid w:val="00024069"/>
    <w:rsid w:val="000246BA"/>
    <w:rsid w:val="000246EB"/>
    <w:rsid w:val="00024745"/>
    <w:rsid w:val="00024A4B"/>
    <w:rsid w:val="00024CD0"/>
    <w:rsid w:val="00024D5F"/>
    <w:rsid w:val="000251CC"/>
    <w:rsid w:val="00025242"/>
    <w:rsid w:val="00025B1F"/>
    <w:rsid w:val="00025CB3"/>
    <w:rsid w:val="00025E94"/>
    <w:rsid w:val="000265A4"/>
    <w:rsid w:val="00026896"/>
    <w:rsid w:val="000268E0"/>
    <w:rsid w:val="00026A1A"/>
    <w:rsid w:val="00026AD6"/>
    <w:rsid w:val="00026E43"/>
    <w:rsid w:val="00026E62"/>
    <w:rsid w:val="00026E7B"/>
    <w:rsid w:val="000273C6"/>
    <w:rsid w:val="000274F7"/>
    <w:rsid w:val="00027557"/>
    <w:rsid w:val="00027ABE"/>
    <w:rsid w:val="00030205"/>
    <w:rsid w:val="00030516"/>
    <w:rsid w:val="00030595"/>
    <w:rsid w:val="00030629"/>
    <w:rsid w:val="00030E66"/>
    <w:rsid w:val="00031648"/>
    <w:rsid w:val="00031AFE"/>
    <w:rsid w:val="00031B76"/>
    <w:rsid w:val="00031CF4"/>
    <w:rsid w:val="00032318"/>
    <w:rsid w:val="00032544"/>
    <w:rsid w:val="000326F5"/>
    <w:rsid w:val="000327F7"/>
    <w:rsid w:val="00032856"/>
    <w:rsid w:val="000328A8"/>
    <w:rsid w:val="00032F41"/>
    <w:rsid w:val="00033347"/>
    <w:rsid w:val="000335BE"/>
    <w:rsid w:val="000338C9"/>
    <w:rsid w:val="00033A71"/>
    <w:rsid w:val="00033C0D"/>
    <w:rsid w:val="0003409C"/>
    <w:rsid w:val="00034622"/>
    <w:rsid w:val="00034916"/>
    <w:rsid w:val="00034DBB"/>
    <w:rsid w:val="00034F08"/>
    <w:rsid w:val="000355D9"/>
    <w:rsid w:val="000363C5"/>
    <w:rsid w:val="000364E9"/>
    <w:rsid w:val="00036C51"/>
    <w:rsid w:val="00036F1C"/>
    <w:rsid w:val="000370C8"/>
    <w:rsid w:val="000372BA"/>
    <w:rsid w:val="00037E9B"/>
    <w:rsid w:val="00040135"/>
    <w:rsid w:val="00040571"/>
    <w:rsid w:val="00040601"/>
    <w:rsid w:val="00040CCA"/>
    <w:rsid w:val="00040D48"/>
    <w:rsid w:val="000410C8"/>
    <w:rsid w:val="0004123E"/>
    <w:rsid w:val="00041299"/>
    <w:rsid w:val="00041748"/>
    <w:rsid w:val="00041E1B"/>
    <w:rsid w:val="00041E84"/>
    <w:rsid w:val="000424EA"/>
    <w:rsid w:val="0004258C"/>
    <w:rsid w:val="00043B5D"/>
    <w:rsid w:val="00043CFE"/>
    <w:rsid w:val="00043ECD"/>
    <w:rsid w:val="000442AA"/>
    <w:rsid w:val="00044479"/>
    <w:rsid w:val="0004456B"/>
    <w:rsid w:val="0004484E"/>
    <w:rsid w:val="0004495B"/>
    <w:rsid w:val="000451DA"/>
    <w:rsid w:val="0004569D"/>
    <w:rsid w:val="00045C11"/>
    <w:rsid w:val="00045F82"/>
    <w:rsid w:val="00046397"/>
    <w:rsid w:val="000465BD"/>
    <w:rsid w:val="00046859"/>
    <w:rsid w:val="00046B06"/>
    <w:rsid w:val="000470A2"/>
    <w:rsid w:val="00047690"/>
    <w:rsid w:val="00047856"/>
    <w:rsid w:val="00047951"/>
    <w:rsid w:val="00047AB0"/>
    <w:rsid w:val="00047DF1"/>
    <w:rsid w:val="00047E5A"/>
    <w:rsid w:val="0005017B"/>
    <w:rsid w:val="000508D3"/>
    <w:rsid w:val="00051114"/>
    <w:rsid w:val="00051B92"/>
    <w:rsid w:val="00051F3C"/>
    <w:rsid w:val="000525F5"/>
    <w:rsid w:val="00052DA0"/>
    <w:rsid w:val="00053480"/>
    <w:rsid w:val="00053512"/>
    <w:rsid w:val="00053581"/>
    <w:rsid w:val="0005377C"/>
    <w:rsid w:val="0005381C"/>
    <w:rsid w:val="00053C36"/>
    <w:rsid w:val="00053F80"/>
    <w:rsid w:val="000540CC"/>
    <w:rsid w:val="0005410D"/>
    <w:rsid w:val="00054309"/>
    <w:rsid w:val="00054311"/>
    <w:rsid w:val="0005450F"/>
    <w:rsid w:val="0005451C"/>
    <w:rsid w:val="000554BF"/>
    <w:rsid w:val="000555DB"/>
    <w:rsid w:val="00055A2D"/>
    <w:rsid w:val="00056371"/>
    <w:rsid w:val="00056373"/>
    <w:rsid w:val="000569CD"/>
    <w:rsid w:val="00056E89"/>
    <w:rsid w:val="00057762"/>
    <w:rsid w:val="00057AB4"/>
    <w:rsid w:val="00057AED"/>
    <w:rsid w:val="00057D13"/>
    <w:rsid w:val="000604C7"/>
    <w:rsid w:val="0006050F"/>
    <w:rsid w:val="000607C2"/>
    <w:rsid w:val="00060A59"/>
    <w:rsid w:val="00060B38"/>
    <w:rsid w:val="00060CA5"/>
    <w:rsid w:val="0006104A"/>
    <w:rsid w:val="00061111"/>
    <w:rsid w:val="00061233"/>
    <w:rsid w:val="00061535"/>
    <w:rsid w:val="0006177C"/>
    <w:rsid w:val="00061933"/>
    <w:rsid w:val="00061993"/>
    <w:rsid w:val="00061B8C"/>
    <w:rsid w:val="00062330"/>
    <w:rsid w:val="000624BB"/>
    <w:rsid w:val="00062C57"/>
    <w:rsid w:val="00062D47"/>
    <w:rsid w:val="00062EE9"/>
    <w:rsid w:val="000633E8"/>
    <w:rsid w:val="00063437"/>
    <w:rsid w:val="0006366E"/>
    <w:rsid w:val="000641EB"/>
    <w:rsid w:val="00064557"/>
    <w:rsid w:val="000648E8"/>
    <w:rsid w:val="00064CE5"/>
    <w:rsid w:val="0006519E"/>
    <w:rsid w:val="000651D2"/>
    <w:rsid w:val="000653F5"/>
    <w:rsid w:val="000656EC"/>
    <w:rsid w:val="000657A7"/>
    <w:rsid w:val="00065BF3"/>
    <w:rsid w:val="000665AB"/>
    <w:rsid w:val="00066C63"/>
    <w:rsid w:val="00066D73"/>
    <w:rsid w:val="00066D82"/>
    <w:rsid w:val="00066E63"/>
    <w:rsid w:val="00066F8C"/>
    <w:rsid w:val="00066FC9"/>
    <w:rsid w:val="000679BC"/>
    <w:rsid w:val="000702C3"/>
    <w:rsid w:val="00070B45"/>
    <w:rsid w:val="00070EA5"/>
    <w:rsid w:val="0007102B"/>
    <w:rsid w:val="0007176E"/>
    <w:rsid w:val="0007185D"/>
    <w:rsid w:val="00071EF7"/>
    <w:rsid w:val="00071F1E"/>
    <w:rsid w:val="00072373"/>
    <w:rsid w:val="00072CBE"/>
    <w:rsid w:val="0007310A"/>
    <w:rsid w:val="000731C5"/>
    <w:rsid w:val="0007335C"/>
    <w:rsid w:val="000733D6"/>
    <w:rsid w:val="0007360C"/>
    <w:rsid w:val="000738EB"/>
    <w:rsid w:val="00073944"/>
    <w:rsid w:val="00073BF5"/>
    <w:rsid w:val="00073D9D"/>
    <w:rsid w:val="00073E21"/>
    <w:rsid w:val="00073E85"/>
    <w:rsid w:val="00073E92"/>
    <w:rsid w:val="00075051"/>
    <w:rsid w:val="000754E2"/>
    <w:rsid w:val="00075593"/>
    <w:rsid w:val="0007582F"/>
    <w:rsid w:val="00075982"/>
    <w:rsid w:val="00076434"/>
    <w:rsid w:val="00076DA5"/>
    <w:rsid w:val="000772B1"/>
    <w:rsid w:val="000773FA"/>
    <w:rsid w:val="000779DC"/>
    <w:rsid w:val="00077AAF"/>
    <w:rsid w:val="00077ADE"/>
    <w:rsid w:val="00080290"/>
    <w:rsid w:val="00080439"/>
    <w:rsid w:val="00080895"/>
    <w:rsid w:val="00080967"/>
    <w:rsid w:val="000812ED"/>
    <w:rsid w:val="00081636"/>
    <w:rsid w:val="00081696"/>
    <w:rsid w:val="000816E0"/>
    <w:rsid w:val="00081905"/>
    <w:rsid w:val="000819A8"/>
    <w:rsid w:val="00081E45"/>
    <w:rsid w:val="00081F57"/>
    <w:rsid w:val="00081FAD"/>
    <w:rsid w:val="0008206A"/>
    <w:rsid w:val="0008208B"/>
    <w:rsid w:val="00082090"/>
    <w:rsid w:val="00082971"/>
    <w:rsid w:val="00082DEF"/>
    <w:rsid w:val="00083022"/>
    <w:rsid w:val="00083837"/>
    <w:rsid w:val="00083842"/>
    <w:rsid w:val="00083B06"/>
    <w:rsid w:val="000840C3"/>
    <w:rsid w:val="00084494"/>
    <w:rsid w:val="0008456B"/>
    <w:rsid w:val="000847BF"/>
    <w:rsid w:val="00084EE0"/>
    <w:rsid w:val="00085077"/>
    <w:rsid w:val="000855F4"/>
    <w:rsid w:val="00085729"/>
    <w:rsid w:val="00085A8D"/>
    <w:rsid w:val="00085D0E"/>
    <w:rsid w:val="00085EA1"/>
    <w:rsid w:val="00086045"/>
    <w:rsid w:val="000861D9"/>
    <w:rsid w:val="0008677E"/>
    <w:rsid w:val="000867DC"/>
    <w:rsid w:val="000869E1"/>
    <w:rsid w:val="000869F6"/>
    <w:rsid w:val="00086A5C"/>
    <w:rsid w:val="00086B04"/>
    <w:rsid w:val="00086C42"/>
    <w:rsid w:val="00086E69"/>
    <w:rsid w:val="00086EBC"/>
    <w:rsid w:val="0008779D"/>
    <w:rsid w:val="00087F7D"/>
    <w:rsid w:val="00087FC4"/>
    <w:rsid w:val="00090362"/>
    <w:rsid w:val="00090DBA"/>
    <w:rsid w:val="000910DA"/>
    <w:rsid w:val="00091AD2"/>
    <w:rsid w:val="00091C4F"/>
    <w:rsid w:val="00091D6E"/>
    <w:rsid w:val="000928AF"/>
    <w:rsid w:val="00093188"/>
    <w:rsid w:val="00093603"/>
    <w:rsid w:val="00093796"/>
    <w:rsid w:val="00093910"/>
    <w:rsid w:val="000939CA"/>
    <w:rsid w:val="00094010"/>
    <w:rsid w:val="000943A8"/>
    <w:rsid w:val="000944BD"/>
    <w:rsid w:val="00094531"/>
    <w:rsid w:val="00094676"/>
    <w:rsid w:val="000950A8"/>
    <w:rsid w:val="0009567D"/>
    <w:rsid w:val="0009569E"/>
    <w:rsid w:val="0009650F"/>
    <w:rsid w:val="00096616"/>
    <w:rsid w:val="00096896"/>
    <w:rsid w:val="00096A17"/>
    <w:rsid w:val="00096C06"/>
    <w:rsid w:val="00096C31"/>
    <w:rsid w:val="00096E12"/>
    <w:rsid w:val="00096E4E"/>
    <w:rsid w:val="00096F66"/>
    <w:rsid w:val="000970BA"/>
    <w:rsid w:val="00097192"/>
    <w:rsid w:val="00097626"/>
    <w:rsid w:val="00097790"/>
    <w:rsid w:val="00097CF0"/>
    <w:rsid w:val="00097D78"/>
    <w:rsid w:val="00097F09"/>
    <w:rsid w:val="000A011D"/>
    <w:rsid w:val="000A07C9"/>
    <w:rsid w:val="000A09ED"/>
    <w:rsid w:val="000A0C33"/>
    <w:rsid w:val="000A0D9F"/>
    <w:rsid w:val="000A17C5"/>
    <w:rsid w:val="000A17F1"/>
    <w:rsid w:val="000A1B09"/>
    <w:rsid w:val="000A1DED"/>
    <w:rsid w:val="000A2395"/>
    <w:rsid w:val="000A2E24"/>
    <w:rsid w:val="000A3130"/>
    <w:rsid w:val="000A336C"/>
    <w:rsid w:val="000A346F"/>
    <w:rsid w:val="000A3898"/>
    <w:rsid w:val="000A3C2F"/>
    <w:rsid w:val="000A487A"/>
    <w:rsid w:val="000A52A1"/>
    <w:rsid w:val="000A5824"/>
    <w:rsid w:val="000A5DB9"/>
    <w:rsid w:val="000A633D"/>
    <w:rsid w:val="000A6389"/>
    <w:rsid w:val="000A6392"/>
    <w:rsid w:val="000A646A"/>
    <w:rsid w:val="000A6922"/>
    <w:rsid w:val="000A74C3"/>
    <w:rsid w:val="000A756F"/>
    <w:rsid w:val="000A7AA9"/>
    <w:rsid w:val="000A7C5E"/>
    <w:rsid w:val="000A7E55"/>
    <w:rsid w:val="000A7E96"/>
    <w:rsid w:val="000B08F0"/>
    <w:rsid w:val="000B0A33"/>
    <w:rsid w:val="000B0D24"/>
    <w:rsid w:val="000B0DE2"/>
    <w:rsid w:val="000B16CB"/>
    <w:rsid w:val="000B1905"/>
    <w:rsid w:val="000B2042"/>
    <w:rsid w:val="000B2490"/>
    <w:rsid w:val="000B260C"/>
    <w:rsid w:val="000B286B"/>
    <w:rsid w:val="000B2942"/>
    <w:rsid w:val="000B2944"/>
    <w:rsid w:val="000B2AF2"/>
    <w:rsid w:val="000B2CFB"/>
    <w:rsid w:val="000B2DCD"/>
    <w:rsid w:val="000B2E2A"/>
    <w:rsid w:val="000B2F0F"/>
    <w:rsid w:val="000B3097"/>
    <w:rsid w:val="000B3557"/>
    <w:rsid w:val="000B3623"/>
    <w:rsid w:val="000B3BB2"/>
    <w:rsid w:val="000B3DC4"/>
    <w:rsid w:val="000B3F0A"/>
    <w:rsid w:val="000B3F3E"/>
    <w:rsid w:val="000B4179"/>
    <w:rsid w:val="000B442C"/>
    <w:rsid w:val="000B4935"/>
    <w:rsid w:val="000B5042"/>
    <w:rsid w:val="000B5227"/>
    <w:rsid w:val="000B53C0"/>
    <w:rsid w:val="000B53FD"/>
    <w:rsid w:val="000B56FE"/>
    <w:rsid w:val="000B5744"/>
    <w:rsid w:val="000B5B36"/>
    <w:rsid w:val="000B5C2F"/>
    <w:rsid w:val="000B61DE"/>
    <w:rsid w:val="000B64E3"/>
    <w:rsid w:val="000B689B"/>
    <w:rsid w:val="000B73C6"/>
    <w:rsid w:val="000B7685"/>
    <w:rsid w:val="000B7CB8"/>
    <w:rsid w:val="000B7DC3"/>
    <w:rsid w:val="000B7F93"/>
    <w:rsid w:val="000C06A4"/>
    <w:rsid w:val="000C0BBD"/>
    <w:rsid w:val="000C0F3A"/>
    <w:rsid w:val="000C0FAC"/>
    <w:rsid w:val="000C1231"/>
    <w:rsid w:val="000C1575"/>
    <w:rsid w:val="000C1F18"/>
    <w:rsid w:val="000C2987"/>
    <w:rsid w:val="000C2EA9"/>
    <w:rsid w:val="000C2F25"/>
    <w:rsid w:val="000C3026"/>
    <w:rsid w:val="000C32BB"/>
    <w:rsid w:val="000C354C"/>
    <w:rsid w:val="000C3927"/>
    <w:rsid w:val="000C3B22"/>
    <w:rsid w:val="000C4063"/>
    <w:rsid w:val="000C4BB7"/>
    <w:rsid w:val="000C4DFC"/>
    <w:rsid w:val="000C50B3"/>
    <w:rsid w:val="000C53E9"/>
    <w:rsid w:val="000C5486"/>
    <w:rsid w:val="000C604F"/>
    <w:rsid w:val="000C6936"/>
    <w:rsid w:val="000C6E9F"/>
    <w:rsid w:val="000C76F8"/>
    <w:rsid w:val="000C776D"/>
    <w:rsid w:val="000C782D"/>
    <w:rsid w:val="000C7AE7"/>
    <w:rsid w:val="000C7F62"/>
    <w:rsid w:val="000D01AA"/>
    <w:rsid w:val="000D0A89"/>
    <w:rsid w:val="000D0ACF"/>
    <w:rsid w:val="000D0B77"/>
    <w:rsid w:val="000D0BB6"/>
    <w:rsid w:val="000D0C8D"/>
    <w:rsid w:val="000D1354"/>
    <w:rsid w:val="000D149C"/>
    <w:rsid w:val="000D1BEB"/>
    <w:rsid w:val="000D1DEA"/>
    <w:rsid w:val="000D1EA8"/>
    <w:rsid w:val="000D2088"/>
    <w:rsid w:val="000D224A"/>
    <w:rsid w:val="000D2311"/>
    <w:rsid w:val="000D27F5"/>
    <w:rsid w:val="000D2879"/>
    <w:rsid w:val="000D2A5E"/>
    <w:rsid w:val="000D2D5C"/>
    <w:rsid w:val="000D3378"/>
    <w:rsid w:val="000D3531"/>
    <w:rsid w:val="000D355C"/>
    <w:rsid w:val="000D366D"/>
    <w:rsid w:val="000D375A"/>
    <w:rsid w:val="000D37C2"/>
    <w:rsid w:val="000D3BC1"/>
    <w:rsid w:val="000D3CC1"/>
    <w:rsid w:val="000D4063"/>
    <w:rsid w:val="000D4101"/>
    <w:rsid w:val="000D41CA"/>
    <w:rsid w:val="000D4342"/>
    <w:rsid w:val="000D43B8"/>
    <w:rsid w:val="000D4457"/>
    <w:rsid w:val="000D48FF"/>
    <w:rsid w:val="000D533D"/>
    <w:rsid w:val="000D535B"/>
    <w:rsid w:val="000D5667"/>
    <w:rsid w:val="000D571F"/>
    <w:rsid w:val="000D57A8"/>
    <w:rsid w:val="000D5C58"/>
    <w:rsid w:val="000D65F5"/>
    <w:rsid w:val="000D6C93"/>
    <w:rsid w:val="000D70AE"/>
    <w:rsid w:val="000D70D7"/>
    <w:rsid w:val="000D763B"/>
    <w:rsid w:val="000D772C"/>
    <w:rsid w:val="000D7C54"/>
    <w:rsid w:val="000D7E36"/>
    <w:rsid w:val="000E0210"/>
    <w:rsid w:val="000E1007"/>
    <w:rsid w:val="000E1757"/>
    <w:rsid w:val="000E1767"/>
    <w:rsid w:val="000E17A7"/>
    <w:rsid w:val="000E1940"/>
    <w:rsid w:val="000E1979"/>
    <w:rsid w:val="000E1A53"/>
    <w:rsid w:val="000E1B78"/>
    <w:rsid w:val="000E20EE"/>
    <w:rsid w:val="000E211E"/>
    <w:rsid w:val="000E26C1"/>
    <w:rsid w:val="000E3109"/>
    <w:rsid w:val="000E311B"/>
    <w:rsid w:val="000E3592"/>
    <w:rsid w:val="000E35A0"/>
    <w:rsid w:val="000E3868"/>
    <w:rsid w:val="000E38BA"/>
    <w:rsid w:val="000E3BE1"/>
    <w:rsid w:val="000E3D68"/>
    <w:rsid w:val="000E3E15"/>
    <w:rsid w:val="000E41D5"/>
    <w:rsid w:val="000E423E"/>
    <w:rsid w:val="000E47B0"/>
    <w:rsid w:val="000E4EBC"/>
    <w:rsid w:val="000E4FF4"/>
    <w:rsid w:val="000E5031"/>
    <w:rsid w:val="000E5404"/>
    <w:rsid w:val="000E5C21"/>
    <w:rsid w:val="000E6391"/>
    <w:rsid w:val="000E63B0"/>
    <w:rsid w:val="000E6774"/>
    <w:rsid w:val="000E6AA5"/>
    <w:rsid w:val="000E7041"/>
    <w:rsid w:val="000E798E"/>
    <w:rsid w:val="000E7BAB"/>
    <w:rsid w:val="000E7F56"/>
    <w:rsid w:val="000F0293"/>
    <w:rsid w:val="000F03DA"/>
    <w:rsid w:val="000F0674"/>
    <w:rsid w:val="000F0879"/>
    <w:rsid w:val="000F0AC1"/>
    <w:rsid w:val="000F0B55"/>
    <w:rsid w:val="000F161B"/>
    <w:rsid w:val="000F1981"/>
    <w:rsid w:val="000F19C5"/>
    <w:rsid w:val="000F1CDA"/>
    <w:rsid w:val="000F1EE5"/>
    <w:rsid w:val="000F232B"/>
    <w:rsid w:val="000F28B5"/>
    <w:rsid w:val="000F29FF"/>
    <w:rsid w:val="000F2F0E"/>
    <w:rsid w:val="000F2F8D"/>
    <w:rsid w:val="000F3314"/>
    <w:rsid w:val="000F3632"/>
    <w:rsid w:val="000F36D6"/>
    <w:rsid w:val="000F38A4"/>
    <w:rsid w:val="000F3CBF"/>
    <w:rsid w:val="000F414B"/>
    <w:rsid w:val="000F44AD"/>
    <w:rsid w:val="000F58BC"/>
    <w:rsid w:val="000F594C"/>
    <w:rsid w:val="000F59D1"/>
    <w:rsid w:val="000F5E36"/>
    <w:rsid w:val="000F5F7F"/>
    <w:rsid w:val="000F60D0"/>
    <w:rsid w:val="000F649F"/>
    <w:rsid w:val="000F6700"/>
    <w:rsid w:val="000F6965"/>
    <w:rsid w:val="000F7631"/>
    <w:rsid w:val="000F7694"/>
    <w:rsid w:val="000F7787"/>
    <w:rsid w:val="000F7F5B"/>
    <w:rsid w:val="001002D2"/>
    <w:rsid w:val="001003C0"/>
    <w:rsid w:val="00100409"/>
    <w:rsid w:val="00100583"/>
    <w:rsid w:val="0010076D"/>
    <w:rsid w:val="00100E6F"/>
    <w:rsid w:val="001013EE"/>
    <w:rsid w:val="0010173F"/>
    <w:rsid w:val="001017E3"/>
    <w:rsid w:val="00101C90"/>
    <w:rsid w:val="00101F87"/>
    <w:rsid w:val="00102135"/>
    <w:rsid w:val="001021D7"/>
    <w:rsid w:val="00102AFD"/>
    <w:rsid w:val="00102B29"/>
    <w:rsid w:val="00102BE0"/>
    <w:rsid w:val="00102F76"/>
    <w:rsid w:val="00102FEB"/>
    <w:rsid w:val="00103339"/>
    <w:rsid w:val="001033A9"/>
    <w:rsid w:val="001034E3"/>
    <w:rsid w:val="001039C2"/>
    <w:rsid w:val="00103B00"/>
    <w:rsid w:val="00103C7F"/>
    <w:rsid w:val="00103CBC"/>
    <w:rsid w:val="00103DFF"/>
    <w:rsid w:val="00103F1C"/>
    <w:rsid w:val="001040AD"/>
    <w:rsid w:val="0010422B"/>
    <w:rsid w:val="00104960"/>
    <w:rsid w:val="00104EDD"/>
    <w:rsid w:val="001053D9"/>
    <w:rsid w:val="0010567A"/>
    <w:rsid w:val="00105A17"/>
    <w:rsid w:val="00105C56"/>
    <w:rsid w:val="001060B0"/>
    <w:rsid w:val="001064A4"/>
    <w:rsid w:val="00106826"/>
    <w:rsid w:val="00106CB2"/>
    <w:rsid w:val="00106CEE"/>
    <w:rsid w:val="0010739F"/>
    <w:rsid w:val="00107B24"/>
    <w:rsid w:val="00107B43"/>
    <w:rsid w:val="00107E52"/>
    <w:rsid w:val="001103B6"/>
    <w:rsid w:val="00110417"/>
    <w:rsid w:val="001107F1"/>
    <w:rsid w:val="00110996"/>
    <w:rsid w:val="00110DC5"/>
    <w:rsid w:val="0011178C"/>
    <w:rsid w:val="00111ABA"/>
    <w:rsid w:val="00111AE7"/>
    <w:rsid w:val="00111EC2"/>
    <w:rsid w:val="001120B0"/>
    <w:rsid w:val="001121D0"/>
    <w:rsid w:val="0011243C"/>
    <w:rsid w:val="001125AB"/>
    <w:rsid w:val="001125E7"/>
    <w:rsid w:val="00112988"/>
    <w:rsid w:val="00112A57"/>
    <w:rsid w:val="00112CF0"/>
    <w:rsid w:val="00112E1E"/>
    <w:rsid w:val="001136C6"/>
    <w:rsid w:val="0011408D"/>
    <w:rsid w:val="0011428D"/>
    <w:rsid w:val="00114D9B"/>
    <w:rsid w:val="00114DA1"/>
    <w:rsid w:val="00114EA0"/>
    <w:rsid w:val="00114F65"/>
    <w:rsid w:val="00115672"/>
    <w:rsid w:val="001157AB"/>
    <w:rsid w:val="0011585E"/>
    <w:rsid w:val="00115ADE"/>
    <w:rsid w:val="00115C9E"/>
    <w:rsid w:val="00116062"/>
    <w:rsid w:val="0011662D"/>
    <w:rsid w:val="00116702"/>
    <w:rsid w:val="0011699D"/>
    <w:rsid w:val="00116D3E"/>
    <w:rsid w:val="00116EE4"/>
    <w:rsid w:val="0011729F"/>
    <w:rsid w:val="001172BD"/>
    <w:rsid w:val="001178E4"/>
    <w:rsid w:val="00117AA2"/>
    <w:rsid w:val="00117CFD"/>
    <w:rsid w:val="0012020C"/>
    <w:rsid w:val="00120B1E"/>
    <w:rsid w:val="001211AB"/>
    <w:rsid w:val="001214BE"/>
    <w:rsid w:val="001218B8"/>
    <w:rsid w:val="00121A72"/>
    <w:rsid w:val="00121F79"/>
    <w:rsid w:val="001220B7"/>
    <w:rsid w:val="00122221"/>
    <w:rsid w:val="00122457"/>
    <w:rsid w:val="00122774"/>
    <w:rsid w:val="00123325"/>
    <w:rsid w:val="00123BC6"/>
    <w:rsid w:val="00123DA3"/>
    <w:rsid w:val="00124730"/>
    <w:rsid w:val="00124826"/>
    <w:rsid w:val="00124B73"/>
    <w:rsid w:val="00124ED1"/>
    <w:rsid w:val="0012542D"/>
    <w:rsid w:val="0012561A"/>
    <w:rsid w:val="00125806"/>
    <w:rsid w:val="001258EF"/>
    <w:rsid w:val="00125B33"/>
    <w:rsid w:val="001260B6"/>
    <w:rsid w:val="001260E3"/>
    <w:rsid w:val="00126201"/>
    <w:rsid w:val="001266EE"/>
    <w:rsid w:val="00126AD1"/>
    <w:rsid w:val="00126FB4"/>
    <w:rsid w:val="001272E6"/>
    <w:rsid w:val="00127687"/>
    <w:rsid w:val="001277C7"/>
    <w:rsid w:val="00127C8B"/>
    <w:rsid w:val="00127E95"/>
    <w:rsid w:val="00130303"/>
    <w:rsid w:val="001307A8"/>
    <w:rsid w:val="00130DCA"/>
    <w:rsid w:val="001312CB"/>
    <w:rsid w:val="00131BAD"/>
    <w:rsid w:val="00131D5F"/>
    <w:rsid w:val="001322D2"/>
    <w:rsid w:val="00132503"/>
    <w:rsid w:val="00132E0B"/>
    <w:rsid w:val="001333F9"/>
    <w:rsid w:val="00133C81"/>
    <w:rsid w:val="00133F08"/>
    <w:rsid w:val="00134146"/>
    <w:rsid w:val="00134222"/>
    <w:rsid w:val="001346A2"/>
    <w:rsid w:val="0013474C"/>
    <w:rsid w:val="001347D3"/>
    <w:rsid w:val="00134847"/>
    <w:rsid w:val="0013497E"/>
    <w:rsid w:val="00134FA3"/>
    <w:rsid w:val="00135080"/>
    <w:rsid w:val="001351C6"/>
    <w:rsid w:val="0013548D"/>
    <w:rsid w:val="001356C7"/>
    <w:rsid w:val="0013601E"/>
    <w:rsid w:val="0013623B"/>
    <w:rsid w:val="00136497"/>
    <w:rsid w:val="001369BF"/>
    <w:rsid w:val="00136F29"/>
    <w:rsid w:val="00136F6F"/>
    <w:rsid w:val="00137D90"/>
    <w:rsid w:val="00140D09"/>
    <w:rsid w:val="00141014"/>
    <w:rsid w:val="001414E0"/>
    <w:rsid w:val="00141BD1"/>
    <w:rsid w:val="001423B0"/>
    <w:rsid w:val="00142B21"/>
    <w:rsid w:val="00142B86"/>
    <w:rsid w:val="00143228"/>
    <w:rsid w:val="001438E0"/>
    <w:rsid w:val="00143B25"/>
    <w:rsid w:val="00143D52"/>
    <w:rsid w:val="00143F85"/>
    <w:rsid w:val="00144154"/>
    <w:rsid w:val="001441DA"/>
    <w:rsid w:val="00144A22"/>
    <w:rsid w:val="00144C8A"/>
    <w:rsid w:val="001455CC"/>
    <w:rsid w:val="00145604"/>
    <w:rsid w:val="0014616B"/>
    <w:rsid w:val="00146EC3"/>
    <w:rsid w:val="00147115"/>
    <w:rsid w:val="001471DD"/>
    <w:rsid w:val="0014740D"/>
    <w:rsid w:val="00147461"/>
    <w:rsid w:val="001475F6"/>
    <w:rsid w:val="001477CE"/>
    <w:rsid w:val="0014784F"/>
    <w:rsid w:val="001478AD"/>
    <w:rsid w:val="00147BCC"/>
    <w:rsid w:val="00147F4D"/>
    <w:rsid w:val="0015040C"/>
    <w:rsid w:val="00150B89"/>
    <w:rsid w:val="00150C35"/>
    <w:rsid w:val="00150ECB"/>
    <w:rsid w:val="00151316"/>
    <w:rsid w:val="0015167D"/>
    <w:rsid w:val="001517E0"/>
    <w:rsid w:val="001519C7"/>
    <w:rsid w:val="00151DFB"/>
    <w:rsid w:val="00152123"/>
    <w:rsid w:val="0015233A"/>
    <w:rsid w:val="00152611"/>
    <w:rsid w:val="00152807"/>
    <w:rsid w:val="00152BE0"/>
    <w:rsid w:val="00152C3D"/>
    <w:rsid w:val="00152ED6"/>
    <w:rsid w:val="00152FED"/>
    <w:rsid w:val="00153965"/>
    <w:rsid w:val="00153AA7"/>
    <w:rsid w:val="00153CA7"/>
    <w:rsid w:val="00153D48"/>
    <w:rsid w:val="00154A35"/>
    <w:rsid w:val="00154A9A"/>
    <w:rsid w:val="001550A3"/>
    <w:rsid w:val="0015510B"/>
    <w:rsid w:val="00155469"/>
    <w:rsid w:val="00155746"/>
    <w:rsid w:val="00155EAF"/>
    <w:rsid w:val="00156419"/>
    <w:rsid w:val="0015686A"/>
    <w:rsid w:val="00156C80"/>
    <w:rsid w:val="0015742B"/>
    <w:rsid w:val="001574A7"/>
    <w:rsid w:val="0015776C"/>
    <w:rsid w:val="001579DC"/>
    <w:rsid w:val="00157AD5"/>
    <w:rsid w:val="00157BA5"/>
    <w:rsid w:val="00157CEB"/>
    <w:rsid w:val="00157F02"/>
    <w:rsid w:val="00160015"/>
    <w:rsid w:val="00160346"/>
    <w:rsid w:val="001604D5"/>
    <w:rsid w:val="001605EB"/>
    <w:rsid w:val="00160877"/>
    <w:rsid w:val="00160EA4"/>
    <w:rsid w:val="0016108C"/>
    <w:rsid w:val="001610AC"/>
    <w:rsid w:val="00161391"/>
    <w:rsid w:val="00161616"/>
    <w:rsid w:val="00161DCE"/>
    <w:rsid w:val="001620CB"/>
    <w:rsid w:val="0016258C"/>
    <w:rsid w:val="001625EC"/>
    <w:rsid w:val="00162780"/>
    <w:rsid w:val="00162999"/>
    <w:rsid w:val="00163983"/>
    <w:rsid w:val="00163E35"/>
    <w:rsid w:val="00164202"/>
    <w:rsid w:val="00164A78"/>
    <w:rsid w:val="00164B4B"/>
    <w:rsid w:val="00164ECE"/>
    <w:rsid w:val="001652C2"/>
    <w:rsid w:val="0016534B"/>
    <w:rsid w:val="001654B0"/>
    <w:rsid w:val="001657CF"/>
    <w:rsid w:val="00165907"/>
    <w:rsid w:val="00165FF0"/>
    <w:rsid w:val="00166098"/>
    <w:rsid w:val="001660AA"/>
    <w:rsid w:val="0016688E"/>
    <w:rsid w:val="0016689D"/>
    <w:rsid w:val="00166BE5"/>
    <w:rsid w:val="00166E24"/>
    <w:rsid w:val="00166F83"/>
    <w:rsid w:val="00167169"/>
    <w:rsid w:val="0016723A"/>
    <w:rsid w:val="001672D1"/>
    <w:rsid w:val="00167335"/>
    <w:rsid w:val="001674FA"/>
    <w:rsid w:val="00167AA3"/>
    <w:rsid w:val="00170100"/>
    <w:rsid w:val="0017034B"/>
    <w:rsid w:val="001704CF"/>
    <w:rsid w:val="00170DC9"/>
    <w:rsid w:val="00171335"/>
    <w:rsid w:val="0017181D"/>
    <w:rsid w:val="00171A05"/>
    <w:rsid w:val="00171ACA"/>
    <w:rsid w:val="00171D48"/>
    <w:rsid w:val="001725BB"/>
    <w:rsid w:val="00172E17"/>
    <w:rsid w:val="00172E28"/>
    <w:rsid w:val="00172EC4"/>
    <w:rsid w:val="00172F3A"/>
    <w:rsid w:val="001730A3"/>
    <w:rsid w:val="001730FD"/>
    <w:rsid w:val="0017311D"/>
    <w:rsid w:val="001735B1"/>
    <w:rsid w:val="00173798"/>
    <w:rsid w:val="00173BE6"/>
    <w:rsid w:val="00173DA5"/>
    <w:rsid w:val="00173E72"/>
    <w:rsid w:val="00173E9E"/>
    <w:rsid w:val="00174762"/>
    <w:rsid w:val="00175209"/>
    <w:rsid w:val="0017572D"/>
    <w:rsid w:val="00175AA2"/>
    <w:rsid w:val="00175ACB"/>
    <w:rsid w:val="001760FF"/>
    <w:rsid w:val="0017645D"/>
    <w:rsid w:val="00176738"/>
    <w:rsid w:val="00176E42"/>
    <w:rsid w:val="00176E9A"/>
    <w:rsid w:val="001775AD"/>
    <w:rsid w:val="0017771D"/>
    <w:rsid w:val="001777D5"/>
    <w:rsid w:val="001777E9"/>
    <w:rsid w:val="001778D0"/>
    <w:rsid w:val="00177B6B"/>
    <w:rsid w:val="00177D12"/>
    <w:rsid w:val="001807C0"/>
    <w:rsid w:val="00180935"/>
    <w:rsid w:val="00180A23"/>
    <w:rsid w:val="00180B76"/>
    <w:rsid w:val="00180BE8"/>
    <w:rsid w:val="001811B9"/>
    <w:rsid w:val="001811DE"/>
    <w:rsid w:val="001818CC"/>
    <w:rsid w:val="001819F0"/>
    <w:rsid w:val="00181B43"/>
    <w:rsid w:val="00182487"/>
    <w:rsid w:val="001826CB"/>
    <w:rsid w:val="001827AC"/>
    <w:rsid w:val="00182899"/>
    <w:rsid w:val="001831E8"/>
    <w:rsid w:val="001832B0"/>
    <w:rsid w:val="0018349C"/>
    <w:rsid w:val="00183562"/>
    <w:rsid w:val="00183649"/>
    <w:rsid w:val="00183970"/>
    <w:rsid w:val="00183C19"/>
    <w:rsid w:val="001843C4"/>
    <w:rsid w:val="00184519"/>
    <w:rsid w:val="001845F7"/>
    <w:rsid w:val="00184A83"/>
    <w:rsid w:val="00185037"/>
    <w:rsid w:val="0018537D"/>
    <w:rsid w:val="001853A5"/>
    <w:rsid w:val="00185A8A"/>
    <w:rsid w:val="001862DA"/>
    <w:rsid w:val="001866D1"/>
    <w:rsid w:val="001868A3"/>
    <w:rsid w:val="00186A8A"/>
    <w:rsid w:val="00186EB8"/>
    <w:rsid w:val="00187145"/>
    <w:rsid w:val="001874F4"/>
    <w:rsid w:val="00187613"/>
    <w:rsid w:val="00187DA4"/>
    <w:rsid w:val="001904D5"/>
    <w:rsid w:val="0019104D"/>
    <w:rsid w:val="00191778"/>
    <w:rsid w:val="00191A77"/>
    <w:rsid w:val="00191DB3"/>
    <w:rsid w:val="00191FD5"/>
    <w:rsid w:val="001923ED"/>
    <w:rsid w:val="00192B90"/>
    <w:rsid w:val="00192BFE"/>
    <w:rsid w:val="00192D0D"/>
    <w:rsid w:val="00193260"/>
    <w:rsid w:val="0019374B"/>
    <w:rsid w:val="00193A90"/>
    <w:rsid w:val="00193B10"/>
    <w:rsid w:val="00193B57"/>
    <w:rsid w:val="00193EE3"/>
    <w:rsid w:val="00194098"/>
    <w:rsid w:val="00194995"/>
    <w:rsid w:val="00194FCC"/>
    <w:rsid w:val="00195476"/>
    <w:rsid w:val="00195CD2"/>
    <w:rsid w:val="00196167"/>
    <w:rsid w:val="0019620C"/>
    <w:rsid w:val="00196526"/>
    <w:rsid w:val="00196594"/>
    <w:rsid w:val="00196963"/>
    <w:rsid w:val="00196B93"/>
    <w:rsid w:val="00196BA3"/>
    <w:rsid w:val="001970F9"/>
    <w:rsid w:val="00197350"/>
    <w:rsid w:val="00197BC3"/>
    <w:rsid w:val="00197DCD"/>
    <w:rsid w:val="001A0968"/>
    <w:rsid w:val="001A0F0C"/>
    <w:rsid w:val="001A1720"/>
    <w:rsid w:val="001A192B"/>
    <w:rsid w:val="001A2109"/>
    <w:rsid w:val="001A2466"/>
    <w:rsid w:val="001A26F5"/>
    <w:rsid w:val="001A27E6"/>
    <w:rsid w:val="001A2DDC"/>
    <w:rsid w:val="001A2F36"/>
    <w:rsid w:val="001A372B"/>
    <w:rsid w:val="001A3771"/>
    <w:rsid w:val="001A3991"/>
    <w:rsid w:val="001A4336"/>
    <w:rsid w:val="001A4780"/>
    <w:rsid w:val="001A4CCB"/>
    <w:rsid w:val="001A4EB6"/>
    <w:rsid w:val="001A5419"/>
    <w:rsid w:val="001A5705"/>
    <w:rsid w:val="001A585E"/>
    <w:rsid w:val="001A592C"/>
    <w:rsid w:val="001A5D64"/>
    <w:rsid w:val="001A620B"/>
    <w:rsid w:val="001A63F2"/>
    <w:rsid w:val="001A6496"/>
    <w:rsid w:val="001A6575"/>
    <w:rsid w:val="001A6E6B"/>
    <w:rsid w:val="001A7346"/>
    <w:rsid w:val="001A7386"/>
    <w:rsid w:val="001A751B"/>
    <w:rsid w:val="001A7971"/>
    <w:rsid w:val="001A7B28"/>
    <w:rsid w:val="001A7BFE"/>
    <w:rsid w:val="001A7E01"/>
    <w:rsid w:val="001A7E31"/>
    <w:rsid w:val="001A7FFD"/>
    <w:rsid w:val="001B0110"/>
    <w:rsid w:val="001B0511"/>
    <w:rsid w:val="001B090D"/>
    <w:rsid w:val="001B09E3"/>
    <w:rsid w:val="001B0AC4"/>
    <w:rsid w:val="001B0C0A"/>
    <w:rsid w:val="001B0F33"/>
    <w:rsid w:val="001B105E"/>
    <w:rsid w:val="001B10FE"/>
    <w:rsid w:val="001B1324"/>
    <w:rsid w:val="001B1729"/>
    <w:rsid w:val="001B1FAD"/>
    <w:rsid w:val="001B3048"/>
    <w:rsid w:val="001B3961"/>
    <w:rsid w:val="001B40CB"/>
    <w:rsid w:val="001B40E7"/>
    <w:rsid w:val="001B42E4"/>
    <w:rsid w:val="001B436F"/>
    <w:rsid w:val="001B4E90"/>
    <w:rsid w:val="001B5291"/>
    <w:rsid w:val="001B563F"/>
    <w:rsid w:val="001B571B"/>
    <w:rsid w:val="001B582D"/>
    <w:rsid w:val="001B5890"/>
    <w:rsid w:val="001B59A9"/>
    <w:rsid w:val="001B5C8D"/>
    <w:rsid w:val="001B5D3A"/>
    <w:rsid w:val="001B5D41"/>
    <w:rsid w:val="001B5EB0"/>
    <w:rsid w:val="001B63BB"/>
    <w:rsid w:val="001B6421"/>
    <w:rsid w:val="001B691A"/>
    <w:rsid w:val="001B696E"/>
    <w:rsid w:val="001B6A56"/>
    <w:rsid w:val="001B7191"/>
    <w:rsid w:val="001B71B9"/>
    <w:rsid w:val="001B7243"/>
    <w:rsid w:val="001B76A8"/>
    <w:rsid w:val="001B782D"/>
    <w:rsid w:val="001C00F2"/>
    <w:rsid w:val="001C05BE"/>
    <w:rsid w:val="001C0963"/>
    <w:rsid w:val="001C09D9"/>
    <w:rsid w:val="001C1121"/>
    <w:rsid w:val="001C14EA"/>
    <w:rsid w:val="001C1A14"/>
    <w:rsid w:val="001C1AC5"/>
    <w:rsid w:val="001C1BF9"/>
    <w:rsid w:val="001C1DE7"/>
    <w:rsid w:val="001C202D"/>
    <w:rsid w:val="001C21A2"/>
    <w:rsid w:val="001C22BD"/>
    <w:rsid w:val="001C22F8"/>
    <w:rsid w:val="001C23C3"/>
    <w:rsid w:val="001C24B2"/>
    <w:rsid w:val="001C24F4"/>
    <w:rsid w:val="001C2A03"/>
    <w:rsid w:val="001C30D2"/>
    <w:rsid w:val="001C39E8"/>
    <w:rsid w:val="001C3A22"/>
    <w:rsid w:val="001C3BC6"/>
    <w:rsid w:val="001C3CD8"/>
    <w:rsid w:val="001C3D31"/>
    <w:rsid w:val="001C3F63"/>
    <w:rsid w:val="001C44E0"/>
    <w:rsid w:val="001C4553"/>
    <w:rsid w:val="001C4619"/>
    <w:rsid w:val="001C4623"/>
    <w:rsid w:val="001C4632"/>
    <w:rsid w:val="001C469B"/>
    <w:rsid w:val="001C46C2"/>
    <w:rsid w:val="001C4A0B"/>
    <w:rsid w:val="001C4B75"/>
    <w:rsid w:val="001C4C45"/>
    <w:rsid w:val="001C4C8C"/>
    <w:rsid w:val="001C4CD6"/>
    <w:rsid w:val="001C4DA4"/>
    <w:rsid w:val="001C504B"/>
    <w:rsid w:val="001C532B"/>
    <w:rsid w:val="001C54F5"/>
    <w:rsid w:val="001C559E"/>
    <w:rsid w:val="001C55F6"/>
    <w:rsid w:val="001C5D2D"/>
    <w:rsid w:val="001C5D8B"/>
    <w:rsid w:val="001C6086"/>
    <w:rsid w:val="001C6252"/>
    <w:rsid w:val="001C62B4"/>
    <w:rsid w:val="001C6311"/>
    <w:rsid w:val="001C6504"/>
    <w:rsid w:val="001C6758"/>
    <w:rsid w:val="001C681D"/>
    <w:rsid w:val="001C69B9"/>
    <w:rsid w:val="001C6A71"/>
    <w:rsid w:val="001C6BFC"/>
    <w:rsid w:val="001C71AA"/>
    <w:rsid w:val="001C73F8"/>
    <w:rsid w:val="001C75AB"/>
    <w:rsid w:val="001C75B2"/>
    <w:rsid w:val="001C776C"/>
    <w:rsid w:val="001C77E1"/>
    <w:rsid w:val="001C79DA"/>
    <w:rsid w:val="001C7ABB"/>
    <w:rsid w:val="001C7C88"/>
    <w:rsid w:val="001C7F9B"/>
    <w:rsid w:val="001D112B"/>
    <w:rsid w:val="001D11B3"/>
    <w:rsid w:val="001D19A8"/>
    <w:rsid w:val="001D240E"/>
    <w:rsid w:val="001D243D"/>
    <w:rsid w:val="001D26ED"/>
    <w:rsid w:val="001D28B3"/>
    <w:rsid w:val="001D2D33"/>
    <w:rsid w:val="001D30D7"/>
    <w:rsid w:val="001D33AD"/>
    <w:rsid w:val="001D36BA"/>
    <w:rsid w:val="001D3D79"/>
    <w:rsid w:val="001D42CA"/>
    <w:rsid w:val="001D5257"/>
    <w:rsid w:val="001D5280"/>
    <w:rsid w:val="001D5963"/>
    <w:rsid w:val="001D5CAD"/>
    <w:rsid w:val="001D5D71"/>
    <w:rsid w:val="001D62F5"/>
    <w:rsid w:val="001D638B"/>
    <w:rsid w:val="001D6488"/>
    <w:rsid w:val="001D6CCE"/>
    <w:rsid w:val="001D6DFA"/>
    <w:rsid w:val="001D7159"/>
    <w:rsid w:val="001D7798"/>
    <w:rsid w:val="001D79EF"/>
    <w:rsid w:val="001E004B"/>
    <w:rsid w:val="001E035E"/>
    <w:rsid w:val="001E0741"/>
    <w:rsid w:val="001E0916"/>
    <w:rsid w:val="001E1901"/>
    <w:rsid w:val="001E19D3"/>
    <w:rsid w:val="001E1F97"/>
    <w:rsid w:val="001E23D1"/>
    <w:rsid w:val="001E2428"/>
    <w:rsid w:val="001E252F"/>
    <w:rsid w:val="001E26BD"/>
    <w:rsid w:val="001E2908"/>
    <w:rsid w:val="001E2A8E"/>
    <w:rsid w:val="001E38A8"/>
    <w:rsid w:val="001E3982"/>
    <w:rsid w:val="001E53CD"/>
    <w:rsid w:val="001E580B"/>
    <w:rsid w:val="001E5BBB"/>
    <w:rsid w:val="001E5F64"/>
    <w:rsid w:val="001E6180"/>
    <w:rsid w:val="001E674B"/>
    <w:rsid w:val="001E68FC"/>
    <w:rsid w:val="001E6C2D"/>
    <w:rsid w:val="001E6D8E"/>
    <w:rsid w:val="001E714A"/>
    <w:rsid w:val="001E72B6"/>
    <w:rsid w:val="001E7396"/>
    <w:rsid w:val="001E7569"/>
    <w:rsid w:val="001E7F25"/>
    <w:rsid w:val="001F0766"/>
    <w:rsid w:val="001F0C39"/>
    <w:rsid w:val="001F0EE5"/>
    <w:rsid w:val="001F111D"/>
    <w:rsid w:val="001F16FB"/>
    <w:rsid w:val="001F1761"/>
    <w:rsid w:val="001F1844"/>
    <w:rsid w:val="001F1A09"/>
    <w:rsid w:val="001F1BC4"/>
    <w:rsid w:val="001F2178"/>
    <w:rsid w:val="001F22CC"/>
    <w:rsid w:val="001F25E0"/>
    <w:rsid w:val="001F2DF7"/>
    <w:rsid w:val="001F3C5F"/>
    <w:rsid w:val="001F458A"/>
    <w:rsid w:val="001F4B1F"/>
    <w:rsid w:val="001F4F5A"/>
    <w:rsid w:val="001F5114"/>
    <w:rsid w:val="001F61FE"/>
    <w:rsid w:val="001F646F"/>
    <w:rsid w:val="001F66DE"/>
    <w:rsid w:val="001F68BC"/>
    <w:rsid w:val="001F6C87"/>
    <w:rsid w:val="001F6EC5"/>
    <w:rsid w:val="001F705D"/>
    <w:rsid w:val="001F7246"/>
    <w:rsid w:val="001F732B"/>
    <w:rsid w:val="001F7971"/>
    <w:rsid w:val="001F7ACA"/>
    <w:rsid w:val="001F7D00"/>
    <w:rsid w:val="0020066A"/>
    <w:rsid w:val="00200807"/>
    <w:rsid w:val="00200A6B"/>
    <w:rsid w:val="00200CAC"/>
    <w:rsid w:val="00200D92"/>
    <w:rsid w:val="002014E7"/>
    <w:rsid w:val="00202046"/>
    <w:rsid w:val="00202576"/>
    <w:rsid w:val="00202966"/>
    <w:rsid w:val="00202A9E"/>
    <w:rsid w:val="00202AA8"/>
    <w:rsid w:val="00202D81"/>
    <w:rsid w:val="00202DC0"/>
    <w:rsid w:val="00202E80"/>
    <w:rsid w:val="00202EB6"/>
    <w:rsid w:val="00203B02"/>
    <w:rsid w:val="00204026"/>
    <w:rsid w:val="002048BC"/>
    <w:rsid w:val="002051EE"/>
    <w:rsid w:val="00205507"/>
    <w:rsid w:val="00205642"/>
    <w:rsid w:val="00205644"/>
    <w:rsid w:val="00205A9F"/>
    <w:rsid w:val="00205B0E"/>
    <w:rsid w:val="00205B1F"/>
    <w:rsid w:val="00205FEA"/>
    <w:rsid w:val="002061CA"/>
    <w:rsid w:val="00206285"/>
    <w:rsid w:val="0020689C"/>
    <w:rsid w:val="00206929"/>
    <w:rsid w:val="002069BC"/>
    <w:rsid w:val="00206E13"/>
    <w:rsid w:val="00206F7F"/>
    <w:rsid w:val="0020718C"/>
    <w:rsid w:val="00207205"/>
    <w:rsid w:val="00207223"/>
    <w:rsid w:val="00207408"/>
    <w:rsid w:val="00207526"/>
    <w:rsid w:val="0020762E"/>
    <w:rsid w:val="00207B88"/>
    <w:rsid w:val="0021000D"/>
    <w:rsid w:val="0021033E"/>
    <w:rsid w:val="00210679"/>
    <w:rsid w:val="00210901"/>
    <w:rsid w:val="00210954"/>
    <w:rsid w:val="00210D6E"/>
    <w:rsid w:val="00210D9C"/>
    <w:rsid w:val="00210DCC"/>
    <w:rsid w:val="00210DCD"/>
    <w:rsid w:val="0021198D"/>
    <w:rsid w:val="002119BF"/>
    <w:rsid w:val="00211C52"/>
    <w:rsid w:val="00211D3D"/>
    <w:rsid w:val="00211F5E"/>
    <w:rsid w:val="0021225B"/>
    <w:rsid w:val="002126B2"/>
    <w:rsid w:val="00212948"/>
    <w:rsid w:val="00212BFF"/>
    <w:rsid w:val="002134A1"/>
    <w:rsid w:val="00213A9B"/>
    <w:rsid w:val="00213E70"/>
    <w:rsid w:val="00213E74"/>
    <w:rsid w:val="00214036"/>
    <w:rsid w:val="002145B9"/>
    <w:rsid w:val="00214BD4"/>
    <w:rsid w:val="00214FFF"/>
    <w:rsid w:val="0021501A"/>
    <w:rsid w:val="00215101"/>
    <w:rsid w:val="002151CB"/>
    <w:rsid w:val="00215468"/>
    <w:rsid w:val="0021591B"/>
    <w:rsid w:val="00215AAF"/>
    <w:rsid w:val="002160BB"/>
    <w:rsid w:val="00216238"/>
    <w:rsid w:val="002163C8"/>
    <w:rsid w:val="002165D3"/>
    <w:rsid w:val="00216771"/>
    <w:rsid w:val="0021687C"/>
    <w:rsid w:val="0021697C"/>
    <w:rsid w:val="00216AAA"/>
    <w:rsid w:val="00217423"/>
    <w:rsid w:val="00217839"/>
    <w:rsid w:val="00217BBD"/>
    <w:rsid w:val="0022067E"/>
    <w:rsid w:val="002208DA"/>
    <w:rsid w:val="00221197"/>
    <w:rsid w:val="0022195B"/>
    <w:rsid w:val="00221B1E"/>
    <w:rsid w:val="0022224C"/>
    <w:rsid w:val="00222392"/>
    <w:rsid w:val="002223C1"/>
    <w:rsid w:val="002224C1"/>
    <w:rsid w:val="00222D4A"/>
    <w:rsid w:val="0022389B"/>
    <w:rsid w:val="00223ED2"/>
    <w:rsid w:val="002240C5"/>
    <w:rsid w:val="002244A6"/>
    <w:rsid w:val="0022463E"/>
    <w:rsid w:val="002256E4"/>
    <w:rsid w:val="00225A3B"/>
    <w:rsid w:val="00225A8C"/>
    <w:rsid w:val="00225BD8"/>
    <w:rsid w:val="00225CFE"/>
    <w:rsid w:val="00226081"/>
    <w:rsid w:val="002263A4"/>
    <w:rsid w:val="002264E2"/>
    <w:rsid w:val="00226AF7"/>
    <w:rsid w:val="00226CF3"/>
    <w:rsid w:val="002276A5"/>
    <w:rsid w:val="002277B0"/>
    <w:rsid w:val="00227B4A"/>
    <w:rsid w:val="00227CDE"/>
    <w:rsid w:val="00227FDC"/>
    <w:rsid w:val="00230817"/>
    <w:rsid w:val="0023081D"/>
    <w:rsid w:val="00230A9B"/>
    <w:rsid w:val="00230DCC"/>
    <w:rsid w:val="00230F31"/>
    <w:rsid w:val="00230FA0"/>
    <w:rsid w:val="00230FE7"/>
    <w:rsid w:val="00231417"/>
    <w:rsid w:val="00231611"/>
    <w:rsid w:val="002317CA"/>
    <w:rsid w:val="00231960"/>
    <w:rsid w:val="00231E84"/>
    <w:rsid w:val="00231F26"/>
    <w:rsid w:val="002324E3"/>
    <w:rsid w:val="002326C4"/>
    <w:rsid w:val="00232917"/>
    <w:rsid w:val="002329E5"/>
    <w:rsid w:val="00232FEC"/>
    <w:rsid w:val="0023329C"/>
    <w:rsid w:val="00233355"/>
    <w:rsid w:val="00233586"/>
    <w:rsid w:val="00233808"/>
    <w:rsid w:val="00233868"/>
    <w:rsid w:val="00233BC0"/>
    <w:rsid w:val="00233D92"/>
    <w:rsid w:val="00233FBB"/>
    <w:rsid w:val="00233FF1"/>
    <w:rsid w:val="00234850"/>
    <w:rsid w:val="00234B4F"/>
    <w:rsid w:val="0023511A"/>
    <w:rsid w:val="00235412"/>
    <w:rsid w:val="00235F4B"/>
    <w:rsid w:val="00236244"/>
    <w:rsid w:val="00236656"/>
    <w:rsid w:val="0023669A"/>
    <w:rsid w:val="00236DC0"/>
    <w:rsid w:val="00236F4C"/>
    <w:rsid w:val="002373A2"/>
    <w:rsid w:val="00237A0A"/>
    <w:rsid w:val="00237C46"/>
    <w:rsid w:val="00237EAC"/>
    <w:rsid w:val="002402F3"/>
    <w:rsid w:val="00240461"/>
    <w:rsid w:val="002407CC"/>
    <w:rsid w:val="002409E3"/>
    <w:rsid w:val="002410C2"/>
    <w:rsid w:val="0024113D"/>
    <w:rsid w:val="002411C6"/>
    <w:rsid w:val="00241394"/>
    <w:rsid w:val="002415CE"/>
    <w:rsid w:val="00242517"/>
    <w:rsid w:val="0024260B"/>
    <w:rsid w:val="00243446"/>
    <w:rsid w:val="002439B0"/>
    <w:rsid w:val="00243BD2"/>
    <w:rsid w:val="00243D63"/>
    <w:rsid w:val="0024401F"/>
    <w:rsid w:val="00244685"/>
    <w:rsid w:val="002447E9"/>
    <w:rsid w:val="002447FC"/>
    <w:rsid w:val="00244A56"/>
    <w:rsid w:val="00244EE7"/>
    <w:rsid w:val="002453BE"/>
    <w:rsid w:val="002455C3"/>
    <w:rsid w:val="0024569B"/>
    <w:rsid w:val="00245A3F"/>
    <w:rsid w:val="00245FE1"/>
    <w:rsid w:val="00246686"/>
    <w:rsid w:val="00246967"/>
    <w:rsid w:val="00247177"/>
    <w:rsid w:val="0024736E"/>
    <w:rsid w:val="0024799C"/>
    <w:rsid w:val="00247B4D"/>
    <w:rsid w:val="00250386"/>
    <w:rsid w:val="00250A38"/>
    <w:rsid w:val="00250BFD"/>
    <w:rsid w:val="00250C60"/>
    <w:rsid w:val="0025106D"/>
    <w:rsid w:val="002513AE"/>
    <w:rsid w:val="00251CAD"/>
    <w:rsid w:val="00251CFF"/>
    <w:rsid w:val="00251FB0"/>
    <w:rsid w:val="002521E1"/>
    <w:rsid w:val="002527A2"/>
    <w:rsid w:val="0025309F"/>
    <w:rsid w:val="002530F3"/>
    <w:rsid w:val="002535CE"/>
    <w:rsid w:val="00253724"/>
    <w:rsid w:val="00253ED5"/>
    <w:rsid w:val="00254114"/>
    <w:rsid w:val="00254247"/>
    <w:rsid w:val="002542B2"/>
    <w:rsid w:val="0025447C"/>
    <w:rsid w:val="00254681"/>
    <w:rsid w:val="00254B08"/>
    <w:rsid w:val="00254B81"/>
    <w:rsid w:val="00255399"/>
    <w:rsid w:val="002559B3"/>
    <w:rsid w:val="00255A84"/>
    <w:rsid w:val="00255B5A"/>
    <w:rsid w:val="00255F7F"/>
    <w:rsid w:val="00256777"/>
    <w:rsid w:val="00256795"/>
    <w:rsid w:val="0025684E"/>
    <w:rsid w:val="0025698E"/>
    <w:rsid w:val="002574AF"/>
    <w:rsid w:val="00257AAA"/>
    <w:rsid w:val="00257C41"/>
    <w:rsid w:val="00260448"/>
    <w:rsid w:val="00260BA6"/>
    <w:rsid w:val="00260C35"/>
    <w:rsid w:val="0026114B"/>
    <w:rsid w:val="0026115B"/>
    <w:rsid w:val="0026123A"/>
    <w:rsid w:val="00261391"/>
    <w:rsid w:val="0026169D"/>
    <w:rsid w:val="00261972"/>
    <w:rsid w:val="00261CF1"/>
    <w:rsid w:val="00261DA5"/>
    <w:rsid w:val="00262869"/>
    <w:rsid w:val="002628F6"/>
    <w:rsid w:val="00262DCF"/>
    <w:rsid w:val="002634EA"/>
    <w:rsid w:val="002637CF"/>
    <w:rsid w:val="00263AF8"/>
    <w:rsid w:val="00263CD1"/>
    <w:rsid w:val="002645C7"/>
    <w:rsid w:val="002646FE"/>
    <w:rsid w:val="002648EE"/>
    <w:rsid w:val="00264B3D"/>
    <w:rsid w:val="00264C1F"/>
    <w:rsid w:val="00264FD6"/>
    <w:rsid w:val="002656C7"/>
    <w:rsid w:val="00265AC3"/>
    <w:rsid w:val="00265BFC"/>
    <w:rsid w:val="00265D3C"/>
    <w:rsid w:val="00266D29"/>
    <w:rsid w:val="00266E9A"/>
    <w:rsid w:val="002671A2"/>
    <w:rsid w:val="0026722A"/>
    <w:rsid w:val="00267496"/>
    <w:rsid w:val="00267839"/>
    <w:rsid w:val="00267A28"/>
    <w:rsid w:val="00267A7C"/>
    <w:rsid w:val="00267B57"/>
    <w:rsid w:val="00267F66"/>
    <w:rsid w:val="00270169"/>
    <w:rsid w:val="002702D2"/>
    <w:rsid w:val="00270370"/>
    <w:rsid w:val="002708A2"/>
    <w:rsid w:val="00270E19"/>
    <w:rsid w:val="0027170E"/>
    <w:rsid w:val="00271B4D"/>
    <w:rsid w:val="00272164"/>
    <w:rsid w:val="00272499"/>
    <w:rsid w:val="00272623"/>
    <w:rsid w:val="00272960"/>
    <w:rsid w:val="00272A65"/>
    <w:rsid w:val="00272DBE"/>
    <w:rsid w:val="0027304A"/>
    <w:rsid w:val="0027304D"/>
    <w:rsid w:val="00273102"/>
    <w:rsid w:val="0027349A"/>
    <w:rsid w:val="00273CB2"/>
    <w:rsid w:val="002742FE"/>
    <w:rsid w:val="00274C4D"/>
    <w:rsid w:val="00274EFA"/>
    <w:rsid w:val="00275025"/>
    <w:rsid w:val="0027596A"/>
    <w:rsid w:val="002759C0"/>
    <w:rsid w:val="00275B68"/>
    <w:rsid w:val="00275C43"/>
    <w:rsid w:val="00275D7A"/>
    <w:rsid w:val="00275F9E"/>
    <w:rsid w:val="002761BD"/>
    <w:rsid w:val="0027652E"/>
    <w:rsid w:val="00276565"/>
    <w:rsid w:val="00276884"/>
    <w:rsid w:val="002772AF"/>
    <w:rsid w:val="0027780B"/>
    <w:rsid w:val="00277A86"/>
    <w:rsid w:val="00280B6C"/>
    <w:rsid w:val="00280CBA"/>
    <w:rsid w:val="00280D5B"/>
    <w:rsid w:val="00280EA4"/>
    <w:rsid w:val="00280F35"/>
    <w:rsid w:val="00281007"/>
    <w:rsid w:val="002811B7"/>
    <w:rsid w:val="00281364"/>
    <w:rsid w:val="00281819"/>
    <w:rsid w:val="00281DA0"/>
    <w:rsid w:val="002822C7"/>
    <w:rsid w:val="00282372"/>
    <w:rsid w:val="002827F9"/>
    <w:rsid w:val="00282BAE"/>
    <w:rsid w:val="00282D05"/>
    <w:rsid w:val="00282DAC"/>
    <w:rsid w:val="00282EE5"/>
    <w:rsid w:val="002834C9"/>
    <w:rsid w:val="002835A6"/>
    <w:rsid w:val="002837C2"/>
    <w:rsid w:val="0028399A"/>
    <w:rsid w:val="002839FB"/>
    <w:rsid w:val="00283BB4"/>
    <w:rsid w:val="00283D4E"/>
    <w:rsid w:val="00284036"/>
    <w:rsid w:val="00284162"/>
    <w:rsid w:val="002844AC"/>
    <w:rsid w:val="002845EA"/>
    <w:rsid w:val="002848C8"/>
    <w:rsid w:val="00284B22"/>
    <w:rsid w:val="0028523A"/>
    <w:rsid w:val="00285309"/>
    <w:rsid w:val="0028551B"/>
    <w:rsid w:val="00285A8C"/>
    <w:rsid w:val="00285DF6"/>
    <w:rsid w:val="00286154"/>
    <w:rsid w:val="0028670B"/>
    <w:rsid w:val="00286894"/>
    <w:rsid w:val="00286B1C"/>
    <w:rsid w:val="00286DCB"/>
    <w:rsid w:val="00286EBE"/>
    <w:rsid w:val="00286FB0"/>
    <w:rsid w:val="0028718B"/>
    <w:rsid w:val="0028736E"/>
    <w:rsid w:val="00287699"/>
    <w:rsid w:val="0028783E"/>
    <w:rsid w:val="0029008E"/>
    <w:rsid w:val="00290588"/>
    <w:rsid w:val="002907BC"/>
    <w:rsid w:val="00290CB3"/>
    <w:rsid w:val="00290F8B"/>
    <w:rsid w:val="002919DB"/>
    <w:rsid w:val="002920C7"/>
    <w:rsid w:val="00292228"/>
    <w:rsid w:val="002929D8"/>
    <w:rsid w:val="00292B9F"/>
    <w:rsid w:val="00293109"/>
    <w:rsid w:val="00293C63"/>
    <w:rsid w:val="00293F3D"/>
    <w:rsid w:val="002948F5"/>
    <w:rsid w:val="00294A58"/>
    <w:rsid w:val="00294B49"/>
    <w:rsid w:val="00294D2F"/>
    <w:rsid w:val="00295274"/>
    <w:rsid w:val="002958DE"/>
    <w:rsid w:val="00295B70"/>
    <w:rsid w:val="00295EEF"/>
    <w:rsid w:val="002963DD"/>
    <w:rsid w:val="0029648D"/>
    <w:rsid w:val="00296D1F"/>
    <w:rsid w:val="00296F47"/>
    <w:rsid w:val="00297289"/>
    <w:rsid w:val="00297514"/>
    <w:rsid w:val="0029799C"/>
    <w:rsid w:val="00297ECD"/>
    <w:rsid w:val="002A04E2"/>
    <w:rsid w:val="002A06E7"/>
    <w:rsid w:val="002A0E02"/>
    <w:rsid w:val="002A0E79"/>
    <w:rsid w:val="002A0E94"/>
    <w:rsid w:val="002A1263"/>
    <w:rsid w:val="002A184B"/>
    <w:rsid w:val="002A18FE"/>
    <w:rsid w:val="002A19F7"/>
    <w:rsid w:val="002A1FB9"/>
    <w:rsid w:val="002A2364"/>
    <w:rsid w:val="002A283D"/>
    <w:rsid w:val="002A2A08"/>
    <w:rsid w:val="002A2B37"/>
    <w:rsid w:val="002A2BC4"/>
    <w:rsid w:val="002A2D62"/>
    <w:rsid w:val="002A2D93"/>
    <w:rsid w:val="002A31FA"/>
    <w:rsid w:val="002A32BE"/>
    <w:rsid w:val="002A339E"/>
    <w:rsid w:val="002A33FC"/>
    <w:rsid w:val="002A3418"/>
    <w:rsid w:val="002A35A5"/>
    <w:rsid w:val="002A3FF6"/>
    <w:rsid w:val="002A4113"/>
    <w:rsid w:val="002A4266"/>
    <w:rsid w:val="002A449A"/>
    <w:rsid w:val="002A44A0"/>
    <w:rsid w:val="002A45B1"/>
    <w:rsid w:val="002A46C8"/>
    <w:rsid w:val="002A47DF"/>
    <w:rsid w:val="002A496E"/>
    <w:rsid w:val="002A4E42"/>
    <w:rsid w:val="002A5379"/>
    <w:rsid w:val="002A556F"/>
    <w:rsid w:val="002A58ED"/>
    <w:rsid w:val="002A598E"/>
    <w:rsid w:val="002A61A5"/>
    <w:rsid w:val="002A61B1"/>
    <w:rsid w:val="002A648D"/>
    <w:rsid w:val="002A6700"/>
    <w:rsid w:val="002A6884"/>
    <w:rsid w:val="002A7199"/>
    <w:rsid w:val="002A75BA"/>
    <w:rsid w:val="002A77C3"/>
    <w:rsid w:val="002A7953"/>
    <w:rsid w:val="002A79D9"/>
    <w:rsid w:val="002A7A9E"/>
    <w:rsid w:val="002A7BAF"/>
    <w:rsid w:val="002A7BBD"/>
    <w:rsid w:val="002B05A8"/>
    <w:rsid w:val="002B0D6E"/>
    <w:rsid w:val="002B10B0"/>
    <w:rsid w:val="002B1225"/>
    <w:rsid w:val="002B1437"/>
    <w:rsid w:val="002B14DB"/>
    <w:rsid w:val="002B169C"/>
    <w:rsid w:val="002B1838"/>
    <w:rsid w:val="002B1F89"/>
    <w:rsid w:val="002B21BB"/>
    <w:rsid w:val="002B22F5"/>
    <w:rsid w:val="002B274C"/>
    <w:rsid w:val="002B2868"/>
    <w:rsid w:val="002B2E9F"/>
    <w:rsid w:val="002B2F77"/>
    <w:rsid w:val="002B3529"/>
    <w:rsid w:val="002B3596"/>
    <w:rsid w:val="002B43B3"/>
    <w:rsid w:val="002B4FAD"/>
    <w:rsid w:val="002B538D"/>
    <w:rsid w:val="002B5B61"/>
    <w:rsid w:val="002B5CA1"/>
    <w:rsid w:val="002B6031"/>
    <w:rsid w:val="002B6699"/>
    <w:rsid w:val="002B6716"/>
    <w:rsid w:val="002B6EFD"/>
    <w:rsid w:val="002B6F33"/>
    <w:rsid w:val="002B79F0"/>
    <w:rsid w:val="002B7B8A"/>
    <w:rsid w:val="002B7C96"/>
    <w:rsid w:val="002B7F3E"/>
    <w:rsid w:val="002C00F5"/>
    <w:rsid w:val="002C0166"/>
    <w:rsid w:val="002C059A"/>
    <w:rsid w:val="002C05D9"/>
    <w:rsid w:val="002C06B5"/>
    <w:rsid w:val="002C0CCC"/>
    <w:rsid w:val="002C0CD7"/>
    <w:rsid w:val="002C0D7B"/>
    <w:rsid w:val="002C0D99"/>
    <w:rsid w:val="002C11BC"/>
    <w:rsid w:val="002C11D6"/>
    <w:rsid w:val="002C143E"/>
    <w:rsid w:val="002C1443"/>
    <w:rsid w:val="002C1CBF"/>
    <w:rsid w:val="002C1D9C"/>
    <w:rsid w:val="002C1EFA"/>
    <w:rsid w:val="002C22C5"/>
    <w:rsid w:val="002C2806"/>
    <w:rsid w:val="002C2B39"/>
    <w:rsid w:val="002C2BD3"/>
    <w:rsid w:val="002C2BEB"/>
    <w:rsid w:val="002C30A4"/>
    <w:rsid w:val="002C34B2"/>
    <w:rsid w:val="002C366F"/>
    <w:rsid w:val="002C3894"/>
    <w:rsid w:val="002C39C0"/>
    <w:rsid w:val="002C3D9B"/>
    <w:rsid w:val="002C3E6A"/>
    <w:rsid w:val="002C40EF"/>
    <w:rsid w:val="002C488D"/>
    <w:rsid w:val="002C4A81"/>
    <w:rsid w:val="002C4B78"/>
    <w:rsid w:val="002C4B93"/>
    <w:rsid w:val="002C4CA9"/>
    <w:rsid w:val="002C4CB2"/>
    <w:rsid w:val="002C5453"/>
    <w:rsid w:val="002C57BD"/>
    <w:rsid w:val="002C5A5C"/>
    <w:rsid w:val="002C5BFE"/>
    <w:rsid w:val="002C64F8"/>
    <w:rsid w:val="002C6686"/>
    <w:rsid w:val="002C68E5"/>
    <w:rsid w:val="002C7016"/>
    <w:rsid w:val="002C70A3"/>
    <w:rsid w:val="002C7301"/>
    <w:rsid w:val="002C75E6"/>
    <w:rsid w:val="002C7C0A"/>
    <w:rsid w:val="002C7C9C"/>
    <w:rsid w:val="002C7FF4"/>
    <w:rsid w:val="002D04C5"/>
    <w:rsid w:val="002D059D"/>
    <w:rsid w:val="002D0727"/>
    <w:rsid w:val="002D100C"/>
    <w:rsid w:val="002D1B36"/>
    <w:rsid w:val="002D1B96"/>
    <w:rsid w:val="002D2270"/>
    <w:rsid w:val="002D2E4C"/>
    <w:rsid w:val="002D2EC4"/>
    <w:rsid w:val="002D319A"/>
    <w:rsid w:val="002D32AF"/>
    <w:rsid w:val="002D3306"/>
    <w:rsid w:val="002D3568"/>
    <w:rsid w:val="002D37C1"/>
    <w:rsid w:val="002D4074"/>
    <w:rsid w:val="002D42F1"/>
    <w:rsid w:val="002D4487"/>
    <w:rsid w:val="002D4830"/>
    <w:rsid w:val="002D4A0A"/>
    <w:rsid w:val="002D4A43"/>
    <w:rsid w:val="002D5041"/>
    <w:rsid w:val="002D52BF"/>
    <w:rsid w:val="002D607F"/>
    <w:rsid w:val="002D60C9"/>
    <w:rsid w:val="002D65B4"/>
    <w:rsid w:val="002D68CE"/>
    <w:rsid w:val="002D6D06"/>
    <w:rsid w:val="002E0315"/>
    <w:rsid w:val="002E0403"/>
    <w:rsid w:val="002E0903"/>
    <w:rsid w:val="002E0C71"/>
    <w:rsid w:val="002E0D26"/>
    <w:rsid w:val="002E0D8B"/>
    <w:rsid w:val="002E10FA"/>
    <w:rsid w:val="002E21D1"/>
    <w:rsid w:val="002E229D"/>
    <w:rsid w:val="002E25A8"/>
    <w:rsid w:val="002E279A"/>
    <w:rsid w:val="002E2BE7"/>
    <w:rsid w:val="002E323E"/>
    <w:rsid w:val="002E34CF"/>
    <w:rsid w:val="002E3832"/>
    <w:rsid w:val="002E399E"/>
    <w:rsid w:val="002E3B08"/>
    <w:rsid w:val="002E3CE5"/>
    <w:rsid w:val="002E4118"/>
    <w:rsid w:val="002E41F3"/>
    <w:rsid w:val="002E4505"/>
    <w:rsid w:val="002E4519"/>
    <w:rsid w:val="002E5038"/>
    <w:rsid w:val="002E533C"/>
    <w:rsid w:val="002E557C"/>
    <w:rsid w:val="002E5BB9"/>
    <w:rsid w:val="002E6116"/>
    <w:rsid w:val="002E67E6"/>
    <w:rsid w:val="002E69B3"/>
    <w:rsid w:val="002E6DBB"/>
    <w:rsid w:val="002E6E7C"/>
    <w:rsid w:val="002E6F72"/>
    <w:rsid w:val="002E7B0D"/>
    <w:rsid w:val="002F04DE"/>
    <w:rsid w:val="002F089E"/>
    <w:rsid w:val="002F0A2B"/>
    <w:rsid w:val="002F0B9F"/>
    <w:rsid w:val="002F0D1B"/>
    <w:rsid w:val="002F0F46"/>
    <w:rsid w:val="002F121E"/>
    <w:rsid w:val="002F14D0"/>
    <w:rsid w:val="002F1524"/>
    <w:rsid w:val="002F190D"/>
    <w:rsid w:val="002F196B"/>
    <w:rsid w:val="002F1A3E"/>
    <w:rsid w:val="002F1CD3"/>
    <w:rsid w:val="002F1D51"/>
    <w:rsid w:val="002F1E10"/>
    <w:rsid w:val="002F1E43"/>
    <w:rsid w:val="002F1EA4"/>
    <w:rsid w:val="002F24B0"/>
    <w:rsid w:val="002F279C"/>
    <w:rsid w:val="002F283F"/>
    <w:rsid w:val="002F2BB2"/>
    <w:rsid w:val="002F3A93"/>
    <w:rsid w:val="002F3AFA"/>
    <w:rsid w:val="002F424C"/>
    <w:rsid w:val="002F4355"/>
    <w:rsid w:val="002F4444"/>
    <w:rsid w:val="002F4777"/>
    <w:rsid w:val="002F4BEA"/>
    <w:rsid w:val="002F51B8"/>
    <w:rsid w:val="002F54B6"/>
    <w:rsid w:val="002F5629"/>
    <w:rsid w:val="002F5674"/>
    <w:rsid w:val="002F5FE4"/>
    <w:rsid w:val="002F65E5"/>
    <w:rsid w:val="002F6A6F"/>
    <w:rsid w:val="002F6B24"/>
    <w:rsid w:val="002F6E28"/>
    <w:rsid w:val="002F70BA"/>
    <w:rsid w:val="002F725F"/>
    <w:rsid w:val="002F7A88"/>
    <w:rsid w:val="002F7A99"/>
    <w:rsid w:val="002F7C08"/>
    <w:rsid w:val="002F7E68"/>
    <w:rsid w:val="002F7F86"/>
    <w:rsid w:val="00300560"/>
    <w:rsid w:val="003007DE"/>
    <w:rsid w:val="00300A82"/>
    <w:rsid w:val="00300A84"/>
    <w:rsid w:val="00300C9E"/>
    <w:rsid w:val="00300E39"/>
    <w:rsid w:val="00300F95"/>
    <w:rsid w:val="0030101C"/>
    <w:rsid w:val="0030107F"/>
    <w:rsid w:val="003011A6"/>
    <w:rsid w:val="003013EF"/>
    <w:rsid w:val="00301F1F"/>
    <w:rsid w:val="00302306"/>
    <w:rsid w:val="003023C2"/>
    <w:rsid w:val="003024FE"/>
    <w:rsid w:val="0030294F"/>
    <w:rsid w:val="00302E5E"/>
    <w:rsid w:val="00302EA1"/>
    <w:rsid w:val="00303249"/>
    <w:rsid w:val="003038DB"/>
    <w:rsid w:val="00303BC0"/>
    <w:rsid w:val="00303BC3"/>
    <w:rsid w:val="00303C25"/>
    <w:rsid w:val="00303D58"/>
    <w:rsid w:val="00303D69"/>
    <w:rsid w:val="00303FA3"/>
    <w:rsid w:val="0030415A"/>
    <w:rsid w:val="00304433"/>
    <w:rsid w:val="0030458D"/>
    <w:rsid w:val="003048C9"/>
    <w:rsid w:val="00304C8F"/>
    <w:rsid w:val="00304D19"/>
    <w:rsid w:val="00304D4E"/>
    <w:rsid w:val="00304F3C"/>
    <w:rsid w:val="00304FF8"/>
    <w:rsid w:val="00305025"/>
    <w:rsid w:val="00305098"/>
    <w:rsid w:val="0030511E"/>
    <w:rsid w:val="00305BCF"/>
    <w:rsid w:val="0030615E"/>
    <w:rsid w:val="003066E9"/>
    <w:rsid w:val="00306D6D"/>
    <w:rsid w:val="00307448"/>
    <w:rsid w:val="003079B4"/>
    <w:rsid w:val="00307C55"/>
    <w:rsid w:val="00307DEF"/>
    <w:rsid w:val="00310138"/>
    <w:rsid w:val="0031027B"/>
    <w:rsid w:val="003105A3"/>
    <w:rsid w:val="00310691"/>
    <w:rsid w:val="003107E5"/>
    <w:rsid w:val="00310DE6"/>
    <w:rsid w:val="0031115B"/>
    <w:rsid w:val="003115AC"/>
    <w:rsid w:val="003119A7"/>
    <w:rsid w:val="00311D33"/>
    <w:rsid w:val="00311EE1"/>
    <w:rsid w:val="0031200F"/>
    <w:rsid w:val="0031208A"/>
    <w:rsid w:val="003120E5"/>
    <w:rsid w:val="0031264E"/>
    <w:rsid w:val="003126CA"/>
    <w:rsid w:val="003127C5"/>
    <w:rsid w:val="00313664"/>
    <w:rsid w:val="00313754"/>
    <w:rsid w:val="0031380E"/>
    <w:rsid w:val="003138A6"/>
    <w:rsid w:val="00313958"/>
    <w:rsid w:val="00313B78"/>
    <w:rsid w:val="00313C9A"/>
    <w:rsid w:val="00313DD4"/>
    <w:rsid w:val="003143BF"/>
    <w:rsid w:val="00314475"/>
    <w:rsid w:val="0031486F"/>
    <w:rsid w:val="00314A3D"/>
    <w:rsid w:val="00314F90"/>
    <w:rsid w:val="00315238"/>
    <w:rsid w:val="00315247"/>
    <w:rsid w:val="003153B1"/>
    <w:rsid w:val="00315731"/>
    <w:rsid w:val="003159A1"/>
    <w:rsid w:val="00315C6A"/>
    <w:rsid w:val="00315D4B"/>
    <w:rsid w:val="00315F85"/>
    <w:rsid w:val="0031617F"/>
    <w:rsid w:val="003165DF"/>
    <w:rsid w:val="00316769"/>
    <w:rsid w:val="00317101"/>
    <w:rsid w:val="0032006F"/>
    <w:rsid w:val="003201A1"/>
    <w:rsid w:val="00320747"/>
    <w:rsid w:val="00320832"/>
    <w:rsid w:val="00320E1F"/>
    <w:rsid w:val="00320FD1"/>
    <w:rsid w:val="00321109"/>
    <w:rsid w:val="0032124F"/>
    <w:rsid w:val="00321560"/>
    <w:rsid w:val="00321690"/>
    <w:rsid w:val="00321758"/>
    <w:rsid w:val="00321823"/>
    <w:rsid w:val="00321BDA"/>
    <w:rsid w:val="003226B9"/>
    <w:rsid w:val="00322E12"/>
    <w:rsid w:val="0032358B"/>
    <w:rsid w:val="003238B3"/>
    <w:rsid w:val="003238F4"/>
    <w:rsid w:val="00323D94"/>
    <w:rsid w:val="00323FC4"/>
    <w:rsid w:val="003243D1"/>
    <w:rsid w:val="00324D77"/>
    <w:rsid w:val="0032547A"/>
    <w:rsid w:val="00325692"/>
    <w:rsid w:val="003257A7"/>
    <w:rsid w:val="00325820"/>
    <w:rsid w:val="00325841"/>
    <w:rsid w:val="003259D7"/>
    <w:rsid w:val="00326451"/>
    <w:rsid w:val="003268C7"/>
    <w:rsid w:val="00326914"/>
    <w:rsid w:val="00326B3B"/>
    <w:rsid w:val="0032704C"/>
    <w:rsid w:val="0032709A"/>
    <w:rsid w:val="00327426"/>
    <w:rsid w:val="003277AE"/>
    <w:rsid w:val="00327BD3"/>
    <w:rsid w:val="00327CAA"/>
    <w:rsid w:val="00327DE9"/>
    <w:rsid w:val="00327EB4"/>
    <w:rsid w:val="00327F5E"/>
    <w:rsid w:val="003301B3"/>
    <w:rsid w:val="00330213"/>
    <w:rsid w:val="0033033D"/>
    <w:rsid w:val="00330372"/>
    <w:rsid w:val="00330385"/>
    <w:rsid w:val="003303CC"/>
    <w:rsid w:val="003308D8"/>
    <w:rsid w:val="0033102E"/>
    <w:rsid w:val="0033137B"/>
    <w:rsid w:val="00331401"/>
    <w:rsid w:val="00331CEE"/>
    <w:rsid w:val="00332344"/>
    <w:rsid w:val="00332372"/>
    <w:rsid w:val="0033289C"/>
    <w:rsid w:val="00332CF5"/>
    <w:rsid w:val="00332F67"/>
    <w:rsid w:val="0033312E"/>
    <w:rsid w:val="00333234"/>
    <w:rsid w:val="00333822"/>
    <w:rsid w:val="003339EC"/>
    <w:rsid w:val="00333B1F"/>
    <w:rsid w:val="00333CC8"/>
    <w:rsid w:val="003340BC"/>
    <w:rsid w:val="0033414E"/>
    <w:rsid w:val="003343B5"/>
    <w:rsid w:val="003345F8"/>
    <w:rsid w:val="00334A9A"/>
    <w:rsid w:val="003351AE"/>
    <w:rsid w:val="00335370"/>
    <w:rsid w:val="003353FE"/>
    <w:rsid w:val="003356B3"/>
    <w:rsid w:val="0033572C"/>
    <w:rsid w:val="0033577C"/>
    <w:rsid w:val="0033583D"/>
    <w:rsid w:val="00335ED1"/>
    <w:rsid w:val="00336C06"/>
    <w:rsid w:val="00336FBD"/>
    <w:rsid w:val="00337808"/>
    <w:rsid w:val="00337905"/>
    <w:rsid w:val="00337EF8"/>
    <w:rsid w:val="003407E4"/>
    <w:rsid w:val="0034081B"/>
    <w:rsid w:val="00340C00"/>
    <w:rsid w:val="00340C0A"/>
    <w:rsid w:val="00341296"/>
    <w:rsid w:val="00341557"/>
    <w:rsid w:val="003416A0"/>
    <w:rsid w:val="00341833"/>
    <w:rsid w:val="00341A29"/>
    <w:rsid w:val="003423C7"/>
    <w:rsid w:val="00342420"/>
    <w:rsid w:val="003424A0"/>
    <w:rsid w:val="003425DF"/>
    <w:rsid w:val="00342803"/>
    <w:rsid w:val="00342841"/>
    <w:rsid w:val="003428BA"/>
    <w:rsid w:val="00342A60"/>
    <w:rsid w:val="00342CBB"/>
    <w:rsid w:val="00342DDC"/>
    <w:rsid w:val="00342FBC"/>
    <w:rsid w:val="0034375A"/>
    <w:rsid w:val="0034379D"/>
    <w:rsid w:val="003439F6"/>
    <w:rsid w:val="00343CB0"/>
    <w:rsid w:val="00343DED"/>
    <w:rsid w:val="00343E5D"/>
    <w:rsid w:val="00343E69"/>
    <w:rsid w:val="0034410F"/>
    <w:rsid w:val="00344182"/>
    <w:rsid w:val="00344359"/>
    <w:rsid w:val="00344774"/>
    <w:rsid w:val="00344983"/>
    <w:rsid w:val="00344A10"/>
    <w:rsid w:val="00344A29"/>
    <w:rsid w:val="00345553"/>
    <w:rsid w:val="00346192"/>
    <w:rsid w:val="003463D1"/>
    <w:rsid w:val="003463D8"/>
    <w:rsid w:val="0034646D"/>
    <w:rsid w:val="00346C66"/>
    <w:rsid w:val="0034714F"/>
    <w:rsid w:val="003477AD"/>
    <w:rsid w:val="0034797B"/>
    <w:rsid w:val="00347BE5"/>
    <w:rsid w:val="00347D85"/>
    <w:rsid w:val="003507DD"/>
    <w:rsid w:val="00350B03"/>
    <w:rsid w:val="00350C0E"/>
    <w:rsid w:val="00350C95"/>
    <w:rsid w:val="00351124"/>
    <w:rsid w:val="00351347"/>
    <w:rsid w:val="00351632"/>
    <w:rsid w:val="0035167A"/>
    <w:rsid w:val="00351718"/>
    <w:rsid w:val="00351831"/>
    <w:rsid w:val="00351B81"/>
    <w:rsid w:val="003522E0"/>
    <w:rsid w:val="0035267F"/>
    <w:rsid w:val="0035284A"/>
    <w:rsid w:val="00352B39"/>
    <w:rsid w:val="00352B55"/>
    <w:rsid w:val="003530FE"/>
    <w:rsid w:val="00354193"/>
    <w:rsid w:val="003547F2"/>
    <w:rsid w:val="003547FA"/>
    <w:rsid w:val="003548FE"/>
    <w:rsid w:val="003550A4"/>
    <w:rsid w:val="003550BA"/>
    <w:rsid w:val="00355171"/>
    <w:rsid w:val="0035537A"/>
    <w:rsid w:val="003554D2"/>
    <w:rsid w:val="0035580D"/>
    <w:rsid w:val="0035588D"/>
    <w:rsid w:val="00355985"/>
    <w:rsid w:val="00355D0B"/>
    <w:rsid w:val="003565E0"/>
    <w:rsid w:val="00356887"/>
    <w:rsid w:val="00356915"/>
    <w:rsid w:val="00356E75"/>
    <w:rsid w:val="00356F02"/>
    <w:rsid w:val="0035766F"/>
    <w:rsid w:val="003576CA"/>
    <w:rsid w:val="0035781A"/>
    <w:rsid w:val="0035797B"/>
    <w:rsid w:val="00357B39"/>
    <w:rsid w:val="00357CB5"/>
    <w:rsid w:val="00357E8C"/>
    <w:rsid w:val="003600B2"/>
    <w:rsid w:val="003602DC"/>
    <w:rsid w:val="0036040E"/>
    <w:rsid w:val="00360517"/>
    <w:rsid w:val="00360532"/>
    <w:rsid w:val="00360B57"/>
    <w:rsid w:val="00360EB5"/>
    <w:rsid w:val="00360F43"/>
    <w:rsid w:val="00361A0A"/>
    <w:rsid w:val="00361D06"/>
    <w:rsid w:val="00361D3F"/>
    <w:rsid w:val="00362660"/>
    <w:rsid w:val="00362FD3"/>
    <w:rsid w:val="003639FB"/>
    <w:rsid w:val="00363BF7"/>
    <w:rsid w:val="00364264"/>
    <w:rsid w:val="00364D9D"/>
    <w:rsid w:val="003650F3"/>
    <w:rsid w:val="003652B9"/>
    <w:rsid w:val="0036601F"/>
    <w:rsid w:val="0036633A"/>
    <w:rsid w:val="003678EB"/>
    <w:rsid w:val="00367B88"/>
    <w:rsid w:val="00370307"/>
    <w:rsid w:val="0037035D"/>
    <w:rsid w:val="00370821"/>
    <w:rsid w:val="003709A2"/>
    <w:rsid w:val="00370A18"/>
    <w:rsid w:val="00370AA1"/>
    <w:rsid w:val="003710ED"/>
    <w:rsid w:val="003711F6"/>
    <w:rsid w:val="003716B7"/>
    <w:rsid w:val="003717D0"/>
    <w:rsid w:val="00371D3A"/>
    <w:rsid w:val="00371F9C"/>
    <w:rsid w:val="003720EE"/>
    <w:rsid w:val="00372263"/>
    <w:rsid w:val="003725AA"/>
    <w:rsid w:val="003728BF"/>
    <w:rsid w:val="00372A5B"/>
    <w:rsid w:val="00373491"/>
    <w:rsid w:val="00373766"/>
    <w:rsid w:val="003739DD"/>
    <w:rsid w:val="00373A9E"/>
    <w:rsid w:val="003741A2"/>
    <w:rsid w:val="00374419"/>
    <w:rsid w:val="00374AC8"/>
    <w:rsid w:val="00374C44"/>
    <w:rsid w:val="00374D75"/>
    <w:rsid w:val="00374DC6"/>
    <w:rsid w:val="0037526B"/>
    <w:rsid w:val="003753CE"/>
    <w:rsid w:val="00375992"/>
    <w:rsid w:val="00375A73"/>
    <w:rsid w:val="00375E08"/>
    <w:rsid w:val="00375EA8"/>
    <w:rsid w:val="00376F2E"/>
    <w:rsid w:val="0037738C"/>
    <w:rsid w:val="00377CAD"/>
    <w:rsid w:val="00377D9A"/>
    <w:rsid w:val="00377E4F"/>
    <w:rsid w:val="00377F68"/>
    <w:rsid w:val="0038016E"/>
    <w:rsid w:val="00380265"/>
    <w:rsid w:val="00380364"/>
    <w:rsid w:val="0038047C"/>
    <w:rsid w:val="00380746"/>
    <w:rsid w:val="00380B0B"/>
    <w:rsid w:val="00380BB9"/>
    <w:rsid w:val="00380D7D"/>
    <w:rsid w:val="00380E94"/>
    <w:rsid w:val="00381256"/>
    <w:rsid w:val="0038126C"/>
    <w:rsid w:val="003813B0"/>
    <w:rsid w:val="003814BB"/>
    <w:rsid w:val="00381562"/>
    <w:rsid w:val="00381750"/>
    <w:rsid w:val="00381D13"/>
    <w:rsid w:val="003820E9"/>
    <w:rsid w:val="00382266"/>
    <w:rsid w:val="0038235E"/>
    <w:rsid w:val="00382A53"/>
    <w:rsid w:val="00382AE5"/>
    <w:rsid w:val="00382B0C"/>
    <w:rsid w:val="00382FE3"/>
    <w:rsid w:val="00383170"/>
    <w:rsid w:val="003833B5"/>
    <w:rsid w:val="0038352D"/>
    <w:rsid w:val="003835FF"/>
    <w:rsid w:val="00383BF4"/>
    <w:rsid w:val="00384584"/>
    <w:rsid w:val="003847ED"/>
    <w:rsid w:val="003849A3"/>
    <w:rsid w:val="00384ADE"/>
    <w:rsid w:val="00384DB9"/>
    <w:rsid w:val="003856BD"/>
    <w:rsid w:val="00386DDB"/>
    <w:rsid w:val="00387553"/>
    <w:rsid w:val="0038792E"/>
    <w:rsid w:val="0038797A"/>
    <w:rsid w:val="00387A4A"/>
    <w:rsid w:val="00387C7A"/>
    <w:rsid w:val="00391078"/>
    <w:rsid w:val="0039121A"/>
    <w:rsid w:val="003921CD"/>
    <w:rsid w:val="00392270"/>
    <w:rsid w:val="003929D2"/>
    <w:rsid w:val="00392BC2"/>
    <w:rsid w:val="00392CCA"/>
    <w:rsid w:val="00393029"/>
    <w:rsid w:val="00393446"/>
    <w:rsid w:val="00393AD7"/>
    <w:rsid w:val="00393E3E"/>
    <w:rsid w:val="00393F81"/>
    <w:rsid w:val="00393FA5"/>
    <w:rsid w:val="0039406E"/>
    <w:rsid w:val="0039411F"/>
    <w:rsid w:val="0039413F"/>
    <w:rsid w:val="003946B9"/>
    <w:rsid w:val="00394B51"/>
    <w:rsid w:val="003953BE"/>
    <w:rsid w:val="003957BB"/>
    <w:rsid w:val="003962CD"/>
    <w:rsid w:val="003963FF"/>
    <w:rsid w:val="003965C0"/>
    <w:rsid w:val="00396894"/>
    <w:rsid w:val="00396935"/>
    <w:rsid w:val="00396997"/>
    <w:rsid w:val="00396A4C"/>
    <w:rsid w:val="0039743E"/>
    <w:rsid w:val="00397A8D"/>
    <w:rsid w:val="00397CAC"/>
    <w:rsid w:val="00397D16"/>
    <w:rsid w:val="003A0403"/>
    <w:rsid w:val="003A0D0B"/>
    <w:rsid w:val="003A1301"/>
    <w:rsid w:val="003A1EE5"/>
    <w:rsid w:val="003A27BB"/>
    <w:rsid w:val="003A280A"/>
    <w:rsid w:val="003A2FE5"/>
    <w:rsid w:val="003A31F5"/>
    <w:rsid w:val="003A35D6"/>
    <w:rsid w:val="003A43CA"/>
    <w:rsid w:val="003A4473"/>
    <w:rsid w:val="003A4780"/>
    <w:rsid w:val="003A4E51"/>
    <w:rsid w:val="003A5077"/>
    <w:rsid w:val="003A5614"/>
    <w:rsid w:val="003A56A1"/>
    <w:rsid w:val="003A5BC5"/>
    <w:rsid w:val="003A5C82"/>
    <w:rsid w:val="003A5CF2"/>
    <w:rsid w:val="003A5D19"/>
    <w:rsid w:val="003A5E4A"/>
    <w:rsid w:val="003A5F4E"/>
    <w:rsid w:val="003A6A4E"/>
    <w:rsid w:val="003A6DDA"/>
    <w:rsid w:val="003A72FF"/>
    <w:rsid w:val="003A782B"/>
    <w:rsid w:val="003B03BF"/>
    <w:rsid w:val="003B0E9B"/>
    <w:rsid w:val="003B1620"/>
    <w:rsid w:val="003B1661"/>
    <w:rsid w:val="003B1919"/>
    <w:rsid w:val="003B2A09"/>
    <w:rsid w:val="003B2E43"/>
    <w:rsid w:val="003B2FCF"/>
    <w:rsid w:val="003B308F"/>
    <w:rsid w:val="003B317B"/>
    <w:rsid w:val="003B3EC4"/>
    <w:rsid w:val="003B3FD2"/>
    <w:rsid w:val="003B4059"/>
    <w:rsid w:val="003B4407"/>
    <w:rsid w:val="003B440E"/>
    <w:rsid w:val="003B453B"/>
    <w:rsid w:val="003B4D80"/>
    <w:rsid w:val="003B51D0"/>
    <w:rsid w:val="003B5254"/>
    <w:rsid w:val="003B533E"/>
    <w:rsid w:val="003B5747"/>
    <w:rsid w:val="003B580F"/>
    <w:rsid w:val="003B6230"/>
    <w:rsid w:val="003B63DD"/>
    <w:rsid w:val="003B642F"/>
    <w:rsid w:val="003B673D"/>
    <w:rsid w:val="003B6A7F"/>
    <w:rsid w:val="003B730A"/>
    <w:rsid w:val="003B7840"/>
    <w:rsid w:val="003B7AF0"/>
    <w:rsid w:val="003B7CC3"/>
    <w:rsid w:val="003B7F41"/>
    <w:rsid w:val="003C0183"/>
    <w:rsid w:val="003C0B0E"/>
    <w:rsid w:val="003C1054"/>
    <w:rsid w:val="003C175D"/>
    <w:rsid w:val="003C1CFB"/>
    <w:rsid w:val="003C2577"/>
    <w:rsid w:val="003C2BBD"/>
    <w:rsid w:val="003C2F98"/>
    <w:rsid w:val="003C32A6"/>
    <w:rsid w:val="003C3379"/>
    <w:rsid w:val="003C3AE8"/>
    <w:rsid w:val="003C3BB5"/>
    <w:rsid w:val="003C3E77"/>
    <w:rsid w:val="003C3E86"/>
    <w:rsid w:val="003C4066"/>
    <w:rsid w:val="003C4264"/>
    <w:rsid w:val="003C43EC"/>
    <w:rsid w:val="003C4448"/>
    <w:rsid w:val="003C46AD"/>
    <w:rsid w:val="003C4D1E"/>
    <w:rsid w:val="003C4E99"/>
    <w:rsid w:val="003C529F"/>
    <w:rsid w:val="003C5FC9"/>
    <w:rsid w:val="003C63D3"/>
    <w:rsid w:val="003C7449"/>
    <w:rsid w:val="003C7AF1"/>
    <w:rsid w:val="003C7BE5"/>
    <w:rsid w:val="003D0022"/>
    <w:rsid w:val="003D0B52"/>
    <w:rsid w:val="003D1093"/>
    <w:rsid w:val="003D1448"/>
    <w:rsid w:val="003D1621"/>
    <w:rsid w:val="003D1ADC"/>
    <w:rsid w:val="003D1BB5"/>
    <w:rsid w:val="003D1D95"/>
    <w:rsid w:val="003D1EEC"/>
    <w:rsid w:val="003D1EF2"/>
    <w:rsid w:val="003D1F44"/>
    <w:rsid w:val="003D22D2"/>
    <w:rsid w:val="003D33E2"/>
    <w:rsid w:val="003D3537"/>
    <w:rsid w:val="003D35E6"/>
    <w:rsid w:val="003D3A06"/>
    <w:rsid w:val="003D3CB2"/>
    <w:rsid w:val="003D3D91"/>
    <w:rsid w:val="003D3EC2"/>
    <w:rsid w:val="003D4708"/>
    <w:rsid w:val="003D472C"/>
    <w:rsid w:val="003D477A"/>
    <w:rsid w:val="003D4D86"/>
    <w:rsid w:val="003D5469"/>
    <w:rsid w:val="003D5847"/>
    <w:rsid w:val="003D614C"/>
    <w:rsid w:val="003D619A"/>
    <w:rsid w:val="003D6556"/>
    <w:rsid w:val="003D7078"/>
    <w:rsid w:val="003D7421"/>
    <w:rsid w:val="003D758E"/>
    <w:rsid w:val="003D7C86"/>
    <w:rsid w:val="003D7CF9"/>
    <w:rsid w:val="003E01B9"/>
    <w:rsid w:val="003E0352"/>
    <w:rsid w:val="003E05BD"/>
    <w:rsid w:val="003E0976"/>
    <w:rsid w:val="003E0A15"/>
    <w:rsid w:val="003E0C71"/>
    <w:rsid w:val="003E0C99"/>
    <w:rsid w:val="003E14BE"/>
    <w:rsid w:val="003E182D"/>
    <w:rsid w:val="003E1937"/>
    <w:rsid w:val="003E1AFB"/>
    <w:rsid w:val="003E213F"/>
    <w:rsid w:val="003E26B2"/>
    <w:rsid w:val="003E2B86"/>
    <w:rsid w:val="003E3046"/>
    <w:rsid w:val="003E3205"/>
    <w:rsid w:val="003E32E1"/>
    <w:rsid w:val="003E32FE"/>
    <w:rsid w:val="003E345C"/>
    <w:rsid w:val="003E3615"/>
    <w:rsid w:val="003E3F41"/>
    <w:rsid w:val="003E50A1"/>
    <w:rsid w:val="003E5127"/>
    <w:rsid w:val="003E536E"/>
    <w:rsid w:val="003E542F"/>
    <w:rsid w:val="003E569A"/>
    <w:rsid w:val="003E592F"/>
    <w:rsid w:val="003E5F33"/>
    <w:rsid w:val="003E6615"/>
    <w:rsid w:val="003E694D"/>
    <w:rsid w:val="003E6CD0"/>
    <w:rsid w:val="003E74C3"/>
    <w:rsid w:val="003E79F9"/>
    <w:rsid w:val="003E7C34"/>
    <w:rsid w:val="003F06E0"/>
    <w:rsid w:val="003F076E"/>
    <w:rsid w:val="003F083C"/>
    <w:rsid w:val="003F08C4"/>
    <w:rsid w:val="003F0949"/>
    <w:rsid w:val="003F0C38"/>
    <w:rsid w:val="003F0D7C"/>
    <w:rsid w:val="003F1223"/>
    <w:rsid w:val="003F12E9"/>
    <w:rsid w:val="003F1698"/>
    <w:rsid w:val="003F177A"/>
    <w:rsid w:val="003F1AB9"/>
    <w:rsid w:val="003F1BBE"/>
    <w:rsid w:val="003F1C13"/>
    <w:rsid w:val="003F1FD6"/>
    <w:rsid w:val="003F26FE"/>
    <w:rsid w:val="003F2A44"/>
    <w:rsid w:val="003F2ABB"/>
    <w:rsid w:val="003F2C11"/>
    <w:rsid w:val="003F301F"/>
    <w:rsid w:val="003F3377"/>
    <w:rsid w:val="003F33B7"/>
    <w:rsid w:val="003F37FD"/>
    <w:rsid w:val="003F3854"/>
    <w:rsid w:val="003F39AE"/>
    <w:rsid w:val="003F3A52"/>
    <w:rsid w:val="003F3EF1"/>
    <w:rsid w:val="003F45B2"/>
    <w:rsid w:val="003F4679"/>
    <w:rsid w:val="003F4B62"/>
    <w:rsid w:val="003F59F4"/>
    <w:rsid w:val="003F5B16"/>
    <w:rsid w:val="003F5CD7"/>
    <w:rsid w:val="003F5CD8"/>
    <w:rsid w:val="003F5FDD"/>
    <w:rsid w:val="003F6086"/>
    <w:rsid w:val="003F60E1"/>
    <w:rsid w:val="003F6165"/>
    <w:rsid w:val="003F648C"/>
    <w:rsid w:val="003F6633"/>
    <w:rsid w:val="003F66FD"/>
    <w:rsid w:val="003F672A"/>
    <w:rsid w:val="003F7000"/>
    <w:rsid w:val="003F757E"/>
    <w:rsid w:val="003F764A"/>
    <w:rsid w:val="003F7BCB"/>
    <w:rsid w:val="003F7F49"/>
    <w:rsid w:val="0040032A"/>
    <w:rsid w:val="0040033C"/>
    <w:rsid w:val="0040048C"/>
    <w:rsid w:val="00400494"/>
    <w:rsid w:val="004004F6"/>
    <w:rsid w:val="0040078F"/>
    <w:rsid w:val="004010AA"/>
    <w:rsid w:val="004017DF"/>
    <w:rsid w:val="00401A68"/>
    <w:rsid w:val="00401B69"/>
    <w:rsid w:val="0040214B"/>
    <w:rsid w:val="00402280"/>
    <w:rsid w:val="00402B37"/>
    <w:rsid w:val="00402BA1"/>
    <w:rsid w:val="00402DC6"/>
    <w:rsid w:val="0040313C"/>
    <w:rsid w:val="0040351E"/>
    <w:rsid w:val="00403882"/>
    <w:rsid w:val="00403A03"/>
    <w:rsid w:val="00404D94"/>
    <w:rsid w:val="00404DCD"/>
    <w:rsid w:val="0040548B"/>
    <w:rsid w:val="004054A8"/>
    <w:rsid w:val="004055FB"/>
    <w:rsid w:val="00405AE6"/>
    <w:rsid w:val="00405EA9"/>
    <w:rsid w:val="00406145"/>
    <w:rsid w:val="0040646D"/>
    <w:rsid w:val="00406500"/>
    <w:rsid w:val="0040667E"/>
    <w:rsid w:val="00406A86"/>
    <w:rsid w:val="00406AC1"/>
    <w:rsid w:val="00406FFC"/>
    <w:rsid w:val="00407441"/>
    <w:rsid w:val="004077D6"/>
    <w:rsid w:val="0040780E"/>
    <w:rsid w:val="00407867"/>
    <w:rsid w:val="00407C0D"/>
    <w:rsid w:val="004104BE"/>
    <w:rsid w:val="00410883"/>
    <w:rsid w:val="00410A5C"/>
    <w:rsid w:val="00410C9B"/>
    <w:rsid w:val="00411033"/>
    <w:rsid w:val="00411317"/>
    <w:rsid w:val="004115E1"/>
    <w:rsid w:val="004116F3"/>
    <w:rsid w:val="004117A8"/>
    <w:rsid w:val="004118B0"/>
    <w:rsid w:val="00411A53"/>
    <w:rsid w:val="00411BEF"/>
    <w:rsid w:val="00411F5D"/>
    <w:rsid w:val="004121E7"/>
    <w:rsid w:val="00412D52"/>
    <w:rsid w:val="0041312D"/>
    <w:rsid w:val="00414334"/>
    <w:rsid w:val="00414665"/>
    <w:rsid w:val="00414673"/>
    <w:rsid w:val="0041473B"/>
    <w:rsid w:val="0041478B"/>
    <w:rsid w:val="00414B30"/>
    <w:rsid w:val="00414C6B"/>
    <w:rsid w:val="00414E51"/>
    <w:rsid w:val="00414E5C"/>
    <w:rsid w:val="0041517D"/>
    <w:rsid w:val="004151EC"/>
    <w:rsid w:val="00415D9B"/>
    <w:rsid w:val="00416093"/>
    <w:rsid w:val="004162D3"/>
    <w:rsid w:val="004164CC"/>
    <w:rsid w:val="00416512"/>
    <w:rsid w:val="004167C7"/>
    <w:rsid w:val="004167DB"/>
    <w:rsid w:val="00416CA7"/>
    <w:rsid w:val="00416CC7"/>
    <w:rsid w:val="00416D3C"/>
    <w:rsid w:val="00416E86"/>
    <w:rsid w:val="00417347"/>
    <w:rsid w:val="004173A0"/>
    <w:rsid w:val="0041747D"/>
    <w:rsid w:val="0041760B"/>
    <w:rsid w:val="00417775"/>
    <w:rsid w:val="004179E2"/>
    <w:rsid w:val="00417E60"/>
    <w:rsid w:val="004202E1"/>
    <w:rsid w:val="004203EF"/>
    <w:rsid w:val="00420435"/>
    <w:rsid w:val="0042094B"/>
    <w:rsid w:val="00420F04"/>
    <w:rsid w:val="004210BA"/>
    <w:rsid w:val="004213A2"/>
    <w:rsid w:val="004213A6"/>
    <w:rsid w:val="004214FC"/>
    <w:rsid w:val="00421870"/>
    <w:rsid w:val="00421D12"/>
    <w:rsid w:val="004228C6"/>
    <w:rsid w:val="00422D03"/>
    <w:rsid w:val="00423099"/>
    <w:rsid w:val="0042347C"/>
    <w:rsid w:val="00423CBD"/>
    <w:rsid w:val="004240A9"/>
    <w:rsid w:val="004241CE"/>
    <w:rsid w:val="00424200"/>
    <w:rsid w:val="00424564"/>
    <w:rsid w:val="00424D0A"/>
    <w:rsid w:val="00424E79"/>
    <w:rsid w:val="00424FA9"/>
    <w:rsid w:val="00425100"/>
    <w:rsid w:val="0042558E"/>
    <w:rsid w:val="00425BA1"/>
    <w:rsid w:val="00426178"/>
    <w:rsid w:val="0042661C"/>
    <w:rsid w:val="00426D77"/>
    <w:rsid w:val="00427271"/>
    <w:rsid w:val="004274B3"/>
    <w:rsid w:val="00427808"/>
    <w:rsid w:val="00427F27"/>
    <w:rsid w:val="0043009C"/>
    <w:rsid w:val="00430294"/>
    <w:rsid w:val="004303AB"/>
    <w:rsid w:val="0043044F"/>
    <w:rsid w:val="0043062E"/>
    <w:rsid w:val="00430734"/>
    <w:rsid w:val="0043076A"/>
    <w:rsid w:val="00430BDD"/>
    <w:rsid w:val="0043113F"/>
    <w:rsid w:val="00431785"/>
    <w:rsid w:val="00431B17"/>
    <w:rsid w:val="00432048"/>
    <w:rsid w:val="00432219"/>
    <w:rsid w:val="004323EB"/>
    <w:rsid w:val="00432540"/>
    <w:rsid w:val="00432D78"/>
    <w:rsid w:val="00432E48"/>
    <w:rsid w:val="00432ED2"/>
    <w:rsid w:val="004332B3"/>
    <w:rsid w:val="00433469"/>
    <w:rsid w:val="00433529"/>
    <w:rsid w:val="0043362C"/>
    <w:rsid w:val="00433A3E"/>
    <w:rsid w:val="00433C2A"/>
    <w:rsid w:val="00433F36"/>
    <w:rsid w:val="00433FEE"/>
    <w:rsid w:val="004344BF"/>
    <w:rsid w:val="0043452F"/>
    <w:rsid w:val="00434660"/>
    <w:rsid w:val="00434B15"/>
    <w:rsid w:val="00434B64"/>
    <w:rsid w:val="00435A59"/>
    <w:rsid w:val="00435CB8"/>
    <w:rsid w:val="00436217"/>
    <w:rsid w:val="00436227"/>
    <w:rsid w:val="0043632B"/>
    <w:rsid w:val="00436624"/>
    <w:rsid w:val="00436E6C"/>
    <w:rsid w:val="00437057"/>
    <w:rsid w:val="00437135"/>
    <w:rsid w:val="004375B3"/>
    <w:rsid w:val="0043782C"/>
    <w:rsid w:val="00437B99"/>
    <w:rsid w:val="00440360"/>
    <w:rsid w:val="004403F7"/>
    <w:rsid w:val="00440C8C"/>
    <w:rsid w:val="004412FA"/>
    <w:rsid w:val="0044167F"/>
    <w:rsid w:val="004418E1"/>
    <w:rsid w:val="00441CBC"/>
    <w:rsid w:val="00441E86"/>
    <w:rsid w:val="00441F98"/>
    <w:rsid w:val="0044207C"/>
    <w:rsid w:val="00442E9B"/>
    <w:rsid w:val="004438E4"/>
    <w:rsid w:val="00443B94"/>
    <w:rsid w:val="00443E1F"/>
    <w:rsid w:val="00443EC1"/>
    <w:rsid w:val="0044403E"/>
    <w:rsid w:val="004441D6"/>
    <w:rsid w:val="00444240"/>
    <w:rsid w:val="004443E1"/>
    <w:rsid w:val="0044566E"/>
    <w:rsid w:val="00446A96"/>
    <w:rsid w:val="00446C68"/>
    <w:rsid w:val="00446D05"/>
    <w:rsid w:val="00446F26"/>
    <w:rsid w:val="0044756C"/>
    <w:rsid w:val="00447666"/>
    <w:rsid w:val="00447725"/>
    <w:rsid w:val="004477FF"/>
    <w:rsid w:val="00447AC9"/>
    <w:rsid w:val="00447CE7"/>
    <w:rsid w:val="00447D1A"/>
    <w:rsid w:val="00447D60"/>
    <w:rsid w:val="004502B2"/>
    <w:rsid w:val="00450452"/>
    <w:rsid w:val="0045047E"/>
    <w:rsid w:val="004504E9"/>
    <w:rsid w:val="00450CD9"/>
    <w:rsid w:val="00451433"/>
    <w:rsid w:val="00451970"/>
    <w:rsid w:val="00451E80"/>
    <w:rsid w:val="00452434"/>
    <w:rsid w:val="00452631"/>
    <w:rsid w:val="00452EAE"/>
    <w:rsid w:val="00452EF2"/>
    <w:rsid w:val="00452FEC"/>
    <w:rsid w:val="00453264"/>
    <w:rsid w:val="0045350E"/>
    <w:rsid w:val="0045366D"/>
    <w:rsid w:val="0045402E"/>
    <w:rsid w:val="004551F2"/>
    <w:rsid w:val="0045521A"/>
    <w:rsid w:val="0045526D"/>
    <w:rsid w:val="00455597"/>
    <w:rsid w:val="00456226"/>
    <w:rsid w:val="0045628F"/>
    <w:rsid w:val="004562B8"/>
    <w:rsid w:val="0045650E"/>
    <w:rsid w:val="004568D7"/>
    <w:rsid w:val="00456E0B"/>
    <w:rsid w:val="004574E7"/>
    <w:rsid w:val="004575B3"/>
    <w:rsid w:val="00457981"/>
    <w:rsid w:val="00457990"/>
    <w:rsid w:val="00457A10"/>
    <w:rsid w:val="00457C7C"/>
    <w:rsid w:val="00460114"/>
    <w:rsid w:val="0046147A"/>
    <w:rsid w:val="0046174C"/>
    <w:rsid w:val="00461CDE"/>
    <w:rsid w:val="00462036"/>
    <w:rsid w:val="0046222A"/>
    <w:rsid w:val="00462914"/>
    <w:rsid w:val="00462B54"/>
    <w:rsid w:val="00463064"/>
    <w:rsid w:val="0046334D"/>
    <w:rsid w:val="004633A5"/>
    <w:rsid w:val="004635E5"/>
    <w:rsid w:val="004636C5"/>
    <w:rsid w:val="004637AF"/>
    <w:rsid w:val="004637C9"/>
    <w:rsid w:val="00463DB5"/>
    <w:rsid w:val="00463FD3"/>
    <w:rsid w:val="004640FD"/>
    <w:rsid w:val="00464118"/>
    <w:rsid w:val="004649CD"/>
    <w:rsid w:val="00464C37"/>
    <w:rsid w:val="00465385"/>
    <w:rsid w:val="0046558A"/>
    <w:rsid w:val="004656CF"/>
    <w:rsid w:val="00465D65"/>
    <w:rsid w:val="00465E91"/>
    <w:rsid w:val="00466750"/>
    <w:rsid w:val="00466805"/>
    <w:rsid w:val="0046685B"/>
    <w:rsid w:val="00466FC4"/>
    <w:rsid w:val="004670A0"/>
    <w:rsid w:val="0046770A"/>
    <w:rsid w:val="00467A5C"/>
    <w:rsid w:val="00467ABD"/>
    <w:rsid w:val="00467D40"/>
    <w:rsid w:val="00467E2B"/>
    <w:rsid w:val="00470BAE"/>
    <w:rsid w:val="00471411"/>
    <w:rsid w:val="00471956"/>
    <w:rsid w:val="00471D36"/>
    <w:rsid w:val="00471DEC"/>
    <w:rsid w:val="00472461"/>
    <w:rsid w:val="004724BE"/>
    <w:rsid w:val="004727AD"/>
    <w:rsid w:val="00472B98"/>
    <w:rsid w:val="00472DEE"/>
    <w:rsid w:val="00473141"/>
    <w:rsid w:val="004732CA"/>
    <w:rsid w:val="00473C3D"/>
    <w:rsid w:val="00473EBA"/>
    <w:rsid w:val="00474445"/>
    <w:rsid w:val="0047451E"/>
    <w:rsid w:val="00474835"/>
    <w:rsid w:val="00474B2D"/>
    <w:rsid w:val="00474EA2"/>
    <w:rsid w:val="00475B95"/>
    <w:rsid w:val="00475BFE"/>
    <w:rsid w:val="00475C23"/>
    <w:rsid w:val="00475C50"/>
    <w:rsid w:val="004762F3"/>
    <w:rsid w:val="00477042"/>
    <w:rsid w:val="0047711B"/>
    <w:rsid w:val="00477404"/>
    <w:rsid w:val="00477612"/>
    <w:rsid w:val="00477C42"/>
    <w:rsid w:val="00480065"/>
    <w:rsid w:val="00480562"/>
    <w:rsid w:val="00480564"/>
    <w:rsid w:val="004808B8"/>
    <w:rsid w:val="004809B8"/>
    <w:rsid w:val="00480BB7"/>
    <w:rsid w:val="00480DD9"/>
    <w:rsid w:val="0048119A"/>
    <w:rsid w:val="00481708"/>
    <w:rsid w:val="004817E9"/>
    <w:rsid w:val="00481CFE"/>
    <w:rsid w:val="00481F10"/>
    <w:rsid w:val="004820FA"/>
    <w:rsid w:val="004821B9"/>
    <w:rsid w:val="00482758"/>
    <w:rsid w:val="00483217"/>
    <w:rsid w:val="0048347E"/>
    <w:rsid w:val="00483A69"/>
    <w:rsid w:val="00484AA6"/>
    <w:rsid w:val="00484D05"/>
    <w:rsid w:val="00485301"/>
    <w:rsid w:val="00485601"/>
    <w:rsid w:val="00485612"/>
    <w:rsid w:val="00485A0F"/>
    <w:rsid w:val="00485DD4"/>
    <w:rsid w:val="00485F13"/>
    <w:rsid w:val="00486093"/>
    <w:rsid w:val="0048632D"/>
    <w:rsid w:val="00486E2E"/>
    <w:rsid w:val="0048701F"/>
    <w:rsid w:val="00487420"/>
    <w:rsid w:val="00487498"/>
    <w:rsid w:val="00487D40"/>
    <w:rsid w:val="004902A7"/>
    <w:rsid w:val="00490742"/>
    <w:rsid w:val="004908BF"/>
    <w:rsid w:val="00490A31"/>
    <w:rsid w:val="004910A6"/>
    <w:rsid w:val="00491575"/>
    <w:rsid w:val="004916CB"/>
    <w:rsid w:val="0049183D"/>
    <w:rsid w:val="00491880"/>
    <w:rsid w:val="004918C8"/>
    <w:rsid w:val="00491D88"/>
    <w:rsid w:val="00491FDF"/>
    <w:rsid w:val="00492271"/>
    <w:rsid w:val="004925BF"/>
    <w:rsid w:val="004926AE"/>
    <w:rsid w:val="004927D8"/>
    <w:rsid w:val="004928BF"/>
    <w:rsid w:val="00493021"/>
    <w:rsid w:val="00493048"/>
    <w:rsid w:val="00493277"/>
    <w:rsid w:val="004935ED"/>
    <w:rsid w:val="00493631"/>
    <w:rsid w:val="00493BE7"/>
    <w:rsid w:val="004942B5"/>
    <w:rsid w:val="00494E80"/>
    <w:rsid w:val="0049508D"/>
    <w:rsid w:val="004958AC"/>
    <w:rsid w:val="00495FD4"/>
    <w:rsid w:val="0049605C"/>
    <w:rsid w:val="004965C1"/>
    <w:rsid w:val="004965F7"/>
    <w:rsid w:val="00496605"/>
    <w:rsid w:val="004966F6"/>
    <w:rsid w:val="0049687E"/>
    <w:rsid w:val="004969AF"/>
    <w:rsid w:val="00496DA4"/>
    <w:rsid w:val="004970B1"/>
    <w:rsid w:val="004970F8"/>
    <w:rsid w:val="00497552"/>
    <w:rsid w:val="004975AD"/>
    <w:rsid w:val="00497950"/>
    <w:rsid w:val="00497BFA"/>
    <w:rsid w:val="00497FBF"/>
    <w:rsid w:val="004A053D"/>
    <w:rsid w:val="004A06F9"/>
    <w:rsid w:val="004A1635"/>
    <w:rsid w:val="004A1D47"/>
    <w:rsid w:val="004A1FCC"/>
    <w:rsid w:val="004A2565"/>
    <w:rsid w:val="004A267A"/>
    <w:rsid w:val="004A29BD"/>
    <w:rsid w:val="004A2F18"/>
    <w:rsid w:val="004A2FFD"/>
    <w:rsid w:val="004A3183"/>
    <w:rsid w:val="004A325C"/>
    <w:rsid w:val="004A3873"/>
    <w:rsid w:val="004A39C9"/>
    <w:rsid w:val="004A3B78"/>
    <w:rsid w:val="004A4036"/>
    <w:rsid w:val="004A40B0"/>
    <w:rsid w:val="004A41FB"/>
    <w:rsid w:val="004A4309"/>
    <w:rsid w:val="004A4636"/>
    <w:rsid w:val="004A46FF"/>
    <w:rsid w:val="004A4A56"/>
    <w:rsid w:val="004A4BFA"/>
    <w:rsid w:val="004A4CBD"/>
    <w:rsid w:val="004A5304"/>
    <w:rsid w:val="004A56B1"/>
    <w:rsid w:val="004A5A65"/>
    <w:rsid w:val="004A5F9D"/>
    <w:rsid w:val="004A6101"/>
    <w:rsid w:val="004A6166"/>
    <w:rsid w:val="004A63E5"/>
    <w:rsid w:val="004A66FC"/>
    <w:rsid w:val="004A67E9"/>
    <w:rsid w:val="004A687D"/>
    <w:rsid w:val="004A6896"/>
    <w:rsid w:val="004A6B13"/>
    <w:rsid w:val="004A6DB6"/>
    <w:rsid w:val="004A7048"/>
    <w:rsid w:val="004A7057"/>
    <w:rsid w:val="004A70F7"/>
    <w:rsid w:val="004A7200"/>
    <w:rsid w:val="004A73A0"/>
    <w:rsid w:val="004A742E"/>
    <w:rsid w:val="004A759B"/>
    <w:rsid w:val="004A7616"/>
    <w:rsid w:val="004A7B16"/>
    <w:rsid w:val="004A7B5E"/>
    <w:rsid w:val="004A7EFC"/>
    <w:rsid w:val="004B0498"/>
    <w:rsid w:val="004B0514"/>
    <w:rsid w:val="004B0A0A"/>
    <w:rsid w:val="004B0B7E"/>
    <w:rsid w:val="004B0D70"/>
    <w:rsid w:val="004B102D"/>
    <w:rsid w:val="004B1088"/>
    <w:rsid w:val="004B1125"/>
    <w:rsid w:val="004B12F1"/>
    <w:rsid w:val="004B1C4B"/>
    <w:rsid w:val="004B1DA3"/>
    <w:rsid w:val="004B1F04"/>
    <w:rsid w:val="004B208D"/>
    <w:rsid w:val="004B2392"/>
    <w:rsid w:val="004B2722"/>
    <w:rsid w:val="004B2891"/>
    <w:rsid w:val="004B2C16"/>
    <w:rsid w:val="004B2C60"/>
    <w:rsid w:val="004B2D06"/>
    <w:rsid w:val="004B2D30"/>
    <w:rsid w:val="004B370E"/>
    <w:rsid w:val="004B37D3"/>
    <w:rsid w:val="004B3804"/>
    <w:rsid w:val="004B3B67"/>
    <w:rsid w:val="004B3BF2"/>
    <w:rsid w:val="004B3E57"/>
    <w:rsid w:val="004B4507"/>
    <w:rsid w:val="004B46BB"/>
    <w:rsid w:val="004B4928"/>
    <w:rsid w:val="004B545E"/>
    <w:rsid w:val="004B5C07"/>
    <w:rsid w:val="004B60CB"/>
    <w:rsid w:val="004B6673"/>
    <w:rsid w:val="004B6784"/>
    <w:rsid w:val="004B68D8"/>
    <w:rsid w:val="004B6BAA"/>
    <w:rsid w:val="004B6E81"/>
    <w:rsid w:val="004B6E89"/>
    <w:rsid w:val="004B7591"/>
    <w:rsid w:val="004B7652"/>
    <w:rsid w:val="004B7B95"/>
    <w:rsid w:val="004C0650"/>
    <w:rsid w:val="004C07D9"/>
    <w:rsid w:val="004C10FE"/>
    <w:rsid w:val="004C12D1"/>
    <w:rsid w:val="004C14AA"/>
    <w:rsid w:val="004C1CB5"/>
    <w:rsid w:val="004C2289"/>
    <w:rsid w:val="004C2356"/>
    <w:rsid w:val="004C29CF"/>
    <w:rsid w:val="004C2DEE"/>
    <w:rsid w:val="004C30EF"/>
    <w:rsid w:val="004C37DA"/>
    <w:rsid w:val="004C3B79"/>
    <w:rsid w:val="004C4088"/>
    <w:rsid w:val="004C484D"/>
    <w:rsid w:val="004C4C21"/>
    <w:rsid w:val="004C507A"/>
    <w:rsid w:val="004C50F1"/>
    <w:rsid w:val="004C5141"/>
    <w:rsid w:val="004C5197"/>
    <w:rsid w:val="004C5665"/>
    <w:rsid w:val="004C5C5F"/>
    <w:rsid w:val="004C5F4F"/>
    <w:rsid w:val="004C613F"/>
    <w:rsid w:val="004C63BB"/>
    <w:rsid w:val="004C641F"/>
    <w:rsid w:val="004C6639"/>
    <w:rsid w:val="004C680E"/>
    <w:rsid w:val="004C6876"/>
    <w:rsid w:val="004C7986"/>
    <w:rsid w:val="004C7D58"/>
    <w:rsid w:val="004D075D"/>
    <w:rsid w:val="004D07EB"/>
    <w:rsid w:val="004D0A49"/>
    <w:rsid w:val="004D0B88"/>
    <w:rsid w:val="004D0C27"/>
    <w:rsid w:val="004D0D2B"/>
    <w:rsid w:val="004D0DFB"/>
    <w:rsid w:val="004D1AB3"/>
    <w:rsid w:val="004D1C82"/>
    <w:rsid w:val="004D210D"/>
    <w:rsid w:val="004D228F"/>
    <w:rsid w:val="004D2819"/>
    <w:rsid w:val="004D281A"/>
    <w:rsid w:val="004D2B7A"/>
    <w:rsid w:val="004D2E82"/>
    <w:rsid w:val="004D2F55"/>
    <w:rsid w:val="004D3041"/>
    <w:rsid w:val="004D31E0"/>
    <w:rsid w:val="004D3287"/>
    <w:rsid w:val="004D34A9"/>
    <w:rsid w:val="004D3571"/>
    <w:rsid w:val="004D3A53"/>
    <w:rsid w:val="004D3F61"/>
    <w:rsid w:val="004D479B"/>
    <w:rsid w:val="004D48FD"/>
    <w:rsid w:val="004D4CF4"/>
    <w:rsid w:val="004D4E8E"/>
    <w:rsid w:val="004D55D1"/>
    <w:rsid w:val="004D56AB"/>
    <w:rsid w:val="004D6797"/>
    <w:rsid w:val="004D693C"/>
    <w:rsid w:val="004D6EF5"/>
    <w:rsid w:val="004D7100"/>
    <w:rsid w:val="004D7660"/>
    <w:rsid w:val="004D76E1"/>
    <w:rsid w:val="004D7E55"/>
    <w:rsid w:val="004E094F"/>
    <w:rsid w:val="004E0B48"/>
    <w:rsid w:val="004E10E4"/>
    <w:rsid w:val="004E1357"/>
    <w:rsid w:val="004E186D"/>
    <w:rsid w:val="004E269F"/>
    <w:rsid w:val="004E2879"/>
    <w:rsid w:val="004E3A95"/>
    <w:rsid w:val="004E3B79"/>
    <w:rsid w:val="004E406C"/>
    <w:rsid w:val="004E420A"/>
    <w:rsid w:val="004E4825"/>
    <w:rsid w:val="004E4899"/>
    <w:rsid w:val="004E4AAD"/>
    <w:rsid w:val="004E513E"/>
    <w:rsid w:val="004E55D2"/>
    <w:rsid w:val="004E5707"/>
    <w:rsid w:val="004E59E1"/>
    <w:rsid w:val="004E6073"/>
    <w:rsid w:val="004E6318"/>
    <w:rsid w:val="004E6499"/>
    <w:rsid w:val="004E6719"/>
    <w:rsid w:val="004E6B7D"/>
    <w:rsid w:val="004E6DD8"/>
    <w:rsid w:val="004E7076"/>
    <w:rsid w:val="004E7104"/>
    <w:rsid w:val="004E7517"/>
    <w:rsid w:val="004E7519"/>
    <w:rsid w:val="004E769A"/>
    <w:rsid w:val="004E7AEB"/>
    <w:rsid w:val="004E7C01"/>
    <w:rsid w:val="004F03D5"/>
    <w:rsid w:val="004F0684"/>
    <w:rsid w:val="004F06A5"/>
    <w:rsid w:val="004F07A1"/>
    <w:rsid w:val="004F1173"/>
    <w:rsid w:val="004F148C"/>
    <w:rsid w:val="004F1ACF"/>
    <w:rsid w:val="004F1BA7"/>
    <w:rsid w:val="004F2A15"/>
    <w:rsid w:val="004F2C66"/>
    <w:rsid w:val="004F2CB7"/>
    <w:rsid w:val="004F2F39"/>
    <w:rsid w:val="004F2F52"/>
    <w:rsid w:val="004F3156"/>
    <w:rsid w:val="004F31AE"/>
    <w:rsid w:val="004F32DC"/>
    <w:rsid w:val="004F341F"/>
    <w:rsid w:val="004F383C"/>
    <w:rsid w:val="004F3A8E"/>
    <w:rsid w:val="004F3B60"/>
    <w:rsid w:val="004F3F7A"/>
    <w:rsid w:val="004F491F"/>
    <w:rsid w:val="004F49F5"/>
    <w:rsid w:val="004F4A13"/>
    <w:rsid w:val="004F502A"/>
    <w:rsid w:val="004F53E2"/>
    <w:rsid w:val="004F585C"/>
    <w:rsid w:val="004F58D3"/>
    <w:rsid w:val="004F5CEF"/>
    <w:rsid w:val="004F5D2B"/>
    <w:rsid w:val="004F5F48"/>
    <w:rsid w:val="004F6230"/>
    <w:rsid w:val="004F628E"/>
    <w:rsid w:val="004F6439"/>
    <w:rsid w:val="004F65C1"/>
    <w:rsid w:val="004F65EC"/>
    <w:rsid w:val="004F6794"/>
    <w:rsid w:val="004F750C"/>
    <w:rsid w:val="004F7531"/>
    <w:rsid w:val="004F7F2F"/>
    <w:rsid w:val="0050005E"/>
    <w:rsid w:val="00500160"/>
    <w:rsid w:val="005003BB"/>
    <w:rsid w:val="00500586"/>
    <w:rsid w:val="005007BA"/>
    <w:rsid w:val="00500855"/>
    <w:rsid w:val="00500A3C"/>
    <w:rsid w:val="00500ACD"/>
    <w:rsid w:val="00500D49"/>
    <w:rsid w:val="00500FC1"/>
    <w:rsid w:val="00500FCE"/>
    <w:rsid w:val="00501138"/>
    <w:rsid w:val="00501181"/>
    <w:rsid w:val="005012C0"/>
    <w:rsid w:val="005015C6"/>
    <w:rsid w:val="005017F8"/>
    <w:rsid w:val="00501A5D"/>
    <w:rsid w:val="00501C81"/>
    <w:rsid w:val="00501CF6"/>
    <w:rsid w:val="00501F21"/>
    <w:rsid w:val="00501F68"/>
    <w:rsid w:val="00501F6F"/>
    <w:rsid w:val="00501FFE"/>
    <w:rsid w:val="00502C17"/>
    <w:rsid w:val="00502C52"/>
    <w:rsid w:val="00503344"/>
    <w:rsid w:val="00503797"/>
    <w:rsid w:val="0050390F"/>
    <w:rsid w:val="00503994"/>
    <w:rsid w:val="00503A82"/>
    <w:rsid w:val="00503AB4"/>
    <w:rsid w:val="00503C46"/>
    <w:rsid w:val="00504061"/>
    <w:rsid w:val="0050462E"/>
    <w:rsid w:val="00504A0B"/>
    <w:rsid w:val="00504B27"/>
    <w:rsid w:val="00504DE0"/>
    <w:rsid w:val="00504E91"/>
    <w:rsid w:val="00504F2E"/>
    <w:rsid w:val="00505176"/>
    <w:rsid w:val="00505210"/>
    <w:rsid w:val="005057E9"/>
    <w:rsid w:val="00505BAE"/>
    <w:rsid w:val="00505E22"/>
    <w:rsid w:val="005060F6"/>
    <w:rsid w:val="005062FE"/>
    <w:rsid w:val="00506956"/>
    <w:rsid w:val="00506973"/>
    <w:rsid w:val="005069BD"/>
    <w:rsid w:val="00506F90"/>
    <w:rsid w:val="0050707B"/>
    <w:rsid w:val="00507243"/>
    <w:rsid w:val="005074E8"/>
    <w:rsid w:val="0050753C"/>
    <w:rsid w:val="00507B89"/>
    <w:rsid w:val="00510370"/>
    <w:rsid w:val="005105DA"/>
    <w:rsid w:val="00510FDF"/>
    <w:rsid w:val="00511267"/>
    <w:rsid w:val="00511662"/>
    <w:rsid w:val="005117F7"/>
    <w:rsid w:val="00511C48"/>
    <w:rsid w:val="00511CE8"/>
    <w:rsid w:val="00511D3F"/>
    <w:rsid w:val="00511D63"/>
    <w:rsid w:val="00512025"/>
    <w:rsid w:val="005127C1"/>
    <w:rsid w:val="0051299B"/>
    <w:rsid w:val="00512BD8"/>
    <w:rsid w:val="00512CC3"/>
    <w:rsid w:val="00512D69"/>
    <w:rsid w:val="0051339F"/>
    <w:rsid w:val="00513553"/>
    <w:rsid w:val="005138B1"/>
    <w:rsid w:val="00513DC7"/>
    <w:rsid w:val="00513E6D"/>
    <w:rsid w:val="00513F21"/>
    <w:rsid w:val="00514161"/>
    <w:rsid w:val="00514559"/>
    <w:rsid w:val="00514685"/>
    <w:rsid w:val="00514A33"/>
    <w:rsid w:val="00515380"/>
    <w:rsid w:val="005153F3"/>
    <w:rsid w:val="0051549E"/>
    <w:rsid w:val="005155DD"/>
    <w:rsid w:val="005155F1"/>
    <w:rsid w:val="00515B60"/>
    <w:rsid w:val="00515DC1"/>
    <w:rsid w:val="00516118"/>
    <w:rsid w:val="0051617E"/>
    <w:rsid w:val="0051639F"/>
    <w:rsid w:val="005166A5"/>
    <w:rsid w:val="00516C18"/>
    <w:rsid w:val="005171F2"/>
    <w:rsid w:val="005176CA"/>
    <w:rsid w:val="0051783F"/>
    <w:rsid w:val="00517A74"/>
    <w:rsid w:val="00517B22"/>
    <w:rsid w:val="00520091"/>
    <w:rsid w:val="00520495"/>
    <w:rsid w:val="00520530"/>
    <w:rsid w:val="005206F3"/>
    <w:rsid w:val="00520D09"/>
    <w:rsid w:val="00520FFC"/>
    <w:rsid w:val="0052116B"/>
    <w:rsid w:val="00521244"/>
    <w:rsid w:val="005213EB"/>
    <w:rsid w:val="00521758"/>
    <w:rsid w:val="00521F7D"/>
    <w:rsid w:val="00522011"/>
    <w:rsid w:val="005220CB"/>
    <w:rsid w:val="00522660"/>
    <w:rsid w:val="005227A8"/>
    <w:rsid w:val="00522967"/>
    <w:rsid w:val="005232AB"/>
    <w:rsid w:val="005235D1"/>
    <w:rsid w:val="005236C0"/>
    <w:rsid w:val="00523C7A"/>
    <w:rsid w:val="00523DCF"/>
    <w:rsid w:val="00524457"/>
    <w:rsid w:val="0052445F"/>
    <w:rsid w:val="005244E9"/>
    <w:rsid w:val="00524A7D"/>
    <w:rsid w:val="00524E4E"/>
    <w:rsid w:val="00525268"/>
    <w:rsid w:val="00525367"/>
    <w:rsid w:val="005253CA"/>
    <w:rsid w:val="005253FC"/>
    <w:rsid w:val="005256A7"/>
    <w:rsid w:val="005259C4"/>
    <w:rsid w:val="00525B2F"/>
    <w:rsid w:val="0052604A"/>
    <w:rsid w:val="005260B6"/>
    <w:rsid w:val="005260FD"/>
    <w:rsid w:val="0052638F"/>
    <w:rsid w:val="00526495"/>
    <w:rsid w:val="005269C5"/>
    <w:rsid w:val="00526E9C"/>
    <w:rsid w:val="00527084"/>
    <w:rsid w:val="005270FC"/>
    <w:rsid w:val="00527486"/>
    <w:rsid w:val="0052773D"/>
    <w:rsid w:val="00527841"/>
    <w:rsid w:val="005279AE"/>
    <w:rsid w:val="00527F6D"/>
    <w:rsid w:val="00530736"/>
    <w:rsid w:val="00530C32"/>
    <w:rsid w:val="00530DB1"/>
    <w:rsid w:val="005312A7"/>
    <w:rsid w:val="00531B3F"/>
    <w:rsid w:val="00531FA2"/>
    <w:rsid w:val="00532494"/>
    <w:rsid w:val="00532B13"/>
    <w:rsid w:val="00532CB2"/>
    <w:rsid w:val="00532D10"/>
    <w:rsid w:val="00533149"/>
    <w:rsid w:val="0053371D"/>
    <w:rsid w:val="00533B84"/>
    <w:rsid w:val="00534593"/>
    <w:rsid w:val="0053498F"/>
    <w:rsid w:val="00534A1C"/>
    <w:rsid w:val="00534D7D"/>
    <w:rsid w:val="005350DC"/>
    <w:rsid w:val="00535252"/>
    <w:rsid w:val="0053539E"/>
    <w:rsid w:val="00535C83"/>
    <w:rsid w:val="00535CB4"/>
    <w:rsid w:val="00535DFF"/>
    <w:rsid w:val="00536010"/>
    <w:rsid w:val="0053606A"/>
    <w:rsid w:val="00536237"/>
    <w:rsid w:val="0053687C"/>
    <w:rsid w:val="00536896"/>
    <w:rsid w:val="00536AD5"/>
    <w:rsid w:val="00537146"/>
    <w:rsid w:val="00537702"/>
    <w:rsid w:val="00537904"/>
    <w:rsid w:val="00537A77"/>
    <w:rsid w:val="00537A7E"/>
    <w:rsid w:val="00537C63"/>
    <w:rsid w:val="00540310"/>
    <w:rsid w:val="005408E1"/>
    <w:rsid w:val="00540EB6"/>
    <w:rsid w:val="00540F9D"/>
    <w:rsid w:val="0054154D"/>
    <w:rsid w:val="00541945"/>
    <w:rsid w:val="00541A14"/>
    <w:rsid w:val="005420F8"/>
    <w:rsid w:val="0054211F"/>
    <w:rsid w:val="005422EE"/>
    <w:rsid w:val="00542D62"/>
    <w:rsid w:val="00542E34"/>
    <w:rsid w:val="00543462"/>
    <w:rsid w:val="00543834"/>
    <w:rsid w:val="0054390B"/>
    <w:rsid w:val="00543A5B"/>
    <w:rsid w:val="00543F9C"/>
    <w:rsid w:val="00544085"/>
    <w:rsid w:val="00544300"/>
    <w:rsid w:val="00544774"/>
    <w:rsid w:val="00544BF1"/>
    <w:rsid w:val="00545290"/>
    <w:rsid w:val="00545C42"/>
    <w:rsid w:val="00545D06"/>
    <w:rsid w:val="00545DB7"/>
    <w:rsid w:val="00545DDB"/>
    <w:rsid w:val="00545F2D"/>
    <w:rsid w:val="005461AA"/>
    <w:rsid w:val="005462D0"/>
    <w:rsid w:val="00546AD0"/>
    <w:rsid w:val="00546C79"/>
    <w:rsid w:val="00546D39"/>
    <w:rsid w:val="00546F85"/>
    <w:rsid w:val="005472F3"/>
    <w:rsid w:val="00547A88"/>
    <w:rsid w:val="00547AED"/>
    <w:rsid w:val="0055000A"/>
    <w:rsid w:val="0055036C"/>
    <w:rsid w:val="0055047F"/>
    <w:rsid w:val="0055087D"/>
    <w:rsid w:val="00550AB0"/>
    <w:rsid w:val="00550CBF"/>
    <w:rsid w:val="00550E84"/>
    <w:rsid w:val="00551368"/>
    <w:rsid w:val="005513AC"/>
    <w:rsid w:val="0055141A"/>
    <w:rsid w:val="00551759"/>
    <w:rsid w:val="005524B0"/>
    <w:rsid w:val="00552B0F"/>
    <w:rsid w:val="00552C3B"/>
    <w:rsid w:val="00552CD2"/>
    <w:rsid w:val="00552F7C"/>
    <w:rsid w:val="00552FCC"/>
    <w:rsid w:val="0055344F"/>
    <w:rsid w:val="00553893"/>
    <w:rsid w:val="00553D16"/>
    <w:rsid w:val="00553DFB"/>
    <w:rsid w:val="00554139"/>
    <w:rsid w:val="00554316"/>
    <w:rsid w:val="00554894"/>
    <w:rsid w:val="00554A84"/>
    <w:rsid w:val="00554B54"/>
    <w:rsid w:val="00554F08"/>
    <w:rsid w:val="00554FFD"/>
    <w:rsid w:val="005555DB"/>
    <w:rsid w:val="0055584F"/>
    <w:rsid w:val="0055587F"/>
    <w:rsid w:val="00555AE0"/>
    <w:rsid w:val="00555AEC"/>
    <w:rsid w:val="00555B16"/>
    <w:rsid w:val="00555F09"/>
    <w:rsid w:val="00556028"/>
    <w:rsid w:val="00556EFB"/>
    <w:rsid w:val="00557296"/>
    <w:rsid w:val="005577B0"/>
    <w:rsid w:val="00557B39"/>
    <w:rsid w:val="0056013B"/>
    <w:rsid w:val="00560192"/>
    <w:rsid w:val="00561241"/>
    <w:rsid w:val="00561AB3"/>
    <w:rsid w:val="00561E76"/>
    <w:rsid w:val="00562084"/>
    <w:rsid w:val="005623EA"/>
    <w:rsid w:val="005626AD"/>
    <w:rsid w:val="00562EA1"/>
    <w:rsid w:val="005630B7"/>
    <w:rsid w:val="005632E4"/>
    <w:rsid w:val="0056375B"/>
    <w:rsid w:val="00563DF2"/>
    <w:rsid w:val="005640E0"/>
    <w:rsid w:val="00564369"/>
    <w:rsid w:val="00564B82"/>
    <w:rsid w:val="00564C58"/>
    <w:rsid w:val="005651F4"/>
    <w:rsid w:val="00565333"/>
    <w:rsid w:val="0056574F"/>
    <w:rsid w:val="005658BD"/>
    <w:rsid w:val="00565AA0"/>
    <w:rsid w:val="00565BB7"/>
    <w:rsid w:val="00565DB9"/>
    <w:rsid w:val="0056644C"/>
    <w:rsid w:val="005669BC"/>
    <w:rsid w:val="00566AD4"/>
    <w:rsid w:val="00566D15"/>
    <w:rsid w:val="00567154"/>
    <w:rsid w:val="005672F8"/>
    <w:rsid w:val="00567562"/>
    <w:rsid w:val="005675DF"/>
    <w:rsid w:val="00567792"/>
    <w:rsid w:val="005679ED"/>
    <w:rsid w:val="00567BDA"/>
    <w:rsid w:val="00567BE3"/>
    <w:rsid w:val="00567DE1"/>
    <w:rsid w:val="00570EED"/>
    <w:rsid w:val="00570F18"/>
    <w:rsid w:val="0057107A"/>
    <w:rsid w:val="0057141A"/>
    <w:rsid w:val="005716FC"/>
    <w:rsid w:val="005717F7"/>
    <w:rsid w:val="0057198F"/>
    <w:rsid w:val="00571D2A"/>
    <w:rsid w:val="00571F9E"/>
    <w:rsid w:val="00571FE8"/>
    <w:rsid w:val="005723C9"/>
    <w:rsid w:val="00572546"/>
    <w:rsid w:val="005725E3"/>
    <w:rsid w:val="005727BD"/>
    <w:rsid w:val="00572C2A"/>
    <w:rsid w:val="00572EF2"/>
    <w:rsid w:val="00573587"/>
    <w:rsid w:val="00573B54"/>
    <w:rsid w:val="00573F56"/>
    <w:rsid w:val="005744F6"/>
    <w:rsid w:val="00574B37"/>
    <w:rsid w:val="00574CE4"/>
    <w:rsid w:val="005754ED"/>
    <w:rsid w:val="00575AE0"/>
    <w:rsid w:val="00575B15"/>
    <w:rsid w:val="00575B53"/>
    <w:rsid w:val="00575CAC"/>
    <w:rsid w:val="00575DEF"/>
    <w:rsid w:val="00575F16"/>
    <w:rsid w:val="00576C5F"/>
    <w:rsid w:val="00577004"/>
    <w:rsid w:val="005771F0"/>
    <w:rsid w:val="00577217"/>
    <w:rsid w:val="0057740D"/>
    <w:rsid w:val="005774BA"/>
    <w:rsid w:val="005778C8"/>
    <w:rsid w:val="005778EF"/>
    <w:rsid w:val="00577A25"/>
    <w:rsid w:val="00577A7F"/>
    <w:rsid w:val="00577CE8"/>
    <w:rsid w:val="0058013F"/>
    <w:rsid w:val="005801A4"/>
    <w:rsid w:val="00580A06"/>
    <w:rsid w:val="0058131B"/>
    <w:rsid w:val="005816FA"/>
    <w:rsid w:val="005818C7"/>
    <w:rsid w:val="0058211D"/>
    <w:rsid w:val="0058248A"/>
    <w:rsid w:val="005826EA"/>
    <w:rsid w:val="0058358D"/>
    <w:rsid w:val="0058385F"/>
    <w:rsid w:val="00583A33"/>
    <w:rsid w:val="00583DAA"/>
    <w:rsid w:val="00583E24"/>
    <w:rsid w:val="00583F94"/>
    <w:rsid w:val="0058453E"/>
    <w:rsid w:val="00584619"/>
    <w:rsid w:val="00584BE4"/>
    <w:rsid w:val="00584BFC"/>
    <w:rsid w:val="005852F7"/>
    <w:rsid w:val="0058546C"/>
    <w:rsid w:val="005854C4"/>
    <w:rsid w:val="00585A79"/>
    <w:rsid w:val="00585D6F"/>
    <w:rsid w:val="005860AF"/>
    <w:rsid w:val="005867D2"/>
    <w:rsid w:val="0058687D"/>
    <w:rsid w:val="005869CB"/>
    <w:rsid w:val="005870E2"/>
    <w:rsid w:val="0058724E"/>
    <w:rsid w:val="005875A5"/>
    <w:rsid w:val="00587876"/>
    <w:rsid w:val="0058798E"/>
    <w:rsid w:val="0059013D"/>
    <w:rsid w:val="00590781"/>
    <w:rsid w:val="00590862"/>
    <w:rsid w:val="005909A8"/>
    <w:rsid w:val="00590D4E"/>
    <w:rsid w:val="00590E3D"/>
    <w:rsid w:val="005910E0"/>
    <w:rsid w:val="00591C16"/>
    <w:rsid w:val="00592808"/>
    <w:rsid w:val="00592A0D"/>
    <w:rsid w:val="00592A8E"/>
    <w:rsid w:val="00592B45"/>
    <w:rsid w:val="00592EE0"/>
    <w:rsid w:val="00593FA4"/>
    <w:rsid w:val="00594376"/>
    <w:rsid w:val="005944B6"/>
    <w:rsid w:val="0059489A"/>
    <w:rsid w:val="00594A61"/>
    <w:rsid w:val="00594F1D"/>
    <w:rsid w:val="00594F6F"/>
    <w:rsid w:val="005953AD"/>
    <w:rsid w:val="005956B6"/>
    <w:rsid w:val="005956E3"/>
    <w:rsid w:val="00595894"/>
    <w:rsid w:val="00595992"/>
    <w:rsid w:val="00595996"/>
    <w:rsid w:val="00596154"/>
    <w:rsid w:val="005963CC"/>
    <w:rsid w:val="00596841"/>
    <w:rsid w:val="00596861"/>
    <w:rsid w:val="00596C9B"/>
    <w:rsid w:val="00596E19"/>
    <w:rsid w:val="00596E80"/>
    <w:rsid w:val="005978AA"/>
    <w:rsid w:val="0059794D"/>
    <w:rsid w:val="00597AA8"/>
    <w:rsid w:val="005A02D7"/>
    <w:rsid w:val="005A07F1"/>
    <w:rsid w:val="005A0E45"/>
    <w:rsid w:val="005A1113"/>
    <w:rsid w:val="005A1369"/>
    <w:rsid w:val="005A16FB"/>
    <w:rsid w:val="005A1986"/>
    <w:rsid w:val="005A1C71"/>
    <w:rsid w:val="005A2049"/>
    <w:rsid w:val="005A241E"/>
    <w:rsid w:val="005A27FB"/>
    <w:rsid w:val="005A28B4"/>
    <w:rsid w:val="005A2FEF"/>
    <w:rsid w:val="005A38AA"/>
    <w:rsid w:val="005A3C3C"/>
    <w:rsid w:val="005A3C9B"/>
    <w:rsid w:val="005A418F"/>
    <w:rsid w:val="005A46A3"/>
    <w:rsid w:val="005A46F6"/>
    <w:rsid w:val="005A472C"/>
    <w:rsid w:val="005A4869"/>
    <w:rsid w:val="005A4897"/>
    <w:rsid w:val="005A4A43"/>
    <w:rsid w:val="005A4C3D"/>
    <w:rsid w:val="005A4C76"/>
    <w:rsid w:val="005A51A0"/>
    <w:rsid w:val="005A5325"/>
    <w:rsid w:val="005A5557"/>
    <w:rsid w:val="005A573A"/>
    <w:rsid w:val="005A61A7"/>
    <w:rsid w:val="005A61F3"/>
    <w:rsid w:val="005A627D"/>
    <w:rsid w:val="005A6F61"/>
    <w:rsid w:val="005A6F92"/>
    <w:rsid w:val="005A6FED"/>
    <w:rsid w:val="005A70E5"/>
    <w:rsid w:val="005A7323"/>
    <w:rsid w:val="005A777A"/>
    <w:rsid w:val="005A78B2"/>
    <w:rsid w:val="005A7A57"/>
    <w:rsid w:val="005A7AA4"/>
    <w:rsid w:val="005B05E7"/>
    <w:rsid w:val="005B0AE8"/>
    <w:rsid w:val="005B0B39"/>
    <w:rsid w:val="005B10EF"/>
    <w:rsid w:val="005B13CE"/>
    <w:rsid w:val="005B166A"/>
    <w:rsid w:val="005B1A25"/>
    <w:rsid w:val="005B1B3E"/>
    <w:rsid w:val="005B1BC4"/>
    <w:rsid w:val="005B1D50"/>
    <w:rsid w:val="005B25CE"/>
    <w:rsid w:val="005B2836"/>
    <w:rsid w:val="005B2C40"/>
    <w:rsid w:val="005B2D3D"/>
    <w:rsid w:val="005B3B14"/>
    <w:rsid w:val="005B3C66"/>
    <w:rsid w:val="005B3D11"/>
    <w:rsid w:val="005B411C"/>
    <w:rsid w:val="005B4BA3"/>
    <w:rsid w:val="005B4DCE"/>
    <w:rsid w:val="005B4E4D"/>
    <w:rsid w:val="005B5538"/>
    <w:rsid w:val="005B5BD2"/>
    <w:rsid w:val="005B5D5F"/>
    <w:rsid w:val="005B5EB9"/>
    <w:rsid w:val="005B63CD"/>
    <w:rsid w:val="005B6661"/>
    <w:rsid w:val="005B668D"/>
    <w:rsid w:val="005B6894"/>
    <w:rsid w:val="005B6B61"/>
    <w:rsid w:val="005B6C18"/>
    <w:rsid w:val="005B6E5D"/>
    <w:rsid w:val="005B6ED8"/>
    <w:rsid w:val="005B6F74"/>
    <w:rsid w:val="005B6FEC"/>
    <w:rsid w:val="005B6FF5"/>
    <w:rsid w:val="005B7121"/>
    <w:rsid w:val="005B7243"/>
    <w:rsid w:val="005B779C"/>
    <w:rsid w:val="005B7B2E"/>
    <w:rsid w:val="005B7B47"/>
    <w:rsid w:val="005C01A8"/>
    <w:rsid w:val="005C06F8"/>
    <w:rsid w:val="005C072C"/>
    <w:rsid w:val="005C0E15"/>
    <w:rsid w:val="005C1023"/>
    <w:rsid w:val="005C1384"/>
    <w:rsid w:val="005C13B2"/>
    <w:rsid w:val="005C17A1"/>
    <w:rsid w:val="005C1815"/>
    <w:rsid w:val="005C1A12"/>
    <w:rsid w:val="005C1AEC"/>
    <w:rsid w:val="005C1FC1"/>
    <w:rsid w:val="005C27E3"/>
    <w:rsid w:val="005C33AA"/>
    <w:rsid w:val="005C3428"/>
    <w:rsid w:val="005C364A"/>
    <w:rsid w:val="005C37CB"/>
    <w:rsid w:val="005C3BE8"/>
    <w:rsid w:val="005C3EF8"/>
    <w:rsid w:val="005C3FE3"/>
    <w:rsid w:val="005C43CC"/>
    <w:rsid w:val="005C459C"/>
    <w:rsid w:val="005C475A"/>
    <w:rsid w:val="005C553F"/>
    <w:rsid w:val="005C5AB2"/>
    <w:rsid w:val="005C5C95"/>
    <w:rsid w:val="005C614F"/>
    <w:rsid w:val="005C71FB"/>
    <w:rsid w:val="005C74C5"/>
    <w:rsid w:val="005C76CC"/>
    <w:rsid w:val="005C7775"/>
    <w:rsid w:val="005C7FCF"/>
    <w:rsid w:val="005D02FB"/>
    <w:rsid w:val="005D1457"/>
    <w:rsid w:val="005D14B9"/>
    <w:rsid w:val="005D1A9F"/>
    <w:rsid w:val="005D1C71"/>
    <w:rsid w:val="005D1D91"/>
    <w:rsid w:val="005D28CC"/>
    <w:rsid w:val="005D292F"/>
    <w:rsid w:val="005D2A87"/>
    <w:rsid w:val="005D3264"/>
    <w:rsid w:val="005D34EA"/>
    <w:rsid w:val="005D368B"/>
    <w:rsid w:val="005D3E8E"/>
    <w:rsid w:val="005D40A9"/>
    <w:rsid w:val="005D42BD"/>
    <w:rsid w:val="005D45B5"/>
    <w:rsid w:val="005D4661"/>
    <w:rsid w:val="005D4C57"/>
    <w:rsid w:val="005D4FE1"/>
    <w:rsid w:val="005D5075"/>
    <w:rsid w:val="005D50C0"/>
    <w:rsid w:val="005D52FA"/>
    <w:rsid w:val="005D5403"/>
    <w:rsid w:val="005D600F"/>
    <w:rsid w:val="005D6013"/>
    <w:rsid w:val="005D6612"/>
    <w:rsid w:val="005D66F5"/>
    <w:rsid w:val="005D697E"/>
    <w:rsid w:val="005D7088"/>
    <w:rsid w:val="005D76AE"/>
    <w:rsid w:val="005D76DE"/>
    <w:rsid w:val="005D7713"/>
    <w:rsid w:val="005D777B"/>
    <w:rsid w:val="005D77DE"/>
    <w:rsid w:val="005D7D29"/>
    <w:rsid w:val="005D7EBF"/>
    <w:rsid w:val="005E05A1"/>
    <w:rsid w:val="005E09E4"/>
    <w:rsid w:val="005E0D78"/>
    <w:rsid w:val="005E1726"/>
    <w:rsid w:val="005E235A"/>
    <w:rsid w:val="005E2513"/>
    <w:rsid w:val="005E25C0"/>
    <w:rsid w:val="005E266F"/>
    <w:rsid w:val="005E2BCF"/>
    <w:rsid w:val="005E2FA1"/>
    <w:rsid w:val="005E380D"/>
    <w:rsid w:val="005E38DE"/>
    <w:rsid w:val="005E3B4C"/>
    <w:rsid w:val="005E3F34"/>
    <w:rsid w:val="005E421C"/>
    <w:rsid w:val="005E4241"/>
    <w:rsid w:val="005E4A2D"/>
    <w:rsid w:val="005E4EF0"/>
    <w:rsid w:val="005E50E8"/>
    <w:rsid w:val="005E554C"/>
    <w:rsid w:val="005E5734"/>
    <w:rsid w:val="005E5741"/>
    <w:rsid w:val="005E5EC3"/>
    <w:rsid w:val="005E602B"/>
    <w:rsid w:val="005E6150"/>
    <w:rsid w:val="005E61B6"/>
    <w:rsid w:val="005E6487"/>
    <w:rsid w:val="005E650B"/>
    <w:rsid w:val="005E651F"/>
    <w:rsid w:val="005E664C"/>
    <w:rsid w:val="005E6971"/>
    <w:rsid w:val="005E6D4E"/>
    <w:rsid w:val="005E73CE"/>
    <w:rsid w:val="005E77E3"/>
    <w:rsid w:val="005F0616"/>
    <w:rsid w:val="005F0727"/>
    <w:rsid w:val="005F07DC"/>
    <w:rsid w:val="005F0C34"/>
    <w:rsid w:val="005F0EAB"/>
    <w:rsid w:val="005F0FB4"/>
    <w:rsid w:val="005F13BD"/>
    <w:rsid w:val="005F1859"/>
    <w:rsid w:val="005F1AC8"/>
    <w:rsid w:val="005F1B25"/>
    <w:rsid w:val="005F21AF"/>
    <w:rsid w:val="005F21FB"/>
    <w:rsid w:val="005F257C"/>
    <w:rsid w:val="005F25E2"/>
    <w:rsid w:val="005F27E3"/>
    <w:rsid w:val="005F2B4F"/>
    <w:rsid w:val="005F347F"/>
    <w:rsid w:val="005F35AA"/>
    <w:rsid w:val="005F38CE"/>
    <w:rsid w:val="005F40DE"/>
    <w:rsid w:val="005F4421"/>
    <w:rsid w:val="005F4927"/>
    <w:rsid w:val="005F49F4"/>
    <w:rsid w:val="005F4ABD"/>
    <w:rsid w:val="005F4B7D"/>
    <w:rsid w:val="005F4D34"/>
    <w:rsid w:val="005F4DB6"/>
    <w:rsid w:val="005F4E65"/>
    <w:rsid w:val="005F4F77"/>
    <w:rsid w:val="005F54B4"/>
    <w:rsid w:val="005F557D"/>
    <w:rsid w:val="005F56F3"/>
    <w:rsid w:val="005F59E5"/>
    <w:rsid w:val="005F5A0F"/>
    <w:rsid w:val="005F5EDF"/>
    <w:rsid w:val="005F6035"/>
    <w:rsid w:val="005F61C5"/>
    <w:rsid w:val="005F63D8"/>
    <w:rsid w:val="005F64FB"/>
    <w:rsid w:val="005F67EC"/>
    <w:rsid w:val="005F6A3F"/>
    <w:rsid w:val="005F6BBB"/>
    <w:rsid w:val="005F6C45"/>
    <w:rsid w:val="005F71EC"/>
    <w:rsid w:val="005F789F"/>
    <w:rsid w:val="006000CD"/>
    <w:rsid w:val="006000FB"/>
    <w:rsid w:val="00600265"/>
    <w:rsid w:val="006006E4"/>
    <w:rsid w:val="00600754"/>
    <w:rsid w:val="0060119A"/>
    <w:rsid w:val="00601EEC"/>
    <w:rsid w:val="006022D0"/>
    <w:rsid w:val="0060251E"/>
    <w:rsid w:val="00602A68"/>
    <w:rsid w:val="00602DDE"/>
    <w:rsid w:val="00602E0C"/>
    <w:rsid w:val="0060339B"/>
    <w:rsid w:val="00603552"/>
    <w:rsid w:val="00603F9A"/>
    <w:rsid w:val="006046E4"/>
    <w:rsid w:val="00604BC5"/>
    <w:rsid w:val="00604D85"/>
    <w:rsid w:val="00605037"/>
    <w:rsid w:val="0060577C"/>
    <w:rsid w:val="006058B4"/>
    <w:rsid w:val="006059B6"/>
    <w:rsid w:val="00605E04"/>
    <w:rsid w:val="00605E0D"/>
    <w:rsid w:val="00605FFE"/>
    <w:rsid w:val="006063F2"/>
    <w:rsid w:val="0060650C"/>
    <w:rsid w:val="00606B37"/>
    <w:rsid w:val="00606FF6"/>
    <w:rsid w:val="00607252"/>
    <w:rsid w:val="00607624"/>
    <w:rsid w:val="00607C2E"/>
    <w:rsid w:val="00610137"/>
    <w:rsid w:val="0061038C"/>
    <w:rsid w:val="006106C1"/>
    <w:rsid w:val="006106F4"/>
    <w:rsid w:val="00610B28"/>
    <w:rsid w:val="00610F52"/>
    <w:rsid w:val="0061124A"/>
    <w:rsid w:val="006112D0"/>
    <w:rsid w:val="0061167D"/>
    <w:rsid w:val="0061169D"/>
    <w:rsid w:val="00611737"/>
    <w:rsid w:val="00611752"/>
    <w:rsid w:val="00611B07"/>
    <w:rsid w:val="00611C1D"/>
    <w:rsid w:val="00611C60"/>
    <w:rsid w:val="00611F0D"/>
    <w:rsid w:val="00612019"/>
    <w:rsid w:val="00612388"/>
    <w:rsid w:val="00612904"/>
    <w:rsid w:val="00612E32"/>
    <w:rsid w:val="00612FDD"/>
    <w:rsid w:val="006133A6"/>
    <w:rsid w:val="006134CA"/>
    <w:rsid w:val="006136FB"/>
    <w:rsid w:val="00613846"/>
    <w:rsid w:val="00613ECE"/>
    <w:rsid w:val="0061461E"/>
    <w:rsid w:val="00614646"/>
    <w:rsid w:val="006148C3"/>
    <w:rsid w:val="0061494C"/>
    <w:rsid w:val="00614B35"/>
    <w:rsid w:val="00614DE8"/>
    <w:rsid w:val="006152D6"/>
    <w:rsid w:val="006154EE"/>
    <w:rsid w:val="00615A35"/>
    <w:rsid w:val="006165A9"/>
    <w:rsid w:val="00616755"/>
    <w:rsid w:val="00616782"/>
    <w:rsid w:val="00616B8C"/>
    <w:rsid w:val="00616BC0"/>
    <w:rsid w:val="00617108"/>
    <w:rsid w:val="00617211"/>
    <w:rsid w:val="00617264"/>
    <w:rsid w:val="0061750E"/>
    <w:rsid w:val="006175A7"/>
    <w:rsid w:val="00617652"/>
    <w:rsid w:val="0061784D"/>
    <w:rsid w:val="00617B8B"/>
    <w:rsid w:val="00617C18"/>
    <w:rsid w:val="00617C50"/>
    <w:rsid w:val="00617F79"/>
    <w:rsid w:val="00620231"/>
    <w:rsid w:val="0062025B"/>
    <w:rsid w:val="006207B2"/>
    <w:rsid w:val="006207ED"/>
    <w:rsid w:val="00620AFF"/>
    <w:rsid w:val="00620B98"/>
    <w:rsid w:val="0062140E"/>
    <w:rsid w:val="00622143"/>
    <w:rsid w:val="00622388"/>
    <w:rsid w:val="00622669"/>
    <w:rsid w:val="0062286A"/>
    <w:rsid w:val="00622B1A"/>
    <w:rsid w:val="00622E0B"/>
    <w:rsid w:val="00622EFD"/>
    <w:rsid w:val="00622FE1"/>
    <w:rsid w:val="006230E8"/>
    <w:rsid w:val="0062325B"/>
    <w:rsid w:val="00623438"/>
    <w:rsid w:val="006237DE"/>
    <w:rsid w:val="00623960"/>
    <w:rsid w:val="00624012"/>
    <w:rsid w:val="006240FF"/>
    <w:rsid w:val="0062416C"/>
    <w:rsid w:val="006241BC"/>
    <w:rsid w:val="00624470"/>
    <w:rsid w:val="00624510"/>
    <w:rsid w:val="0062488E"/>
    <w:rsid w:val="006249B1"/>
    <w:rsid w:val="00624CAC"/>
    <w:rsid w:val="00624F4E"/>
    <w:rsid w:val="00624F7C"/>
    <w:rsid w:val="006253B7"/>
    <w:rsid w:val="00625C1A"/>
    <w:rsid w:val="00625C77"/>
    <w:rsid w:val="00625CE5"/>
    <w:rsid w:val="00625EE9"/>
    <w:rsid w:val="00626071"/>
    <w:rsid w:val="00626216"/>
    <w:rsid w:val="00626652"/>
    <w:rsid w:val="006267E9"/>
    <w:rsid w:val="00626C37"/>
    <w:rsid w:val="00626C39"/>
    <w:rsid w:val="00626F07"/>
    <w:rsid w:val="00626FCF"/>
    <w:rsid w:val="0062707D"/>
    <w:rsid w:val="006274F5"/>
    <w:rsid w:val="00630256"/>
    <w:rsid w:val="006305DA"/>
    <w:rsid w:val="0063071F"/>
    <w:rsid w:val="0063075D"/>
    <w:rsid w:val="006309D8"/>
    <w:rsid w:val="00630C5E"/>
    <w:rsid w:val="00630CFB"/>
    <w:rsid w:val="00631655"/>
    <w:rsid w:val="00631873"/>
    <w:rsid w:val="00631891"/>
    <w:rsid w:val="006318C0"/>
    <w:rsid w:val="00631BCE"/>
    <w:rsid w:val="00631E00"/>
    <w:rsid w:val="00631E43"/>
    <w:rsid w:val="00632111"/>
    <w:rsid w:val="00632459"/>
    <w:rsid w:val="0063251C"/>
    <w:rsid w:val="006326DF"/>
    <w:rsid w:val="006327CF"/>
    <w:rsid w:val="00632B0E"/>
    <w:rsid w:val="00632E50"/>
    <w:rsid w:val="00632FD8"/>
    <w:rsid w:val="00633C36"/>
    <w:rsid w:val="00633C83"/>
    <w:rsid w:val="0063426D"/>
    <w:rsid w:val="0063440B"/>
    <w:rsid w:val="0063461D"/>
    <w:rsid w:val="006347E7"/>
    <w:rsid w:val="006347F4"/>
    <w:rsid w:val="00634826"/>
    <w:rsid w:val="00634AA9"/>
    <w:rsid w:val="00634B42"/>
    <w:rsid w:val="00634D4F"/>
    <w:rsid w:val="00634D53"/>
    <w:rsid w:val="00635027"/>
    <w:rsid w:val="00635560"/>
    <w:rsid w:val="006355C4"/>
    <w:rsid w:val="00635CB0"/>
    <w:rsid w:val="00636486"/>
    <w:rsid w:val="0063660C"/>
    <w:rsid w:val="00636664"/>
    <w:rsid w:val="00636694"/>
    <w:rsid w:val="00636EBB"/>
    <w:rsid w:val="00637170"/>
    <w:rsid w:val="00637208"/>
    <w:rsid w:val="006374E0"/>
    <w:rsid w:val="00637764"/>
    <w:rsid w:val="00637C38"/>
    <w:rsid w:val="00637CBA"/>
    <w:rsid w:val="0064009D"/>
    <w:rsid w:val="00640576"/>
    <w:rsid w:val="0064059A"/>
    <w:rsid w:val="00640962"/>
    <w:rsid w:val="00640AC5"/>
    <w:rsid w:val="0064126C"/>
    <w:rsid w:val="006413AA"/>
    <w:rsid w:val="006416D2"/>
    <w:rsid w:val="00641A83"/>
    <w:rsid w:val="00641D62"/>
    <w:rsid w:val="00641D96"/>
    <w:rsid w:val="00641F5D"/>
    <w:rsid w:val="006423AA"/>
    <w:rsid w:val="00642E37"/>
    <w:rsid w:val="00642F08"/>
    <w:rsid w:val="0064319B"/>
    <w:rsid w:val="00643AF4"/>
    <w:rsid w:val="00643E35"/>
    <w:rsid w:val="00644178"/>
    <w:rsid w:val="006441F6"/>
    <w:rsid w:val="0064422A"/>
    <w:rsid w:val="00644727"/>
    <w:rsid w:val="00644A7B"/>
    <w:rsid w:val="00644D3A"/>
    <w:rsid w:val="00644DE9"/>
    <w:rsid w:val="00644FC4"/>
    <w:rsid w:val="0064516B"/>
    <w:rsid w:val="006455AF"/>
    <w:rsid w:val="00645BDE"/>
    <w:rsid w:val="00645E59"/>
    <w:rsid w:val="00645F5B"/>
    <w:rsid w:val="006465C3"/>
    <w:rsid w:val="0064669D"/>
    <w:rsid w:val="00646C6F"/>
    <w:rsid w:val="006470C4"/>
    <w:rsid w:val="00647163"/>
    <w:rsid w:val="0064720C"/>
    <w:rsid w:val="0064722E"/>
    <w:rsid w:val="006478DF"/>
    <w:rsid w:val="00647A7F"/>
    <w:rsid w:val="00650941"/>
    <w:rsid w:val="00650C28"/>
    <w:rsid w:val="00650E6D"/>
    <w:rsid w:val="006510CE"/>
    <w:rsid w:val="006512D6"/>
    <w:rsid w:val="00651812"/>
    <w:rsid w:val="0065196B"/>
    <w:rsid w:val="00651BBB"/>
    <w:rsid w:val="00651C59"/>
    <w:rsid w:val="00651D74"/>
    <w:rsid w:val="00652880"/>
    <w:rsid w:val="00652C3A"/>
    <w:rsid w:val="00652DB7"/>
    <w:rsid w:val="00652FCE"/>
    <w:rsid w:val="0065394F"/>
    <w:rsid w:val="00653B1B"/>
    <w:rsid w:val="006541F5"/>
    <w:rsid w:val="00654353"/>
    <w:rsid w:val="006543BA"/>
    <w:rsid w:val="00654926"/>
    <w:rsid w:val="00654D72"/>
    <w:rsid w:val="006553F3"/>
    <w:rsid w:val="0065550B"/>
    <w:rsid w:val="006556D1"/>
    <w:rsid w:val="006556D9"/>
    <w:rsid w:val="00655AEE"/>
    <w:rsid w:val="00655BB2"/>
    <w:rsid w:val="0065607A"/>
    <w:rsid w:val="006564CB"/>
    <w:rsid w:val="006565F7"/>
    <w:rsid w:val="006566BF"/>
    <w:rsid w:val="00656CDB"/>
    <w:rsid w:val="00656DA0"/>
    <w:rsid w:val="00657123"/>
    <w:rsid w:val="00657189"/>
    <w:rsid w:val="0065724E"/>
    <w:rsid w:val="006576EC"/>
    <w:rsid w:val="00657F90"/>
    <w:rsid w:val="006600DB"/>
    <w:rsid w:val="006613C0"/>
    <w:rsid w:val="0066194E"/>
    <w:rsid w:val="00661C46"/>
    <w:rsid w:val="0066202F"/>
    <w:rsid w:val="006622A8"/>
    <w:rsid w:val="006626BE"/>
    <w:rsid w:val="006630FC"/>
    <w:rsid w:val="00663147"/>
    <w:rsid w:val="00663344"/>
    <w:rsid w:val="006636F0"/>
    <w:rsid w:val="00663C93"/>
    <w:rsid w:val="00663DFB"/>
    <w:rsid w:val="00664416"/>
    <w:rsid w:val="006644E1"/>
    <w:rsid w:val="006645EC"/>
    <w:rsid w:val="00664642"/>
    <w:rsid w:val="00664674"/>
    <w:rsid w:val="00664C0C"/>
    <w:rsid w:val="00664D1C"/>
    <w:rsid w:val="0066506E"/>
    <w:rsid w:val="006652D3"/>
    <w:rsid w:val="0066540D"/>
    <w:rsid w:val="00665888"/>
    <w:rsid w:val="00666CBE"/>
    <w:rsid w:val="00667409"/>
    <w:rsid w:val="00667B59"/>
    <w:rsid w:val="00667BC6"/>
    <w:rsid w:val="00667C3E"/>
    <w:rsid w:val="00667CF3"/>
    <w:rsid w:val="00667F94"/>
    <w:rsid w:val="00670380"/>
    <w:rsid w:val="0067050A"/>
    <w:rsid w:val="006705D5"/>
    <w:rsid w:val="006706B5"/>
    <w:rsid w:val="00670722"/>
    <w:rsid w:val="00670C07"/>
    <w:rsid w:val="00670F72"/>
    <w:rsid w:val="00670F81"/>
    <w:rsid w:val="00671047"/>
    <w:rsid w:val="0067158A"/>
    <w:rsid w:val="00671738"/>
    <w:rsid w:val="006719B2"/>
    <w:rsid w:val="00671FF4"/>
    <w:rsid w:val="00672C45"/>
    <w:rsid w:val="00672F79"/>
    <w:rsid w:val="0067319C"/>
    <w:rsid w:val="00673DC1"/>
    <w:rsid w:val="00673F42"/>
    <w:rsid w:val="00674042"/>
    <w:rsid w:val="006744B2"/>
    <w:rsid w:val="00674D58"/>
    <w:rsid w:val="0067584C"/>
    <w:rsid w:val="006758C9"/>
    <w:rsid w:val="00675A5F"/>
    <w:rsid w:val="006764BC"/>
    <w:rsid w:val="006769C4"/>
    <w:rsid w:val="00676C6F"/>
    <w:rsid w:val="00677456"/>
    <w:rsid w:val="006774B0"/>
    <w:rsid w:val="00677627"/>
    <w:rsid w:val="006776C7"/>
    <w:rsid w:val="00677743"/>
    <w:rsid w:val="00677A67"/>
    <w:rsid w:val="00677A87"/>
    <w:rsid w:val="00677BD5"/>
    <w:rsid w:val="00677E3C"/>
    <w:rsid w:val="0068025E"/>
    <w:rsid w:val="0068051B"/>
    <w:rsid w:val="006805D9"/>
    <w:rsid w:val="00680912"/>
    <w:rsid w:val="00680E8B"/>
    <w:rsid w:val="0068150F"/>
    <w:rsid w:val="006818D0"/>
    <w:rsid w:val="006819A3"/>
    <w:rsid w:val="00681D51"/>
    <w:rsid w:val="00681E05"/>
    <w:rsid w:val="00681E2F"/>
    <w:rsid w:val="00682129"/>
    <w:rsid w:val="0068266C"/>
    <w:rsid w:val="00682E55"/>
    <w:rsid w:val="0068340E"/>
    <w:rsid w:val="00683528"/>
    <w:rsid w:val="00683722"/>
    <w:rsid w:val="00683D2F"/>
    <w:rsid w:val="00684044"/>
    <w:rsid w:val="006840B2"/>
    <w:rsid w:val="006843F6"/>
    <w:rsid w:val="0068491F"/>
    <w:rsid w:val="00684E86"/>
    <w:rsid w:val="00684F4C"/>
    <w:rsid w:val="006851A2"/>
    <w:rsid w:val="0068563E"/>
    <w:rsid w:val="00685DE4"/>
    <w:rsid w:val="00686118"/>
    <w:rsid w:val="006861C0"/>
    <w:rsid w:val="00686596"/>
    <w:rsid w:val="00686CC2"/>
    <w:rsid w:val="00686F00"/>
    <w:rsid w:val="00687C97"/>
    <w:rsid w:val="00687D5A"/>
    <w:rsid w:val="00690324"/>
    <w:rsid w:val="006904C2"/>
    <w:rsid w:val="006904DD"/>
    <w:rsid w:val="00690524"/>
    <w:rsid w:val="00690E71"/>
    <w:rsid w:val="006911C8"/>
    <w:rsid w:val="00691459"/>
    <w:rsid w:val="00692D12"/>
    <w:rsid w:val="00693137"/>
    <w:rsid w:val="00693531"/>
    <w:rsid w:val="00693842"/>
    <w:rsid w:val="00693888"/>
    <w:rsid w:val="00693C87"/>
    <w:rsid w:val="00693D3E"/>
    <w:rsid w:val="0069457A"/>
    <w:rsid w:val="006949A7"/>
    <w:rsid w:val="00694B65"/>
    <w:rsid w:val="00694C69"/>
    <w:rsid w:val="00694D53"/>
    <w:rsid w:val="00694E58"/>
    <w:rsid w:val="00694FD4"/>
    <w:rsid w:val="006951CE"/>
    <w:rsid w:val="006951E5"/>
    <w:rsid w:val="006951FF"/>
    <w:rsid w:val="00695B5A"/>
    <w:rsid w:val="00695D1E"/>
    <w:rsid w:val="00695FCA"/>
    <w:rsid w:val="00696335"/>
    <w:rsid w:val="00696A4D"/>
    <w:rsid w:val="00696C70"/>
    <w:rsid w:val="00697AC9"/>
    <w:rsid w:val="00697D19"/>
    <w:rsid w:val="006A0052"/>
    <w:rsid w:val="006A05C7"/>
    <w:rsid w:val="006A08CA"/>
    <w:rsid w:val="006A0E43"/>
    <w:rsid w:val="006A102D"/>
    <w:rsid w:val="006A11E4"/>
    <w:rsid w:val="006A15CF"/>
    <w:rsid w:val="006A16F0"/>
    <w:rsid w:val="006A20A4"/>
    <w:rsid w:val="006A23BF"/>
    <w:rsid w:val="006A29FF"/>
    <w:rsid w:val="006A2AB9"/>
    <w:rsid w:val="006A2DB4"/>
    <w:rsid w:val="006A350E"/>
    <w:rsid w:val="006A414D"/>
    <w:rsid w:val="006A41F8"/>
    <w:rsid w:val="006A42A5"/>
    <w:rsid w:val="006A451E"/>
    <w:rsid w:val="006A45BB"/>
    <w:rsid w:val="006A4E52"/>
    <w:rsid w:val="006A4FC8"/>
    <w:rsid w:val="006A50F1"/>
    <w:rsid w:val="006A517B"/>
    <w:rsid w:val="006A55E1"/>
    <w:rsid w:val="006A603D"/>
    <w:rsid w:val="006A607B"/>
    <w:rsid w:val="006A61EC"/>
    <w:rsid w:val="006A6296"/>
    <w:rsid w:val="006A6E27"/>
    <w:rsid w:val="006A6EAC"/>
    <w:rsid w:val="006A6FB8"/>
    <w:rsid w:val="006A72B0"/>
    <w:rsid w:val="006A74E5"/>
    <w:rsid w:val="006A7AB4"/>
    <w:rsid w:val="006B0060"/>
    <w:rsid w:val="006B02C4"/>
    <w:rsid w:val="006B04FE"/>
    <w:rsid w:val="006B05D4"/>
    <w:rsid w:val="006B075C"/>
    <w:rsid w:val="006B0856"/>
    <w:rsid w:val="006B0894"/>
    <w:rsid w:val="006B18C5"/>
    <w:rsid w:val="006B1932"/>
    <w:rsid w:val="006B1B85"/>
    <w:rsid w:val="006B1F47"/>
    <w:rsid w:val="006B1FDA"/>
    <w:rsid w:val="006B3462"/>
    <w:rsid w:val="006B36AE"/>
    <w:rsid w:val="006B3980"/>
    <w:rsid w:val="006B3DC7"/>
    <w:rsid w:val="006B3E4D"/>
    <w:rsid w:val="006B417B"/>
    <w:rsid w:val="006B4449"/>
    <w:rsid w:val="006B474F"/>
    <w:rsid w:val="006B49BA"/>
    <w:rsid w:val="006B4C0C"/>
    <w:rsid w:val="006B4EAB"/>
    <w:rsid w:val="006B5091"/>
    <w:rsid w:val="006B50B8"/>
    <w:rsid w:val="006B50F9"/>
    <w:rsid w:val="006B5756"/>
    <w:rsid w:val="006B5A61"/>
    <w:rsid w:val="006B5C4C"/>
    <w:rsid w:val="006B5D79"/>
    <w:rsid w:val="006B5FBC"/>
    <w:rsid w:val="006B64E8"/>
    <w:rsid w:val="006B654C"/>
    <w:rsid w:val="006B6AEF"/>
    <w:rsid w:val="006B6DA1"/>
    <w:rsid w:val="006B76C2"/>
    <w:rsid w:val="006B7877"/>
    <w:rsid w:val="006B7CBC"/>
    <w:rsid w:val="006C02CD"/>
    <w:rsid w:val="006C06A9"/>
    <w:rsid w:val="006C132E"/>
    <w:rsid w:val="006C13A3"/>
    <w:rsid w:val="006C157B"/>
    <w:rsid w:val="006C1822"/>
    <w:rsid w:val="006C21F1"/>
    <w:rsid w:val="006C2533"/>
    <w:rsid w:val="006C2ABA"/>
    <w:rsid w:val="006C2B59"/>
    <w:rsid w:val="006C2C86"/>
    <w:rsid w:val="006C2C8B"/>
    <w:rsid w:val="006C2D1A"/>
    <w:rsid w:val="006C34A1"/>
    <w:rsid w:val="006C3686"/>
    <w:rsid w:val="006C38EF"/>
    <w:rsid w:val="006C3BCF"/>
    <w:rsid w:val="006C3BEF"/>
    <w:rsid w:val="006C3EBC"/>
    <w:rsid w:val="006C4043"/>
    <w:rsid w:val="006C41C1"/>
    <w:rsid w:val="006C41ED"/>
    <w:rsid w:val="006C43FB"/>
    <w:rsid w:val="006C4950"/>
    <w:rsid w:val="006C49AF"/>
    <w:rsid w:val="006C4F0A"/>
    <w:rsid w:val="006C52B9"/>
    <w:rsid w:val="006C559A"/>
    <w:rsid w:val="006C58E3"/>
    <w:rsid w:val="006C5A8D"/>
    <w:rsid w:val="006C5CDD"/>
    <w:rsid w:val="006C5D0C"/>
    <w:rsid w:val="006C6346"/>
    <w:rsid w:val="006C6ED1"/>
    <w:rsid w:val="006C6F68"/>
    <w:rsid w:val="006C70DC"/>
    <w:rsid w:val="006C7FB8"/>
    <w:rsid w:val="006C7FF1"/>
    <w:rsid w:val="006D02AA"/>
    <w:rsid w:val="006D0F89"/>
    <w:rsid w:val="006D1A50"/>
    <w:rsid w:val="006D1DFE"/>
    <w:rsid w:val="006D20A4"/>
    <w:rsid w:val="006D2560"/>
    <w:rsid w:val="006D328B"/>
    <w:rsid w:val="006D339B"/>
    <w:rsid w:val="006D3620"/>
    <w:rsid w:val="006D41CE"/>
    <w:rsid w:val="006D460E"/>
    <w:rsid w:val="006D472A"/>
    <w:rsid w:val="006D4CA2"/>
    <w:rsid w:val="006D5176"/>
    <w:rsid w:val="006D5201"/>
    <w:rsid w:val="006D5313"/>
    <w:rsid w:val="006D535C"/>
    <w:rsid w:val="006D5510"/>
    <w:rsid w:val="006D55C0"/>
    <w:rsid w:val="006D5820"/>
    <w:rsid w:val="006D5886"/>
    <w:rsid w:val="006D5F9A"/>
    <w:rsid w:val="006D6703"/>
    <w:rsid w:val="006D6944"/>
    <w:rsid w:val="006D6989"/>
    <w:rsid w:val="006D6F24"/>
    <w:rsid w:val="006D6F5B"/>
    <w:rsid w:val="006D74ED"/>
    <w:rsid w:val="006D78EB"/>
    <w:rsid w:val="006D7C6D"/>
    <w:rsid w:val="006E0499"/>
    <w:rsid w:val="006E058C"/>
    <w:rsid w:val="006E0922"/>
    <w:rsid w:val="006E0B0D"/>
    <w:rsid w:val="006E0E72"/>
    <w:rsid w:val="006E0ED9"/>
    <w:rsid w:val="006E0EF4"/>
    <w:rsid w:val="006E0F5D"/>
    <w:rsid w:val="006E0FA4"/>
    <w:rsid w:val="006E13A6"/>
    <w:rsid w:val="006E13C3"/>
    <w:rsid w:val="006E1629"/>
    <w:rsid w:val="006E16F2"/>
    <w:rsid w:val="006E2008"/>
    <w:rsid w:val="006E2429"/>
    <w:rsid w:val="006E2656"/>
    <w:rsid w:val="006E28FF"/>
    <w:rsid w:val="006E2BB3"/>
    <w:rsid w:val="006E3848"/>
    <w:rsid w:val="006E38A2"/>
    <w:rsid w:val="006E3D01"/>
    <w:rsid w:val="006E3DA4"/>
    <w:rsid w:val="006E4021"/>
    <w:rsid w:val="006E402D"/>
    <w:rsid w:val="006E42CD"/>
    <w:rsid w:val="006E4654"/>
    <w:rsid w:val="006E4690"/>
    <w:rsid w:val="006E48EE"/>
    <w:rsid w:val="006E4A43"/>
    <w:rsid w:val="006E4B4C"/>
    <w:rsid w:val="006E50E1"/>
    <w:rsid w:val="006E5147"/>
    <w:rsid w:val="006E5269"/>
    <w:rsid w:val="006E5934"/>
    <w:rsid w:val="006E5BC2"/>
    <w:rsid w:val="006E5F40"/>
    <w:rsid w:val="006E6779"/>
    <w:rsid w:val="006E6BC2"/>
    <w:rsid w:val="006E6CE7"/>
    <w:rsid w:val="006E744A"/>
    <w:rsid w:val="006E77A5"/>
    <w:rsid w:val="006E77BB"/>
    <w:rsid w:val="006E780C"/>
    <w:rsid w:val="006E7BD2"/>
    <w:rsid w:val="006E7EF3"/>
    <w:rsid w:val="006E7FB6"/>
    <w:rsid w:val="006F020F"/>
    <w:rsid w:val="006F061C"/>
    <w:rsid w:val="006F0800"/>
    <w:rsid w:val="006F08FA"/>
    <w:rsid w:val="006F0A30"/>
    <w:rsid w:val="006F1024"/>
    <w:rsid w:val="006F129F"/>
    <w:rsid w:val="006F13E0"/>
    <w:rsid w:val="006F1488"/>
    <w:rsid w:val="006F1F36"/>
    <w:rsid w:val="006F26B4"/>
    <w:rsid w:val="006F2A0D"/>
    <w:rsid w:val="006F2D0A"/>
    <w:rsid w:val="006F2D7F"/>
    <w:rsid w:val="006F319D"/>
    <w:rsid w:val="006F3549"/>
    <w:rsid w:val="006F3ABE"/>
    <w:rsid w:val="006F3C1F"/>
    <w:rsid w:val="006F41F0"/>
    <w:rsid w:val="006F45A4"/>
    <w:rsid w:val="006F474D"/>
    <w:rsid w:val="006F4C65"/>
    <w:rsid w:val="006F4CC9"/>
    <w:rsid w:val="006F4FB4"/>
    <w:rsid w:val="006F5A7C"/>
    <w:rsid w:val="006F5CC2"/>
    <w:rsid w:val="006F6303"/>
    <w:rsid w:val="006F6316"/>
    <w:rsid w:val="006F65A2"/>
    <w:rsid w:val="006F6885"/>
    <w:rsid w:val="006F6C31"/>
    <w:rsid w:val="006F74B5"/>
    <w:rsid w:val="006F7A56"/>
    <w:rsid w:val="006F7DEF"/>
    <w:rsid w:val="007007C1"/>
    <w:rsid w:val="00700CF2"/>
    <w:rsid w:val="00700F78"/>
    <w:rsid w:val="007011CC"/>
    <w:rsid w:val="0070150E"/>
    <w:rsid w:val="007016DD"/>
    <w:rsid w:val="00701735"/>
    <w:rsid w:val="00701CC3"/>
    <w:rsid w:val="00702334"/>
    <w:rsid w:val="00702381"/>
    <w:rsid w:val="007024FB"/>
    <w:rsid w:val="00702577"/>
    <w:rsid w:val="00702F8D"/>
    <w:rsid w:val="00703238"/>
    <w:rsid w:val="00703253"/>
    <w:rsid w:val="007032EF"/>
    <w:rsid w:val="00703F05"/>
    <w:rsid w:val="007043D6"/>
    <w:rsid w:val="00704788"/>
    <w:rsid w:val="00704C5B"/>
    <w:rsid w:val="00705212"/>
    <w:rsid w:val="007055E4"/>
    <w:rsid w:val="00705DB8"/>
    <w:rsid w:val="00705F50"/>
    <w:rsid w:val="0070625C"/>
    <w:rsid w:val="007066F3"/>
    <w:rsid w:val="00706929"/>
    <w:rsid w:val="00706C8C"/>
    <w:rsid w:val="0070746A"/>
    <w:rsid w:val="0070748A"/>
    <w:rsid w:val="007076A2"/>
    <w:rsid w:val="00707A4C"/>
    <w:rsid w:val="00707A98"/>
    <w:rsid w:val="00707E5B"/>
    <w:rsid w:val="00707FE1"/>
    <w:rsid w:val="00710349"/>
    <w:rsid w:val="0071035A"/>
    <w:rsid w:val="00710368"/>
    <w:rsid w:val="0071049B"/>
    <w:rsid w:val="00711412"/>
    <w:rsid w:val="00711738"/>
    <w:rsid w:val="0071179B"/>
    <w:rsid w:val="00711C71"/>
    <w:rsid w:val="00711D57"/>
    <w:rsid w:val="00713225"/>
    <w:rsid w:val="00713B79"/>
    <w:rsid w:val="00713BB3"/>
    <w:rsid w:val="007140E8"/>
    <w:rsid w:val="007141F4"/>
    <w:rsid w:val="00714972"/>
    <w:rsid w:val="00714F97"/>
    <w:rsid w:val="0071529D"/>
    <w:rsid w:val="0071548F"/>
    <w:rsid w:val="0071634C"/>
    <w:rsid w:val="0071682C"/>
    <w:rsid w:val="00716FE6"/>
    <w:rsid w:val="0071717E"/>
    <w:rsid w:val="007171E9"/>
    <w:rsid w:val="007175A7"/>
    <w:rsid w:val="00717B3E"/>
    <w:rsid w:val="00720204"/>
    <w:rsid w:val="00720232"/>
    <w:rsid w:val="007205E1"/>
    <w:rsid w:val="0072095F"/>
    <w:rsid w:val="0072108E"/>
    <w:rsid w:val="007215E5"/>
    <w:rsid w:val="007216B7"/>
    <w:rsid w:val="00721767"/>
    <w:rsid w:val="00721826"/>
    <w:rsid w:val="00721A20"/>
    <w:rsid w:val="00721C77"/>
    <w:rsid w:val="007223D1"/>
    <w:rsid w:val="0072299A"/>
    <w:rsid w:val="00722B70"/>
    <w:rsid w:val="00722D6F"/>
    <w:rsid w:val="00723062"/>
    <w:rsid w:val="007231DD"/>
    <w:rsid w:val="00723770"/>
    <w:rsid w:val="007241BE"/>
    <w:rsid w:val="00724786"/>
    <w:rsid w:val="0072512A"/>
    <w:rsid w:val="00725356"/>
    <w:rsid w:val="00725966"/>
    <w:rsid w:val="007261CF"/>
    <w:rsid w:val="00726384"/>
    <w:rsid w:val="007264B1"/>
    <w:rsid w:val="00726C80"/>
    <w:rsid w:val="00726F11"/>
    <w:rsid w:val="00726FDC"/>
    <w:rsid w:val="00727529"/>
    <w:rsid w:val="00727930"/>
    <w:rsid w:val="00727AAD"/>
    <w:rsid w:val="00727E2F"/>
    <w:rsid w:val="0073072C"/>
    <w:rsid w:val="0073130B"/>
    <w:rsid w:val="00731769"/>
    <w:rsid w:val="00731EE6"/>
    <w:rsid w:val="0073211A"/>
    <w:rsid w:val="0073271E"/>
    <w:rsid w:val="00732C26"/>
    <w:rsid w:val="00732C2F"/>
    <w:rsid w:val="00732D7D"/>
    <w:rsid w:val="00733081"/>
    <w:rsid w:val="0073347A"/>
    <w:rsid w:val="0073356D"/>
    <w:rsid w:val="0073359C"/>
    <w:rsid w:val="00734249"/>
    <w:rsid w:val="007343D5"/>
    <w:rsid w:val="00734420"/>
    <w:rsid w:val="00734D16"/>
    <w:rsid w:val="00734F40"/>
    <w:rsid w:val="00734FA3"/>
    <w:rsid w:val="00735025"/>
    <w:rsid w:val="007355A6"/>
    <w:rsid w:val="00735C36"/>
    <w:rsid w:val="00735F43"/>
    <w:rsid w:val="00736675"/>
    <w:rsid w:val="007368D0"/>
    <w:rsid w:val="00736915"/>
    <w:rsid w:val="00736E5C"/>
    <w:rsid w:val="007371C6"/>
    <w:rsid w:val="007371D7"/>
    <w:rsid w:val="00737503"/>
    <w:rsid w:val="00737E19"/>
    <w:rsid w:val="00737F87"/>
    <w:rsid w:val="00740368"/>
    <w:rsid w:val="00740410"/>
    <w:rsid w:val="00740A71"/>
    <w:rsid w:val="00740E94"/>
    <w:rsid w:val="00740FA6"/>
    <w:rsid w:val="00741167"/>
    <w:rsid w:val="0074146C"/>
    <w:rsid w:val="00741D6F"/>
    <w:rsid w:val="007420C7"/>
    <w:rsid w:val="0074223A"/>
    <w:rsid w:val="00742532"/>
    <w:rsid w:val="00742648"/>
    <w:rsid w:val="00743047"/>
    <w:rsid w:val="007439CC"/>
    <w:rsid w:val="00743CAC"/>
    <w:rsid w:val="00743CC3"/>
    <w:rsid w:val="00743E88"/>
    <w:rsid w:val="00743F25"/>
    <w:rsid w:val="00744015"/>
    <w:rsid w:val="00744041"/>
    <w:rsid w:val="0074436B"/>
    <w:rsid w:val="0074480F"/>
    <w:rsid w:val="00744E10"/>
    <w:rsid w:val="007450A5"/>
    <w:rsid w:val="007453BE"/>
    <w:rsid w:val="007453E9"/>
    <w:rsid w:val="007458D5"/>
    <w:rsid w:val="00745C92"/>
    <w:rsid w:val="007460DA"/>
    <w:rsid w:val="00747126"/>
    <w:rsid w:val="00747447"/>
    <w:rsid w:val="007476A0"/>
    <w:rsid w:val="007477C5"/>
    <w:rsid w:val="0074792C"/>
    <w:rsid w:val="00747938"/>
    <w:rsid w:val="00750EC3"/>
    <w:rsid w:val="00750FCF"/>
    <w:rsid w:val="007512B3"/>
    <w:rsid w:val="00751551"/>
    <w:rsid w:val="007515D1"/>
    <w:rsid w:val="007517DA"/>
    <w:rsid w:val="00751B95"/>
    <w:rsid w:val="0075204A"/>
    <w:rsid w:val="007521C4"/>
    <w:rsid w:val="00752BEB"/>
    <w:rsid w:val="00752D13"/>
    <w:rsid w:val="00752DD8"/>
    <w:rsid w:val="0075312C"/>
    <w:rsid w:val="007532FA"/>
    <w:rsid w:val="00753671"/>
    <w:rsid w:val="00753757"/>
    <w:rsid w:val="0075377A"/>
    <w:rsid w:val="00753A38"/>
    <w:rsid w:val="00753D0A"/>
    <w:rsid w:val="0075403C"/>
    <w:rsid w:val="007541E4"/>
    <w:rsid w:val="0075469A"/>
    <w:rsid w:val="00755467"/>
    <w:rsid w:val="00755817"/>
    <w:rsid w:val="00755B12"/>
    <w:rsid w:val="00755D93"/>
    <w:rsid w:val="00755DCB"/>
    <w:rsid w:val="00755E5C"/>
    <w:rsid w:val="00757035"/>
    <w:rsid w:val="00757186"/>
    <w:rsid w:val="007578E1"/>
    <w:rsid w:val="00757A6A"/>
    <w:rsid w:val="00757CF3"/>
    <w:rsid w:val="0076006D"/>
    <w:rsid w:val="00760768"/>
    <w:rsid w:val="00760BCC"/>
    <w:rsid w:val="0076106B"/>
    <w:rsid w:val="007617DD"/>
    <w:rsid w:val="00761830"/>
    <w:rsid w:val="00761A7B"/>
    <w:rsid w:val="00761B62"/>
    <w:rsid w:val="007621FF"/>
    <w:rsid w:val="00762AFB"/>
    <w:rsid w:val="00762CAA"/>
    <w:rsid w:val="007630F5"/>
    <w:rsid w:val="00763275"/>
    <w:rsid w:val="00763388"/>
    <w:rsid w:val="007637BC"/>
    <w:rsid w:val="007639D9"/>
    <w:rsid w:val="00763A62"/>
    <w:rsid w:val="007640AF"/>
    <w:rsid w:val="0076440A"/>
    <w:rsid w:val="0076475B"/>
    <w:rsid w:val="00764B31"/>
    <w:rsid w:val="00764B5D"/>
    <w:rsid w:val="00764D00"/>
    <w:rsid w:val="00764FD5"/>
    <w:rsid w:val="007655A9"/>
    <w:rsid w:val="007656A1"/>
    <w:rsid w:val="007656CA"/>
    <w:rsid w:val="00765956"/>
    <w:rsid w:val="00765A07"/>
    <w:rsid w:val="00765BA8"/>
    <w:rsid w:val="00766007"/>
    <w:rsid w:val="007664F7"/>
    <w:rsid w:val="00767193"/>
    <w:rsid w:val="007673C8"/>
    <w:rsid w:val="00767768"/>
    <w:rsid w:val="0076784F"/>
    <w:rsid w:val="00767BF3"/>
    <w:rsid w:val="00767D9C"/>
    <w:rsid w:val="00767FFC"/>
    <w:rsid w:val="0077018F"/>
    <w:rsid w:val="00770A26"/>
    <w:rsid w:val="00770FA5"/>
    <w:rsid w:val="00771608"/>
    <w:rsid w:val="0077163A"/>
    <w:rsid w:val="007717E4"/>
    <w:rsid w:val="00771FB5"/>
    <w:rsid w:val="00772038"/>
    <w:rsid w:val="007724A7"/>
    <w:rsid w:val="007726FA"/>
    <w:rsid w:val="00772945"/>
    <w:rsid w:val="007730BE"/>
    <w:rsid w:val="007731BC"/>
    <w:rsid w:val="0077330B"/>
    <w:rsid w:val="00773328"/>
    <w:rsid w:val="00773481"/>
    <w:rsid w:val="00773913"/>
    <w:rsid w:val="00773C3D"/>
    <w:rsid w:val="007741E7"/>
    <w:rsid w:val="007746ED"/>
    <w:rsid w:val="00774814"/>
    <w:rsid w:val="00774B93"/>
    <w:rsid w:val="00774CD1"/>
    <w:rsid w:val="00774EAF"/>
    <w:rsid w:val="00774FC7"/>
    <w:rsid w:val="00775231"/>
    <w:rsid w:val="007754C3"/>
    <w:rsid w:val="0077554D"/>
    <w:rsid w:val="00775567"/>
    <w:rsid w:val="007757C6"/>
    <w:rsid w:val="00775C40"/>
    <w:rsid w:val="00775C59"/>
    <w:rsid w:val="0077629F"/>
    <w:rsid w:val="0077645D"/>
    <w:rsid w:val="00776542"/>
    <w:rsid w:val="00776749"/>
    <w:rsid w:val="00776E2E"/>
    <w:rsid w:val="00777442"/>
    <w:rsid w:val="00777451"/>
    <w:rsid w:val="007778E2"/>
    <w:rsid w:val="007779A3"/>
    <w:rsid w:val="00777ADC"/>
    <w:rsid w:val="007802E7"/>
    <w:rsid w:val="00780B1A"/>
    <w:rsid w:val="00780D45"/>
    <w:rsid w:val="00780F3F"/>
    <w:rsid w:val="007812E7"/>
    <w:rsid w:val="00781315"/>
    <w:rsid w:val="0078159F"/>
    <w:rsid w:val="00781A97"/>
    <w:rsid w:val="00781E7D"/>
    <w:rsid w:val="00782065"/>
    <w:rsid w:val="00782419"/>
    <w:rsid w:val="007824BC"/>
    <w:rsid w:val="00782D2D"/>
    <w:rsid w:val="00782DFC"/>
    <w:rsid w:val="00782EC4"/>
    <w:rsid w:val="00782EEE"/>
    <w:rsid w:val="00783153"/>
    <w:rsid w:val="00783A74"/>
    <w:rsid w:val="00783AE5"/>
    <w:rsid w:val="00784B98"/>
    <w:rsid w:val="0078539C"/>
    <w:rsid w:val="00785777"/>
    <w:rsid w:val="00785C83"/>
    <w:rsid w:val="007864DA"/>
    <w:rsid w:val="00786ED8"/>
    <w:rsid w:val="00787320"/>
    <w:rsid w:val="00787491"/>
    <w:rsid w:val="0078759B"/>
    <w:rsid w:val="00787807"/>
    <w:rsid w:val="00787A15"/>
    <w:rsid w:val="00787CF3"/>
    <w:rsid w:val="00787D20"/>
    <w:rsid w:val="00787FD1"/>
    <w:rsid w:val="0079001F"/>
    <w:rsid w:val="00790362"/>
    <w:rsid w:val="007904EA"/>
    <w:rsid w:val="0079065C"/>
    <w:rsid w:val="00790767"/>
    <w:rsid w:val="00790B5F"/>
    <w:rsid w:val="0079108A"/>
    <w:rsid w:val="007911B6"/>
    <w:rsid w:val="00791808"/>
    <w:rsid w:val="00791BF5"/>
    <w:rsid w:val="007920FE"/>
    <w:rsid w:val="00792431"/>
    <w:rsid w:val="007930B7"/>
    <w:rsid w:val="00793237"/>
    <w:rsid w:val="00793541"/>
    <w:rsid w:val="007946AA"/>
    <w:rsid w:val="00794E6A"/>
    <w:rsid w:val="00794F5F"/>
    <w:rsid w:val="007953AE"/>
    <w:rsid w:val="007954CF"/>
    <w:rsid w:val="00795730"/>
    <w:rsid w:val="007958E5"/>
    <w:rsid w:val="00795DF5"/>
    <w:rsid w:val="00795E2E"/>
    <w:rsid w:val="0079691E"/>
    <w:rsid w:val="007969E4"/>
    <w:rsid w:val="00796CD0"/>
    <w:rsid w:val="00796E5B"/>
    <w:rsid w:val="00796E96"/>
    <w:rsid w:val="00797093"/>
    <w:rsid w:val="007970C0"/>
    <w:rsid w:val="0079776F"/>
    <w:rsid w:val="007979A2"/>
    <w:rsid w:val="00797CD7"/>
    <w:rsid w:val="007A0003"/>
    <w:rsid w:val="007A0131"/>
    <w:rsid w:val="007A030A"/>
    <w:rsid w:val="007A04E1"/>
    <w:rsid w:val="007A06CB"/>
    <w:rsid w:val="007A08CD"/>
    <w:rsid w:val="007A08CE"/>
    <w:rsid w:val="007A092C"/>
    <w:rsid w:val="007A0BC8"/>
    <w:rsid w:val="007A0F3F"/>
    <w:rsid w:val="007A1364"/>
    <w:rsid w:val="007A1785"/>
    <w:rsid w:val="007A1889"/>
    <w:rsid w:val="007A1939"/>
    <w:rsid w:val="007A1F2D"/>
    <w:rsid w:val="007A2286"/>
    <w:rsid w:val="007A2485"/>
    <w:rsid w:val="007A24A0"/>
    <w:rsid w:val="007A2720"/>
    <w:rsid w:val="007A2769"/>
    <w:rsid w:val="007A2824"/>
    <w:rsid w:val="007A28EC"/>
    <w:rsid w:val="007A2938"/>
    <w:rsid w:val="007A2CCB"/>
    <w:rsid w:val="007A2DB0"/>
    <w:rsid w:val="007A2DC9"/>
    <w:rsid w:val="007A2E83"/>
    <w:rsid w:val="007A332C"/>
    <w:rsid w:val="007A35AC"/>
    <w:rsid w:val="007A3B9A"/>
    <w:rsid w:val="007A3FC1"/>
    <w:rsid w:val="007A4171"/>
    <w:rsid w:val="007A41A1"/>
    <w:rsid w:val="007A41B9"/>
    <w:rsid w:val="007A4377"/>
    <w:rsid w:val="007A4637"/>
    <w:rsid w:val="007A48CA"/>
    <w:rsid w:val="007A4AB2"/>
    <w:rsid w:val="007A4E13"/>
    <w:rsid w:val="007A58DD"/>
    <w:rsid w:val="007A5E68"/>
    <w:rsid w:val="007A602B"/>
    <w:rsid w:val="007A63C9"/>
    <w:rsid w:val="007A6CFC"/>
    <w:rsid w:val="007A71CE"/>
    <w:rsid w:val="007A7442"/>
    <w:rsid w:val="007A7825"/>
    <w:rsid w:val="007A7925"/>
    <w:rsid w:val="007A7E8C"/>
    <w:rsid w:val="007B08C9"/>
    <w:rsid w:val="007B0A22"/>
    <w:rsid w:val="007B0CAC"/>
    <w:rsid w:val="007B0E20"/>
    <w:rsid w:val="007B14FD"/>
    <w:rsid w:val="007B15A6"/>
    <w:rsid w:val="007B18D5"/>
    <w:rsid w:val="007B1B6D"/>
    <w:rsid w:val="007B1BF7"/>
    <w:rsid w:val="007B1DA8"/>
    <w:rsid w:val="007B1E40"/>
    <w:rsid w:val="007B265A"/>
    <w:rsid w:val="007B27BE"/>
    <w:rsid w:val="007B2892"/>
    <w:rsid w:val="007B2FD6"/>
    <w:rsid w:val="007B321C"/>
    <w:rsid w:val="007B33E5"/>
    <w:rsid w:val="007B36BF"/>
    <w:rsid w:val="007B3C14"/>
    <w:rsid w:val="007B3D0B"/>
    <w:rsid w:val="007B454A"/>
    <w:rsid w:val="007B46A6"/>
    <w:rsid w:val="007B4A59"/>
    <w:rsid w:val="007B4D42"/>
    <w:rsid w:val="007B51AA"/>
    <w:rsid w:val="007B5502"/>
    <w:rsid w:val="007B577C"/>
    <w:rsid w:val="007B598C"/>
    <w:rsid w:val="007B5A2F"/>
    <w:rsid w:val="007B5B27"/>
    <w:rsid w:val="007B5B32"/>
    <w:rsid w:val="007B5C75"/>
    <w:rsid w:val="007B610F"/>
    <w:rsid w:val="007B629E"/>
    <w:rsid w:val="007B63CF"/>
    <w:rsid w:val="007B6AEE"/>
    <w:rsid w:val="007B713D"/>
    <w:rsid w:val="007B745C"/>
    <w:rsid w:val="007B7472"/>
    <w:rsid w:val="007B7573"/>
    <w:rsid w:val="007B7A13"/>
    <w:rsid w:val="007B7AAB"/>
    <w:rsid w:val="007C03BB"/>
    <w:rsid w:val="007C06B2"/>
    <w:rsid w:val="007C124F"/>
    <w:rsid w:val="007C1584"/>
    <w:rsid w:val="007C1D9D"/>
    <w:rsid w:val="007C229C"/>
    <w:rsid w:val="007C28CF"/>
    <w:rsid w:val="007C2941"/>
    <w:rsid w:val="007C29D7"/>
    <w:rsid w:val="007C2A9E"/>
    <w:rsid w:val="007C2FC6"/>
    <w:rsid w:val="007C3215"/>
    <w:rsid w:val="007C34DE"/>
    <w:rsid w:val="007C3706"/>
    <w:rsid w:val="007C38B5"/>
    <w:rsid w:val="007C404B"/>
    <w:rsid w:val="007C4187"/>
    <w:rsid w:val="007C41A0"/>
    <w:rsid w:val="007C4A68"/>
    <w:rsid w:val="007C4BAE"/>
    <w:rsid w:val="007C4BEE"/>
    <w:rsid w:val="007C4D64"/>
    <w:rsid w:val="007C4EF0"/>
    <w:rsid w:val="007C4FAE"/>
    <w:rsid w:val="007C5BA9"/>
    <w:rsid w:val="007C62AC"/>
    <w:rsid w:val="007C667A"/>
    <w:rsid w:val="007C6A89"/>
    <w:rsid w:val="007C6D50"/>
    <w:rsid w:val="007C6F2E"/>
    <w:rsid w:val="007C73CF"/>
    <w:rsid w:val="007C764E"/>
    <w:rsid w:val="007C77C5"/>
    <w:rsid w:val="007C7C1E"/>
    <w:rsid w:val="007C7E37"/>
    <w:rsid w:val="007D01AF"/>
    <w:rsid w:val="007D044C"/>
    <w:rsid w:val="007D10C8"/>
    <w:rsid w:val="007D1269"/>
    <w:rsid w:val="007D1406"/>
    <w:rsid w:val="007D1BFC"/>
    <w:rsid w:val="007D1D3B"/>
    <w:rsid w:val="007D1DF0"/>
    <w:rsid w:val="007D20B0"/>
    <w:rsid w:val="007D24CF"/>
    <w:rsid w:val="007D25B5"/>
    <w:rsid w:val="007D2A15"/>
    <w:rsid w:val="007D3165"/>
    <w:rsid w:val="007D32B3"/>
    <w:rsid w:val="007D3560"/>
    <w:rsid w:val="007D3DF2"/>
    <w:rsid w:val="007D4068"/>
    <w:rsid w:val="007D4284"/>
    <w:rsid w:val="007D4621"/>
    <w:rsid w:val="007D47A8"/>
    <w:rsid w:val="007D4982"/>
    <w:rsid w:val="007D4D87"/>
    <w:rsid w:val="007D4E55"/>
    <w:rsid w:val="007D5696"/>
    <w:rsid w:val="007D5787"/>
    <w:rsid w:val="007D5960"/>
    <w:rsid w:val="007D5A97"/>
    <w:rsid w:val="007D6002"/>
    <w:rsid w:val="007D606A"/>
    <w:rsid w:val="007D65F6"/>
    <w:rsid w:val="007D6C0C"/>
    <w:rsid w:val="007D7882"/>
    <w:rsid w:val="007D7C3C"/>
    <w:rsid w:val="007D7D31"/>
    <w:rsid w:val="007E025A"/>
    <w:rsid w:val="007E0521"/>
    <w:rsid w:val="007E0D25"/>
    <w:rsid w:val="007E114E"/>
    <w:rsid w:val="007E15F0"/>
    <w:rsid w:val="007E17FA"/>
    <w:rsid w:val="007E2714"/>
    <w:rsid w:val="007E2B82"/>
    <w:rsid w:val="007E2DD3"/>
    <w:rsid w:val="007E33B9"/>
    <w:rsid w:val="007E3460"/>
    <w:rsid w:val="007E3588"/>
    <w:rsid w:val="007E36ED"/>
    <w:rsid w:val="007E378E"/>
    <w:rsid w:val="007E42E6"/>
    <w:rsid w:val="007E46BF"/>
    <w:rsid w:val="007E487F"/>
    <w:rsid w:val="007E4A0D"/>
    <w:rsid w:val="007E4B2D"/>
    <w:rsid w:val="007E4C3F"/>
    <w:rsid w:val="007E5388"/>
    <w:rsid w:val="007E5462"/>
    <w:rsid w:val="007E54E0"/>
    <w:rsid w:val="007E587D"/>
    <w:rsid w:val="007E58C0"/>
    <w:rsid w:val="007E5CE8"/>
    <w:rsid w:val="007E6447"/>
    <w:rsid w:val="007E6757"/>
    <w:rsid w:val="007E68C0"/>
    <w:rsid w:val="007E6D75"/>
    <w:rsid w:val="007E6D9B"/>
    <w:rsid w:val="007E6DE7"/>
    <w:rsid w:val="007E7124"/>
    <w:rsid w:val="007E71E9"/>
    <w:rsid w:val="007E74E3"/>
    <w:rsid w:val="007E76CB"/>
    <w:rsid w:val="007E7721"/>
    <w:rsid w:val="007E7B1C"/>
    <w:rsid w:val="007E7C5C"/>
    <w:rsid w:val="007E7CB2"/>
    <w:rsid w:val="007E7CF2"/>
    <w:rsid w:val="007F02B2"/>
    <w:rsid w:val="007F02C7"/>
    <w:rsid w:val="007F032B"/>
    <w:rsid w:val="007F0CBE"/>
    <w:rsid w:val="007F10CC"/>
    <w:rsid w:val="007F12E0"/>
    <w:rsid w:val="007F160D"/>
    <w:rsid w:val="007F1873"/>
    <w:rsid w:val="007F1BFB"/>
    <w:rsid w:val="007F1D06"/>
    <w:rsid w:val="007F1ECD"/>
    <w:rsid w:val="007F2C72"/>
    <w:rsid w:val="007F2EB2"/>
    <w:rsid w:val="007F2F7E"/>
    <w:rsid w:val="007F2FA7"/>
    <w:rsid w:val="007F3034"/>
    <w:rsid w:val="007F344C"/>
    <w:rsid w:val="007F3745"/>
    <w:rsid w:val="007F5287"/>
    <w:rsid w:val="007F5799"/>
    <w:rsid w:val="007F5A11"/>
    <w:rsid w:val="007F5BF1"/>
    <w:rsid w:val="007F62F3"/>
    <w:rsid w:val="007F66F4"/>
    <w:rsid w:val="007F68DC"/>
    <w:rsid w:val="007F68DF"/>
    <w:rsid w:val="007F6B28"/>
    <w:rsid w:val="007F6D6C"/>
    <w:rsid w:val="007F70B9"/>
    <w:rsid w:val="007F7137"/>
    <w:rsid w:val="007F7A75"/>
    <w:rsid w:val="007F7C48"/>
    <w:rsid w:val="007F7ECC"/>
    <w:rsid w:val="0080006E"/>
    <w:rsid w:val="00800462"/>
    <w:rsid w:val="0080048C"/>
    <w:rsid w:val="00800E62"/>
    <w:rsid w:val="00800F35"/>
    <w:rsid w:val="008010D7"/>
    <w:rsid w:val="00801131"/>
    <w:rsid w:val="0080128D"/>
    <w:rsid w:val="0080147D"/>
    <w:rsid w:val="008016CA"/>
    <w:rsid w:val="008017B6"/>
    <w:rsid w:val="00801DB0"/>
    <w:rsid w:val="00802A65"/>
    <w:rsid w:val="00802DF1"/>
    <w:rsid w:val="00803432"/>
    <w:rsid w:val="00803443"/>
    <w:rsid w:val="008036C0"/>
    <w:rsid w:val="00804131"/>
    <w:rsid w:val="00804144"/>
    <w:rsid w:val="008041DE"/>
    <w:rsid w:val="0080450E"/>
    <w:rsid w:val="00804530"/>
    <w:rsid w:val="008048F5"/>
    <w:rsid w:val="00804A6F"/>
    <w:rsid w:val="00804B1E"/>
    <w:rsid w:val="00804D52"/>
    <w:rsid w:val="00805159"/>
    <w:rsid w:val="0080516A"/>
    <w:rsid w:val="00805930"/>
    <w:rsid w:val="00805D9C"/>
    <w:rsid w:val="008061D6"/>
    <w:rsid w:val="0080646D"/>
    <w:rsid w:val="0080680D"/>
    <w:rsid w:val="00807138"/>
    <w:rsid w:val="0080786A"/>
    <w:rsid w:val="00807AA3"/>
    <w:rsid w:val="00807BCA"/>
    <w:rsid w:val="00807F10"/>
    <w:rsid w:val="00810139"/>
    <w:rsid w:val="00810552"/>
    <w:rsid w:val="008105B3"/>
    <w:rsid w:val="008111CF"/>
    <w:rsid w:val="00811CEA"/>
    <w:rsid w:val="00811D79"/>
    <w:rsid w:val="008127F9"/>
    <w:rsid w:val="00812A4B"/>
    <w:rsid w:val="00812C05"/>
    <w:rsid w:val="00812DF0"/>
    <w:rsid w:val="00812FA4"/>
    <w:rsid w:val="008130B3"/>
    <w:rsid w:val="008130C4"/>
    <w:rsid w:val="0081322A"/>
    <w:rsid w:val="0081367C"/>
    <w:rsid w:val="008137B6"/>
    <w:rsid w:val="00813A02"/>
    <w:rsid w:val="00813B8D"/>
    <w:rsid w:val="00813C26"/>
    <w:rsid w:val="00813DC9"/>
    <w:rsid w:val="0081423C"/>
    <w:rsid w:val="00814693"/>
    <w:rsid w:val="00814746"/>
    <w:rsid w:val="008148C2"/>
    <w:rsid w:val="00814D2B"/>
    <w:rsid w:val="00814FFC"/>
    <w:rsid w:val="00815055"/>
    <w:rsid w:val="008151CC"/>
    <w:rsid w:val="0081521F"/>
    <w:rsid w:val="008153C9"/>
    <w:rsid w:val="00815617"/>
    <w:rsid w:val="00815DAA"/>
    <w:rsid w:val="00815E12"/>
    <w:rsid w:val="008162AB"/>
    <w:rsid w:val="008164EB"/>
    <w:rsid w:val="008169C0"/>
    <w:rsid w:val="008169E7"/>
    <w:rsid w:val="00816E7C"/>
    <w:rsid w:val="0081766B"/>
    <w:rsid w:val="00817A08"/>
    <w:rsid w:val="00817A68"/>
    <w:rsid w:val="00820071"/>
    <w:rsid w:val="00820281"/>
    <w:rsid w:val="0082034A"/>
    <w:rsid w:val="008203C0"/>
    <w:rsid w:val="00820BC4"/>
    <w:rsid w:val="00820F02"/>
    <w:rsid w:val="0082130E"/>
    <w:rsid w:val="00821747"/>
    <w:rsid w:val="00821C6A"/>
    <w:rsid w:val="00821EE3"/>
    <w:rsid w:val="00822048"/>
    <w:rsid w:val="0082253F"/>
    <w:rsid w:val="00822C58"/>
    <w:rsid w:val="00822D96"/>
    <w:rsid w:val="0082353F"/>
    <w:rsid w:val="00823AEB"/>
    <w:rsid w:val="00823C4B"/>
    <w:rsid w:val="00823E43"/>
    <w:rsid w:val="00823F22"/>
    <w:rsid w:val="008249A1"/>
    <w:rsid w:val="00824E21"/>
    <w:rsid w:val="008252C7"/>
    <w:rsid w:val="008253BF"/>
    <w:rsid w:val="00825933"/>
    <w:rsid w:val="0082604B"/>
    <w:rsid w:val="00826220"/>
    <w:rsid w:val="008264F4"/>
    <w:rsid w:val="00826747"/>
    <w:rsid w:val="008267DA"/>
    <w:rsid w:val="00826B02"/>
    <w:rsid w:val="00826C83"/>
    <w:rsid w:val="00826D47"/>
    <w:rsid w:val="00827368"/>
    <w:rsid w:val="00827AAC"/>
    <w:rsid w:val="00827C83"/>
    <w:rsid w:val="00827D6E"/>
    <w:rsid w:val="00827DC0"/>
    <w:rsid w:val="00827DEF"/>
    <w:rsid w:val="00827F0B"/>
    <w:rsid w:val="00827F65"/>
    <w:rsid w:val="00830040"/>
    <w:rsid w:val="0083010F"/>
    <w:rsid w:val="008302B7"/>
    <w:rsid w:val="00830340"/>
    <w:rsid w:val="008303A5"/>
    <w:rsid w:val="00830A36"/>
    <w:rsid w:val="00830F45"/>
    <w:rsid w:val="0083115E"/>
    <w:rsid w:val="00831279"/>
    <w:rsid w:val="00831864"/>
    <w:rsid w:val="00831FC2"/>
    <w:rsid w:val="0083256E"/>
    <w:rsid w:val="0083269B"/>
    <w:rsid w:val="00832B42"/>
    <w:rsid w:val="00832BB0"/>
    <w:rsid w:val="00832D79"/>
    <w:rsid w:val="00832F98"/>
    <w:rsid w:val="008330FE"/>
    <w:rsid w:val="008333AF"/>
    <w:rsid w:val="008337D2"/>
    <w:rsid w:val="00833B23"/>
    <w:rsid w:val="00833DDB"/>
    <w:rsid w:val="00833E6F"/>
    <w:rsid w:val="00833F3F"/>
    <w:rsid w:val="0083438F"/>
    <w:rsid w:val="00834608"/>
    <w:rsid w:val="008346F0"/>
    <w:rsid w:val="008349B6"/>
    <w:rsid w:val="00834C54"/>
    <w:rsid w:val="0083508E"/>
    <w:rsid w:val="0083582D"/>
    <w:rsid w:val="00835B07"/>
    <w:rsid w:val="00835F6A"/>
    <w:rsid w:val="0083608A"/>
    <w:rsid w:val="0083639B"/>
    <w:rsid w:val="00836D98"/>
    <w:rsid w:val="0083793B"/>
    <w:rsid w:val="00837AA4"/>
    <w:rsid w:val="00840A83"/>
    <w:rsid w:val="00840CA5"/>
    <w:rsid w:val="00841533"/>
    <w:rsid w:val="0084196E"/>
    <w:rsid w:val="00841B13"/>
    <w:rsid w:val="00841E92"/>
    <w:rsid w:val="00842AB6"/>
    <w:rsid w:val="00842BC9"/>
    <w:rsid w:val="00842E09"/>
    <w:rsid w:val="00843016"/>
    <w:rsid w:val="00843577"/>
    <w:rsid w:val="00843E6F"/>
    <w:rsid w:val="008441CE"/>
    <w:rsid w:val="008443E7"/>
    <w:rsid w:val="00844890"/>
    <w:rsid w:val="00844A90"/>
    <w:rsid w:val="00844E7A"/>
    <w:rsid w:val="00844F83"/>
    <w:rsid w:val="0084524A"/>
    <w:rsid w:val="00845487"/>
    <w:rsid w:val="00845499"/>
    <w:rsid w:val="008456CE"/>
    <w:rsid w:val="00845881"/>
    <w:rsid w:val="008460D6"/>
    <w:rsid w:val="00846C00"/>
    <w:rsid w:val="00846E05"/>
    <w:rsid w:val="00846E4A"/>
    <w:rsid w:val="00846EAF"/>
    <w:rsid w:val="0084710D"/>
    <w:rsid w:val="00847344"/>
    <w:rsid w:val="00847C2B"/>
    <w:rsid w:val="00850128"/>
    <w:rsid w:val="008503D0"/>
    <w:rsid w:val="00850581"/>
    <w:rsid w:val="00850832"/>
    <w:rsid w:val="00851046"/>
    <w:rsid w:val="00851100"/>
    <w:rsid w:val="00851111"/>
    <w:rsid w:val="0085127C"/>
    <w:rsid w:val="00851654"/>
    <w:rsid w:val="00851AF5"/>
    <w:rsid w:val="00851DAA"/>
    <w:rsid w:val="00851E3A"/>
    <w:rsid w:val="00851EA9"/>
    <w:rsid w:val="00851FB5"/>
    <w:rsid w:val="008521DB"/>
    <w:rsid w:val="008522D5"/>
    <w:rsid w:val="008523B5"/>
    <w:rsid w:val="00852677"/>
    <w:rsid w:val="00852766"/>
    <w:rsid w:val="008527D1"/>
    <w:rsid w:val="00852A40"/>
    <w:rsid w:val="00852B97"/>
    <w:rsid w:val="00852DB9"/>
    <w:rsid w:val="00852EC6"/>
    <w:rsid w:val="008533EE"/>
    <w:rsid w:val="0085404C"/>
    <w:rsid w:val="00854332"/>
    <w:rsid w:val="008543AB"/>
    <w:rsid w:val="00854670"/>
    <w:rsid w:val="00854724"/>
    <w:rsid w:val="00854DAA"/>
    <w:rsid w:val="008550CB"/>
    <w:rsid w:val="00855513"/>
    <w:rsid w:val="00855761"/>
    <w:rsid w:val="00855B60"/>
    <w:rsid w:val="00855E0B"/>
    <w:rsid w:val="008560B9"/>
    <w:rsid w:val="008561E8"/>
    <w:rsid w:val="00856A20"/>
    <w:rsid w:val="00856D81"/>
    <w:rsid w:val="008570DB"/>
    <w:rsid w:val="0085710F"/>
    <w:rsid w:val="0085718B"/>
    <w:rsid w:val="00857897"/>
    <w:rsid w:val="00857A69"/>
    <w:rsid w:val="008603CB"/>
    <w:rsid w:val="00860793"/>
    <w:rsid w:val="008608A3"/>
    <w:rsid w:val="0086092E"/>
    <w:rsid w:val="00860B4C"/>
    <w:rsid w:val="00860D6C"/>
    <w:rsid w:val="008612B7"/>
    <w:rsid w:val="0086169D"/>
    <w:rsid w:val="00861B3D"/>
    <w:rsid w:val="00861B8D"/>
    <w:rsid w:val="00862196"/>
    <w:rsid w:val="008622FB"/>
    <w:rsid w:val="0086242C"/>
    <w:rsid w:val="008626B9"/>
    <w:rsid w:val="00862721"/>
    <w:rsid w:val="0086362C"/>
    <w:rsid w:val="0086396F"/>
    <w:rsid w:val="00863A17"/>
    <w:rsid w:val="0086447F"/>
    <w:rsid w:val="008647DE"/>
    <w:rsid w:val="00864A8A"/>
    <w:rsid w:val="00864B95"/>
    <w:rsid w:val="00864DEB"/>
    <w:rsid w:val="00864E48"/>
    <w:rsid w:val="0086524C"/>
    <w:rsid w:val="0086549E"/>
    <w:rsid w:val="008656A2"/>
    <w:rsid w:val="00865737"/>
    <w:rsid w:val="00865E72"/>
    <w:rsid w:val="00865F33"/>
    <w:rsid w:val="00866142"/>
    <w:rsid w:val="00866277"/>
    <w:rsid w:val="0086631B"/>
    <w:rsid w:val="0086663F"/>
    <w:rsid w:val="00866788"/>
    <w:rsid w:val="008667B8"/>
    <w:rsid w:val="008668F6"/>
    <w:rsid w:val="00866A85"/>
    <w:rsid w:val="00866ED2"/>
    <w:rsid w:val="00866EFA"/>
    <w:rsid w:val="00867003"/>
    <w:rsid w:val="00867488"/>
    <w:rsid w:val="00867DA2"/>
    <w:rsid w:val="00870122"/>
    <w:rsid w:val="008705D6"/>
    <w:rsid w:val="00870BFB"/>
    <w:rsid w:val="00870C2B"/>
    <w:rsid w:val="00870C63"/>
    <w:rsid w:val="008712E0"/>
    <w:rsid w:val="008713BA"/>
    <w:rsid w:val="00871C23"/>
    <w:rsid w:val="00871C8A"/>
    <w:rsid w:val="00871C95"/>
    <w:rsid w:val="00871DDA"/>
    <w:rsid w:val="00872175"/>
    <w:rsid w:val="00872295"/>
    <w:rsid w:val="008723B7"/>
    <w:rsid w:val="008727F1"/>
    <w:rsid w:val="00873620"/>
    <w:rsid w:val="00873BDE"/>
    <w:rsid w:val="00873C67"/>
    <w:rsid w:val="00873EFF"/>
    <w:rsid w:val="00874159"/>
    <w:rsid w:val="008747A6"/>
    <w:rsid w:val="00874ABD"/>
    <w:rsid w:val="00874DB0"/>
    <w:rsid w:val="00874E64"/>
    <w:rsid w:val="00875A5A"/>
    <w:rsid w:val="00875A72"/>
    <w:rsid w:val="008760EF"/>
    <w:rsid w:val="00876567"/>
    <w:rsid w:val="00876B8D"/>
    <w:rsid w:val="00876F19"/>
    <w:rsid w:val="00877051"/>
    <w:rsid w:val="008771EA"/>
    <w:rsid w:val="00877277"/>
    <w:rsid w:val="008773A1"/>
    <w:rsid w:val="00877727"/>
    <w:rsid w:val="00877B1A"/>
    <w:rsid w:val="00877E7E"/>
    <w:rsid w:val="00877E9C"/>
    <w:rsid w:val="008800D3"/>
    <w:rsid w:val="00880159"/>
    <w:rsid w:val="008801E6"/>
    <w:rsid w:val="00880C56"/>
    <w:rsid w:val="00880D8E"/>
    <w:rsid w:val="00880F1A"/>
    <w:rsid w:val="0088141F"/>
    <w:rsid w:val="008816A8"/>
    <w:rsid w:val="00881ADB"/>
    <w:rsid w:val="00881B11"/>
    <w:rsid w:val="00881B16"/>
    <w:rsid w:val="00881C85"/>
    <w:rsid w:val="00882181"/>
    <w:rsid w:val="0088236F"/>
    <w:rsid w:val="00882748"/>
    <w:rsid w:val="00882D12"/>
    <w:rsid w:val="008831D1"/>
    <w:rsid w:val="00883B56"/>
    <w:rsid w:val="00883CA4"/>
    <w:rsid w:val="00883E2B"/>
    <w:rsid w:val="00883EC1"/>
    <w:rsid w:val="008841C5"/>
    <w:rsid w:val="00884EA2"/>
    <w:rsid w:val="008853B4"/>
    <w:rsid w:val="008853C7"/>
    <w:rsid w:val="00885825"/>
    <w:rsid w:val="00885B9B"/>
    <w:rsid w:val="00886030"/>
    <w:rsid w:val="00886501"/>
    <w:rsid w:val="00886531"/>
    <w:rsid w:val="00886CDD"/>
    <w:rsid w:val="00886F36"/>
    <w:rsid w:val="00886F38"/>
    <w:rsid w:val="00886FF6"/>
    <w:rsid w:val="00887462"/>
    <w:rsid w:val="008879A9"/>
    <w:rsid w:val="00887A37"/>
    <w:rsid w:val="00887E1E"/>
    <w:rsid w:val="008914FB"/>
    <w:rsid w:val="008915B6"/>
    <w:rsid w:val="00891D47"/>
    <w:rsid w:val="0089214D"/>
    <w:rsid w:val="008922AD"/>
    <w:rsid w:val="0089282D"/>
    <w:rsid w:val="00892B2D"/>
    <w:rsid w:val="00893C0D"/>
    <w:rsid w:val="00893D72"/>
    <w:rsid w:val="00894081"/>
    <w:rsid w:val="00894125"/>
    <w:rsid w:val="00894143"/>
    <w:rsid w:val="0089435A"/>
    <w:rsid w:val="00894781"/>
    <w:rsid w:val="0089485F"/>
    <w:rsid w:val="00894A50"/>
    <w:rsid w:val="00894E3A"/>
    <w:rsid w:val="008950EF"/>
    <w:rsid w:val="008954F9"/>
    <w:rsid w:val="00895653"/>
    <w:rsid w:val="008957DD"/>
    <w:rsid w:val="00896449"/>
    <w:rsid w:val="00897194"/>
    <w:rsid w:val="0089724F"/>
    <w:rsid w:val="0089754C"/>
    <w:rsid w:val="00897B5E"/>
    <w:rsid w:val="00897BC6"/>
    <w:rsid w:val="00897D8B"/>
    <w:rsid w:val="00897DC3"/>
    <w:rsid w:val="008A002A"/>
    <w:rsid w:val="008A014D"/>
    <w:rsid w:val="008A02EC"/>
    <w:rsid w:val="008A0E11"/>
    <w:rsid w:val="008A12ED"/>
    <w:rsid w:val="008A1B0F"/>
    <w:rsid w:val="008A20DA"/>
    <w:rsid w:val="008A21C0"/>
    <w:rsid w:val="008A28B1"/>
    <w:rsid w:val="008A298B"/>
    <w:rsid w:val="008A2D0B"/>
    <w:rsid w:val="008A2D18"/>
    <w:rsid w:val="008A3163"/>
    <w:rsid w:val="008A36C1"/>
    <w:rsid w:val="008A3CC4"/>
    <w:rsid w:val="008A4019"/>
    <w:rsid w:val="008A436D"/>
    <w:rsid w:val="008A4424"/>
    <w:rsid w:val="008A4D27"/>
    <w:rsid w:val="008A534C"/>
    <w:rsid w:val="008A5616"/>
    <w:rsid w:val="008A581A"/>
    <w:rsid w:val="008A5FB5"/>
    <w:rsid w:val="008A612D"/>
    <w:rsid w:val="008A6395"/>
    <w:rsid w:val="008A6618"/>
    <w:rsid w:val="008A6B2C"/>
    <w:rsid w:val="008A6B43"/>
    <w:rsid w:val="008A6D58"/>
    <w:rsid w:val="008A6E11"/>
    <w:rsid w:val="008A71FC"/>
    <w:rsid w:val="008A7878"/>
    <w:rsid w:val="008A7C16"/>
    <w:rsid w:val="008A7CA8"/>
    <w:rsid w:val="008A7FE2"/>
    <w:rsid w:val="008B0164"/>
    <w:rsid w:val="008B0254"/>
    <w:rsid w:val="008B044E"/>
    <w:rsid w:val="008B0526"/>
    <w:rsid w:val="008B0F41"/>
    <w:rsid w:val="008B1ABF"/>
    <w:rsid w:val="008B1F63"/>
    <w:rsid w:val="008B20E3"/>
    <w:rsid w:val="008B22E8"/>
    <w:rsid w:val="008B259C"/>
    <w:rsid w:val="008B261F"/>
    <w:rsid w:val="008B2636"/>
    <w:rsid w:val="008B2B14"/>
    <w:rsid w:val="008B2BEE"/>
    <w:rsid w:val="008B3612"/>
    <w:rsid w:val="008B3745"/>
    <w:rsid w:val="008B3750"/>
    <w:rsid w:val="008B3C5E"/>
    <w:rsid w:val="008B4026"/>
    <w:rsid w:val="008B406E"/>
    <w:rsid w:val="008B4093"/>
    <w:rsid w:val="008B40F2"/>
    <w:rsid w:val="008B5C8F"/>
    <w:rsid w:val="008B5DD6"/>
    <w:rsid w:val="008B5F16"/>
    <w:rsid w:val="008B6B1E"/>
    <w:rsid w:val="008B6F7C"/>
    <w:rsid w:val="008B7183"/>
    <w:rsid w:val="008B7451"/>
    <w:rsid w:val="008B7722"/>
    <w:rsid w:val="008B77CE"/>
    <w:rsid w:val="008B7868"/>
    <w:rsid w:val="008B786F"/>
    <w:rsid w:val="008B792C"/>
    <w:rsid w:val="008B7EAB"/>
    <w:rsid w:val="008B7F9A"/>
    <w:rsid w:val="008C02BE"/>
    <w:rsid w:val="008C02E7"/>
    <w:rsid w:val="008C0475"/>
    <w:rsid w:val="008C0621"/>
    <w:rsid w:val="008C07DA"/>
    <w:rsid w:val="008C0AFA"/>
    <w:rsid w:val="008C0DAB"/>
    <w:rsid w:val="008C0E5C"/>
    <w:rsid w:val="008C0FFF"/>
    <w:rsid w:val="008C184B"/>
    <w:rsid w:val="008C18BC"/>
    <w:rsid w:val="008C1ADE"/>
    <w:rsid w:val="008C1B45"/>
    <w:rsid w:val="008C1E2C"/>
    <w:rsid w:val="008C26ED"/>
    <w:rsid w:val="008C28D0"/>
    <w:rsid w:val="008C2BB5"/>
    <w:rsid w:val="008C343F"/>
    <w:rsid w:val="008C36BD"/>
    <w:rsid w:val="008C39E1"/>
    <w:rsid w:val="008C3B3A"/>
    <w:rsid w:val="008C3C63"/>
    <w:rsid w:val="008C40FF"/>
    <w:rsid w:val="008C4206"/>
    <w:rsid w:val="008C43E2"/>
    <w:rsid w:val="008C4581"/>
    <w:rsid w:val="008C489E"/>
    <w:rsid w:val="008C4FA9"/>
    <w:rsid w:val="008C504D"/>
    <w:rsid w:val="008C59DF"/>
    <w:rsid w:val="008C5D76"/>
    <w:rsid w:val="008C5EE3"/>
    <w:rsid w:val="008C6829"/>
    <w:rsid w:val="008C6B32"/>
    <w:rsid w:val="008C6E40"/>
    <w:rsid w:val="008C6F52"/>
    <w:rsid w:val="008C7138"/>
    <w:rsid w:val="008C73B9"/>
    <w:rsid w:val="008C7584"/>
    <w:rsid w:val="008C79A1"/>
    <w:rsid w:val="008C7C57"/>
    <w:rsid w:val="008D0369"/>
    <w:rsid w:val="008D0519"/>
    <w:rsid w:val="008D063E"/>
    <w:rsid w:val="008D0902"/>
    <w:rsid w:val="008D0ED4"/>
    <w:rsid w:val="008D100D"/>
    <w:rsid w:val="008D1497"/>
    <w:rsid w:val="008D1C1A"/>
    <w:rsid w:val="008D1FB9"/>
    <w:rsid w:val="008D2099"/>
    <w:rsid w:val="008D248E"/>
    <w:rsid w:val="008D264B"/>
    <w:rsid w:val="008D2A9B"/>
    <w:rsid w:val="008D32FC"/>
    <w:rsid w:val="008D335A"/>
    <w:rsid w:val="008D348B"/>
    <w:rsid w:val="008D3C94"/>
    <w:rsid w:val="008D4269"/>
    <w:rsid w:val="008D4629"/>
    <w:rsid w:val="008D4658"/>
    <w:rsid w:val="008D46EE"/>
    <w:rsid w:val="008D4A17"/>
    <w:rsid w:val="008D4E5B"/>
    <w:rsid w:val="008D55D1"/>
    <w:rsid w:val="008D5705"/>
    <w:rsid w:val="008D635F"/>
    <w:rsid w:val="008D6600"/>
    <w:rsid w:val="008D6782"/>
    <w:rsid w:val="008D6C04"/>
    <w:rsid w:val="008D6D34"/>
    <w:rsid w:val="008D75B5"/>
    <w:rsid w:val="008D7C2C"/>
    <w:rsid w:val="008D7CD8"/>
    <w:rsid w:val="008D7EE9"/>
    <w:rsid w:val="008E006C"/>
    <w:rsid w:val="008E027A"/>
    <w:rsid w:val="008E0629"/>
    <w:rsid w:val="008E07EB"/>
    <w:rsid w:val="008E097D"/>
    <w:rsid w:val="008E14F9"/>
    <w:rsid w:val="008E1619"/>
    <w:rsid w:val="008E1B8E"/>
    <w:rsid w:val="008E1BF5"/>
    <w:rsid w:val="008E1FC2"/>
    <w:rsid w:val="008E2136"/>
    <w:rsid w:val="008E230B"/>
    <w:rsid w:val="008E27A2"/>
    <w:rsid w:val="008E2BE4"/>
    <w:rsid w:val="008E2CBC"/>
    <w:rsid w:val="008E2D39"/>
    <w:rsid w:val="008E2D87"/>
    <w:rsid w:val="008E3191"/>
    <w:rsid w:val="008E345C"/>
    <w:rsid w:val="008E3B97"/>
    <w:rsid w:val="008E3ED5"/>
    <w:rsid w:val="008E41BE"/>
    <w:rsid w:val="008E4254"/>
    <w:rsid w:val="008E456A"/>
    <w:rsid w:val="008E49F3"/>
    <w:rsid w:val="008E4A5B"/>
    <w:rsid w:val="008E4FAE"/>
    <w:rsid w:val="008E5047"/>
    <w:rsid w:val="008E5175"/>
    <w:rsid w:val="008E53A2"/>
    <w:rsid w:val="008E5786"/>
    <w:rsid w:val="008E58F0"/>
    <w:rsid w:val="008E5B20"/>
    <w:rsid w:val="008E62D2"/>
    <w:rsid w:val="008E66B3"/>
    <w:rsid w:val="008E68E5"/>
    <w:rsid w:val="008E6B4E"/>
    <w:rsid w:val="008E6B79"/>
    <w:rsid w:val="008E6CE6"/>
    <w:rsid w:val="008E6DC0"/>
    <w:rsid w:val="008E72EE"/>
    <w:rsid w:val="008E7455"/>
    <w:rsid w:val="008E7970"/>
    <w:rsid w:val="008E7B40"/>
    <w:rsid w:val="008E7C34"/>
    <w:rsid w:val="008E7F4A"/>
    <w:rsid w:val="008F0155"/>
    <w:rsid w:val="008F03A7"/>
    <w:rsid w:val="008F0B57"/>
    <w:rsid w:val="008F0C36"/>
    <w:rsid w:val="008F0EB2"/>
    <w:rsid w:val="008F1016"/>
    <w:rsid w:val="008F107F"/>
    <w:rsid w:val="008F10B3"/>
    <w:rsid w:val="008F10D9"/>
    <w:rsid w:val="008F10DD"/>
    <w:rsid w:val="008F1959"/>
    <w:rsid w:val="008F1BDA"/>
    <w:rsid w:val="008F1C38"/>
    <w:rsid w:val="008F20F7"/>
    <w:rsid w:val="008F21B8"/>
    <w:rsid w:val="008F258F"/>
    <w:rsid w:val="008F2847"/>
    <w:rsid w:val="008F2F7D"/>
    <w:rsid w:val="008F328D"/>
    <w:rsid w:val="008F344E"/>
    <w:rsid w:val="008F36E2"/>
    <w:rsid w:val="008F377B"/>
    <w:rsid w:val="008F3C4B"/>
    <w:rsid w:val="008F43F5"/>
    <w:rsid w:val="008F4823"/>
    <w:rsid w:val="008F4835"/>
    <w:rsid w:val="008F48F6"/>
    <w:rsid w:val="008F4E23"/>
    <w:rsid w:val="008F4FC9"/>
    <w:rsid w:val="008F50A6"/>
    <w:rsid w:val="008F51DA"/>
    <w:rsid w:val="008F56DE"/>
    <w:rsid w:val="008F5D89"/>
    <w:rsid w:val="008F5E4C"/>
    <w:rsid w:val="008F61A0"/>
    <w:rsid w:val="008F621C"/>
    <w:rsid w:val="008F6343"/>
    <w:rsid w:val="008F67CC"/>
    <w:rsid w:val="008F6AD6"/>
    <w:rsid w:val="00900259"/>
    <w:rsid w:val="009007FC"/>
    <w:rsid w:val="00900B47"/>
    <w:rsid w:val="00900C35"/>
    <w:rsid w:val="00901012"/>
    <w:rsid w:val="009011CE"/>
    <w:rsid w:val="009017A1"/>
    <w:rsid w:val="00901D41"/>
    <w:rsid w:val="0090252A"/>
    <w:rsid w:val="0090258C"/>
    <w:rsid w:val="009025AB"/>
    <w:rsid w:val="00902C00"/>
    <w:rsid w:val="00902CA5"/>
    <w:rsid w:val="00902D4F"/>
    <w:rsid w:val="009030E3"/>
    <w:rsid w:val="009034B9"/>
    <w:rsid w:val="00903FB3"/>
    <w:rsid w:val="00904690"/>
    <w:rsid w:val="00905336"/>
    <w:rsid w:val="009054B2"/>
    <w:rsid w:val="009060FF"/>
    <w:rsid w:val="009066DC"/>
    <w:rsid w:val="00906E22"/>
    <w:rsid w:val="0090728D"/>
    <w:rsid w:val="00907441"/>
    <w:rsid w:val="00907583"/>
    <w:rsid w:val="0090758F"/>
    <w:rsid w:val="0090766F"/>
    <w:rsid w:val="0090779A"/>
    <w:rsid w:val="0090780A"/>
    <w:rsid w:val="009102B4"/>
    <w:rsid w:val="0091052B"/>
    <w:rsid w:val="00910715"/>
    <w:rsid w:val="009107FF"/>
    <w:rsid w:val="0091091D"/>
    <w:rsid w:val="00911327"/>
    <w:rsid w:val="00911F7E"/>
    <w:rsid w:val="009122DB"/>
    <w:rsid w:val="00912848"/>
    <w:rsid w:val="00912B56"/>
    <w:rsid w:val="00912C6F"/>
    <w:rsid w:val="00912E6B"/>
    <w:rsid w:val="009133D4"/>
    <w:rsid w:val="009136D9"/>
    <w:rsid w:val="00913F98"/>
    <w:rsid w:val="00914D25"/>
    <w:rsid w:val="00914D48"/>
    <w:rsid w:val="00915512"/>
    <w:rsid w:val="00916223"/>
    <w:rsid w:val="009163A0"/>
    <w:rsid w:val="009165A9"/>
    <w:rsid w:val="0091696F"/>
    <w:rsid w:val="00916C99"/>
    <w:rsid w:val="00916EE9"/>
    <w:rsid w:val="00917159"/>
    <w:rsid w:val="00917C84"/>
    <w:rsid w:val="00917D6B"/>
    <w:rsid w:val="00920FCF"/>
    <w:rsid w:val="0092119F"/>
    <w:rsid w:val="009218A2"/>
    <w:rsid w:val="0092191B"/>
    <w:rsid w:val="00921D86"/>
    <w:rsid w:val="00921FE8"/>
    <w:rsid w:val="0092241F"/>
    <w:rsid w:val="009224A3"/>
    <w:rsid w:val="009224B7"/>
    <w:rsid w:val="0092261B"/>
    <w:rsid w:val="00922E3B"/>
    <w:rsid w:val="00922FD8"/>
    <w:rsid w:val="009230B4"/>
    <w:rsid w:val="00923261"/>
    <w:rsid w:val="009233CC"/>
    <w:rsid w:val="00923509"/>
    <w:rsid w:val="00923551"/>
    <w:rsid w:val="00923633"/>
    <w:rsid w:val="00923651"/>
    <w:rsid w:val="00923C11"/>
    <w:rsid w:val="009240D8"/>
    <w:rsid w:val="009240FF"/>
    <w:rsid w:val="00924502"/>
    <w:rsid w:val="00924AA7"/>
    <w:rsid w:val="00924EC9"/>
    <w:rsid w:val="0092518C"/>
    <w:rsid w:val="0092523D"/>
    <w:rsid w:val="0092571D"/>
    <w:rsid w:val="0092586A"/>
    <w:rsid w:val="009259B5"/>
    <w:rsid w:val="009259B7"/>
    <w:rsid w:val="00925EF6"/>
    <w:rsid w:val="00925F7F"/>
    <w:rsid w:val="009260FB"/>
    <w:rsid w:val="00926354"/>
    <w:rsid w:val="009264CA"/>
    <w:rsid w:val="00926F34"/>
    <w:rsid w:val="00926F96"/>
    <w:rsid w:val="00927038"/>
    <w:rsid w:val="0092785A"/>
    <w:rsid w:val="0092789F"/>
    <w:rsid w:val="00927A08"/>
    <w:rsid w:val="00927F26"/>
    <w:rsid w:val="00927FCB"/>
    <w:rsid w:val="009303C3"/>
    <w:rsid w:val="0093066B"/>
    <w:rsid w:val="0093069F"/>
    <w:rsid w:val="00930745"/>
    <w:rsid w:val="00930812"/>
    <w:rsid w:val="00930948"/>
    <w:rsid w:val="00930A39"/>
    <w:rsid w:val="00930A74"/>
    <w:rsid w:val="00930E1C"/>
    <w:rsid w:val="00930EA1"/>
    <w:rsid w:val="009310EB"/>
    <w:rsid w:val="00931112"/>
    <w:rsid w:val="00931338"/>
    <w:rsid w:val="009316A4"/>
    <w:rsid w:val="0093176E"/>
    <w:rsid w:val="00931852"/>
    <w:rsid w:val="00931B5E"/>
    <w:rsid w:val="00932100"/>
    <w:rsid w:val="00932509"/>
    <w:rsid w:val="00932929"/>
    <w:rsid w:val="00932983"/>
    <w:rsid w:val="009329B0"/>
    <w:rsid w:val="009329B2"/>
    <w:rsid w:val="009332E2"/>
    <w:rsid w:val="00933817"/>
    <w:rsid w:val="00933A35"/>
    <w:rsid w:val="00933FE3"/>
    <w:rsid w:val="00934B9E"/>
    <w:rsid w:val="00934EAC"/>
    <w:rsid w:val="009350E4"/>
    <w:rsid w:val="009354E5"/>
    <w:rsid w:val="00935753"/>
    <w:rsid w:val="009359DF"/>
    <w:rsid w:val="00935A5A"/>
    <w:rsid w:val="0093603E"/>
    <w:rsid w:val="009360D7"/>
    <w:rsid w:val="009362C9"/>
    <w:rsid w:val="00936957"/>
    <w:rsid w:val="0093743C"/>
    <w:rsid w:val="00937498"/>
    <w:rsid w:val="00937509"/>
    <w:rsid w:val="0093753F"/>
    <w:rsid w:val="00937935"/>
    <w:rsid w:val="00937E54"/>
    <w:rsid w:val="009404D7"/>
    <w:rsid w:val="009405A4"/>
    <w:rsid w:val="009407AA"/>
    <w:rsid w:val="00940AD1"/>
    <w:rsid w:val="00940E50"/>
    <w:rsid w:val="00941026"/>
    <w:rsid w:val="00941536"/>
    <w:rsid w:val="00941754"/>
    <w:rsid w:val="00941769"/>
    <w:rsid w:val="00941D13"/>
    <w:rsid w:val="00942058"/>
    <w:rsid w:val="0094218A"/>
    <w:rsid w:val="00942226"/>
    <w:rsid w:val="00942387"/>
    <w:rsid w:val="00942398"/>
    <w:rsid w:val="00942A1E"/>
    <w:rsid w:val="0094380C"/>
    <w:rsid w:val="0094385A"/>
    <w:rsid w:val="009438FE"/>
    <w:rsid w:val="00943AD9"/>
    <w:rsid w:val="00943AE3"/>
    <w:rsid w:val="00944236"/>
    <w:rsid w:val="00944614"/>
    <w:rsid w:val="00944959"/>
    <w:rsid w:val="00944EAE"/>
    <w:rsid w:val="0094517F"/>
    <w:rsid w:val="009451A4"/>
    <w:rsid w:val="0094553C"/>
    <w:rsid w:val="00945613"/>
    <w:rsid w:val="009457B0"/>
    <w:rsid w:val="00945D86"/>
    <w:rsid w:val="00945EF3"/>
    <w:rsid w:val="00946019"/>
    <w:rsid w:val="0094626F"/>
    <w:rsid w:val="009462D2"/>
    <w:rsid w:val="0094692B"/>
    <w:rsid w:val="00946A1D"/>
    <w:rsid w:val="009476AB"/>
    <w:rsid w:val="009479A6"/>
    <w:rsid w:val="00947E56"/>
    <w:rsid w:val="00950A20"/>
    <w:rsid w:val="00950CD5"/>
    <w:rsid w:val="00950D16"/>
    <w:rsid w:val="0095118D"/>
    <w:rsid w:val="0095144C"/>
    <w:rsid w:val="009515F4"/>
    <w:rsid w:val="0095165B"/>
    <w:rsid w:val="00951BD0"/>
    <w:rsid w:val="00952548"/>
    <w:rsid w:val="00952844"/>
    <w:rsid w:val="009531B5"/>
    <w:rsid w:val="00953825"/>
    <w:rsid w:val="009538C2"/>
    <w:rsid w:val="00953D79"/>
    <w:rsid w:val="00953D91"/>
    <w:rsid w:val="00954003"/>
    <w:rsid w:val="00954148"/>
    <w:rsid w:val="009542ED"/>
    <w:rsid w:val="0095434A"/>
    <w:rsid w:val="00954939"/>
    <w:rsid w:val="009553DD"/>
    <w:rsid w:val="0095554D"/>
    <w:rsid w:val="00955943"/>
    <w:rsid w:val="009559B8"/>
    <w:rsid w:val="00955AC4"/>
    <w:rsid w:val="00955DF3"/>
    <w:rsid w:val="0095654C"/>
    <w:rsid w:val="0095686C"/>
    <w:rsid w:val="00956C4E"/>
    <w:rsid w:val="0095751D"/>
    <w:rsid w:val="00957569"/>
    <w:rsid w:val="00957A77"/>
    <w:rsid w:val="00957D5D"/>
    <w:rsid w:val="0096002A"/>
    <w:rsid w:val="009608B3"/>
    <w:rsid w:val="00961623"/>
    <w:rsid w:val="009619B3"/>
    <w:rsid w:val="00961F98"/>
    <w:rsid w:val="00961F9F"/>
    <w:rsid w:val="00961FF0"/>
    <w:rsid w:val="00962054"/>
    <w:rsid w:val="00962323"/>
    <w:rsid w:val="0096267A"/>
    <w:rsid w:val="009626AC"/>
    <w:rsid w:val="0096297B"/>
    <w:rsid w:val="009633D7"/>
    <w:rsid w:val="009637F5"/>
    <w:rsid w:val="00963ACD"/>
    <w:rsid w:val="00963B85"/>
    <w:rsid w:val="00964723"/>
    <w:rsid w:val="00964A1C"/>
    <w:rsid w:val="00964A79"/>
    <w:rsid w:val="00964C14"/>
    <w:rsid w:val="00964CF1"/>
    <w:rsid w:val="009652D5"/>
    <w:rsid w:val="00966C16"/>
    <w:rsid w:val="00966D01"/>
    <w:rsid w:val="009673BF"/>
    <w:rsid w:val="0096761A"/>
    <w:rsid w:val="009677F8"/>
    <w:rsid w:val="0097036B"/>
    <w:rsid w:val="0097054C"/>
    <w:rsid w:val="009705FE"/>
    <w:rsid w:val="00970910"/>
    <w:rsid w:val="00970C46"/>
    <w:rsid w:val="00970D1A"/>
    <w:rsid w:val="00970E55"/>
    <w:rsid w:val="00970EF1"/>
    <w:rsid w:val="00970F09"/>
    <w:rsid w:val="00970F7A"/>
    <w:rsid w:val="00971146"/>
    <w:rsid w:val="009713E2"/>
    <w:rsid w:val="009713EB"/>
    <w:rsid w:val="009717F0"/>
    <w:rsid w:val="0097198B"/>
    <w:rsid w:val="00971AA1"/>
    <w:rsid w:val="00971C3A"/>
    <w:rsid w:val="00971DC0"/>
    <w:rsid w:val="00972278"/>
    <w:rsid w:val="009723EC"/>
    <w:rsid w:val="009725F2"/>
    <w:rsid w:val="00972636"/>
    <w:rsid w:val="00972847"/>
    <w:rsid w:val="00972916"/>
    <w:rsid w:val="00972A9A"/>
    <w:rsid w:val="00972AFF"/>
    <w:rsid w:val="00972B99"/>
    <w:rsid w:val="009735FB"/>
    <w:rsid w:val="0097374B"/>
    <w:rsid w:val="00973C85"/>
    <w:rsid w:val="0097429B"/>
    <w:rsid w:val="009746C6"/>
    <w:rsid w:val="009749F7"/>
    <w:rsid w:val="009757B3"/>
    <w:rsid w:val="00975B8C"/>
    <w:rsid w:val="0097600B"/>
    <w:rsid w:val="0097691F"/>
    <w:rsid w:val="009769C3"/>
    <w:rsid w:val="00977263"/>
    <w:rsid w:val="0097733B"/>
    <w:rsid w:val="00977A34"/>
    <w:rsid w:val="00977D75"/>
    <w:rsid w:val="009809DC"/>
    <w:rsid w:val="00981126"/>
    <w:rsid w:val="0098193C"/>
    <w:rsid w:val="00981C05"/>
    <w:rsid w:val="00981E75"/>
    <w:rsid w:val="009821F9"/>
    <w:rsid w:val="00982435"/>
    <w:rsid w:val="00982559"/>
    <w:rsid w:val="00982627"/>
    <w:rsid w:val="00982719"/>
    <w:rsid w:val="00982745"/>
    <w:rsid w:val="0098307E"/>
    <w:rsid w:val="00983096"/>
    <w:rsid w:val="0098338D"/>
    <w:rsid w:val="00983A0F"/>
    <w:rsid w:val="00983C31"/>
    <w:rsid w:val="00983DFB"/>
    <w:rsid w:val="00983E7E"/>
    <w:rsid w:val="00983EF1"/>
    <w:rsid w:val="0098401C"/>
    <w:rsid w:val="009841C1"/>
    <w:rsid w:val="0098461A"/>
    <w:rsid w:val="00984766"/>
    <w:rsid w:val="00984A1E"/>
    <w:rsid w:val="00984E8C"/>
    <w:rsid w:val="00985121"/>
    <w:rsid w:val="0098513A"/>
    <w:rsid w:val="00985E04"/>
    <w:rsid w:val="009865DA"/>
    <w:rsid w:val="009866A4"/>
    <w:rsid w:val="00986E55"/>
    <w:rsid w:val="00987008"/>
    <w:rsid w:val="00987347"/>
    <w:rsid w:val="009874D7"/>
    <w:rsid w:val="0098765E"/>
    <w:rsid w:val="00987A6D"/>
    <w:rsid w:val="00987BAC"/>
    <w:rsid w:val="00987BB1"/>
    <w:rsid w:val="00987C50"/>
    <w:rsid w:val="00990169"/>
    <w:rsid w:val="009902F9"/>
    <w:rsid w:val="009905FF"/>
    <w:rsid w:val="00990672"/>
    <w:rsid w:val="00990CF1"/>
    <w:rsid w:val="00990D40"/>
    <w:rsid w:val="00990F98"/>
    <w:rsid w:val="00991675"/>
    <w:rsid w:val="00992008"/>
    <w:rsid w:val="009928FE"/>
    <w:rsid w:val="00992A0D"/>
    <w:rsid w:val="00992B05"/>
    <w:rsid w:val="00992BBD"/>
    <w:rsid w:val="00992BC7"/>
    <w:rsid w:val="00993387"/>
    <w:rsid w:val="00993EC9"/>
    <w:rsid w:val="00993F9C"/>
    <w:rsid w:val="00994540"/>
    <w:rsid w:val="0099478E"/>
    <w:rsid w:val="0099499F"/>
    <w:rsid w:val="00994B8D"/>
    <w:rsid w:val="0099513F"/>
    <w:rsid w:val="00995563"/>
    <w:rsid w:val="0099566F"/>
    <w:rsid w:val="00995D8B"/>
    <w:rsid w:val="00995F67"/>
    <w:rsid w:val="0099606C"/>
    <w:rsid w:val="00996409"/>
    <w:rsid w:val="00996499"/>
    <w:rsid w:val="009965BC"/>
    <w:rsid w:val="00996750"/>
    <w:rsid w:val="0099699D"/>
    <w:rsid w:val="009969D4"/>
    <w:rsid w:val="00996ACD"/>
    <w:rsid w:val="00996BB0"/>
    <w:rsid w:val="00996D00"/>
    <w:rsid w:val="00996D57"/>
    <w:rsid w:val="0099752F"/>
    <w:rsid w:val="00997B48"/>
    <w:rsid w:val="009A0382"/>
    <w:rsid w:val="009A03DC"/>
    <w:rsid w:val="009A0481"/>
    <w:rsid w:val="009A058D"/>
    <w:rsid w:val="009A0FD4"/>
    <w:rsid w:val="009A1683"/>
    <w:rsid w:val="009A16C3"/>
    <w:rsid w:val="009A2217"/>
    <w:rsid w:val="009A228E"/>
    <w:rsid w:val="009A2700"/>
    <w:rsid w:val="009A2C92"/>
    <w:rsid w:val="009A3215"/>
    <w:rsid w:val="009A34D9"/>
    <w:rsid w:val="009A35F7"/>
    <w:rsid w:val="009A3D6B"/>
    <w:rsid w:val="009A41A1"/>
    <w:rsid w:val="009A48BF"/>
    <w:rsid w:val="009A567A"/>
    <w:rsid w:val="009A6CF3"/>
    <w:rsid w:val="009A7199"/>
    <w:rsid w:val="009A74E4"/>
    <w:rsid w:val="009A76F7"/>
    <w:rsid w:val="009A7999"/>
    <w:rsid w:val="009B0134"/>
    <w:rsid w:val="009B0655"/>
    <w:rsid w:val="009B08A0"/>
    <w:rsid w:val="009B0E88"/>
    <w:rsid w:val="009B1A42"/>
    <w:rsid w:val="009B1A57"/>
    <w:rsid w:val="009B2020"/>
    <w:rsid w:val="009B24F2"/>
    <w:rsid w:val="009B252F"/>
    <w:rsid w:val="009B2785"/>
    <w:rsid w:val="009B2DBA"/>
    <w:rsid w:val="009B3133"/>
    <w:rsid w:val="009B3504"/>
    <w:rsid w:val="009B366F"/>
    <w:rsid w:val="009B38BC"/>
    <w:rsid w:val="009B42DD"/>
    <w:rsid w:val="009B43BF"/>
    <w:rsid w:val="009B449D"/>
    <w:rsid w:val="009B4693"/>
    <w:rsid w:val="009B4A2D"/>
    <w:rsid w:val="009B4A90"/>
    <w:rsid w:val="009B540B"/>
    <w:rsid w:val="009B54E0"/>
    <w:rsid w:val="009B56F9"/>
    <w:rsid w:val="009B591D"/>
    <w:rsid w:val="009B5A07"/>
    <w:rsid w:val="009B5CD6"/>
    <w:rsid w:val="009B64D1"/>
    <w:rsid w:val="009B655D"/>
    <w:rsid w:val="009B6884"/>
    <w:rsid w:val="009B6BC6"/>
    <w:rsid w:val="009B6EAB"/>
    <w:rsid w:val="009B74D3"/>
    <w:rsid w:val="009B757A"/>
    <w:rsid w:val="009C0129"/>
    <w:rsid w:val="009C065D"/>
    <w:rsid w:val="009C09C4"/>
    <w:rsid w:val="009C0D78"/>
    <w:rsid w:val="009C1363"/>
    <w:rsid w:val="009C14A4"/>
    <w:rsid w:val="009C15DA"/>
    <w:rsid w:val="009C16B9"/>
    <w:rsid w:val="009C18B8"/>
    <w:rsid w:val="009C1B3C"/>
    <w:rsid w:val="009C1B99"/>
    <w:rsid w:val="009C1E01"/>
    <w:rsid w:val="009C1E0B"/>
    <w:rsid w:val="009C2259"/>
    <w:rsid w:val="009C26C9"/>
    <w:rsid w:val="009C2871"/>
    <w:rsid w:val="009C2C58"/>
    <w:rsid w:val="009C2EC7"/>
    <w:rsid w:val="009C2F02"/>
    <w:rsid w:val="009C3A49"/>
    <w:rsid w:val="009C442C"/>
    <w:rsid w:val="009C4851"/>
    <w:rsid w:val="009C4884"/>
    <w:rsid w:val="009C4A9D"/>
    <w:rsid w:val="009C4AD3"/>
    <w:rsid w:val="009C52A7"/>
    <w:rsid w:val="009C5421"/>
    <w:rsid w:val="009C56C2"/>
    <w:rsid w:val="009C57A4"/>
    <w:rsid w:val="009C5AFF"/>
    <w:rsid w:val="009C601F"/>
    <w:rsid w:val="009C6272"/>
    <w:rsid w:val="009C62F8"/>
    <w:rsid w:val="009C73CB"/>
    <w:rsid w:val="009C7951"/>
    <w:rsid w:val="009C7B7D"/>
    <w:rsid w:val="009D03E1"/>
    <w:rsid w:val="009D057F"/>
    <w:rsid w:val="009D0581"/>
    <w:rsid w:val="009D07C3"/>
    <w:rsid w:val="009D0946"/>
    <w:rsid w:val="009D097D"/>
    <w:rsid w:val="009D09FF"/>
    <w:rsid w:val="009D0D3A"/>
    <w:rsid w:val="009D0F03"/>
    <w:rsid w:val="009D15C6"/>
    <w:rsid w:val="009D17B9"/>
    <w:rsid w:val="009D1A67"/>
    <w:rsid w:val="009D1ED1"/>
    <w:rsid w:val="009D1F69"/>
    <w:rsid w:val="009D2362"/>
    <w:rsid w:val="009D23F9"/>
    <w:rsid w:val="009D2788"/>
    <w:rsid w:val="009D38F7"/>
    <w:rsid w:val="009D3DD0"/>
    <w:rsid w:val="009D406F"/>
    <w:rsid w:val="009D545A"/>
    <w:rsid w:val="009D558A"/>
    <w:rsid w:val="009D5BCD"/>
    <w:rsid w:val="009D5BF0"/>
    <w:rsid w:val="009D5E81"/>
    <w:rsid w:val="009D6321"/>
    <w:rsid w:val="009D6606"/>
    <w:rsid w:val="009D6681"/>
    <w:rsid w:val="009D669A"/>
    <w:rsid w:val="009D6B83"/>
    <w:rsid w:val="009D6B9B"/>
    <w:rsid w:val="009D6CDA"/>
    <w:rsid w:val="009D6D44"/>
    <w:rsid w:val="009D7225"/>
    <w:rsid w:val="009E00EA"/>
    <w:rsid w:val="009E01D7"/>
    <w:rsid w:val="009E02E3"/>
    <w:rsid w:val="009E037D"/>
    <w:rsid w:val="009E0593"/>
    <w:rsid w:val="009E0CC9"/>
    <w:rsid w:val="009E0F4D"/>
    <w:rsid w:val="009E10D6"/>
    <w:rsid w:val="009E11F6"/>
    <w:rsid w:val="009E165F"/>
    <w:rsid w:val="009E1C25"/>
    <w:rsid w:val="009E1CCF"/>
    <w:rsid w:val="009E1F4C"/>
    <w:rsid w:val="009E1F85"/>
    <w:rsid w:val="009E22FA"/>
    <w:rsid w:val="009E2D9C"/>
    <w:rsid w:val="009E2E6B"/>
    <w:rsid w:val="009E3F46"/>
    <w:rsid w:val="009E3FA9"/>
    <w:rsid w:val="009E44DA"/>
    <w:rsid w:val="009E4744"/>
    <w:rsid w:val="009E47E0"/>
    <w:rsid w:val="009E481A"/>
    <w:rsid w:val="009E4878"/>
    <w:rsid w:val="009E4CB5"/>
    <w:rsid w:val="009E4CBA"/>
    <w:rsid w:val="009E4EC9"/>
    <w:rsid w:val="009E4FA3"/>
    <w:rsid w:val="009E5542"/>
    <w:rsid w:val="009E58B0"/>
    <w:rsid w:val="009E5D00"/>
    <w:rsid w:val="009E5D5A"/>
    <w:rsid w:val="009E67F6"/>
    <w:rsid w:val="009E6876"/>
    <w:rsid w:val="009E6D30"/>
    <w:rsid w:val="009E6DB6"/>
    <w:rsid w:val="009E784E"/>
    <w:rsid w:val="009E7E9B"/>
    <w:rsid w:val="009E7F68"/>
    <w:rsid w:val="009F0630"/>
    <w:rsid w:val="009F0984"/>
    <w:rsid w:val="009F0B36"/>
    <w:rsid w:val="009F1180"/>
    <w:rsid w:val="009F1758"/>
    <w:rsid w:val="009F1C84"/>
    <w:rsid w:val="009F2114"/>
    <w:rsid w:val="009F2262"/>
    <w:rsid w:val="009F28E2"/>
    <w:rsid w:val="009F299F"/>
    <w:rsid w:val="009F2C2D"/>
    <w:rsid w:val="009F3315"/>
    <w:rsid w:val="009F3377"/>
    <w:rsid w:val="009F3BCC"/>
    <w:rsid w:val="009F4171"/>
    <w:rsid w:val="009F42E8"/>
    <w:rsid w:val="009F441E"/>
    <w:rsid w:val="009F4583"/>
    <w:rsid w:val="009F47CE"/>
    <w:rsid w:val="009F4A66"/>
    <w:rsid w:val="009F4ADA"/>
    <w:rsid w:val="009F4BA8"/>
    <w:rsid w:val="009F4BDE"/>
    <w:rsid w:val="009F5858"/>
    <w:rsid w:val="009F6239"/>
    <w:rsid w:val="009F6658"/>
    <w:rsid w:val="009F6A0D"/>
    <w:rsid w:val="009F6BF2"/>
    <w:rsid w:val="009F6C05"/>
    <w:rsid w:val="009F7100"/>
    <w:rsid w:val="009F7294"/>
    <w:rsid w:val="009F734C"/>
    <w:rsid w:val="009F746A"/>
    <w:rsid w:val="009F7C9B"/>
    <w:rsid w:val="009F7E8C"/>
    <w:rsid w:val="009F7FB3"/>
    <w:rsid w:val="00A001A3"/>
    <w:rsid w:val="00A009E6"/>
    <w:rsid w:val="00A00BA5"/>
    <w:rsid w:val="00A0154C"/>
    <w:rsid w:val="00A017A8"/>
    <w:rsid w:val="00A01AAD"/>
    <w:rsid w:val="00A01B15"/>
    <w:rsid w:val="00A01BA3"/>
    <w:rsid w:val="00A01EAA"/>
    <w:rsid w:val="00A028E5"/>
    <w:rsid w:val="00A02F04"/>
    <w:rsid w:val="00A02FD1"/>
    <w:rsid w:val="00A0313B"/>
    <w:rsid w:val="00A03D76"/>
    <w:rsid w:val="00A03F67"/>
    <w:rsid w:val="00A04712"/>
    <w:rsid w:val="00A04CFA"/>
    <w:rsid w:val="00A04D9F"/>
    <w:rsid w:val="00A05069"/>
    <w:rsid w:val="00A050D7"/>
    <w:rsid w:val="00A0534B"/>
    <w:rsid w:val="00A0638A"/>
    <w:rsid w:val="00A069D1"/>
    <w:rsid w:val="00A06E2E"/>
    <w:rsid w:val="00A070B7"/>
    <w:rsid w:val="00A07463"/>
    <w:rsid w:val="00A074B7"/>
    <w:rsid w:val="00A07991"/>
    <w:rsid w:val="00A079A5"/>
    <w:rsid w:val="00A07ACD"/>
    <w:rsid w:val="00A07B27"/>
    <w:rsid w:val="00A07F1F"/>
    <w:rsid w:val="00A1008B"/>
    <w:rsid w:val="00A104CE"/>
    <w:rsid w:val="00A106AC"/>
    <w:rsid w:val="00A1092B"/>
    <w:rsid w:val="00A10CDE"/>
    <w:rsid w:val="00A1135A"/>
    <w:rsid w:val="00A11545"/>
    <w:rsid w:val="00A11EAA"/>
    <w:rsid w:val="00A12DE8"/>
    <w:rsid w:val="00A12F1D"/>
    <w:rsid w:val="00A12FE0"/>
    <w:rsid w:val="00A139FC"/>
    <w:rsid w:val="00A13A89"/>
    <w:rsid w:val="00A13E76"/>
    <w:rsid w:val="00A143E1"/>
    <w:rsid w:val="00A143F0"/>
    <w:rsid w:val="00A14598"/>
    <w:rsid w:val="00A14748"/>
    <w:rsid w:val="00A14887"/>
    <w:rsid w:val="00A14DE8"/>
    <w:rsid w:val="00A150BE"/>
    <w:rsid w:val="00A152E5"/>
    <w:rsid w:val="00A15BD1"/>
    <w:rsid w:val="00A15D38"/>
    <w:rsid w:val="00A15F04"/>
    <w:rsid w:val="00A15F6E"/>
    <w:rsid w:val="00A160A9"/>
    <w:rsid w:val="00A1680D"/>
    <w:rsid w:val="00A168D9"/>
    <w:rsid w:val="00A16CA1"/>
    <w:rsid w:val="00A16EA7"/>
    <w:rsid w:val="00A1716C"/>
    <w:rsid w:val="00A1749D"/>
    <w:rsid w:val="00A176FF"/>
    <w:rsid w:val="00A17CC1"/>
    <w:rsid w:val="00A2190F"/>
    <w:rsid w:val="00A21962"/>
    <w:rsid w:val="00A21B20"/>
    <w:rsid w:val="00A21D6F"/>
    <w:rsid w:val="00A21DA9"/>
    <w:rsid w:val="00A21DDD"/>
    <w:rsid w:val="00A21EDD"/>
    <w:rsid w:val="00A22037"/>
    <w:rsid w:val="00A222CC"/>
    <w:rsid w:val="00A22BA1"/>
    <w:rsid w:val="00A2332F"/>
    <w:rsid w:val="00A23718"/>
    <w:rsid w:val="00A23764"/>
    <w:rsid w:val="00A238F3"/>
    <w:rsid w:val="00A23AB0"/>
    <w:rsid w:val="00A241A2"/>
    <w:rsid w:val="00A24949"/>
    <w:rsid w:val="00A24C3B"/>
    <w:rsid w:val="00A2507A"/>
    <w:rsid w:val="00A25D3B"/>
    <w:rsid w:val="00A26095"/>
    <w:rsid w:val="00A266C5"/>
    <w:rsid w:val="00A26704"/>
    <w:rsid w:val="00A26B02"/>
    <w:rsid w:val="00A26B03"/>
    <w:rsid w:val="00A26C43"/>
    <w:rsid w:val="00A26D60"/>
    <w:rsid w:val="00A26E70"/>
    <w:rsid w:val="00A2712F"/>
    <w:rsid w:val="00A27242"/>
    <w:rsid w:val="00A27303"/>
    <w:rsid w:val="00A27448"/>
    <w:rsid w:val="00A27518"/>
    <w:rsid w:val="00A278DB"/>
    <w:rsid w:val="00A3020D"/>
    <w:rsid w:val="00A3052D"/>
    <w:rsid w:val="00A308B2"/>
    <w:rsid w:val="00A309C6"/>
    <w:rsid w:val="00A30BC0"/>
    <w:rsid w:val="00A30C55"/>
    <w:rsid w:val="00A30F98"/>
    <w:rsid w:val="00A3115A"/>
    <w:rsid w:val="00A313F8"/>
    <w:rsid w:val="00A31657"/>
    <w:rsid w:val="00A31734"/>
    <w:rsid w:val="00A31778"/>
    <w:rsid w:val="00A317A3"/>
    <w:rsid w:val="00A3187D"/>
    <w:rsid w:val="00A31C8F"/>
    <w:rsid w:val="00A3227D"/>
    <w:rsid w:val="00A326F2"/>
    <w:rsid w:val="00A3277F"/>
    <w:rsid w:val="00A32AFC"/>
    <w:rsid w:val="00A32E4E"/>
    <w:rsid w:val="00A32EE6"/>
    <w:rsid w:val="00A33019"/>
    <w:rsid w:val="00A3301F"/>
    <w:rsid w:val="00A333F6"/>
    <w:rsid w:val="00A336E7"/>
    <w:rsid w:val="00A33BAE"/>
    <w:rsid w:val="00A33D3C"/>
    <w:rsid w:val="00A3430F"/>
    <w:rsid w:val="00A3443F"/>
    <w:rsid w:val="00A34538"/>
    <w:rsid w:val="00A347CC"/>
    <w:rsid w:val="00A34882"/>
    <w:rsid w:val="00A349DD"/>
    <w:rsid w:val="00A34D12"/>
    <w:rsid w:val="00A354E8"/>
    <w:rsid w:val="00A3553E"/>
    <w:rsid w:val="00A357C1"/>
    <w:rsid w:val="00A358C4"/>
    <w:rsid w:val="00A35ACA"/>
    <w:rsid w:val="00A35B65"/>
    <w:rsid w:val="00A36400"/>
    <w:rsid w:val="00A3647F"/>
    <w:rsid w:val="00A36493"/>
    <w:rsid w:val="00A36842"/>
    <w:rsid w:val="00A36C43"/>
    <w:rsid w:val="00A36C9C"/>
    <w:rsid w:val="00A36E6F"/>
    <w:rsid w:val="00A371FD"/>
    <w:rsid w:val="00A372A5"/>
    <w:rsid w:val="00A37574"/>
    <w:rsid w:val="00A40325"/>
    <w:rsid w:val="00A4089E"/>
    <w:rsid w:val="00A40FE5"/>
    <w:rsid w:val="00A4103C"/>
    <w:rsid w:val="00A4109C"/>
    <w:rsid w:val="00A415E6"/>
    <w:rsid w:val="00A41726"/>
    <w:rsid w:val="00A41B00"/>
    <w:rsid w:val="00A41D03"/>
    <w:rsid w:val="00A42026"/>
    <w:rsid w:val="00A427D6"/>
    <w:rsid w:val="00A42AF7"/>
    <w:rsid w:val="00A42BED"/>
    <w:rsid w:val="00A42D88"/>
    <w:rsid w:val="00A42EFE"/>
    <w:rsid w:val="00A4327B"/>
    <w:rsid w:val="00A43EF4"/>
    <w:rsid w:val="00A44066"/>
    <w:rsid w:val="00A445E5"/>
    <w:rsid w:val="00A44625"/>
    <w:rsid w:val="00A44C91"/>
    <w:rsid w:val="00A44EA7"/>
    <w:rsid w:val="00A451A0"/>
    <w:rsid w:val="00A4542B"/>
    <w:rsid w:val="00A45D10"/>
    <w:rsid w:val="00A45FF3"/>
    <w:rsid w:val="00A464C8"/>
    <w:rsid w:val="00A47281"/>
    <w:rsid w:val="00A4765F"/>
    <w:rsid w:val="00A47868"/>
    <w:rsid w:val="00A47B26"/>
    <w:rsid w:val="00A47D63"/>
    <w:rsid w:val="00A47ECE"/>
    <w:rsid w:val="00A50328"/>
    <w:rsid w:val="00A504C0"/>
    <w:rsid w:val="00A505DE"/>
    <w:rsid w:val="00A50CDF"/>
    <w:rsid w:val="00A50D3F"/>
    <w:rsid w:val="00A50D81"/>
    <w:rsid w:val="00A50D97"/>
    <w:rsid w:val="00A50DBB"/>
    <w:rsid w:val="00A5102B"/>
    <w:rsid w:val="00A51164"/>
    <w:rsid w:val="00A51818"/>
    <w:rsid w:val="00A51A3F"/>
    <w:rsid w:val="00A525F4"/>
    <w:rsid w:val="00A52857"/>
    <w:rsid w:val="00A529E8"/>
    <w:rsid w:val="00A5314F"/>
    <w:rsid w:val="00A531BB"/>
    <w:rsid w:val="00A5327C"/>
    <w:rsid w:val="00A53A7F"/>
    <w:rsid w:val="00A53AE7"/>
    <w:rsid w:val="00A53F6A"/>
    <w:rsid w:val="00A54056"/>
    <w:rsid w:val="00A54439"/>
    <w:rsid w:val="00A54860"/>
    <w:rsid w:val="00A549DA"/>
    <w:rsid w:val="00A558F9"/>
    <w:rsid w:val="00A55B2C"/>
    <w:rsid w:val="00A56AC9"/>
    <w:rsid w:val="00A56C71"/>
    <w:rsid w:val="00A5721C"/>
    <w:rsid w:val="00A57434"/>
    <w:rsid w:val="00A574FA"/>
    <w:rsid w:val="00A57EB4"/>
    <w:rsid w:val="00A60563"/>
    <w:rsid w:val="00A60A26"/>
    <w:rsid w:val="00A60BB9"/>
    <w:rsid w:val="00A60CF4"/>
    <w:rsid w:val="00A611D9"/>
    <w:rsid w:val="00A61239"/>
    <w:rsid w:val="00A61446"/>
    <w:rsid w:val="00A6146C"/>
    <w:rsid w:val="00A614EB"/>
    <w:rsid w:val="00A614EC"/>
    <w:rsid w:val="00A6165A"/>
    <w:rsid w:val="00A61705"/>
    <w:rsid w:val="00A61E6C"/>
    <w:rsid w:val="00A61F47"/>
    <w:rsid w:val="00A62293"/>
    <w:rsid w:val="00A62781"/>
    <w:rsid w:val="00A62D5D"/>
    <w:rsid w:val="00A62FC9"/>
    <w:rsid w:val="00A6304E"/>
    <w:rsid w:val="00A63410"/>
    <w:rsid w:val="00A63D22"/>
    <w:rsid w:val="00A63F85"/>
    <w:rsid w:val="00A64769"/>
    <w:rsid w:val="00A65106"/>
    <w:rsid w:val="00A654E7"/>
    <w:rsid w:val="00A6591E"/>
    <w:rsid w:val="00A65C97"/>
    <w:rsid w:val="00A65DAD"/>
    <w:rsid w:val="00A65E23"/>
    <w:rsid w:val="00A6608F"/>
    <w:rsid w:val="00A661CC"/>
    <w:rsid w:val="00A66234"/>
    <w:rsid w:val="00A6633A"/>
    <w:rsid w:val="00A66C65"/>
    <w:rsid w:val="00A66D34"/>
    <w:rsid w:val="00A66DE4"/>
    <w:rsid w:val="00A67215"/>
    <w:rsid w:val="00A67913"/>
    <w:rsid w:val="00A67969"/>
    <w:rsid w:val="00A67A73"/>
    <w:rsid w:val="00A67B22"/>
    <w:rsid w:val="00A67DAB"/>
    <w:rsid w:val="00A70D18"/>
    <w:rsid w:val="00A7113E"/>
    <w:rsid w:val="00A714FB"/>
    <w:rsid w:val="00A716BA"/>
    <w:rsid w:val="00A71A6C"/>
    <w:rsid w:val="00A722A2"/>
    <w:rsid w:val="00A72432"/>
    <w:rsid w:val="00A72749"/>
    <w:rsid w:val="00A73704"/>
    <w:rsid w:val="00A73E86"/>
    <w:rsid w:val="00A74064"/>
    <w:rsid w:val="00A74260"/>
    <w:rsid w:val="00A743F8"/>
    <w:rsid w:val="00A74599"/>
    <w:rsid w:val="00A7483E"/>
    <w:rsid w:val="00A748F0"/>
    <w:rsid w:val="00A74934"/>
    <w:rsid w:val="00A74B9B"/>
    <w:rsid w:val="00A74F50"/>
    <w:rsid w:val="00A750EE"/>
    <w:rsid w:val="00A75892"/>
    <w:rsid w:val="00A759D5"/>
    <w:rsid w:val="00A75A1F"/>
    <w:rsid w:val="00A766E4"/>
    <w:rsid w:val="00A766FF"/>
    <w:rsid w:val="00A76BFF"/>
    <w:rsid w:val="00A77C21"/>
    <w:rsid w:val="00A77D6D"/>
    <w:rsid w:val="00A8014C"/>
    <w:rsid w:val="00A808DB"/>
    <w:rsid w:val="00A80B2C"/>
    <w:rsid w:val="00A80B3C"/>
    <w:rsid w:val="00A80FF2"/>
    <w:rsid w:val="00A81252"/>
    <w:rsid w:val="00A81A94"/>
    <w:rsid w:val="00A81D28"/>
    <w:rsid w:val="00A81D45"/>
    <w:rsid w:val="00A8223B"/>
    <w:rsid w:val="00A82534"/>
    <w:rsid w:val="00A82948"/>
    <w:rsid w:val="00A82BA1"/>
    <w:rsid w:val="00A82C5B"/>
    <w:rsid w:val="00A8329D"/>
    <w:rsid w:val="00A8364E"/>
    <w:rsid w:val="00A83ACF"/>
    <w:rsid w:val="00A843C4"/>
    <w:rsid w:val="00A845F6"/>
    <w:rsid w:val="00A84D50"/>
    <w:rsid w:val="00A84E12"/>
    <w:rsid w:val="00A85346"/>
    <w:rsid w:val="00A85D0F"/>
    <w:rsid w:val="00A85EDA"/>
    <w:rsid w:val="00A86039"/>
    <w:rsid w:val="00A860BF"/>
    <w:rsid w:val="00A860F3"/>
    <w:rsid w:val="00A86C7B"/>
    <w:rsid w:val="00A86E2E"/>
    <w:rsid w:val="00A87332"/>
    <w:rsid w:val="00A878B9"/>
    <w:rsid w:val="00A87DD8"/>
    <w:rsid w:val="00A87FF6"/>
    <w:rsid w:val="00A90503"/>
    <w:rsid w:val="00A90B83"/>
    <w:rsid w:val="00A9108B"/>
    <w:rsid w:val="00A9119A"/>
    <w:rsid w:val="00A911F3"/>
    <w:rsid w:val="00A92037"/>
    <w:rsid w:val="00A927C2"/>
    <w:rsid w:val="00A9289F"/>
    <w:rsid w:val="00A92A30"/>
    <w:rsid w:val="00A92D8B"/>
    <w:rsid w:val="00A93036"/>
    <w:rsid w:val="00A93636"/>
    <w:rsid w:val="00A93749"/>
    <w:rsid w:val="00A9396C"/>
    <w:rsid w:val="00A93DAA"/>
    <w:rsid w:val="00A9453E"/>
    <w:rsid w:val="00A949AE"/>
    <w:rsid w:val="00A94C15"/>
    <w:rsid w:val="00A94F3E"/>
    <w:rsid w:val="00A9501B"/>
    <w:rsid w:val="00A951CD"/>
    <w:rsid w:val="00A9522D"/>
    <w:rsid w:val="00A95300"/>
    <w:rsid w:val="00A956B1"/>
    <w:rsid w:val="00A95932"/>
    <w:rsid w:val="00A95A19"/>
    <w:rsid w:val="00A95D13"/>
    <w:rsid w:val="00A95DED"/>
    <w:rsid w:val="00A961D0"/>
    <w:rsid w:val="00A961DE"/>
    <w:rsid w:val="00A962F1"/>
    <w:rsid w:val="00A9648E"/>
    <w:rsid w:val="00A9663C"/>
    <w:rsid w:val="00A9681E"/>
    <w:rsid w:val="00A96A38"/>
    <w:rsid w:val="00A96E4B"/>
    <w:rsid w:val="00A97670"/>
    <w:rsid w:val="00A97948"/>
    <w:rsid w:val="00A97B74"/>
    <w:rsid w:val="00A97E96"/>
    <w:rsid w:val="00AA007A"/>
    <w:rsid w:val="00AA0235"/>
    <w:rsid w:val="00AA02FE"/>
    <w:rsid w:val="00AA0D6A"/>
    <w:rsid w:val="00AA0E8A"/>
    <w:rsid w:val="00AA12B3"/>
    <w:rsid w:val="00AA12C5"/>
    <w:rsid w:val="00AA1C89"/>
    <w:rsid w:val="00AA1E89"/>
    <w:rsid w:val="00AA255D"/>
    <w:rsid w:val="00AA274B"/>
    <w:rsid w:val="00AA353F"/>
    <w:rsid w:val="00AA35B4"/>
    <w:rsid w:val="00AA3603"/>
    <w:rsid w:val="00AA3B49"/>
    <w:rsid w:val="00AA3B57"/>
    <w:rsid w:val="00AA46F0"/>
    <w:rsid w:val="00AA4DB7"/>
    <w:rsid w:val="00AA4DD2"/>
    <w:rsid w:val="00AA4E64"/>
    <w:rsid w:val="00AA5069"/>
    <w:rsid w:val="00AA5443"/>
    <w:rsid w:val="00AA5CF6"/>
    <w:rsid w:val="00AA5F1A"/>
    <w:rsid w:val="00AA607B"/>
    <w:rsid w:val="00AA6586"/>
    <w:rsid w:val="00AA685A"/>
    <w:rsid w:val="00AA6C3C"/>
    <w:rsid w:val="00AA6D77"/>
    <w:rsid w:val="00AA7225"/>
    <w:rsid w:val="00AA73C3"/>
    <w:rsid w:val="00AA756E"/>
    <w:rsid w:val="00AA75F7"/>
    <w:rsid w:val="00AA7713"/>
    <w:rsid w:val="00AA7DB5"/>
    <w:rsid w:val="00AA7DEE"/>
    <w:rsid w:val="00AA7E3A"/>
    <w:rsid w:val="00AB067C"/>
    <w:rsid w:val="00AB073E"/>
    <w:rsid w:val="00AB0950"/>
    <w:rsid w:val="00AB0989"/>
    <w:rsid w:val="00AB0AAB"/>
    <w:rsid w:val="00AB13AF"/>
    <w:rsid w:val="00AB14AE"/>
    <w:rsid w:val="00AB14D7"/>
    <w:rsid w:val="00AB164D"/>
    <w:rsid w:val="00AB16B0"/>
    <w:rsid w:val="00AB1A13"/>
    <w:rsid w:val="00AB1D66"/>
    <w:rsid w:val="00AB240C"/>
    <w:rsid w:val="00AB24C5"/>
    <w:rsid w:val="00AB25BF"/>
    <w:rsid w:val="00AB29E8"/>
    <w:rsid w:val="00AB2BDE"/>
    <w:rsid w:val="00AB2E87"/>
    <w:rsid w:val="00AB3173"/>
    <w:rsid w:val="00AB31BC"/>
    <w:rsid w:val="00AB3D7C"/>
    <w:rsid w:val="00AB3FBA"/>
    <w:rsid w:val="00AB424B"/>
    <w:rsid w:val="00AB47DC"/>
    <w:rsid w:val="00AB4E79"/>
    <w:rsid w:val="00AB4E9F"/>
    <w:rsid w:val="00AB506E"/>
    <w:rsid w:val="00AB5493"/>
    <w:rsid w:val="00AB54D6"/>
    <w:rsid w:val="00AB5666"/>
    <w:rsid w:val="00AB5CDF"/>
    <w:rsid w:val="00AB60E2"/>
    <w:rsid w:val="00AB63B3"/>
    <w:rsid w:val="00AB6B3F"/>
    <w:rsid w:val="00AB6E87"/>
    <w:rsid w:val="00AB6FFE"/>
    <w:rsid w:val="00AB7A2F"/>
    <w:rsid w:val="00AC00C4"/>
    <w:rsid w:val="00AC0529"/>
    <w:rsid w:val="00AC07DD"/>
    <w:rsid w:val="00AC0A1D"/>
    <w:rsid w:val="00AC0B0B"/>
    <w:rsid w:val="00AC0CE2"/>
    <w:rsid w:val="00AC126F"/>
    <w:rsid w:val="00AC1736"/>
    <w:rsid w:val="00AC190C"/>
    <w:rsid w:val="00AC1C55"/>
    <w:rsid w:val="00AC1D2B"/>
    <w:rsid w:val="00AC210F"/>
    <w:rsid w:val="00AC27FF"/>
    <w:rsid w:val="00AC2A31"/>
    <w:rsid w:val="00AC2AD1"/>
    <w:rsid w:val="00AC2F92"/>
    <w:rsid w:val="00AC3010"/>
    <w:rsid w:val="00AC315E"/>
    <w:rsid w:val="00AC319E"/>
    <w:rsid w:val="00AC328F"/>
    <w:rsid w:val="00AC35FD"/>
    <w:rsid w:val="00AC3685"/>
    <w:rsid w:val="00AC3D80"/>
    <w:rsid w:val="00AC3F70"/>
    <w:rsid w:val="00AC42ED"/>
    <w:rsid w:val="00AC446F"/>
    <w:rsid w:val="00AC4659"/>
    <w:rsid w:val="00AC48B8"/>
    <w:rsid w:val="00AC4BB9"/>
    <w:rsid w:val="00AC556E"/>
    <w:rsid w:val="00AC57F6"/>
    <w:rsid w:val="00AC5B1B"/>
    <w:rsid w:val="00AC5D5A"/>
    <w:rsid w:val="00AC5D6E"/>
    <w:rsid w:val="00AC624F"/>
    <w:rsid w:val="00AC6BCD"/>
    <w:rsid w:val="00AC6BE8"/>
    <w:rsid w:val="00AC6C7E"/>
    <w:rsid w:val="00AC6F02"/>
    <w:rsid w:val="00AC6F7A"/>
    <w:rsid w:val="00AC71D8"/>
    <w:rsid w:val="00AC7665"/>
    <w:rsid w:val="00AC7812"/>
    <w:rsid w:val="00AC79CC"/>
    <w:rsid w:val="00AC7D5E"/>
    <w:rsid w:val="00AC7D89"/>
    <w:rsid w:val="00AD0326"/>
    <w:rsid w:val="00AD06BC"/>
    <w:rsid w:val="00AD09B3"/>
    <w:rsid w:val="00AD0CF7"/>
    <w:rsid w:val="00AD129A"/>
    <w:rsid w:val="00AD1B72"/>
    <w:rsid w:val="00AD1C47"/>
    <w:rsid w:val="00AD21A1"/>
    <w:rsid w:val="00AD222C"/>
    <w:rsid w:val="00AD2294"/>
    <w:rsid w:val="00AD2AC9"/>
    <w:rsid w:val="00AD30A0"/>
    <w:rsid w:val="00AD34F4"/>
    <w:rsid w:val="00AD353F"/>
    <w:rsid w:val="00AD386C"/>
    <w:rsid w:val="00AD3F5E"/>
    <w:rsid w:val="00AD3FC6"/>
    <w:rsid w:val="00AD47E6"/>
    <w:rsid w:val="00AD494E"/>
    <w:rsid w:val="00AD4BE5"/>
    <w:rsid w:val="00AD4ED4"/>
    <w:rsid w:val="00AD50AD"/>
    <w:rsid w:val="00AD5A30"/>
    <w:rsid w:val="00AD5EEC"/>
    <w:rsid w:val="00AD5F24"/>
    <w:rsid w:val="00AD5FE2"/>
    <w:rsid w:val="00AD6131"/>
    <w:rsid w:val="00AD66BE"/>
    <w:rsid w:val="00AD675E"/>
    <w:rsid w:val="00AD6AD3"/>
    <w:rsid w:val="00AD6D52"/>
    <w:rsid w:val="00AD6E42"/>
    <w:rsid w:val="00AD722A"/>
    <w:rsid w:val="00AD7286"/>
    <w:rsid w:val="00AD7E20"/>
    <w:rsid w:val="00AD7F4A"/>
    <w:rsid w:val="00AD7FE9"/>
    <w:rsid w:val="00AD7FF3"/>
    <w:rsid w:val="00AE0356"/>
    <w:rsid w:val="00AE04BC"/>
    <w:rsid w:val="00AE0961"/>
    <w:rsid w:val="00AE09FB"/>
    <w:rsid w:val="00AE0A2D"/>
    <w:rsid w:val="00AE0B90"/>
    <w:rsid w:val="00AE1529"/>
    <w:rsid w:val="00AE1B01"/>
    <w:rsid w:val="00AE28E4"/>
    <w:rsid w:val="00AE2A40"/>
    <w:rsid w:val="00AE2AF7"/>
    <w:rsid w:val="00AE2B5B"/>
    <w:rsid w:val="00AE309D"/>
    <w:rsid w:val="00AE313D"/>
    <w:rsid w:val="00AE3455"/>
    <w:rsid w:val="00AE3739"/>
    <w:rsid w:val="00AE3A1E"/>
    <w:rsid w:val="00AE3AA3"/>
    <w:rsid w:val="00AE3D37"/>
    <w:rsid w:val="00AE4395"/>
    <w:rsid w:val="00AE4673"/>
    <w:rsid w:val="00AE4AC3"/>
    <w:rsid w:val="00AE578C"/>
    <w:rsid w:val="00AE5F32"/>
    <w:rsid w:val="00AE5F4E"/>
    <w:rsid w:val="00AE6898"/>
    <w:rsid w:val="00AE68F7"/>
    <w:rsid w:val="00AE69A7"/>
    <w:rsid w:val="00AE69E3"/>
    <w:rsid w:val="00AE6CD0"/>
    <w:rsid w:val="00AE734F"/>
    <w:rsid w:val="00AE7661"/>
    <w:rsid w:val="00AE7F77"/>
    <w:rsid w:val="00AF0308"/>
    <w:rsid w:val="00AF067A"/>
    <w:rsid w:val="00AF07B2"/>
    <w:rsid w:val="00AF109E"/>
    <w:rsid w:val="00AF12C6"/>
    <w:rsid w:val="00AF13EB"/>
    <w:rsid w:val="00AF18AB"/>
    <w:rsid w:val="00AF1A2D"/>
    <w:rsid w:val="00AF2656"/>
    <w:rsid w:val="00AF294A"/>
    <w:rsid w:val="00AF2C0B"/>
    <w:rsid w:val="00AF2DBC"/>
    <w:rsid w:val="00AF2FCC"/>
    <w:rsid w:val="00AF300E"/>
    <w:rsid w:val="00AF3824"/>
    <w:rsid w:val="00AF3D60"/>
    <w:rsid w:val="00AF3DFE"/>
    <w:rsid w:val="00AF3E8F"/>
    <w:rsid w:val="00AF4019"/>
    <w:rsid w:val="00AF4170"/>
    <w:rsid w:val="00AF444C"/>
    <w:rsid w:val="00AF4DBF"/>
    <w:rsid w:val="00AF4FD5"/>
    <w:rsid w:val="00AF57E0"/>
    <w:rsid w:val="00AF5A7E"/>
    <w:rsid w:val="00AF5ACD"/>
    <w:rsid w:val="00AF6110"/>
    <w:rsid w:val="00AF6226"/>
    <w:rsid w:val="00AF63A3"/>
    <w:rsid w:val="00AF63E9"/>
    <w:rsid w:val="00AF6425"/>
    <w:rsid w:val="00AF646E"/>
    <w:rsid w:val="00AF685D"/>
    <w:rsid w:val="00AF6AC6"/>
    <w:rsid w:val="00AF7095"/>
    <w:rsid w:val="00AF70D8"/>
    <w:rsid w:val="00AF719C"/>
    <w:rsid w:val="00AF71C9"/>
    <w:rsid w:val="00AF72E9"/>
    <w:rsid w:val="00AF7D99"/>
    <w:rsid w:val="00AF7E04"/>
    <w:rsid w:val="00AF7E82"/>
    <w:rsid w:val="00B00014"/>
    <w:rsid w:val="00B00611"/>
    <w:rsid w:val="00B013E3"/>
    <w:rsid w:val="00B01F1F"/>
    <w:rsid w:val="00B02141"/>
    <w:rsid w:val="00B02B88"/>
    <w:rsid w:val="00B02DD8"/>
    <w:rsid w:val="00B03037"/>
    <w:rsid w:val="00B0334E"/>
    <w:rsid w:val="00B03484"/>
    <w:rsid w:val="00B03611"/>
    <w:rsid w:val="00B03719"/>
    <w:rsid w:val="00B03A5A"/>
    <w:rsid w:val="00B03A82"/>
    <w:rsid w:val="00B03CED"/>
    <w:rsid w:val="00B04354"/>
    <w:rsid w:val="00B0461C"/>
    <w:rsid w:val="00B04663"/>
    <w:rsid w:val="00B048DB"/>
    <w:rsid w:val="00B049C5"/>
    <w:rsid w:val="00B04FD7"/>
    <w:rsid w:val="00B05316"/>
    <w:rsid w:val="00B05686"/>
    <w:rsid w:val="00B06224"/>
    <w:rsid w:val="00B065B9"/>
    <w:rsid w:val="00B0684A"/>
    <w:rsid w:val="00B06BA4"/>
    <w:rsid w:val="00B06BDC"/>
    <w:rsid w:val="00B06C9E"/>
    <w:rsid w:val="00B0770C"/>
    <w:rsid w:val="00B07D14"/>
    <w:rsid w:val="00B07DB8"/>
    <w:rsid w:val="00B10118"/>
    <w:rsid w:val="00B101C7"/>
    <w:rsid w:val="00B101E6"/>
    <w:rsid w:val="00B10367"/>
    <w:rsid w:val="00B10D0C"/>
    <w:rsid w:val="00B10D51"/>
    <w:rsid w:val="00B10D6B"/>
    <w:rsid w:val="00B11706"/>
    <w:rsid w:val="00B11B7E"/>
    <w:rsid w:val="00B11BAA"/>
    <w:rsid w:val="00B11BCB"/>
    <w:rsid w:val="00B11D09"/>
    <w:rsid w:val="00B11E11"/>
    <w:rsid w:val="00B11E5A"/>
    <w:rsid w:val="00B1232A"/>
    <w:rsid w:val="00B13013"/>
    <w:rsid w:val="00B130FC"/>
    <w:rsid w:val="00B1325A"/>
    <w:rsid w:val="00B1372B"/>
    <w:rsid w:val="00B13C94"/>
    <w:rsid w:val="00B13DCB"/>
    <w:rsid w:val="00B14BB1"/>
    <w:rsid w:val="00B154EA"/>
    <w:rsid w:val="00B154F0"/>
    <w:rsid w:val="00B157A5"/>
    <w:rsid w:val="00B157B6"/>
    <w:rsid w:val="00B15B1B"/>
    <w:rsid w:val="00B15B20"/>
    <w:rsid w:val="00B15BA3"/>
    <w:rsid w:val="00B15BAF"/>
    <w:rsid w:val="00B15DFC"/>
    <w:rsid w:val="00B15ED6"/>
    <w:rsid w:val="00B160CA"/>
    <w:rsid w:val="00B16126"/>
    <w:rsid w:val="00B16405"/>
    <w:rsid w:val="00B16420"/>
    <w:rsid w:val="00B164E0"/>
    <w:rsid w:val="00B16BCB"/>
    <w:rsid w:val="00B16D7F"/>
    <w:rsid w:val="00B1757A"/>
    <w:rsid w:val="00B17D28"/>
    <w:rsid w:val="00B17FBC"/>
    <w:rsid w:val="00B20C13"/>
    <w:rsid w:val="00B20CCB"/>
    <w:rsid w:val="00B22173"/>
    <w:rsid w:val="00B221B5"/>
    <w:rsid w:val="00B2234B"/>
    <w:rsid w:val="00B223EF"/>
    <w:rsid w:val="00B2283A"/>
    <w:rsid w:val="00B22CE3"/>
    <w:rsid w:val="00B2324E"/>
    <w:rsid w:val="00B238E4"/>
    <w:rsid w:val="00B23A6B"/>
    <w:rsid w:val="00B23C92"/>
    <w:rsid w:val="00B243B0"/>
    <w:rsid w:val="00B2462E"/>
    <w:rsid w:val="00B2484E"/>
    <w:rsid w:val="00B249FC"/>
    <w:rsid w:val="00B24CE9"/>
    <w:rsid w:val="00B25147"/>
    <w:rsid w:val="00B254B8"/>
    <w:rsid w:val="00B259DE"/>
    <w:rsid w:val="00B25C8C"/>
    <w:rsid w:val="00B268A9"/>
    <w:rsid w:val="00B27212"/>
    <w:rsid w:val="00B27740"/>
    <w:rsid w:val="00B27975"/>
    <w:rsid w:val="00B27FC2"/>
    <w:rsid w:val="00B30906"/>
    <w:rsid w:val="00B31035"/>
    <w:rsid w:val="00B31552"/>
    <w:rsid w:val="00B317E7"/>
    <w:rsid w:val="00B31A96"/>
    <w:rsid w:val="00B31C0F"/>
    <w:rsid w:val="00B328AA"/>
    <w:rsid w:val="00B32B64"/>
    <w:rsid w:val="00B32FB1"/>
    <w:rsid w:val="00B338FB"/>
    <w:rsid w:val="00B33A0F"/>
    <w:rsid w:val="00B33A57"/>
    <w:rsid w:val="00B34083"/>
    <w:rsid w:val="00B34226"/>
    <w:rsid w:val="00B3425E"/>
    <w:rsid w:val="00B342CE"/>
    <w:rsid w:val="00B34744"/>
    <w:rsid w:val="00B34BD6"/>
    <w:rsid w:val="00B34C57"/>
    <w:rsid w:val="00B34F90"/>
    <w:rsid w:val="00B34FFF"/>
    <w:rsid w:val="00B35056"/>
    <w:rsid w:val="00B3514C"/>
    <w:rsid w:val="00B35392"/>
    <w:rsid w:val="00B35BC4"/>
    <w:rsid w:val="00B361E2"/>
    <w:rsid w:val="00B36704"/>
    <w:rsid w:val="00B3678D"/>
    <w:rsid w:val="00B3693B"/>
    <w:rsid w:val="00B36C36"/>
    <w:rsid w:val="00B37514"/>
    <w:rsid w:val="00B37728"/>
    <w:rsid w:val="00B37935"/>
    <w:rsid w:val="00B37E37"/>
    <w:rsid w:val="00B37E88"/>
    <w:rsid w:val="00B4020A"/>
    <w:rsid w:val="00B404C4"/>
    <w:rsid w:val="00B40949"/>
    <w:rsid w:val="00B41288"/>
    <w:rsid w:val="00B41B52"/>
    <w:rsid w:val="00B4291E"/>
    <w:rsid w:val="00B42ADE"/>
    <w:rsid w:val="00B42EA7"/>
    <w:rsid w:val="00B432C6"/>
    <w:rsid w:val="00B4338B"/>
    <w:rsid w:val="00B435E3"/>
    <w:rsid w:val="00B43827"/>
    <w:rsid w:val="00B43C7F"/>
    <w:rsid w:val="00B43D1D"/>
    <w:rsid w:val="00B43E60"/>
    <w:rsid w:val="00B43EEA"/>
    <w:rsid w:val="00B44205"/>
    <w:rsid w:val="00B444AF"/>
    <w:rsid w:val="00B449E9"/>
    <w:rsid w:val="00B44F50"/>
    <w:rsid w:val="00B44F9C"/>
    <w:rsid w:val="00B450AB"/>
    <w:rsid w:val="00B45373"/>
    <w:rsid w:val="00B4541C"/>
    <w:rsid w:val="00B45702"/>
    <w:rsid w:val="00B458E7"/>
    <w:rsid w:val="00B45C64"/>
    <w:rsid w:val="00B45DB8"/>
    <w:rsid w:val="00B46207"/>
    <w:rsid w:val="00B466F6"/>
    <w:rsid w:val="00B4678F"/>
    <w:rsid w:val="00B46A32"/>
    <w:rsid w:val="00B46B29"/>
    <w:rsid w:val="00B46EF4"/>
    <w:rsid w:val="00B46FE3"/>
    <w:rsid w:val="00B47298"/>
    <w:rsid w:val="00B476E0"/>
    <w:rsid w:val="00B47896"/>
    <w:rsid w:val="00B47954"/>
    <w:rsid w:val="00B47BF7"/>
    <w:rsid w:val="00B47C01"/>
    <w:rsid w:val="00B50765"/>
    <w:rsid w:val="00B50A40"/>
    <w:rsid w:val="00B50E9E"/>
    <w:rsid w:val="00B51177"/>
    <w:rsid w:val="00B518B6"/>
    <w:rsid w:val="00B51B18"/>
    <w:rsid w:val="00B51D59"/>
    <w:rsid w:val="00B5230B"/>
    <w:rsid w:val="00B528DF"/>
    <w:rsid w:val="00B529FF"/>
    <w:rsid w:val="00B52ABC"/>
    <w:rsid w:val="00B52BE4"/>
    <w:rsid w:val="00B52E18"/>
    <w:rsid w:val="00B53547"/>
    <w:rsid w:val="00B53597"/>
    <w:rsid w:val="00B53784"/>
    <w:rsid w:val="00B537EF"/>
    <w:rsid w:val="00B54690"/>
    <w:rsid w:val="00B5494B"/>
    <w:rsid w:val="00B54A2D"/>
    <w:rsid w:val="00B54C75"/>
    <w:rsid w:val="00B550D8"/>
    <w:rsid w:val="00B55114"/>
    <w:rsid w:val="00B5524F"/>
    <w:rsid w:val="00B55322"/>
    <w:rsid w:val="00B55D3E"/>
    <w:rsid w:val="00B56F38"/>
    <w:rsid w:val="00B5711C"/>
    <w:rsid w:val="00B57642"/>
    <w:rsid w:val="00B5791A"/>
    <w:rsid w:val="00B57921"/>
    <w:rsid w:val="00B57938"/>
    <w:rsid w:val="00B57B8D"/>
    <w:rsid w:val="00B60122"/>
    <w:rsid w:val="00B60BF9"/>
    <w:rsid w:val="00B610F4"/>
    <w:rsid w:val="00B6141E"/>
    <w:rsid w:val="00B61458"/>
    <w:rsid w:val="00B61619"/>
    <w:rsid w:val="00B619F4"/>
    <w:rsid w:val="00B61A01"/>
    <w:rsid w:val="00B61F4E"/>
    <w:rsid w:val="00B622DF"/>
    <w:rsid w:val="00B62590"/>
    <w:rsid w:val="00B626C0"/>
    <w:rsid w:val="00B62700"/>
    <w:rsid w:val="00B62F20"/>
    <w:rsid w:val="00B6327D"/>
    <w:rsid w:val="00B632FF"/>
    <w:rsid w:val="00B6393A"/>
    <w:rsid w:val="00B63970"/>
    <w:rsid w:val="00B63F6A"/>
    <w:rsid w:val="00B646A9"/>
    <w:rsid w:val="00B64AA0"/>
    <w:rsid w:val="00B64C7F"/>
    <w:rsid w:val="00B651B5"/>
    <w:rsid w:val="00B65AF3"/>
    <w:rsid w:val="00B6634B"/>
    <w:rsid w:val="00B66381"/>
    <w:rsid w:val="00B663F1"/>
    <w:rsid w:val="00B6684C"/>
    <w:rsid w:val="00B66ADF"/>
    <w:rsid w:val="00B670BA"/>
    <w:rsid w:val="00B67271"/>
    <w:rsid w:val="00B6729F"/>
    <w:rsid w:val="00B676E1"/>
    <w:rsid w:val="00B67F6C"/>
    <w:rsid w:val="00B7006C"/>
    <w:rsid w:val="00B706E2"/>
    <w:rsid w:val="00B70A8C"/>
    <w:rsid w:val="00B720D4"/>
    <w:rsid w:val="00B721B4"/>
    <w:rsid w:val="00B7222D"/>
    <w:rsid w:val="00B7267A"/>
    <w:rsid w:val="00B72988"/>
    <w:rsid w:val="00B730C2"/>
    <w:rsid w:val="00B7361F"/>
    <w:rsid w:val="00B73788"/>
    <w:rsid w:val="00B742DF"/>
    <w:rsid w:val="00B74BA0"/>
    <w:rsid w:val="00B74E9A"/>
    <w:rsid w:val="00B754A4"/>
    <w:rsid w:val="00B755ED"/>
    <w:rsid w:val="00B75608"/>
    <w:rsid w:val="00B75682"/>
    <w:rsid w:val="00B757F1"/>
    <w:rsid w:val="00B759AA"/>
    <w:rsid w:val="00B75B4F"/>
    <w:rsid w:val="00B75DB8"/>
    <w:rsid w:val="00B760B4"/>
    <w:rsid w:val="00B76292"/>
    <w:rsid w:val="00B768C2"/>
    <w:rsid w:val="00B76BDD"/>
    <w:rsid w:val="00B76C7B"/>
    <w:rsid w:val="00B76D3B"/>
    <w:rsid w:val="00B76DBB"/>
    <w:rsid w:val="00B77496"/>
    <w:rsid w:val="00B77B49"/>
    <w:rsid w:val="00B77BBF"/>
    <w:rsid w:val="00B77D2C"/>
    <w:rsid w:val="00B77F1D"/>
    <w:rsid w:val="00B77F57"/>
    <w:rsid w:val="00B80772"/>
    <w:rsid w:val="00B80B50"/>
    <w:rsid w:val="00B80FBD"/>
    <w:rsid w:val="00B812BB"/>
    <w:rsid w:val="00B81389"/>
    <w:rsid w:val="00B81AA6"/>
    <w:rsid w:val="00B81C48"/>
    <w:rsid w:val="00B81F24"/>
    <w:rsid w:val="00B823A7"/>
    <w:rsid w:val="00B823CC"/>
    <w:rsid w:val="00B82567"/>
    <w:rsid w:val="00B82627"/>
    <w:rsid w:val="00B82D02"/>
    <w:rsid w:val="00B83298"/>
    <w:rsid w:val="00B83403"/>
    <w:rsid w:val="00B8358F"/>
    <w:rsid w:val="00B83A4B"/>
    <w:rsid w:val="00B84331"/>
    <w:rsid w:val="00B84913"/>
    <w:rsid w:val="00B84A8E"/>
    <w:rsid w:val="00B84B30"/>
    <w:rsid w:val="00B84B6C"/>
    <w:rsid w:val="00B84DB6"/>
    <w:rsid w:val="00B84EED"/>
    <w:rsid w:val="00B84F29"/>
    <w:rsid w:val="00B85271"/>
    <w:rsid w:val="00B8528E"/>
    <w:rsid w:val="00B8624B"/>
    <w:rsid w:val="00B86804"/>
    <w:rsid w:val="00B8693B"/>
    <w:rsid w:val="00B86978"/>
    <w:rsid w:val="00B86AF9"/>
    <w:rsid w:val="00B871F0"/>
    <w:rsid w:val="00B87403"/>
    <w:rsid w:val="00B8751C"/>
    <w:rsid w:val="00B87802"/>
    <w:rsid w:val="00B878BC"/>
    <w:rsid w:val="00B87951"/>
    <w:rsid w:val="00B879CE"/>
    <w:rsid w:val="00B87B1A"/>
    <w:rsid w:val="00B87BCE"/>
    <w:rsid w:val="00B90A0B"/>
    <w:rsid w:val="00B90AA7"/>
    <w:rsid w:val="00B90D03"/>
    <w:rsid w:val="00B9137B"/>
    <w:rsid w:val="00B91453"/>
    <w:rsid w:val="00B91A26"/>
    <w:rsid w:val="00B9230F"/>
    <w:rsid w:val="00B923CA"/>
    <w:rsid w:val="00B925CD"/>
    <w:rsid w:val="00B92825"/>
    <w:rsid w:val="00B92B39"/>
    <w:rsid w:val="00B93311"/>
    <w:rsid w:val="00B93798"/>
    <w:rsid w:val="00B937BA"/>
    <w:rsid w:val="00B93809"/>
    <w:rsid w:val="00B938DC"/>
    <w:rsid w:val="00B940D0"/>
    <w:rsid w:val="00B94128"/>
    <w:rsid w:val="00B941ED"/>
    <w:rsid w:val="00B94335"/>
    <w:rsid w:val="00B944A0"/>
    <w:rsid w:val="00B94569"/>
    <w:rsid w:val="00B94879"/>
    <w:rsid w:val="00B94887"/>
    <w:rsid w:val="00B94D92"/>
    <w:rsid w:val="00B95273"/>
    <w:rsid w:val="00B957B9"/>
    <w:rsid w:val="00B95AD0"/>
    <w:rsid w:val="00B95FBC"/>
    <w:rsid w:val="00B9655A"/>
    <w:rsid w:val="00B96777"/>
    <w:rsid w:val="00B96A15"/>
    <w:rsid w:val="00B96CDE"/>
    <w:rsid w:val="00B96E12"/>
    <w:rsid w:val="00B97943"/>
    <w:rsid w:val="00B979EE"/>
    <w:rsid w:val="00B97A8A"/>
    <w:rsid w:val="00B97ACA"/>
    <w:rsid w:val="00B97AD7"/>
    <w:rsid w:val="00BA0002"/>
    <w:rsid w:val="00BA0033"/>
    <w:rsid w:val="00BA012A"/>
    <w:rsid w:val="00BA0152"/>
    <w:rsid w:val="00BA0B59"/>
    <w:rsid w:val="00BA0D13"/>
    <w:rsid w:val="00BA0FC7"/>
    <w:rsid w:val="00BA12A2"/>
    <w:rsid w:val="00BA168B"/>
    <w:rsid w:val="00BA17DE"/>
    <w:rsid w:val="00BA1810"/>
    <w:rsid w:val="00BA18C8"/>
    <w:rsid w:val="00BA206E"/>
    <w:rsid w:val="00BA230D"/>
    <w:rsid w:val="00BA23CC"/>
    <w:rsid w:val="00BA24E0"/>
    <w:rsid w:val="00BA24EC"/>
    <w:rsid w:val="00BA2837"/>
    <w:rsid w:val="00BA2952"/>
    <w:rsid w:val="00BA2C95"/>
    <w:rsid w:val="00BA2E18"/>
    <w:rsid w:val="00BA2F9B"/>
    <w:rsid w:val="00BA303A"/>
    <w:rsid w:val="00BA32B2"/>
    <w:rsid w:val="00BA3359"/>
    <w:rsid w:val="00BA35C7"/>
    <w:rsid w:val="00BA3717"/>
    <w:rsid w:val="00BA386D"/>
    <w:rsid w:val="00BA38F6"/>
    <w:rsid w:val="00BA3DA3"/>
    <w:rsid w:val="00BA40EA"/>
    <w:rsid w:val="00BA4C59"/>
    <w:rsid w:val="00BA4C9E"/>
    <w:rsid w:val="00BA4EC4"/>
    <w:rsid w:val="00BA55A6"/>
    <w:rsid w:val="00BA56C3"/>
    <w:rsid w:val="00BA60C8"/>
    <w:rsid w:val="00BA659D"/>
    <w:rsid w:val="00BA65E5"/>
    <w:rsid w:val="00BA68D1"/>
    <w:rsid w:val="00BA6CEE"/>
    <w:rsid w:val="00BA70B4"/>
    <w:rsid w:val="00BA75E4"/>
    <w:rsid w:val="00BA7903"/>
    <w:rsid w:val="00BA7A62"/>
    <w:rsid w:val="00BA7D37"/>
    <w:rsid w:val="00BA7DB3"/>
    <w:rsid w:val="00BB00FE"/>
    <w:rsid w:val="00BB0386"/>
    <w:rsid w:val="00BB09DF"/>
    <w:rsid w:val="00BB0D58"/>
    <w:rsid w:val="00BB0F75"/>
    <w:rsid w:val="00BB128A"/>
    <w:rsid w:val="00BB13D3"/>
    <w:rsid w:val="00BB1B43"/>
    <w:rsid w:val="00BB1B4C"/>
    <w:rsid w:val="00BB2028"/>
    <w:rsid w:val="00BB210A"/>
    <w:rsid w:val="00BB2ACB"/>
    <w:rsid w:val="00BB2B29"/>
    <w:rsid w:val="00BB2BBC"/>
    <w:rsid w:val="00BB36E3"/>
    <w:rsid w:val="00BB3FC5"/>
    <w:rsid w:val="00BB4226"/>
    <w:rsid w:val="00BB4456"/>
    <w:rsid w:val="00BB4627"/>
    <w:rsid w:val="00BB48D2"/>
    <w:rsid w:val="00BB4A61"/>
    <w:rsid w:val="00BB4B41"/>
    <w:rsid w:val="00BB4BCA"/>
    <w:rsid w:val="00BB4C11"/>
    <w:rsid w:val="00BB551D"/>
    <w:rsid w:val="00BB5D8E"/>
    <w:rsid w:val="00BB60A2"/>
    <w:rsid w:val="00BB6281"/>
    <w:rsid w:val="00BB64D6"/>
    <w:rsid w:val="00BB6B54"/>
    <w:rsid w:val="00BB702E"/>
    <w:rsid w:val="00BB7311"/>
    <w:rsid w:val="00BB7751"/>
    <w:rsid w:val="00BB7B9C"/>
    <w:rsid w:val="00BC09FB"/>
    <w:rsid w:val="00BC0A2C"/>
    <w:rsid w:val="00BC0A61"/>
    <w:rsid w:val="00BC14E8"/>
    <w:rsid w:val="00BC1E27"/>
    <w:rsid w:val="00BC2098"/>
    <w:rsid w:val="00BC20C8"/>
    <w:rsid w:val="00BC24D8"/>
    <w:rsid w:val="00BC2605"/>
    <w:rsid w:val="00BC2790"/>
    <w:rsid w:val="00BC28D1"/>
    <w:rsid w:val="00BC2B3B"/>
    <w:rsid w:val="00BC2B7D"/>
    <w:rsid w:val="00BC2EFC"/>
    <w:rsid w:val="00BC31AA"/>
    <w:rsid w:val="00BC3232"/>
    <w:rsid w:val="00BC36A7"/>
    <w:rsid w:val="00BC39FC"/>
    <w:rsid w:val="00BC3A6A"/>
    <w:rsid w:val="00BC4008"/>
    <w:rsid w:val="00BC4198"/>
    <w:rsid w:val="00BC4579"/>
    <w:rsid w:val="00BC463D"/>
    <w:rsid w:val="00BC4661"/>
    <w:rsid w:val="00BC47AE"/>
    <w:rsid w:val="00BC49B1"/>
    <w:rsid w:val="00BC4ACA"/>
    <w:rsid w:val="00BC4F8B"/>
    <w:rsid w:val="00BC5799"/>
    <w:rsid w:val="00BC6254"/>
    <w:rsid w:val="00BC65C6"/>
    <w:rsid w:val="00BC695E"/>
    <w:rsid w:val="00BC6E8B"/>
    <w:rsid w:val="00BC6EBC"/>
    <w:rsid w:val="00BC72DD"/>
    <w:rsid w:val="00BC7606"/>
    <w:rsid w:val="00BC79D1"/>
    <w:rsid w:val="00BC7D96"/>
    <w:rsid w:val="00BD01BF"/>
    <w:rsid w:val="00BD0B1B"/>
    <w:rsid w:val="00BD0BB6"/>
    <w:rsid w:val="00BD11D4"/>
    <w:rsid w:val="00BD13E7"/>
    <w:rsid w:val="00BD1464"/>
    <w:rsid w:val="00BD165F"/>
    <w:rsid w:val="00BD1940"/>
    <w:rsid w:val="00BD1BDE"/>
    <w:rsid w:val="00BD21B0"/>
    <w:rsid w:val="00BD2853"/>
    <w:rsid w:val="00BD2F79"/>
    <w:rsid w:val="00BD3D24"/>
    <w:rsid w:val="00BD469D"/>
    <w:rsid w:val="00BD49FD"/>
    <w:rsid w:val="00BD4A85"/>
    <w:rsid w:val="00BD4B1A"/>
    <w:rsid w:val="00BD5C5C"/>
    <w:rsid w:val="00BD62E0"/>
    <w:rsid w:val="00BD640F"/>
    <w:rsid w:val="00BD6551"/>
    <w:rsid w:val="00BD67FF"/>
    <w:rsid w:val="00BD6A77"/>
    <w:rsid w:val="00BD6C77"/>
    <w:rsid w:val="00BD6C86"/>
    <w:rsid w:val="00BD6EEE"/>
    <w:rsid w:val="00BD7B2F"/>
    <w:rsid w:val="00BD7B3E"/>
    <w:rsid w:val="00BD7C26"/>
    <w:rsid w:val="00BD7DD8"/>
    <w:rsid w:val="00BE0854"/>
    <w:rsid w:val="00BE0C60"/>
    <w:rsid w:val="00BE0CA9"/>
    <w:rsid w:val="00BE1650"/>
    <w:rsid w:val="00BE1FDD"/>
    <w:rsid w:val="00BE206D"/>
    <w:rsid w:val="00BE24E5"/>
    <w:rsid w:val="00BE27F2"/>
    <w:rsid w:val="00BE2855"/>
    <w:rsid w:val="00BE2ACF"/>
    <w:rsid w:val="00BE2FE9"/>
    <w:rsid w:val="00BE36E0"/>
    <w:rsid w:val="00BE3CCE"/>
    <w:rsid w:val="00BE3E6B"/>
    <w:rsid w:val="00BE3EF9"/>
    <w:rsid w:val="00BE409A"/>
    <w:rsid w:val="00BE4768"/>
    <w:rsid w:val="00BE48AD"/>
    <w:rsid w:val="00BE491C"/>
    <w:rsid w:val="00BE4B6F"/>
    <w:rsid w:val="00BE4D48"/>
    <w:rsid w:val="00BE5447"/>
    <w:rsid w:val="00BE55AE"/>
    <w:rsid w:val="00BE59A1"/>
    <w:rsid w:val="00BE5A5F"/>
    <w:rsid w:val="00BE6000"/>
    <w:rsid w:val="00BE63AF"/>
    <w:rsid w:val="00BE6EC8"/>
    <w:rsid w:val="00BE6FA7"/>
    <w:rsid w:val="00BE71AE"/>
    <w:rsid w:val="00BE7238"/>
    <w:rsid w:val="00BE7398"/>
    <w:rsid w:val="00BE7465"/>
    <w:rsid w:val="00BE769B"/>
    <w:rsid w:val="00BE7C40"/>
    <w:rsid w:val="00BF01CB"/>
    <w:rsid w:val="00BF02A3"/>
    <w:rsid w:val="00BF0BA7"/>
    <w:rsid w:val="00BF0BD7"/>
    <w:rsid w:val="00BF0C46"/>
    <w:rsid w:val="00BF0CD1"/>
    <w:rsid w:val="00BF0D9D"/>
    <w:rsid w:val="00BF1AF1"/>
    <w:rsid w:val="00BF1CBD"/>
    <w:rsid w:val="00BF1FD8"/>
    <w:rsid w:val="00BF20E8"/>
    <w:rsid w:val="00BF2C44"/>
    <w:rsid w:val="00BF2D81"/>
    <w:rsid w:val="00BF3782"/>
    <w:rsid w:val="00BF38CD"/>
    <w:rsid w:val="00BF38DC"/>
    <w:rsid w:val="00BF3BCA"/>
    <w:rsid w:val="00BF5997"/>
    <w:rsid w:val="00BF59CA"/>
    <w:rsid w:val="00BF5BDD"/>
    <w:rsid w:val="00BF5C35"/>
    <w:rsid w:val="00BF5C7E"/>
    <w:rsid w:val="00BF6050"/>
    <w:rsid w:val="00BF63B6"/>
    <w:rsid w:val="00BF66EE"/>
    <w:rsid w:val="00BF71A3"/>
    <w:rsid w:val="00BF75A1"/>
    <w:rsid w:val="00BF7680"/>
    <w:rsid w:val="00BF796C"/>
    <w:rsid w:val="00BF7A2C"/>
    <w:rsid w:val="00BF7A2E"/>
    <w:rsid w:val="00BF7A78"/>
    <w:rsid w:val="00BF7E8C"/>
    <w:rsid w:val="00C00059"/>
    <w:rsid w:val="00C0018A"/>
    <w:rsid w:val="00C0037D"/>
    <w:rsid w:val="00C003B9"/>
    <w:rsid w:val="00C00905"/>
    <w:rsid w:val="00C00A7C"/>
    <w:rsid w:val="00C0104C"/>
    <w:rsid w:val="00C01170"/>
    <w:rsid w:val="00C0156D"/>
    <w:rsid w:val="00C015BA"/>
    <w:rsid w:val="00C01892"/>
    <w:rsid w:val="00C01BBB"/>
    <w:rsid w:val="00C01FD1"/>
    <w:rsid w:val="00C024A5"/>
    <w:rsid w:val="00C02CE1"/>
    <w:rsid w:val="00C02D1E"/>
    <w:rsid w:val="00C0314D"/>
    <w:rsid w:val="00C0331F"/>
    <w:rsid w:val="00C035B5"/>
    <w:rsid w:val="00C036AC"/>
    <w:rsid w:val="00C03865"/>
    <w:rsid w:val="00C03D5A"/>
    <w:rsid w:val="00C04A19"/>
    <w:rsid w:val="00C05276"/>
    <w:rsid w:val="00C054A3"/>
    <w:rsid w:val="00C05622"/>
    <w:rsid w:val="00C05851"/>
    <w:rsid w:val="00C05ECD"/>
    <w:rsid w:val="00C06BEC"/>
    <w:rsid w:val="00C07620"/>
    <w:rsid w:val="00C07AB6"/>
    <w:rsid w:val="00C07ACB"/>
    <w:rsid w:val="00C07BCE"/>
    <w:rsid w:val="00C07EE7"/>
    <w:rsid w:val="00C102F3"/>
    <w:rsid w:val="00C106B8"/>
    <w:rsid w:val="00C10AFD"/>
    <w:rsid w:val="00C10B22"/>
    <w:rsid w:val="00C10C3F"/>
    <w:rsid w:val="00C10C52"/>
    <w:rsid w:val="00C11623"/>
    <w:rsid w:val="00C1172F"/>
    <w:rsid w:val="00C119A0"/>
    <w:rsid w:val="00C11A92"/>
    <w:rsid w:val="00C11ABD"/>
    <w:rsid w:val="00C129D9"/>
    <w:rsid w:val="00C12FA2"/>
    <w:rsid w:val="00C13089"/>
    <w:rsid w:val="00C134DA"/>
    <w:rsid w:val="00C13C06"/>
    <w:rsid w:val="00C13C90"/>
    <w:rsid w:val="00C13CF2"/>
    <w:rsid w:val="00C14A1D"/>
    <w:rsid w:val="00C14F19"/>
    <w:rsid w:val="00C14FB2"/>
    <w:rsid w:val="00C15205"/>
    <w:rsid w:val="00C1575F"/>
    <w:rsid w:val="00C15B0C"/>
    <w:rsid w:val="00C15DE5"/>
    <w:rsid w:val="00C16621"/>
    <w:rsid w:val="00C168CF"/>
    <w:rsid w:val="00C16912"/>
    <w:rsid w:val="00C17007"/>
    <w:rsid w:val="00C17204"/>
    <w:rsid w:val="00C17304"/>
    <w:rsid w:val="00C1748F"/>
    <w:rsid w:val="00C176AC"/>
    <w:rsid w:val="00C17CE1"/>
    <w:rsid w:val="00C2058B"/>
    <w:rsid w:val="00C20668"/>
    <w:rsid w:val="00C208B8"/>
    <w:rsid w:val="00C209AD"/>
    <w:rsid w:val="00C20B13"/>
    <w:rsid w:val="00C2103A"/>
    <w:rsid w:val="00C2164B"/>
    <w:rsid w:val="00C21DA3"/>
    <w:rsid w:val="00C21EF9"/>
    <w:rsid w:val="00C21FE6"/>
    <w:rsid w:val="00C221C0"/>
    <w:rsid w:val="00C222A1"/>
    <w:rsid w:val="00C222F7"/>
    <w:rsid w:val="00C22397"/>
    <w:rsid w:val="00C224E3"/>
    <w:rsid w:val="00C22AAB"/>
    <w:rsid w:val="00C22ECB"/>
    <w:rsid w:val="00C23BB4"/>
    <w:rsid w:val="00C23F47"/>
    <w:rsid w:val="00C242C1"/>
    <w:rsid w:val="00C24589"/>
    <w:rsid w:val="00C24707"/>
    <w:rsid w:val="00C24792"/>
    <w:rsid w:val="00C24839"/>
    <w:rsid w:val="00C24D35"/>
    <w:rsid w:val="00C2525E"/>
    <w:rsid w:val="00C2584D"/>
    <w:rsid w:val="00C25F77"/>
    <w:rsid w:val="00C26159"/>
    <w:rsid w:val="00C2629C"/>
    <w:rsid w:val="00C262ED"/>
    <w:rsid w:val="00C265C9"/>
    <w:rsid w:val="00C26968"/>
    <w:rsid w:val="00C26A69"/>
    <w:rsid w:val="00C26E2E"/>
    <w:rsid w:val="00C27037"/>
    <w:rsid w:val="00C27C23"/>
    <w:rsid w:val="00C30019"/>
    <w:rsid w:val="00C301CF"/>
    <w:rsid w:val="00C309E6"/>
    <w:rsid w:val="00C30B6D"/>
    <w:rsid w:val="00C30C46"/>
    <w:rsid w:val="00C311E2"/>
    <w:rsid w:val="00C31439"/>
    <w:rsid w:val="00C31460"/>
    <w:rsid w:val="00C31808"/>
    <w:rsid w:val="00C31ACA"/>
    <w:rsid w:val="00C31D03"/>
    <w:rsid w:val="00C31D26"/>
    <w:rsid w:val="00C31E1D"/>
    <w:rsid w:val="00C32064"/>
    <w:rsid w:val="00C3223A"/>
    <w:rsid w:val="00C32CA7"/>
    <w:rsid w:val="00C32DD8"/>
    <w:rsid w:val="00C32E58"/>
    <w:rsid w:val="00C330B7"/>
    <w:rsid w:val="00C33183"/>
    <w:rsid w:val="00C33706"/>
    <w:rsid w:val="00C33A05"/>
    <w:rsid w:val="00C33B39"/>
    <w:rsid w:val="00C33F14"/>
    <w:rsid w:val="00C34722"/>
    <w:rsid w:val="00C34760"/>
    <w:rsid w:val="00C34D0A"/>
    <w:rsid w:val="00C35028"/>
    <w:rsid w:val="00C357EA"/>
    <w:rsid w:val="00C35941"/>
    <w:rsid w:val="00C35A3D"/>
    <w:rsid w:val="00C35BCA"/>
    <w:rsid w:val="00C3616F"/>
    <w:rsid w:val="00C36691"/>
    <w:rsid w:val="00C366C6"/>
    <w:rsid w:val="00C36A9F"/>
    <w:rsid w:val="00C374C1"/>
    <w:rsid w:val="00C37611"/>
    <w:rsid w:val="00C37666"/>
    <w:rsid w:val="00C37B9E"/>
    <w:rsid w:val="00C37CF3"/>
    <w:rsid w:val="00C40013"/>
    <w:rsid w:val="00C411E9"/>
    <w:rsid w:val="00C416FD"/>
    <w:rsid w:val="00C417CC"/>
    <w:rsid w:val="00C417F5"/>
    <w:rsid w:val="00C41AFB"/>
    <w:rsid w:val="00C41C84"/>
    <w:rsid w:val="00C41DF7"/>
    <w:rsid w:val="00C41E33"/>
    <w:rsid w:val="00C41F79"/>
    <w:rsid w:val="00C424DF"/>
    <w:rsid w:val="00C426CE"/>
    <w:rsid w:val="00C428FF"/>
    <w:rsid w:val="00C42C84"/>
    <w:rsid w:val="00C42FAA"/>
    <w:rsid w:val="00C43051"/>
    <w:rsid w:val="00C43075"/>
    <w:rsid w:val="00C43314"/>
    <w:rsid w:val="00C439A8"/>
    <w:rsid w:val="00C43EA9"/>
    <w:rsid w:val="00C4473A"/>
    <w:rsid w:val="00C44D46"/>
    <w:rsid w:val="00C44DED"/>
    <w:rsid w:val="00C45289"/>
    <w:rsid w:val="00C454D9"/>
    <w:rsid w:val="00C45525"/>
    <w:rsid w:val="00C45537"/>
    <w:rsid w:val="00C45779"/>
    <w:rsid w:val="00C45C60"/>
    <w:rsid w:val="00C4684C"/>
    <w:rsid w:val="00C469F2"/>
    <w:rsid w:val="00C46D29"/>
    <w:rsid w:val="00C46E19"/>
    <w:rsid w:val="00C47541"/>
    <w:rsid w:val="00C475C7"/>
    <w:rsid w:val="00C47601"/>
    <w:rsid w:val="00C47DF2"/>
    <w:rsid w:val="00C50AAE"/>
    <w:rsid w:val="00C5119C"/>
    <w:rsid w:val="00C51591"/>
    <w:rsid w:val="00C515B0"/>
    <w:rsid w:val="00C51702"/>
    <w:rsid w:val="00C5171D"/>
    <w:rsid w:val="00C517ED"/>
    <w:rsid w:val="00C51B08"/>
    <w:rsid w:val="00C51BA8"/>
    <w:rsid w:val="00C51C23"/>
    <w:rsid w:val="00C51C57"/>
    <w:rsid w:val="00C51DB8"/>
    <w:rsid w:val="00C51FF9"/>
    <w:rsid w:val="00C5298A"/>
    <w:rsid w:val="00C5304F"/>
    <w:rsid w:val="00C53513"/>
    <w:rsid w:val="00C53730"/>
    <w:rsid w:val="00C53E49"/>
    <w:rsid w:val="00C540B9"/>
    <w:rsid w:val="00C54398"/>
    <w:rsid w:val="00C54411"/>
    <w:rsid w:val="00C54CC3"/>
    <w:rsid w:val="00C54D6E"/>
    <w:rsid w:val="00C54EE3"/>
    <w:rsid w:val="00C552F9"/>
    <w:rsid w:val="00C554D4"/>
    <w:rsid w:val="00C554D9"/>
    <w:rsid w:val="00C560DB"/>
    <w:rsid w:val="00C56532"/>
    <w:rsid w:val="00C568D4"/>
    <w:rsid w:val="00C56D39"/>
    <w:rsid w:val="00C57155"/>
    <w:rsid w:val="00C5715C"/>
    <w:rsid w:val="00C57A92"/>
    <w:rsid w:val="00C57C0D"/>
    <w:rsid w:val="00C57E63"/>
    <w:rsid w:val="00C6069B"/>
    <w:rsid w:val="00C607D1"/>
    <w:rsid w:val="00C60A86"/>
    <w:rsid w:val="00C60CB5"/>
    <w:rsid w:val="00C60D11"/>
    <w:rsid w:val="00C60FBF"/>
    <w:rsid w:val="00C61109"/>
    <w:rsid w:val="00C61324"/>
    <w:rsid w:val="00C6183D"/>
    <w:rsid w:val="00C61AB2"/>
    <w:rsid w:val="00C61B02"/>
    <w:rsid w:val="00C61E90"/>
    <w:rsid w:val="00C61F1C"/>
    <w:rsid w:val="00C61FD2"/>
    <w:rsid w:val="00C620D4"/>
    <w:rsid w:val="00C6222B"/>
    <w:rsid w:val="00C6276A"/>
    <w:rsid w:val="00C62798"/>
    <w:rsid w:val="00C6297B"/>
    <w:rsid w:val="00C62AB4"/>
    <w:rsid w:val="00C63BFA"/>
    <w:rsid w:val="00C64208"/>
    <w:rsid w:val="00C643EB"/>
    <w:rsid w:val="00C644C4"/>
    <w:rsid w:val="00C644F2"/>
    <w:rsid w:val="00C64544"/>
    <w:rsid w:val="00C645FD"/>
    <w:rsid w:val="00C64868"/>
    <w:rsid w:val="00C64DA3"/>
    <w:rsid w:val="00C64E8C"/>
    <w:rsid w:val="00C6539B"/>
    <w:rsid w:val="00C6540F"/>
    <w:rsid w:val="00C65840"/>
    <w:rsid w:val="00C65D6D"/>
    <w:rsid w:val="00C65FF3"/>
    <w:rsid w:val="00C6642E"/>
    <w:rsid w:val="00C66494"/>
    <w:rsid w:val="00C66676"/>
    <w:rsid w:val="00C666B9"/>
    <w:rsid w:val="00C66E98"/>
    <w:rsid w:val="00C670FC"/>
    <w:rsid w:val="00C70072"/>
    <w:rsid w:val="00C702A2"/>
    <w:rsid w:val="00C70370"/>
    <w:rsid w:val="00C70585"/>
    <w:rsid w:val="00C70975"/>
    <w:rsid w:val="00C709F0"/>
    <w:rsid w:val="00C71490"/>
    <w:rsid w:val="00C71783"/>
    <w:rsid w:val="00C719A2"/>
    <w:rsid w:val="00C71DC7"/>
    <w:rsid w:val="00C71F6D"/>
    <w:rsid w:val="00C72165"/>
    <w:rsid w:val="00C72184"/>
    <w:rsid w:val="00C72773"/>
    <w:rsid w:val="00C72A19"/>
    <w:rsid w:val="00C72B8E"/>
    <w:rsid w:val="00C72D7B"/>
    <w:rsid w:val="00C73AB0"/>
    <w:rsid w:val="00C73D66"/>
    <w:rsid w:val="00C74167"/>
    <w:rsid w:val="00C741D2"/>
    <w:rsid w:val="00C7486E"/>
    <w:rsid w:val="00C74929"/>
    <w:rsid w:val="00C74D98"/>
    <w:rsid w:val="00C75357"/>
    <w:rsid w:val="00C7574B"/>
    <w:rsid w:val="00C757AE"/>
    <w:rsid w:val="00C758BD"/>
    <w:rsid w:val="00C75A6D"/>
    <w:rsid w:val="00C75CEB"/>
    <w:rsid w:val="00C76268"/>
    <w:rsid w:val="00C76624"/>
    <w:rsid w:val="00C76661"/>
    <w:rsid w:val="00C7692D"/>
    <w:rsid w:val="00C76A36"/>
    <w:rsid w:val="00C76AAF"/>
    <w:rsid w:val="00C76C46"/>
    <w:rsid w:val="00C76E35"/>
    <w:rsid w:val="00C77478"/>
    <w:rsid w:val="00C774A1"/>
    <w:rsid w:val="00C775A0"/>
    <w:rsid w:val="00C77B0E"/>
    <w:rsid w:val="00C80C41"/>
    <w:rsid w:val="00C80CEF"/>
    <w:rsid w:val="00C80E40"/>
    <w:rsid w:val="00C81120"/>
    <w:rsid w:val="00C81432"/>
    <w:rsid w:val="00C81AD0"/>
    <w:rsid w:val="00C81FC4"/>
    <w:rsid w:val="00C828B8"/>
    <w:rsid w:val="00C82994"/>
    <w:rsid w:val="00C82E07"/>
    <w:rsid w:val="00C82EC5"/>
    <w:rsid w:val="00C83041"/>
    <w:rsid w:val="00C838C3"/>
    <w:rsid w:val="00C8452A"/>
    <w:rsid w:val="00C848A7"/>
    <w:rsid w:val="00C849C0"/>
    <w:rsid w:val="00C84F2E"/>
    <w:rsid w:val="00C85035"/>
    <w:rsid w:val="00C851F6"/>
    <w:rsid w:val="00C858CE"/>
    <w:rsid w:val="00C858FF"/>
    <w:rsid w:val="00C85AE0"/>
    <w:rsid w:val="00C85E30"/>
    <w:rsid w:val="00C8669A"/>
    <w:rsid w:val="00C86B9E"/>
    <w:rsid w:val="00C86BFA"/>
    <w:rsid w:val="00C86E8E"/>
    <w:rsid w:val="00C8712F"/>
    <w:rsid w:val="00C876A0"/>
    <w:rsid w:val="00C878CA"/>
    <w:rsid w:val="00C87AF2"/>
    <w:rsid w:val="00C87B57"/>
    <w:rsid w:val="00C87FC6"/>
    <w:rsid w:val="00C90542"/>
    <w:rsid w:val="00C908C6"/>
    <w:rsid w:val="00C90B42"/>
    <w:rsid w:val="00C91074"/>
    <w:rsid w:val="00C9182B"/>
    <w:rsid w:val="00C91C5F"/>
    <w:rsid w:val="00C9213E"/>
    <w:rsid w:val="00C9255D"/>
    <w:rsid w:val="00C9296C"/>
    <w:rsid w:val="00C92B47"/>
    <w:rsid w:val="00C92DFF"/>
    <w:rsid w:val="00C93384"/>
    <w:rsid w:val="00C93FD8"/>
    <w:rsid w:val="00C94170"/>
    <w:rsid w:val="00C945C2"/>
    <w:rsid w:val="00C946B2"/>
    <w:rsid w:val="00C946F6"/>
    <w:rsid w:val="00C9475D"/>
    <w:rsid w:val="00C94B1E"/>
    <w:rsid w:val="00C95056"/>
    <w:rsid w:val="00C95115"/>
    <w:rsid w:val="00C951FD"/>
    <w:rsid w:val="00C952C3"/>
    <w:rsid w:val="00C9536E"/>
    <w:rsid w:val="00C95A15"/>
    <w:rsid w:val="00C95A37"/>
    <w:rsid w:val="00C95D21"/>
    <w:rsid w:val="00C961DD"/>
    <w:rsid w:val="00C962F3"/>
    <w:rsid w:val="00C963BF"/>
    <w:rsid w:val="00C96516"/>
    <w:rsid w:val="00C970A1"/>
    <w:rsid w:val="00C97397"/>
    <w:rsid w:val="00C975E6"/>
    <w:rsid w:val="00C978FE"/>
    <w:rsid w:val="00C97D48"/>
    <w:rsid w:val="00C97EAC"/>
    <w:rsid w:val="00CA0C2D"/>
    <w:rsid w:val="00CA0E9B"/>
    <w:rsid w:val="00CA10D0"/>
    <w:rsid w:val="00CA1333"/>
    <w:rsid w:val="00CA13DE"/>
    <w:rsid w:val="00CA1458"/>
    <w:rsid w:val="00CA146C"/>
    <w:rsid w:val="00CA175E"/>
    <w:rsid w:val="00CA19A9"/>
    <w:rsid w:val="00CA1B16"/>
    <w:rsid w:val="00CA1E51"/>
    <w:rsid w:val="00CA21A9"/>
    <w:rsid w:val="00CA43F9"/>
    <w:rsid w:val="00CA4458"/>
    <w:rsid w:val="00CA45FC"/>
    <w:rsid w:val="00CA481F"/>
    <w:rsid w:val="00CA487E"/>
    <w:rsid w:val="00CA516C"/>
    <w:rsid w:val="00CA52B2"/>
    <w:rsid w:val="00CA56C5"/>
    <w:rsid w:val="00CA59C2"/>
    <w:rsid w:val="00CA5C47"/>
    <w:rsid w:val="00CA5C82"/>
    <w:rsid w:val="00CA62EE"/>
    <w:rsid w:val="00CA65EF"/>
    <w:rsid w:val="00CA6647"/>
    <w:rsid w:val="00CA679A"/>
    <w:rsid w:val="00CA7414"/>
    <w:rsid w:val="00CA7632"/>
    <w:rsid w:val="00CA7682"/>
    <w:rsid w:val="00CA7854"/>
    <w:rsid w:val="00CA7A75"/>
    <w:rsid w:val="00CA7E03"/>
    <w:rsid w:val="00CA7F28"/>
    <w:rsid w:val="00CA7F39"/>
    <w:rsid w:val="00CB00EA"/>
    <w:rsid w:val="00CB0125"/>
    <w:rsid w:val="00CB01EF"/>
    <w:rsid w:val="00CB01F6"/>
    <w:rsid w:val="00CB029E"/>
    <w:rsid w:val="00CB055E"/>
    <w:rsid w:val="00CB0768"/>
    <w:rsid w:val="00CB0A1F"/>
    <w:rsid w:val="00CB0CE9"/>
    <w:rsid w:val="00CB131F"/>
    <w:rsid w:val="00CB1320"/>
    <w:rsid w:val="00CB16C4"/>
    <w:rsid w:val="00CB1A00"/>
    <w:rsid w:val="00CB2121"/>
    <w:rsid w:val="00CB21AF"/>
    <w:rsid w:val="00CB221C"/>
    <w:rsid w:val="00CB2476"/>
    <w:rsid w:val="00CB2E15"/>
    <w:rsid w:val="00CB33D0"/>
    <w:rsid w:val="00CB3555"/>
    <w:rsid w:val="00CB3693"/>
    <w:rsid w:val="00CB372C"/>
    <w:rsid w:val="00CB3E69"/>
    <w:rsid w:val="00CB434C"/>
    <w:rsid w:val="00CB439C"/>
    <w:rsid w:val="00CB452B"/>
    <w:rsid w:val="00CB473F"/>
    <w:rsid w:val="00CB4900"/>
    <w:rsid w:val="00CB4DC2"/>
    <w:rsid w:val="00CB4DCD"/>
    <w:rsid w:val="00CB4E4B"/>
    <w:rsid w:val="00CB4F2D"/>
    <w:rsid w:val="00CB53F8"/>
    <w:rsid w:val="00CB544A"/>
    <w:rsid w:val="00CB5E59"/>
    <w:rsid w:val="00CB5FF4"/>
    <w:rsid w:val="00CB603C"/>
    <w:rsid w:val="00CB6272"/>
    <w:rsid w:val="00CB6B3F"/>
    <w:rsid w:val="00CB6C9D"/>
    <w:rsid w:val="00CB7418"/>
    <w:rsid w:val="00CB7A7D"/>
    <w:rsid w:val="00CB7C49"/>
    <w:rsid w:val="00CB7EC4"/>
    <w:rsid w:val="00CC01EB"/>
    <w:rsid w:val="00CC0670"/>
    <w:rsid w:val="00CC0743"/>
    <w:rsid w:val="00CC0BBE"/>
    <w:rsid w:val="00CC100B"/>
    <w:rsid w:val="00CC1311"/>
    <w:rsid w:val="00CC1690"/>
    <w:rsid w:val="00CC1969"/>
    <w:rsid w:val="00CC19DE"/>
    <w:rsid w:val="00CC2213"/>
    <w:rsid w:val="00CC2221"/>
    <w:rsid w:val="00CC23B3"/>
    <w:rsid w:val="00CC26EB"/>
    <w:rsid w:val="00CC27FE"/>
    <w:rsid w:val="00CC2A78"/>
    <w:rsid w:val="00CC2D98"/>
    <w:rsid w:val="00CC2E06"/>
    <w:rsid w:val="00CC3066"/>
    <w:rsid w:val="00CC367D"/>
    <w:rsid w:val="00CC3A33"/>
    <w:rsid w:val="00CC3D23"/>
    <w:rsid w:val="00CC4210"/>
    <w:rsid w:val="00CC4238"/>
    <w:rsid w:val="00CC44F1"/>
    <w:rsid w:val="00CC44FE"/>
    <w:rsid w:val="00CC4921"/>
    <w:rsid w:val="00CC5431"/>
    <w:rsid w:val="00CC644D"/>
    <w:rsid w:val="00CC658D"/>
    <w:rsid w:val="00CC665A"/>
    <w:rsid w:val="00CC67EC"/>
    <w:rsid w:val="00CC6FB8"/>
    <w:rsid w:val="00CC718D"/>
    <w:rsid w:val="00CC7210"/>
    <w:rsid w:val="00CC74A2"/>
    <w:rsid w:val="00CC779C"/>
    <w:rsid w:val="00CC7DCD"/>
    <w:rsid w:val="00CC7F36"/>
    <w:rsid w:val="00CD0492"/>
    <w:rsid w:val="00CD0518"/>
    <w:rsid w:val="00CD0593"/>
    <w:rsid w:val="00CD07CA"/>
    <w:rsid w:val="00CD07DE"/>
    <w:rsid w:val="00CD107A"/>
    <w:rsid w:val="00CD1184"/>
    <w:rsid w:val="00CD1311"/>
    <w:rsid w:val="00CD146B"/>
    <w:rsid w:val="00CD155B"/>
    <w:rsid w:val="00CD1A3E"/>
    <w:rsid w:val="00CD1FD1"/>
    <w:rsid w:val="00CD20D4"/>
    <w:rsid w:val="00CD2187"/>
    <w:rsid w:val="00CD246B"/>
    <w:rsid w:val="00CD2519"/>
    <w:rsid w:val="00CD251C"/>
    <w:rsid w:val="00CD2C94"/>
    <w:rsid w:val="00CD2CDC"/>
    <w:rsid w:val="00CD2DE8"/>
    <w:rsid w:val="00CD2F34"/>
    <w:rsid w:val="00CD3B66"/>
    <w:rsid w:val="00CD4817"/>
    <w:rsid w:val="00CD4CB3"/>
    <w:rsid w:val="00CD4F23"/>
    <w:rsid w:val="00CD4FC6"/>
    <w:rsid w:val="00CD520E"/>
    <w:rsid w:val="00CD5217"/>
    <w:rsid w:val="00CD5562"/>
    <w:rsid w:val="00CD558B"/>
    <w:rsid w:val="00CD55B3"/>
    <w:rsid w:val="00CD5839"/>
    <w:rsid w:val="00CD59D9"/>
    <w:rsid w:val="00CD5A05"/>
    <w:rsid w:val="00CD5B7D"/>
    <w:rsid w:val="00CD5D9A"/>
    <w:rsid w:val="00CD5F3B"/>
    <w:rsid w:val="00CD62CD"/>
    <w:rsid w:val="00CD6ABC"/>
    <w:rsid w:val="00CD750A"/>
    <w:rsid w:val="00CD7927"/>
    <w:rsid w:val="00CD7CD0"/>
    <w:rsid w:val="00CD7E16"/>
    <w:rsid w:val="00CD7EE5"/>
    <w:rsid w:val="00CD7FD7"/>
    <w:rsid w:val="00CE0097"/>
    <w:rsid w:val="00CE04A0"/>
    <w:rsid w:val="00CE04BA"/>
    <w:rsid w:val="00CE06BD"/>
    <w:rsid w:val="00CE07A2"/>
    <w:rsid w:val="00CE0855"/>
    <w:rsid w:val="00CE1AAD"/>
    <w:rsid w:val="00CE23B9"/>
    <w:rsid w:val="00CE3042"/>
    <w:rsid w:val="00CE30A7"/>
    <w:rsid w:val="00CE30B0"/>
    <w:rsid w:val="00CE30E6"/>
    <w:rsid w:val="00CE333D"/>
    <w:rsid w:val="00CE341F"/>
    <w:rsid w:val="00CE345F"/>
    <w:rsid w:val="00CE34DC"/>
    <w:rsid w:val="00CE368B"/>
    <w:rsid w:val="00CE36DD"/>
    <w:rsid w:val="00CE3BF2"/>
    <w:rsid w:val="00CE3F11"/>
    <w:rsid w:val="00CE4BBB"/>
    <w:rsid w:val="00CE4D3C"/>
    <w:rsid w:val="00CE5899"/>
    <w:rsid w:val="00CE593C"/>
    <w:rsid w:val="00CE5E98"/>
    <w:rsid w:val="00CE5F30"/>
    <w:rsid w:val="00CE60CD"/>
    <w:rsid w:val="00CE69FC"/>
    <w:rsid w:val="00CE6CC6"/>
    <w:rsid w:val="00CE6E7E"/>
    <w:rsid w:val="00CE6E81"/>
    <w:rsid w:val="00CE707D"/>
    <w:rsid w:val="00CF0219"/>
    <w:rsid w:val="00CF04B4"/>
    <w:rsid w:val="00CF05DB"/>
    <w:rsid w:val="00CF0B33"/>
    <w:rsid w:val="00CF0B8C"/>
    <w:rsid w:val="00CF0FC4"/>
    <w:rsid w:val="00CF1089"/>
    <w:rsid w:val="00CF129C"/>
    <w:rsid w:val="00CF1C79"/>
    <w:rsid w:val="00CF1D89"/>
    <w:rsid w:val="00CF2157"/>
    <w:rsid w:val="00CF26C2"/>
    <w:rsid w:val="00CF2708"/>
    <w:rsid w:val="00CF2C08"/>
    <w:rsid w:val="00CF2C97"/>
    <w:rsid w:val="00CF2F64"/>
    <w:rsid w:val="00CF311A"/>
    <w:rsid w:val="00CF3359"/>
    <w:rsid w:val="00CF3400"/>
    <w:rsid w:val="00CF379F"/>
    <w:rsid w:val="00CF42DF"/>
    <w:rsid w:val="00CF4307"/>
    <w:rsid w:val="00CF4D02"/>
    <w:rsid w:val="00CF570D"/>
    <w:rsid w:val="00CF7FAF"/>
    <w:rsid w:val="00D0008E"/>
    <w:rsid w:val="00D007CD"/>
    <w:rsid w:val="00D009E6"/>
    <w:rsid w:val="00D00EEC"/>
    <w:rsid w:val="00D01453"/>
    <w:rsid w:val="00D018FE"/>
    <w:rsid w:val="00D01954"/>
    <w:rsid w:val="00D01ED5"/>
    <w:rsid w:val="00D021F0"/>
    <w:rsid w:val="00D02271"/>
    <w:rsid w:val="00D02456"/>
    <w:rsid w:val="00D026BC"/>
    <w:rsid w:val="00D02AD7"/>
    <w:rsid w:val="00D02C47"/>
    <w:rsid w:val="00D03458"/>
    <w:rsid w:val="00D03E7A"/>
    <w:rsid w:val="00D04827"/>
    <w:rsid w:val="00D04EFF"/>
    <w:rsid w:val="00D051A6"/>
    <w:rsid w:val="00D051E5"/>
    <w:rsid w:val="00D05245"/>
    <w:rsid w:val="00D05307"/>
    <w:rsid w:val="00D0557D"/>
    <w:rsid w:val="00D05669"/>
    <w:rsid w:val="00D06878"/>
    <w:rsid w:val="00D06A55"/>
    <w:rsid w:val="00D06CBF"/>
    <w:rsid w:val="00D0713C"/>
    <w:rsid w:val="00D078C6"/>
    <w:rsid w:val="00D07FB4"/>
    <w:rsid w:val="00D101E1"/>
    <w:rsid w:val="00D1036E"/>
    <w:rsid w:val="00D1060A"/>
    <w:rsid w:val="00D107E7"/>
    <w:rsid w:val="00D10D0E"/>
    <w:rsid w:val="00D10E7B"/>
    <w:rsid w:val="00D10E91"/>
    <w:rsid w:val="00D1105A"/>
    <w:rsid w:val="00D1137B"/>
    <w:rsid w:val="00D11DB6"/>
    <w:rsid w:val="00D12482"/>
    <w:rsid w:val="00D12700"/>
    <w:rsid w:val="00D1298F"/>
    <w:rsid w:val="00D12BB7"/>
    <w:rsid w:val="00D132D5"/>
    <w:rsid w:val="00D13621"/>
    <w:rsid w:val="00D13E53"/>
    <w:rsid w:val="00D151EA"/>
    <w:rsid w:val="00D15303"/>
    <w:rsid w:val="00D16051"/>
    <w:rsid w:val="00D160F7"/>
    <w:rsid w:val="00D16297"/>
    <w:rsid w:val="00D16490"/>
    <w:rsid w:val="00D168DB"/>
    <w:rsid w:val="00D16C7C"/>
    <w:rsid w:val="00D16EF2"/>
    <w:rsid w:val="00D1722C"/>
    <w:rsid w:val="00D17788"/>
    <w:rsid w:val="00D20039"/>
    <w:rsid w:val="00D20461"/>
    <w:rsid w:val="00D20B75"/>
    <w:rsid w:val="00D20EB0"/>
    <w:rsid w:val="00D21163"/>
    <w:rsid w:val="00D2148E"/>
    <w:rsid w:val="00D218BB"/>
    <w:rsid w:val="00D21A6E"/>
    <w:rsid w:val="00D21FA8"/>
    <w:rsid w:val="00D220EF"/>
    <w:rsid w:val="00D22166"/>
    <w:rsid w:val="00D22675"/>
    <w:rsid w:val="00D22B80"/>
    <w:rsid w:val="00D22B8A"/>
    <w:rsid w:val="00D236B7"/>
    <w:rsid w:val="00D23BE3"/>
    <w:rsid w:val="00D23E48"/>
    <w:rsid w:val="00D244BE"/>
    <w:rsid w:val="00D244CE"/>
    <w:rsid w:val="00D24537"/>
    <w:rsid w:val="00D24640"/>
    <w:rsid w:val="00D2482F"/>
    <w:rsid w:val="00D24B50"/>
    <w:rsid w:val="00D24B54"/>
    <w:rsid w:val="00D25352"/>
    <w:rsid w:val="00D25410"/>
    <w:rsid w:val="00D25964"/>
    <w:rsid w:val="00D25EC9"/>
    <w:rsid w:val="00D25FED"/>
    <w:rsid w:val="00D263FE"/>
    <w:rsid w:val="00D268D9"/>
    <w:rsid w:val="00D2692A"/>
    <w:rsid w:val="00D26A83"/>
    <w:rsid w:val="00D26D2F"/>
    <w:rsid w:val="00D26F36"/>
    <w:rsid w:val="00D27232"/>
    <w:rsid w:val="00D278E5"/>
    <w:rsid w:val="00D278F4"/>
    <w:rsid w:val="00D27B83"/>
    <w:rsid w:val="00D27F2D"/>
    <w:rsid w:val="00D300E9"/>
    <w:rsid w:val="00D30118"/>
    <w:rsid w:val="00D30334"/>
    <w:rsid w:val="00D304CF"/>
    <w:rsid w:val="00D3090A"/>
    <w:rsid w:val="00D310F3"/>
    <w:rsid w:val="00D3111E"/>
    <w:rsid w:val="00D31221"/>
    <w:rsid w:val="00D31318"/>
    <w:rsid w:val="00D314E4"/>
    <w:rsid w:val="00D316DF"/>
    <w:rsid w:val="00D31700"/>
    <w:rsid w:val="00D31851"/>
    <w:rsid w:val="00D31F8D"/>
    <w:rsid w:val="00D323F9"/>
    <w:rsid w:val="00D32449"/>
    <w:rsid w:val="00D32664"/>
    <w:rsid w:val="00D326D0"/>
    <w:rsid w:val="00D32D36"/>
    <w:rsid w:val="00D32FA5"/>
    <w:rsid w:val="00D3300B"/>
    <w:rsid w:val="00D336AD"/>
    <w:rsid w:val="00D33C32"/>
    <w:rsid w:val="00D33EBE"/>
    <w:rsid w:val="00D33FCC"/>
    <w:rsid w:val="00D34058"/>
    <w:rsid w:val="00D34376"/>
    <w:rsid w:val="00D34615"/>
    <w:rsid w:val="00D349EF"/>
    <w:rsid w:val="00D35357"/>
    <w:rsid w:val="00D353B4"/>
    <w:rsid w:val="00D35755"/>
    <w:rsid w:val="00D35E91"/>
    <w:rsid w:val="00D35FE9"/>
    <w:rsid w:val="00D361D9"/>
    <w:rsid w:val="00D36CB6"/>
    <w:rsid w:val="00D36CFB"/>
    <w:rsid w:val="00D36E4D"/>
    <w:rsid w:val="00D373FF"/>
    <w:rsid w:val="00D375EF"/>
    <w:rsid w:val="00D37ECC"/>
    <w:rsid w:val="00D401AB"/>
    <w:rsid w:val="00D401C6"/>
    <w:rsid w:val="00D4049E"/>
    <w:rsid w:val="00D40508"/>
    <w:rsid w:val="00D406B2"/>
    <w:rsid w:val="00D40B95"/>
    <w:rsid w:val="00D40EAE"/>
    <w:rsid w:val="00D4111E"/>
    <w:rsid w:val="00D414C7"/>
    <w:rsid w:val="00D41A59"/>
    <w:rsid w:val="00D41CF9"/>
    <w:rsid w:val="00D41E77"/>
    <w:rsid w:val="00D4281E"/>
    <w:rsid w:val="00D42B97"/>
    <w:rsid w:val="00D43096"/>
    <w:rsid w:val="00D43B5E"/>
    <w:rsid w:val="00D43BC4"/>
    <w:rsid w:val="00D43D89"/>
    <w:rsid w:val="00D43DE4"/>
    <w:rsid w:val="00D43F83"/>
    <w:rsid w:val="00D44715"/>
    <w:rsid w:val="00D44DEF"/>
    <w:rsid w:val="00D44FC7"/>
    <w:rsid w:val="00D45001"/>
    <w:rsid w:val="00D458E5"/>
    <w:rsid w:val="00D45A7A"/>
    <w:rsid w:val="00D45DA9"/>
    <w:rsid w:val="00D45DEB"/>
    <w:rsid w:val="00D45FAA"/>
    <w:rsid w:val="00D4610D"/>
    <w:rsid w:val="00D463A2"/>
    <w:rsid w:val="00D46593"/>
    <w:rsid w:val="00D46852"/>
    <w:rsid w:val="00D469D9"/>
    <w:rsid w:val="00D46AB2"/>
    <w:rsid w:val="00D46B08"/>
    <w:rsid w:val="00D46C90"/>
    <w:rsid w:val="00D46D50"/>
    <w:rsid w:val="00D471ED"/>
    <w:rsid w:val="00D472D9"/>
    <w:rsid w:val="00D47331"/>
    <w:rsid w:val="00D476A9"/>
    <w:rsid w:val="00D47815"/>
    <w:rsid w:val="00D47A4F"/>
    <w:rsid w:val="00D47D2C"/>
    <w:rsid w:val="00D500D3"/>
    <w:rsid w:val="00D501AA"/>
    <w:rsid w:val="00D501FA"/>
    <w:rsid w:val="00D50344"/>
    <w:rsid w:val="00D503A5"/>
    <w:rsid w:val="00D5050B"/>
    <w:rsid w:val="00D5069A"/>
    <w:rsid w:val="00D50B65"/>
    <w:rsid w:val="00D51477"/>
    <w:rsid w:val="00D51647"/>
    <w:rsid w:val="00D516BD"/>
    <w:rsid w:val="00D518A7"/>
    <w:rsid w:val="00D51F0F"/>
    <w:rsid w:val="00D52283"/>
    <w:rsid w:val="00D526F8"/>
    <w:rsid w:val="00D5276E"/>
    <w:rsid w:val="00D527C8"/>
    <w:rsid w:val="00D5287C"/>
    <w:rsid w:val="00D52B7E"/>
    <w:rsid w:val="00D52BBB"/>
    <w:rsid w:val="00D52E6A"/>
    <w:rsid w:val="00D53228"/>
    <w:rsid w:val="00D53509"/>
    <w:rsid w:val="00D53637"/>
    <w:rsid w:val="00D5376F"/>
    <w:rsid w:val="00D5392D"/>
    <w:rsid w:val="00D53953"/>
    <w:rsid w:val="00D5396D"/>
    <w:rsid w:val="00D53BC0"/>
    <w:rsid w:val="00D53CE6"/>
    <w:rsid w:val="00D54840"/>
    <w:rsid w:val="00D54B50"/>
    <w:rsid w:val="00D552EE"/>
    <w:rsid w:val="00D5567E"/>
    <w:rsid w:val="00D557F0"/>
    <w:rsid w:val="00D55928"/>
    <w:rsid w:val="00D55AF0"/>
    <w:rsid w:val="00D55F0F"/>
    <w:rsid w:val="00D5648E"/>
    <w:rsid w:val="00D565D4"/>
    <w:rsid w:val="00D567A6"/>
    <w:rsid w:val="00D56B70"/>
    <w:rsid w:val="00D56F15"/>
    <w:rsid w:val="00D5713D"/>
    <w:rsid w:val="00D57180"/>
    <w:rsid w:val="00D573EC"/>
    <w:rsid w:val="00D577B7"/>
    <w:rsid w:val="00D578F0"/>
    <w:rsid w:val="00D57AB1"/>
    <w:rsid w:val="00D57B11"/>
    <w:rsid w:val="00D60157"/>
    <w:rsid w:val="00D60805"/>
    <w:rsid w:val="00D60A87"/>
    <w:rsid w:val="00D60BCD"/>
    <w:rsid w:val="00D60E66"/>
    <w:rsid w:val="00D61217"/>
    <w:rsid w:val="00D6149F"/>
    <w:rsid w:val="00D614B7"/>
    <w:rsid w:val="00D6173B"/>
    <w:rsid w:val="00D61981"/>
    <w:rsid w:val="00D619FD"/>
    <w:rsid w:val="00D62DB6"/>
    <w:rsid w:val="00D62F7C"/>
    <w:rsid w:val="00D63447"/>
    <w:rsid w:val="00D6347A"/>
    <w:rsid w:val="00D6356D"/>
    <w:rsid w:val="00D635CE"/>
    <w:rsid w:val="00D636D3"/>
    <w:rsid w:val="00D63934"/>
    <w:rsid w:val="00D63B98"/>
    <w:rsid w:val="00D63E85"/>
    <w:rsid w:val="00D64059"/>
    <w:rsid w:val="00D6428D"/>
    <w:rsid w:val="00D6437F"/>
    <w:rsid w:val="00D644C2"/>
    <w:rsid w:val="00D64667"/>
    <w:rsid w:val="00D64833"/>
    <w:rsid w:val="00D65425"/>
    <w:rsid w:val="00D6553D"/>
    <w:rsid w:val="00D655E5"/>
    <w:rsid w:val="00D656EB"/>
    <w:rsid w:val="00D65D96"/>
    <w:rsid w:val="00D65F20"/>
    <w:rsid w:val="00D66181"/>
    <w:rsid w:val="00D6686E"/>
    <w:rsid w:val="00D66BA4"/>
    <w:rsid w:val="00D66CFF"/>
    <w:rsid w:val="00D66D13"/>
    <w:rsid w:val="00D679FD"/>
    <w:rsid w:val="00D701E8"/>
    <w:rsid w:val="00D70222"/>
    <w:rsid w:val="00D703B9"/>
    <w:rsid w:val="00D707A9"/>
    <w:rsid w:val="00D708E9"/>
    <w:rsid w:val="00D71026"/>
    <w:rsid w:val="00D7149A"/>
    <w:rsid w:val="00D71528"/>
    <w:rsid w:val="00D715B2"/>
    <w:rsid w:val="00D720DF"/>
    <w:rsid w:val="00D721E0"/>
    <w:rsid w:val="00D7250F"/>
    <w:rsid w:val="00D72544"/>
    <w:rsid w:val="00D72A83"/>
    <w:rsid w:val="00D72BF1"/>
    <w:rsid w:val="00D72CBF"/>
    <w:rsid w:val="00D72FDC"/>
    <w:rsid w:val="00D730B0"/>
    <w:rsid w:val="00D73385"/>
    <w:rsid w:val="00D73744"/>
    <w:rsid w:val="00D749C1"/>
    <w:rsid w:val="00D74D67"/>
    <w:rsid w:val="00D7506D"/>
    <w:rsid w:val="00D7563F"/>
    <w:rsid w:val="00D75B70"/>
    <w:rsid w:val="00D76269"/>
    <w:rsid w:val="00D765A0"/>
    <w:rsid w:val="00D76684"/>
    <w:rsid w:val="00D766AA"/>
    <w:rsid w:val="00D76998"/>
    <w:rsid w:val="00D76AB5"/>
    <w:rsid w:val="00D771FD"/>
    <w:rsid w:val="00D7796D"/>
    <w:rsid w:val="00D77FDB"/>
    <w:rsid w:val="00D800F7"/>
    <w:rsid w:val="00D80855"/>
    <w:rsid w:val="00D80B1A"/>
    <w:rsid w:val="00D80C06"/>
    <w:rsid w:val="00D8111F"/>
    <w:rsid w:val="00D812C7"/>
    <w:rsid w:val="00D81B18"/>
    <w:rsid w:val="00D82253"/>
    <w:rsid w:val="00D82666"/>
    <w:rsid w:val="00D831DB"/>
    <w:rsid w:val="00D8327F"/>
    <w:rsid w:val="00D83541"/>
    <w:rsid w:val="00D836EA"/>
    <w:rsid w:val="00D836F8"/>
    <w:rsid w:val="00D83768"/>
    <w:rsid w:val="00D8435E"/>
    <w:rsid w:val="00D8466B"/>
    <w:rsid w:val="00D8487E"/>
    <w:rsid w:val="00D84B4D"/>
    <w:rsid w:val="00D84D05"/>
    <w:rsid w:val="00D8501A"/>
    <w:rsid w:val="00D856AF"/>
    <w:rsid w:val="00D85F1D"/>
    <w:rsid w:val="00D86281"/>
    <w:rsid w:val="00D86421"/>
    <w:rsid w:val="00D865F5"/>
    <w:rsid w:val="00D866A4"/>
    <w:rsid w:val="00D86757"/>
    <w:rsid w:val="00D86BED"/>
    <w:rsid w:val="00D86F9B"/>
    <w:rsid w:val="00D873DC"/>
    <w:rsid w:val="00D87453"/>
    <w:rsid w:val="00D8794E"/>
    <w:rsid w:val="00D87C14"/>
    <w:rsid w:val="00D901AD"/>
    <w:rsid w:val="00D903DE"/>
    <w:rsid w:val="00D906D9"/>
    <w:rsid w:val="00D91390"/>
    <w:rsid w:val="00D91540"/>
    <w:rsid w:val="00D91B3E"/>
    <w:rsid w:val="00D91F6E"/>
    <w:rsid w:val="00D92148"/>
    <w:rsid w:val="00D9223B"/>
    <w:rsid w:val="00D922E4"/>
    <w:rsid w:val="00D927AC"/>
    <w:rsid w:val="00D92832"/>
    <w:rsid w:val="00D92A3A"/>
    <w:rsid w:val="00D9355C"/>
    <w:rsid w:val="00D939A2"/>
    <w:rsid w:val="00D93A16"/>
    <w:rsid w:val="00D93B28"/>
    <w:rsid w:val="00D93B89"/>
    <w:rsid w:val="00D93C1B"/>
    <w:rsid w:val="00D93CD5"/>
    <w:rsid w:val="00D93D55"/>
    <w:rsid w:val="00D93E19"/>
    <w:rsid w:val="00D94187"/>
    <w:rsid w:val="00D945AB"/>
    <w:rsid w:val="00D9496D"/>
    <w:rsid w:val="00D94E49"/>
    <w:rsid w:val="00D9500A"/>
    <w:rsid w:val="00D96288"/>
    <w:rsid w:val="00D96356"/>
    <w:rsid w:val="00D96699"/>
    <w:rsid w:val="00D96DBC"/>
    <w:rsid w:val="00D96DCC"/>
    <w:rsid w:val="00D96E5F"/>
    <w:rsid w:val="00D96ED8"/>
    <w:rsid w:val="00D97171"/>
    <w:rsid w:val="00D97252"/>
    <w:rsid w:val="00D975AB"/>
    <w:rsid w:val="00D97BEF"/>
    <w:rsid w:val="00D97CAF"/>
    <w:rsid w:val="00D97F9A"/>
    <w:rsid w:val="00DA004C"/>
    <w:rsid w:val="00DA05D8"/>
    <w:rsid w:val="00DA0768"/>
    <w:rsid w:val="00DA076C"/>
    <w:rsid w:val="00DA0E91"/>
    <w:rsid w:val="00DA161A"/>
    <w:rsid w:val="00DA1CD0"/>
    <w:rsid w:val="00DA20A3"/>
    <w:rsid w:val="00DA2220"/>
    <w:rsid w:val="00DA2886"/>
    <w:rsid w:val="00DA2C18"/>
    <w:rsid w:val="00DA32A5"/>
    <w:rsid w:val="00DA3494"/>
    <w:rsid w:val="00DA3633"/>
    <w:rsid w:val="00DA3A39"/>
    <w:rsid w:val="00DA3E2F"/>
    <w:rsid w:val="00DA3EEE"/>
    <w:rsid w:val="00DA4039"/>
    <w:rsid w:val="00DA4258"/>
    <w:rsid w:val="00DA43A0"/>
    <w:rsid w:val="00DA46CD"/>
    <w:rsid w:val="00DA475F"/>
    <w:rsid w:val="00DA4850"/>
    <w:rsid w:val="00DA4968"/>
    <w:rsid w:val="00DA4D63"/>
    <w:rsid w:val="00DA4F7F"/>
    <w:rsid w:val="00DA5A94"/>
    <w:rsid w:val="00DA5B6D"/>
    <w:rsid w:val="00DA6514"/>
    <w:rsid w:val="00DA6824"/>
    <w:rsid w:val="00DA6A04"/>
    <w:rsid w:val="00DA6C16"/>
    <w:rsid w:val="00DA7191"/>
    <w:rsid w:val="00DA752A"/>
    <w:rsid w:val="00DA7597"/>
    <w:rsid w:val="00DA7634"/>
    <w:rsid w:val="00DA7727"/>
    <w:rsid w:val="00DA7863"/>
    <w:rsid w:val="00DA7953"/>
    <w:rsid w:val="00DA7A46"/>
    <w:rsid w:val="00DA7A60"/>
    <w:rsid w:val="00DA7C81"/>
    <w:rsid w:val="00DA7EFD"/>
    <w:rsid w:val="00DA7F1B"/>
    <w:rsid w:val="00DB012F"/>
    <w:rsid w:val="00DB031B"/>
    <w:rsid w:val="00DB0324"/>
    <w:rsid w:val="00DB05B7"/>
    <w:rsid w:val="00DB05BD"/>
    <w:rsid w:val="00DB061A"/>
    <w:rsid w:val="00DB0867"/>
    <w:rsid w:val="00DB1044"/>
    <w:rsid w:val="00DB1144"/>
    <w:rsid w:val="00DB14EB"/>
    <w:rsid w:val="00DB1B4A"/>
    <w:rsid w:val="00DB1C73"/>
    <w:rsid w:val="00DB1FCF"/>
    <w:rsid w:val="00DB2355"/>
    <w:rsid w:val="00DB2914"/>
    <w:rsid w:val="00DB2CF9"/>
    <w:rsid w:val="00DB2E7C"/>
    <w:rsid w:val="00DB316D"/>
    <w:rsid w:val="00DB35FF"/>
    <w:rsid w:val="00DB38DC"/>
    <w:rsid w:val="00DB3BB4"/>
    <w:rsid w:val="00DB3EA6"/>
    <w:rsid w:val="00DB40E4"/>
    <w:rsid w:val="00DB43B7"/>
    <w:rsid w:val="00DB4403"/>
    <w:rsid w:val="00DB45AB"/>
    <w:rsid w:val="00DB4717"/>
    <w:rsid w:val="00DB47D4"/>
    <w:rsid w:val="00DB5415"/>
    <w:rsid w:val="00DB541B"/>
    <w:rsid w:val="00DB5620"/>
    <w:rsid w:val="00DB5777"/>
    <w:rsid w:val="00DB5889"/>
    <w:rsid w:val="00DB5B8E"/>
    <w:rsid w:val="00DB5F6C"/>
    <w:rsid w:val="00DB6699"/>
    <w:rsid w:val="00DB6891"/>
    <w:rsid w:val="00DB6F15"/>
    <w:rsid w:val="00DB74B3"/>
    <w:rsid w:val="00DB762B"/>
    <w:rsid w:val="00DB7A2E"/>
    <w:rsid w:val="00DB7CF1"/>
    <w:rsid w:val="00DB7FDD"/>
    <w:rsid w:val="00DC0015"/>
    <w:rsid w:val="00DC023A"/>
    <w:rsid w:val="00DC07A1"/>
    <w:rsid w:val="00DC0BFE"/>
    <w:rsid w:val="00DC0DB1"/>
    <w:rsid w:val="00DC0F02"/>
    <w:rsid w:val="00DC0F8D"/>
    <w:rsid w:val="00DC1325"/>
    <w:rsid w:val="00DC142B"/>
    <w:rsid w:val="00DC1EAA"/>
    <w:rsid w:val="00DC1FBF"/>
    <w:rsid w:val="00DC2132"/>
    <w:rsid w:val="00DC2284"/>
    <w:rsid w:val="00DC2483"/>
    <w:rsid w:val="00DC24F1"/>
    <w:rsid w:val="00DC2956"/>
    <w:rsid w:val="00DC2D04"/>
    <w:rsid w:val="00DC2DED"/>
    <w:rsid w:val="00DC2E98"/>
    <w:rsid w:val="00DC2EB4"/>
    <w:rsid w:val="00DC32FF"/>
    <w:rsid w:val="00DC34F2"/>
    <w:rsid w:val="00DC3718"/>
    <w:rsid w:val="00DC38AC"/>
    <w:rsid w:val="00DC38DA"/>
    <w:rsid w:val="00DC3CA4"/>
    <w:rsid w:val="00DC3E76"/>
    <w:rsid w:val="00DC40D2"/>
    <w:rsid w:val="00DC410B"/>
    <w:rsid w:val="00DC420E"/>
    <w:rsid w:val="00DC4304"/>
    <w:rsid w:val="00DC49F5"/>
    <w:rsid w:val="00DC4FAF"/>
    <w:rsid w:val="00DC5201"/>
    <w:rsid w:val="00DC53B8"/>
    <w:rsid w:val="00DC556C"/>
    <w:rsid w:val="00DC5AD1"/>
    <w:rsid w:val="00DC5B96"/>
    <w:rsid w:val="00DC5C0D"/>
    <w:rsid w:val="00DC6158"/>
    <w:rsid w:val="00DC7032"/>
    <w:rsid w:val="00DC72A4"/>
    <w:rsid w:val="00DC72D1"/>
    <w:rsid w:val="00DC746E"/>
    <w:rsid w:val="00DC76EE"/>
    <w:rsid w:val="00DC7D95"/>
    <w:rsid w:val="00DD01CA"/>
    <w:rsid w:val="00DD02F4"/>
    <w:rsid w:val="00DD043A"/>
    <w:rsid w:val="00DD069E"/>
    <w:rsid w:val="00DD1176"/>
    <w:rsid w:val="00DD12A8"/>
    <w:rsid w:val="00DD1A7E"/>
    <w:rsid w:val="00DD1B4E"/>
    <w:rsid w:val="00DD245C"/>
    <w:rsid w:val="00DD2484"/>
    <w:rsid w:val="00DD295D"/>
    <w:rsid w:val="00DD2E0D"/>
    <w:rsid w:val="00DD304A"/>
    <w:rsid w:val="00DD399A"/>
    <w:rsid w:val="00DD3A13"/>
    <w:rsid w:val="00DD3BDC"/>
    <w:rsid w:val="00DD3CA5"/>
    <w:rsid w:val="00DD4D92"/>
    <w:rsid w:val="00DD552F"/>
    <w:rsid w:val="00DD5A48"/>
    <w:rsid w:val="00DD5A72"/>
    <w:rsid w:val="00DD5BF3"/>
    <w:rsid w:val="00DD609A"/>
    <w:rsid w:val="00DD6621"/>
    <w:rsid w:val="00DD6705"/>
    <w:rsid w:val="00DD6B1E"/>
    <w:rsid w:val="00DD6D1F"/>
    <w:rsid w:val="00DD6E9C"/>
    <w:rsid w:val="00DD70E8"/>
    <w:rsid w:val="00DD742C"/>
    <w:rsid w:val="00DD75C0"/>
    <w:rsid w:val="00DD75EF"/>
    <w:rsid w:val="00DD7CB3"/>
    <w:rsid w:val="00DE03A0"/>
    <w:rsid w:val="00DE077F"/>
    <w:rsid w:val="00DE0A77"/>
    <w:rsid w:val="00DE0B17"/>
    <w:rsid w:val="00DE1255"/>
    <w:rsid w:val="00DE1376"/>
    <w:rsid w:val="00DE1C0E"/>
    <w:rsid w:val="00DE1CF4"/>
    <w:rsid w:val="00DE2166"/>
    <w:rsid w:val="00DE2193"/>
    <w:rsid w:val="00DE228D"/>
    <w:rsid w:val="00DE2293"/>
    <w:rsid w:val="00DE2417"/>
    <w:rsid w:val="00DE246B"/>
    <w:rsid w:val="00DE2953"/>
    <w:rsid w:val="00DE2D56"/>
    <w:rsid w:val="00DE2DB1"/>
    <w:rsid w:val="00DE2E9D"/>
    <w:rsid w:val="00DE3440"/>
    <w:rsid w:val="00DE36A9"/>
    <w:rsid w:val="00DE374E"/>
    <w:rsid w:val="00DE37BE"/>
    <w:rsid w:val="00DE381D"/>
    <w:rsid w:val="00DE4103"/>
    <w:rsid w:val="00DE4210"/>
    <w:rsid w:val="00DE42F6"/>
    <w:rsid w:val="00DE4578"/>
    <w:rsid w:val="00DE4812"/>
    <w:rsid w:val="00DE4C5E"/>
    <w:rsid w:val="00DE4CD1"/>
    <w:rsid w:val="00DE4DA8"/>
    <w:rsid w:val="00DE51B4"/>
    <w:rsid w:val="00DE5403"/>
    <w:rsid w:val="00DE55CB"/>
    <w:rsid w:val="00DE57C5"/>
    <w:rsid w:val="00DE58E6"/>
    <w:rsid w:val="00DE591A"/>
    <w:rsid w:val="00DE5E6A"/>
    <w:rsid w:val="00DE70F9"/>
    <w:rsid w:val="00DE70FC"/>
    <w:rsid w:val="00DE7B41"/>
    <w:rsid w:val="00DF005A"/>
    <w:rsid w:val="00DF010F"/>
    <w:rsid w:val="00DF0155"/>
    <w:rsid w:val="00DF04EE"/>
    <w:rsid w:val="00DF08AB"/>
    <w:rsid w:val="00DF08AE"/>
    <w:rsid w:val="00DF0D8B"/>
    <w:rsid w:val="00DF1879"/>
    <w:rsid w:val="00DF198F"/>
    <w:rsid w:val="00DF1E48"/>
    <w:rsid w:val="00DF1E89"/>
    <w:rsid w:val="00DF1F1E"/>
    <w:rsid w:val="00DF2549"/>
    <w:rsid w:val="00DF26FF"/>
    <w:rsid w:val="00DF2741"/>
    <w:rsid w:val="00DF2BD1"/>
    <w:rsid w:val="00DF3038"/>
    <w:rsid w:val="00DF32E7"/>
    <w:rsid w:val="00DF33DD"/>
    <w:rsid w:val="00DF3467"/>
    <w:rsid w:val="00DF34EF"/>
    <w:rsid w:val="00DF3743"/>
    <w:rsid w:val="00DF3757"/>
    <w:rsid w:val="00DF3E35"/>
    <w:rsid w:val="00DF40FE"/>
    <w:rsid w:val="00DF42E0"/>
    <w:rsid w:val="00DF441A"/>
    <w:rsid w:val="00DF4742"/>
    <w:rsid w:val="00DF53A0"/>
    <w:rsid w:val="00DF5B56"/>
    <w:rsid w:val="00DF6076"/>
    <w:rsid w:val="00DF620E"/>
    <w:rsid w:val="00DF6326"/>
    <w:rsid w:val="00DF66E4"/>
    <w:rsid w:val="00DF718E"/>
    <w:rsid w:val="00DF7249"/>
    <w:rsid w:val="00DF7D84"/>
    <w:rsid w:val="00DF7FC3"/>
    <w:rsid w:val="00E00460"/>
    <w:rsid w:val="00E004BA"/>
    <w:rsid w:val="00E006E9"/>
    <w:rsid w:val="00E00844"/>
    <w:rsid w:val="00E00C71"/>
    <w:rsid w:val="00E00EAA"/>
    <w:rsid w:val="00E01034"/>
    <w:rsid w:val="00E0103C"/>
    <w:rsid w:val="00E011E0"/>
    <w:rsid w:val="00E01934"/>
    <w:rsid w:val="00E01ECD"/>
    <w:rsid w:val="00E0220F"/>
    <w:rsid w:val="00E02399"/>
    <w:rsid w:val="00E0240A"/>
    <w:rsid w:val="00E0274F"/>
    <w:rsid w:val="00E02814"/>
    <w:rsid w:val="00E02D87"/>
    <w:rsid w:val="00E02D97"/>
    <w:rsid w:val="00E02FD4"/>
    <w:rsid w:val="00E0338D"/>
    <w:rsid w:val="00E0339C"/>
    <w:rsid w:val="00E038DC"/>
    <w:rsid w:val="00E03ED5"/>
    <w:rsid w:val="00E03F68"/>
    <w:rsid w:val="00E04119"/>
    <w:rsid w:val="00E0443B"/>
    <w:rsid w:val="00E04491"/>
    <w:rsid w:val="00E044AB"/>
    <w:rsid w:val="00E047E5"/>
    <w:rsid w:val="00E04AE7"/>
    <w:rsid w:val="00E04C97"/>
    <w:rsid w:val="00E05508"/>
    <w:rsid w:val="00E05A10"/>
    <w:rsid w:val="00E0623D"/>
    <w:rsid w:val="00E06243"/>
    <w:rsid w:val="00E062B6"/>
    <w:rsid w:val="00E0632A"/>
    <w:rsid w:val="00E065DF"/>
    <w:rsid w:val="00E06853"/>
    <w:rsid w:val="00E068D6"/>
    <w:rsid w:val="00E068ED"/>
    <w:rsid w:val="00E06E3E"/>
    <w:rsid w:val="00E07169"/>
    <w:rsid w:val="00E071D5"/>
    <w:rsid w:val="00E0722D"/>
    <w:rsid w:val="00E07358"/>
    <w:rsid w:val="00E07828"/>
    <w:rsid w:val="00E0783F"/>
    <w:rsid w:val="00E07ABA"/>
    <w:rsid w:val="00E109C1"/>
    <w:rsid w:val="00E10F9C"/>
    <w:rsid w:val="00E1114D"/>
    <w:rsid w:val="00E11277"/>
    <w:rsid w:val="00E11282"/>
    <w:rsid w:val="00E1144B"/>
    <w:rsid w:val="00E11807"/>
    <w:rsid w:val="00E11863"/>
    <w:rsid w:val="00E11BA4"/>
    <w:rsid w:val="00E11D0F"/>
    <w:rsid w:val="00E11DF4"/>
    <w:rsid w:val="00E12185"/>
    <w:rsid w:val="00E12378"/>
    <w:rsid w:val="00E124AF"/>
    <w:rsid w:val="00E128FF"/>
    <w:rsid w:val="00E12F0C"/>
    <w:rsid w:val="00E130AD"/>
    <w:rsid w:val="00E13601"/>
    <w:rsid w:val="00E136BF"/>
    <w:rsid w:val="00E13C52"/>
    <w:rsid w:val="00E13FCA"/>
    <w:rsid w:val="00E14E5F"/>
    <w:rsid w:val="00E15026"/>
    <w:rsid w:val="00E157D3"/>
    <w:rsid w:val="00E15A4F"/>
    <w:rsid w:val="00E15D54"/>
    <w:rsid w:val="00E15E7A"/>
    <w:rsid w:val="00E15EB5"/>
    <w:rsid w:val="00E15FCB"/>
    <w:rsid w:val="00E162A4"/>
    <w:rsid w:val="00E162D7"/>
    <w:rsid w:val="00E16569"/>
    <w:rsid w:val="00E16717"/>
    <w:rsid w:val="00E16869"/>
    <w:rsid w:val="00E16888"/>
    <w:rsid w:val="00E1688C"/>
    <w:rsid w:val="00E1725C"/>
    <w:rsid w:val="00E172C5"/>
    <w:rsid w:val="00E17CFF"/>
    <w:rsid w:val="00E17E8E"/>
    <w:rsid w:val="00E2006F"/>
    <w:rsid w:val="00E2013D"/>
    <w:rsid w:val="00E20955"/>
    <w:rsid w:val="00E20995"/>
    <w:rsid w:val="00E20DCA"/>
    <w:rsid w:val="00E20E33"/>
    <w:rsid w:val="00E21326"/>
    <w:rsid w:val="00E21877"/>
    <w:rsid w:val="00E219B4"/>
    <w:rsid w:val="00E21AD0"/>
    <w:rsid w:val="00E220C6"/>
    <w:rsid w:val="00E22665"/>
    <w:rsid w:val="00E227AE"/>
    <w:rsid w:val="00E23185"/>
    <w:rsid w:val="00E233E7"/>
    <w:rsid w:val="00E23526"/>
    <w:rsid w:val="00E23D56"/>
    <w:rsid w:val="00E23F4E"/>
    <w:rsid w:val="00E24469"/>
    <w:rsid w:val="00E24799"/>
    <w:rsid w:val="00E2482D"/>
    <w:rsid w:val="00E2486C"/>
    <w:rsid w:val="00E24906"/>
    <w:rsid w:val="00E24AF1"/>
    <w:rsid w:val="00E24B28"/>
    <w:rsid w:val="00E24C10"/>
    <w:rsid w:val="00E24C6A"/>
    <w:rsid w:val="00E24FB5"/>
    <w:rsid w:val="00E25365"/>
    <w:rsid w:val="00E25E05"/>
    <w:rsid w:val="00E26810"/>
    <w:rsid w:val="00E2682C"/>
    <w:rsid w:val="00E269D9"/>
    <w:rsid w:val="00E276A9"/>
    <w:rsid w:val="00E30029"/>
    <w:rsid w:val="00E30037"/>
    <w:rsid w:val="00E30499"/>
    <w:rsid w:val="00E30B51"/>
    <w:rsid w:val="00E30B8E"/>
    <w:rsid w:val="00E3102A"/>
    <w:rsid w:val="00E31116"/>
    <w:rsid w:val="00E31290"/>
    <w:rsid w:val="00E31767"/>
    <w:rsid w:val="00E324BB"/>
    <w:rsid w:val="00E32A7A"/>
    <w:rsid w:val="00E32ECD"/>
    <w:rsid w:val="00E338C4"/>
    <w:rsid w:val="00E339F0"/>
    <w:rsid w:val="00E341F5"/>
    <w:rsid w:val="00E34287"/>
    <w:rsid w:val="00E34324"/>
    <w:rsid w:val="00E344CB"/>
    <w:rsid w:val="00E345EC"/>
    <w:rsid w:val="00E34796"/>
    <w:rsid w:val="00E347A0"/>
    <w:rsid w:val="00E34884"/>
    <w:rsid w:val="00E34B1D"/>
    <w:rsid w:val="00E34D8C"/>
    <w:rsid w:val="00E35427"/>
    <w:rsid w:val="00E35718"/>
    <w:rsid w:val="00E35E8B"/>
    <w:rsid w:val="00E367EB"/>
    <w:rsid w:val="00E36CE6"/>
    <w:rsid w:val="00E37017"/>
    <w:rsid w:val="00E373AC"/>
    <w:rsid w:val="00E37424"/>
    <w:rsid w:val="00E375C1"/>
    <w:rsid w:val="00E377E8"/>
    <w:rsid w:val="00E37821"/>
    <w:rsid w:val="00E37B7F"/>
    <w:rsid w:val="00E37C98"/>
    <w:rsid w:val="00E37E42"/>
    <w:rsid w:val="00E37E88"/>
    <w:rsid w:val="00E40283"/>
    <w:rsid w:val="00E40444"/>
    <w:rsid w:val="00E40986"/>
    <w:rsid w:val="00E40F22"/>
    <w:rsid w:val="00E415B1"/>
    <w:rsid w:val="00E416FC"/>
    <w:rsid w:val="00E41711"/>
    <w:rsid w:val="00E41C77"/>
    <w:rsid w:val="00E41CA3"/>
    <w:rsid w:val="00E41E0A"/>
    <w:rsid w:val="00E41FB9"/>
    <w:rsid w:val="00E427F0"/>
    <w:rsid w:val="00E42BE9"/>
    <w:rsid w:val="00E42C72"/>
    <w:rsid w:val="00E42EDF"/>
    <w:rsid w:val="00E43055"/>
    <w:rsid w:val="00E43464"/>
    <w:rsid w:val="00E43542"/>
    <w:rsid w:val="00E4394A"/>
    <w:rsid w:val="00E43A9B"/>
    <w:rsid w:val="00E43AED"/>
    <w:rsid w:val="00E43B04"/>
    <w:rsid w:val="00E43C11"/>
    <w:rsid w:val="00E43D44"/>
    <w:rsid w:val="00E44270"/>
    <w:rsid w:val="00E44414"/>
    <w:rsid w:val="00E44472"/>
    <w:rsid w:val="00E44AD2"/>
    <w:rsid w:val="00E451BE"/>
    <w:rsid w:val="00E4564D"/>
    <w:rsid w:val="00E456B4"/>
    <w:rsid w:val="00E45D80"/>
    <w:rsid w:val="00E45EF9"/>
    <w:rsid w:val="00E46181"/>
    <w:rsid w:val="00E471D4"/>
    <w:rsid w:val="00E4767B"/>
    <w:rsid w:val="00E477EE"/>
    <w:rsid w:val="00E47A69"/>
    <w:rsid w:val="00E47C85"/>
    <w:rsid w:val="00E501F9"/>
    <w:rsid w:val="00E50A52"/>
    <w:rsid w:val="00E50B87"/>
    <w:rsid w:val="00E50C35"/>
    <w:rsid w:val="00E50E6C"/>
    <w:rsid w:val="00E51472"/>
    <w:rsid w:val="00E518D2"/>
    <w:rsid w:val="00E51919"/>
    <w:rsid w:val="00E51AB6"/>
    <w:rsid w:val="00E51E3A"/>
    <w:rsid w:val="00E51EAD"/>
    <w:rsid w:val="00E521A6"/>
    <w:rsid w:val="00E523E2"/>
    <w:rsid w:val="00E52CF0"/>
    <w:rsid w:val="00E532C7"/>
    <w:rsid w:val="00E5330C"/>
    <w:rsid w:val="00E53438"/>
    <w:rsid w:val="00E534C6"/>
    <w:rsid w:val="00E53967"/>
    <w:rsid w:val="00E53F73"/>
    <w:rsid w:val="00E546DA"/>
    <w:rsid w:val="00E547E1"/>
    <w:rsid w:val="00E54E8C"/>
    <w:rsid w:val="00E5545A"/>
    <w:rsid w:val="00E55695"/>
    <w:rsid w:val="00E55696"/>
    <w:rsid w:val="00E556F7"/>
    <w:rsid w:val="00E5578F"/>
    <w:rsid w:val="00E55D5A"/>
    <w:rsid w:val="00E55E81"/>
    <w:rsid w:val="00E561DE"/>
    <w:rsid w:val="00E56347"/>
    <w:rsid w:val="00E56410"/>
    <w:rsid w:val="00E564DD"/>
    <w:rsid w:val="00E5650C"/>
    <w:rsid w:val="00E56DAC"/>
    <w:rsid w:val="00E571BB"/>
    <w:rsid w:val="00E577C9"/>
    <w:rsid w:val="00E60147"/>
    <w:rsid w:val="00E603B9"/>
    <w:rsid w:val="00E60430"/>
    <w:rsid w:val="00E606CB"/>
    <w:rsid w:val="00E60774"/>
    <w:rsid w:val="00E6086D"/>
    <w:rsid w:val="00E6092E"/>
    <w:rsid w:val="00E60A84"/>
    <w:rsid w:val="00E60B92"/>
    <w:rsid w:val="00E61404"/>
    <w:rsid w:val="00E615CB"/>
    <w:rsid w:val="00E61990"/>
    <w:rsid w:val="00E61F08"/>
    <w:rsid w:val="00E620F9"/>
    <w:rsid w:val="00E6244C"/>
    <w:rsid w:val="00E62740"/>
    <w:rsid w:val="00E62C15"/>
    <w:rsid w:val="00E62DFB"/>
    <w:rsid w:val="00E631AB"/>
    <w:rsid w:val="00E63760"/>
    <w:rsid w:val="00E637D7"/>
    <w:rsid w:val="00E6383D"/>
    <w:rsid w:val="00E638A3"/>
    <w:rsid w:val="00E63DEE"/>
    <w:rsid w:val="00E63E86"/>
    <w:rsid w:val="00E6435E"/>
    <w:rsid w:val="00E643C6"/>
    <w:rsid w:val="00E64B24"/>
    <w:rsid w:val="00E64D19"/>
    <w:rsid w:val="00E64DF4"/>
    <w:rsid w:val="00E65145"/>
    <w:rsid w:val="00E652D3"/>
    <w:rsid w:val="00E65370"/>
    <w:rsid w:val="00E655E8"/>
    <w:rsid w:val="00E6657E"/>
    <w:rsid w:val="00E665F9"/>
    <w:rsid w:val="00E666B9"/>
    <w:rsid w:val="00E6697E"/>
    <w:rsid w:val="00E66F79"/>
    <w:rsid w:val="00E670C0"/>
    <w:rsid w:val="00E67128"/>
    <w:rsid w:val="00E675E0"/>
    <w:rsid w:val="00E67A21"/>
    <w:rsid w:val="00E706CF"/>
    <w:rsid w:val="00E70957"/>
    <w:rsid w:val="00E70BF2"/>
    <w:rsid w:val="00E71C50"/>
    <w:rsid w:val="00E71DDF"/>
    <w:rsid w:val="00E721EF"/>
    <w:rsid w:val="00E7229E"/>
    <w:rsid w:val="00E72A82"/>
    <w:rsid w:val="00E73434"/>
    <w:rsid w:val="00E73B44"/>
    <w:rsid w:val="00E73BE1"/>
    <w:rsid w:val="00E742D4"/>
    <w:rsid w:val="00E742F5"/>
    <w:rsid w:val="00E74435"/>
    <w:rsid w:val="00E7444B"/>
    <w:rsid w:val="00E74860"/>
    <w:rsid w:val="00E74A0E"/>
    <w:rsid w:val="00E74B5D"/>
    <w:rsid w:val="00E74E5C"/>
    <w:rsid w:val="00E74E72"/>
    <w:rsid w:val="00E74F46"/>
    <w:rsid w:val="00E74F92"/>
    <w:rsid w:val="00E75236"/>
    <w:rsid w:val="00E7566E"/>
    <w:rsid w:val="00E75866"/>
    <w:rsid w:val="00E758AD"/>
    <w:rsid w:val="00E75F53"/>
    <w:rsid w:val="00E76430"/>
    <w:rsid w:val="00E7691E"/>
    <w:rsid w:val="00E76A86"/>
    <w:rsid w:val="00E76DAC"/>
    <w:rsid w:val="00E76E17"/>
    <w:rsid w:val="00E774A2"/>
    <w:rsid w:val="00E77A79"/>
    <w:rsid w:val="00E77D4E"/>
    <w:rsid w:val="00E801BC"/>
    <w:rsid w:val="00E80898"/>
    <w:rsid w:val="00E80AF8"/>
    <w:rsid w:val="00E81119"/>
    <w:rsid w:val="00E816B3"/>
    <w:rsid w:val="00E817E4"/>
    <w:rsid w:val="00E81B1A"/>
    <w:rsid w:val="00E81E54"/>
    <w:rsid w:val="00E82880"/>
    <w:rsid w:val="00E82958"/>
    <w:rsid w:val="00E829CA"/>
    <w:rsid w:val="00E82B73"/>
    <w:rsid w:val="00E831E5"/>
    <w:rsid w:val="00E83650"/>
    <w:rsid w:val="00E848C5"/>
    <w:rsid w:val="00E84B9A"/>
    <w:rsid w:val="00E8509A"/>
    <w:rsid w:val="00E8529E"/>
    <w:rsid w:val="00E85A5D"/>
    <w:rsid w:val="00E85EF5"/>
    <w:rsid w:val="00E860BF"/>
    <w:rsid w:val="00E864A7"/>
    <w:rsid w:val="00E86B7B"/>
    <w:rsid w:val="00E874B0"/>
    <w:rsid w:val="00E874FA"/>
    <w:rsid w:val="00E87908"/>
    <w:rsid w:val="00E900F1"/>
    <w:rsid w:val="00E90457"/>
    <w:rsid w:val="00E90533"/>
    <w:rsid w:val="00E90685"/>
    <w:rsid w:val="00E90B49"/>
    <w:rsid w:val="00E90B9C"/>
    <w:rsid w:val="00E90D4C"/>
    <w:rsid w:val="00E91860"/>
    <w:rsid w:val="00E91C12"/>
    <w:rsid w:val="00E91E5B"/>
    <w:rsid w:val="00E92395"/>
    <w:rsid w:val="00E9256D"/>
    <w:rsid w:val="00E9283C"/>
    <w:rsid w:val="00E92AC9"/>
    <w:rsid w:val="00E92B67"/>
    <w:rsid w:val="00E92C15"/>
    <w:rsid w:val="00E932AE"/>
    <w:rsid w:val="00E937DD"/>
    <w:rsid w:val="00E93D55"/>
    <w:rsid w:val="00E9431A"/>
    <w:rsid w:val="00E9460B"/>
    <w:rsid w:val="00E9498C"/>
    <w:rsid w:val="00E9505D"/>
    <w:rsid w:val="00E954B7"/>
    <w:rsid w:val="00E95CEB"/>
    <w:rsid w:val="00E9627C"/>
    <w:rsid w:val="00E96768"/>
    <w:rsid w:val="00E96CCA"/>
    <w:rsid w:val="00E96E58"/>
    <w:rsid w:val="00E96FDB"/>
    <w:rsid w:val="00E976AC"/>
    <w:rsid w:val="00E9794E"/>
    <w:rsid w:val="00E97C3D"/>
    <w:rsid w:val="00E97CF8"/>
    <w:rsid w:val="00E97E43"/>
    <w:rsid w:val="00EA0075"/>
    <w:rsid w:val="00EA00F9"/>
    <w:rsid w:val="00EA031F"/>
    <w:rsid w:val="00EA032A"/>
    <w:rsid w:val="00EA059C"/>
    <w:rsid w:val="00EA074A"/>
    <w:rsid w:val="00EA0D29"/>
    <w:rsid w:val="00EA107B"/>
    <w:rsid w:val="00EA1186"/>
    <w:rsid w:val="00EA2328"/>
    <w:rsid w:val="00EA23F6"/>
    <w:rsid w:val="00EA2649"/>
    <w:rsid w:val="00EA2A96"/>
    <w:rsid w:val="00EA2E80"/>
    <w:rsid w:val="00EA34D0"/>
    <w:rsid w:val="00EA3575"/>
    <w:rsid w:val="00EA3CF7"/>
    <w:rsid w:val="00EA3ED8"/>
    <w:rsid w:val="00EA40A6"/>
    <w:rsid w:val="00EA4232"/>
    <w:rsid w:val="00EA43AA"/>
    <w:rsid w:val="00EA43EE"/>
    <w:rsid w:val="00EA44D4"/>
    <w:rsid w:val="00EA4645"/>
    <w:rsid w:val="00EA478E"/>
    <w:rsid w:val="00EA4D40"/>
    <w:rsid w:val="00EA59C6"/>
    <w:rsid w:val="00EA63C3"/>
    <w:rsid w:val="00EA64A8"/>
    <w:rsid w:val="00EA6BA8"/>
    <w:rsid w:val="00EA6D62"/>
    <w:rsid w:val="00EA75E0"/>
    <w:rsid w:val="00EA76EE"/>
    <w:rsid w:val="00EA79F7"/>
    <w:rsid w:val="00EA7AEE"/>
    <w:rsid w:val="00EA7F09"/>
    <w:rsid w:val="00EB0B35"/>
    <w:rsid w:val="00EB0BE2"/>
    <w:rsid w:val="00EB0E5A"/>
    <w:rsid w:val="00EB1029"/>
    <w:rsid w:val="00EB1098"/>
    <w:rsid w:val="00EB10AC"/>
    <w:rsid w:val="00EB13D5"/>
    <w:rsid w:val="00EB196D"/>
    <w:rsid w:val="00EB196F"/>
    <w:rsid w:val="00EB2100"/>
    <w:rsid w:val="00EB3295"/>
    <w:rsid w:val="00EB356D"/>
    <w:rsid w:val="00EB3CE5"/>
    <w:rsid w:val="00EB3D5C"/>
    <w:rsid w:val="00EB3F40"/>
    <w:rsid w:val="00EB47C0"/>
    <w:rsid w:val="00EB4A21"/>
    <w:rsid w:val="00EB4A93"/>
    <w:rsid w:val="00EB4C29"/>
    <w:rsid w:val="00EB506B"/>
    <w:rsid w:val="00EB50A1"/>
    <w:rsid w:val="00EB5A97"/>
    <w:rsid w:val="00EB5C8A"/>
    <w:rsid w:val="00EB641F"/>
    <w:rsid w:val="00EB6750"/>
    <w:rsid w:val="00EB67A9"/>
    <w:rsid w:val="00EB6889"/>
    <w:rsid w:val="00EB69A1"/>
    <w:rsid w:val="00EB6AB9"/>
    <w:rsid w:val="00EB6D31"/>
    <w:rsid w:val="00EB745E"/>
    <w:rsid w:val="00EB777F"/>
    <w:rsid w:val="00EB784E"/>
    <w:rsid w:val="00EB7A93"/>
    <w:rsid w:val="00EC06CC"/>
    <w:rsid w:val="00EC0DFD"/>
    <w:rsid w:val="00EC10A0"/>
    <w:rsid w:val="00EC1195"/>
    <w:rsid w:val="00EC1383"/>
    <w:rsid w:val="00EC13D0"/>
    <w:rsid w:val="00EC1591"/>
    <w:rsid w:val="00EC16C6"/>
    <w:rsid w:val="00EC16F1"/>
    <w:rsid w:val="00EC1C8A"/>
    <w:rsid w:val="00EC1DFD"/>
    <w:rsid w:val="00EC20D8"/>
    <w:rsid w:val="00EC282D"/>
    <w:rsid w:val="00EC2840"/>
    <w:rsid w:val="00EC2B0D"/>
    <w:rsid w:val="00EC3573"/>
    <w:rsid w:val="00EC419F"/>
    <w:rsid w:val="00EC50A2"/>
    <w:rsid w:val="00EC518D"/>
    <w:rsid w:val="00EC52B8"/>
    <w:rsid w:val="00EC54F8"/>
    <w:rsid w:val="00EC5791"/>
    <w:rsid w:val="00EC57C6"/>
    <w:rsid w:val="00EC5FB8"/>
    <w:rsid w:val="00EC628D"/>
    <w:rsid w:val="00EC6763"/>
    <w:rsid w:val="00EC6C28"/>
    <w:rsid w:val="00EC6D0E"/>
    <w:rsid w:val="00EC6DFD"/>
    <w:rsid w:val="00EC6EF3"/>
    <w:rsid w:val="00EC7048"/>
    <w:rsid w:val="00EC71CB"/>
    <w:rsid w:val="00EC71D1"/>
    <w:rsid w:val="00EC769C"/>
    <w:rsid w:val="00EC76F3"/>
    <w:rsid w:val="00EC7797"/>
    <w:rsid w:val="00EC78BC"/>
    <w:rsid w:val="00EC7D87"/>
    <w:rsid w:val="00EC7E17"/>
    <w:rsid w:val="00ED05D6"/>
    <w:rsid w:val="00ED060E"/>
    <w:rsid w:val="00ED0C6F"/>
    <w:rsid w:val="00ED0D88"/>
    <w:rsid w:val="00ED13D1"/>
    <w:rsid w:val="00ED1AA8"/>
    <w:rsid w:val="00ED233E"/>
    <w:rsid w:val="00ED29F2"/>
    <w:rsid w:val="00ED2D3B"/>
    <w:rsid w:val="00ED2FCC"/>
    <w:rsid w:val="00ED3028"/>
    <w:rsid w:val="00ED3A81"/>
    <w:rsid w:val="00ED3F32"/>
    <w:rsid w:val="00ED4967"/>
    <w:rsid w:val="00ED4C12"/>
    <w:rsid w:val="00ED4E12"/>
    <w:rsid w:val="00ED50D8"/>
    <w:rsid w:val="00ED53B0"/>
    <w:rsid w:val="00ED5646"/>
    <w:rsid w:val="00ED67CE"/>
    <w:rsid w:val="00ED7559"/>
    <w:rsid w:val="00ED7637"/>
    <w:rsid w:val="00ED7A84"/>
    <w:rsid w:val="00EE0279"/>
    <w:rsid w:val="00EE0538"/>
    <w:rsid w:val="00EE05EC"/>
    <w:rsid w:val="00EE0625"/>
    <w:rsid w:val="00EE0A38"/>
    <w:rsid w:val="00EE0A4C"/>
    <w:rsid w:val="00EE0B6E"/>
    <w:rsid w:val="00EE0F57"/>
    <w:rsid w:val="00EE0F97"/>
    <w:rsid w:val="00EE1046"/>
    <w:rsid w:val="00EE1B10"/>
    <w:rsid w:val="00EE1D90"/>
    <w:rsid w:val="00EE1F65"/>
    <w:rsid w:val="00EE2371"/>
    <w:rsid w:val="00EE28A4"/>
    <w:rsid w:val="00EE28CE"/>
    <w:rsid w:val="00EE28F4"/>
    <w:rsid w:val="00EE2D19"/>
    <w:rsid w:val="00EE3728"/>
    <w:rsid w:val="00EE38B6"/>
    <w:rsid w:val="00EE3E7B"/>
    <w:rsid w:val="00EE3E83"/>
    <w:rsid w:val="00EE4261"/>
    <w:rsid w:val="00EE4493"/>
    <w:rsid w:val="00EE45C5"/>
    <w:rsid w:val="00EE4ADF"/>
    <w:rsid w:val="00EE4B3E"/>
    <w:rsid w:val="00EE5A6B"/>
    <w:rsid w:val="00EE5B3C"/>
    <w:rsid w:val="00EE5F75"/>
    <w:rsid w:val="00EE63BE"/>
    <w:rsid w:val="00EE6972"/>
    <w:rsid w:val="00EE6A2B"/>
    <w:rsid w:val="00EE6B04"/>
    <w:rsid w:val="00EE6B89"/>
    <w:rsid w:val="00EE712F"/>
    <w:rsid w:val="00EE73B5"/>
    <w:rsid w:val="00EE79AF"/>
    <w:rsid w:val="00EF0024"/>
    <w:rsid w:val="00EF0799"/>
    <w:rsid w:val="00EF09CD"/>
    <w:rsid w:val="00EF10CC"/>
    <w:rsid w:val="00EF12C5"/>
    <w:rsid w:val="00EF15F5"/>
    <w:rsid w:val="00EF1C75"/>
    <w:rsid w:val="00EF1EB2"/>
    <w:rsid w:val="00EF2006"/>
    <w:rsid w:val="00EF21AF"/>
    <w:rsid w:val="00EF24F7"/>
    <w:rsid w:val="00EF2722"/>
    <w:rsid w:val="00EF2A35"/>
    <w:rsid w:val="00EF2B93"/>
    <w:rsid w:val="00EF2DB3"/>
    <w:rsid w:val="00EF363D"/>
    <w:rsid w:val="00EF3850"/>
    <w:rsid w:val="00EF40A5"/>
    <w:rsid w:val="00EF40BE"/>
    <w:rsid w:val="00EF416B"/>
    <w:rsid w:val="00EF41D3"/>
    <w:rsid w:val="00EF4469"/>
    <w:rsid w:val="00EF4AE4"/>
    <w:rsid w:val="00EF5107"/>
    <w:rsid w:val="00EF5B55"/>
    <w:rsid w:val="00EF5CE4"/>
    <w:rsid w:val="00EF5E9A"/>
    <w:rsid w:val="00EF5EEA"/>
    <w:rsid w:val="00EF6294"/>
    <w:rsid w:val="00EF6601"/>
    <w:rsid w:val="00EF6805"/>
    <w:rsid w:val="00EF696D"/>
    <w:rsid w:val="00EF6D9B"/>
    <w:rsid w:val="00EF6EAE"/>
    <w:rsid w:val="00EF711F"/>
    <w:rsid w:val="00EF730B"/>
    <w:rsid w:val="00EF768F"/>
    <w:rsid w:val="00EF78A0"/>
    <w:rsid w:val="00EF7CF2"/>
    <w:rsid w:val="00EF7D85"/>
    <w:rsid w:val="00EF7F31"/>
    <w:rsid w:val="00F00508"/>
    <w:rsid w:val="00F00B2E"/>
    <w:rsid w:val="00F01490"/>
    <w:rsid w:val="00F01820"/>
    <w:rsid w:val="00F0193F"/>
    <w:rsid w:val="00F01C5B"/>
    <w:rsid w:val="00F01E52"/>
    <w:rsid w:val="00F02473"/>
    <w:rsid w:val="00F0256E"/>
    <w:rsid w:val="00F02DCB"/>
    <w:rsid w:val="00F0319D"/>
    <w:rsid w:val="00F03387"/>
    <w:rsid w:val="00F0389E"/>
    <w:rsid w:val="00F04286"/>
    <w:rsid w:val="00F042DC"/>
    <w:rsid w:val="00F04309"/>
    <w:rsid w:val="00F0448B"/>
    <w:rsid w:val="00F0463B"/>
    <w:rsid w:val="00F046BD"/>
    <w:rsid w:val="00F04D63"/>
    <w:rsid w:val="00F04E40"/>
    <w:rsid w:val="00F04E72"/>
    <w:rsid w:val="00F0526B"/>
    <w:rsid w:val="00F0576E"/>
    <w:rsid w:val="00F057C2"/>
    <w:rsid w:val="00F0584D"/>
    <w:rsid w:val="00F05999"/>
    <w:rsid w:val="00F059AB"/>
    <w:rsid w:val="00F05B05"/>
    <w:rsid w:val="00F06322"/>
    <w:rsid w:val="00F06894"/>
    <w:rsid w:val="00F06906"/>
    <w:rsid w:val="00F06C35"/>
    <w:rsid w:val="00F06DDD"/>
    <w:rsid w:val="00F07099"/>
    <w:rsid w:val="00F074FA"/>
    <w:rsid w:val="00F07A90"/>
    <w:rsid w:val="00F07B75"/>
    <w:rsid w:val="00F102A7"/>
    <w:rsid w:val="00F105EA"/>
    <w:rsid w:val="00F107E1"/>
    <w:rsid w:val="00F10B8A"/>
    <w:rsid w:val="00F10F10"/>
    <w:rsid w:val="00F1106A"/>
    <w:rsid w:val="00F1109A"/>
    <w:rsid w:val="00F11117"/>
    <w:rsid w:val="00F111B8"/>
    <w:rsid w:val="00F112B0"/>
    <w:rsid w:val="00F11304"/>
    <w:rsid w:val="00F11768"/>
    <w:rsid w:val="00F11D55"/>
    <w:rsid w:val="00F11DC7"/>
    <w:rsid w:val="00F11DDB"/>
    <w:rsid w:val="00F11FA7"/>
    <w:rsid w:val="00F12541"/>
    <w:rsid w:val="00F12B42"/>
    <w:rsid w:val="00F13580"/>
    <w:rsid w:val="00F13586"/>
    <w:rsid w:val="00F143EE"/>
    <w:rsid w:val="00F14435"/>
    <w:rsid w:val="00F14C45"/>
    <w:rsid w:val="00F1510D"/>
    <w:rsid w:val="00F15233"/>
    <w:rsid w:val="00F15618"/>
    <w:rsid w:val="00F15E91"/>
    <w:rsid w:val="00F16103"/>
    <w:rsid w:val="00F164D2"/>
    <w:rsid w:val="00F16E72"/>
    <w:rsid w:val="00F16F98"/>
    <w:rsid w:val="00F1735C"/>
    <w:rsid w:val="00F17473"/>
    <w:rsid w:val="00F178FF"/>
    <w:rsid w:val="00F1792A"/>
    <w:rsid w:val="00F17C97"/>
    <w:rsid w:val="00F17F93"/>
    <w:rsid w:val="00F2064C"/>
    <w:rsid w:val="00F20B53"/>
    <w:rsid w:val="00F20B5F"/>
    <w:rsid w:val="00F21056"/>
    <w:rsid w:val="00F21961"/>
    <w:rsid w:val="00F21A42"/>
    <w:rsid w:val="00F21BA6"/>
    <w:rsid w:val="00F21C71"/>
    <w:rsid w:val="00F21D12"/>
    <w:rsid w:val="00F21FB3"/>
    <w:rsid w:val="00F22035"/>
    <w:rsid w:val="00F2291C"/>
    <w:rsid w:val="00F22A18"/>
    <w:rsid w:val="00F22C19"/>
    <w:rsid w:val="00F22D18"/>
    <w:rsid w:val="00F22FD6"/>
    <w:rsid w:val="00F2300F"/>
    <w:rsid w:val="00F23350"/>
    <w:rsid w:val="00F23434"/>
    <w:rsid w:val="00F235FB"/>
    <w:rsid w:val="00F23664"/>
    <w:rsid w:val="00F2367A"/>
    <w:rsid w:val="00F23880"/>
    <w:rsid w:val="00F23F3C"/>
    <w:rsid w:val="00F24450"/>
    <w:rsid w:val="00F24B44"/>
    <w:rsid w:val="00F2521E"/>
    <w:rsid w:val="00F25B50"/>
    <w:rsid w:val="00F25D28"/>
    <w:rsid w:val="00F26073"/>
    <w:rsid w:val="00F26137"/>
    <w:rsid w:val="00F26270"/>
    <w:rsid w:val="00F26385"/>
    <w:rsid w:val="00F263B0"/>
    <w:rsid w:val="00F2678A"/>
    <w:rsid w:val="00F2678C"/>
    <w:rsid w:val="00F267AE"/>
    <w:rsid w:val="00F26AA8"/>
    <w:rsid w:val="00F26AF2"/>
    <w:rsid w:val="00F26B6B"/>
    <w:rsid w:val="00F27D48"/>
    <w:rsid w:val="00F3026A"/>
    <w:rsid w:val="00F3039A"/>
    <w:rsid w:val="00F307B3"/>
    <w:rsid w:val="00F30A58"/>
    <w:rsid w:val="00F30A91"/>
    <w:rsid w:val="00F30BB4"/>
    <w:rsid w:val="00F30F8A"/>
    <w:rsid w:val="00F312B5"/>
    <w:rsid w:val="00F313C9"/>
    <w:rsid w:val="00F3174C"/>
    <w:rsid w:val="00F31837"/>
    <w:rsid w:val="00F31DD9"/>
    <w:rsid w:val="00F31E7F"/>
    <w:rsid w:val="00F31EC4"/>
    <w:rsid w:val="00F327CC"/>
    <w:rsid w:val="00F32A89"/>
    <w:rsid w:val="00F32F13"/>
    <w:rsid w:val="00F33F9F"/>
    <w:rsid w:val="00F34042"/>
    <w:rsid w:val="00F34FC3"/>
    <w:rsid w:val="00F357BC"/>
    <w:rsid w:val="00F361D0"/>
    <w:rsid w:val="00F361E9"/>
    <w:rsid w:val="00F368E6"/>
    <w:rsid w:val="00F369C2"/>
    <w:rsid w:val="00F36C87"/>
    <w:rsid w:val="00F36E5C"/>
    <w:rsid w:val="00F376F4"/>
    <w:rsid w:val="00F37AAC"/>
    <w:rsid w:val="00F37C04"/>
    <w:rsid w:val="00F37D6F"/>
    <w:rsid w:val="00F37EEC"/>
    <w:rsid w:val="00F40460"/>
    <w:rsid w:val="00F40485"/>
    <w:rsid w:val="00F4165C"/>
    <w:rsid w:val="00F41869"/>
    <w:rsid w:val="00F41A52"/>
    <w:rsid w:val="00F41E2A"/>
    <w:rsid w:val="00F420C8"/>
    <w:rsid w:val="00F4256F"/>
    <w:rsid w:val="00F427F0"/>
    <w:rsid w:val="00F42C4B"/>
    <w:rsid w:val="00F4325B"/>
    <w:rsid w:val="00F4348E"/>
    <w:rsid w:val="00F439C9"/>
    <w:rsid w:val="00F43DE0"/>
    <w:rsid w:val="00F43EA6"/>
    <w:rsid w:val="00F441EE"/>
    <w:rsid w:val="00F44339"/>
    <w:rsid w:val="00F4433B"/>
    <w:rsid w:val="00F44A07"/>
    <w:rsid w:val="00F44EC9"/>
    <w:rsid w:val="00F45218"/>
    <w:rsid w:val="00F4597E"/>
    <w:rsid w:val="00F468D3"/>
    <w:rsid w:val="00F46927"/>
    <w:rsid w:val="00F47062"/>
    <w:rsid w:val="00F4771A"/>
    <w:rsid w:val="00F504F3"/>
    <w:rsid w:val="00F50999"/>
    <w:rsid w:val="00F51129"/>
    <w:rsid w:val="00F51302"/>
    <w:rsid w:val="00F51396"/>
    <w:rsid w:val="00F516DA"/>
    <w:rsid w:val="00F51AA5"/>
    <w:rsid w:val="00F51C6A"/>
    <w:rsid w:val="00F51C8A"/>
    <w:rsid w:val="00F51C95"/>
    <w:rsid w:val="00F51D13"/>
    <w:rsid w:val="00F52406"/>
    <w:rsid w:val="00F53237"/>
    <w:rsid w:val="00F5385F"/>
    <w:rsid w:val="00F538BE"/>
    <w:rsid w:val="00F53B84"/>
    <w:rsid w:val="00F53CC4"/>
    <w:rsid w:val="00F543CC"/>
    <w:rsid w:val="00F54498"/>
    <w:rsid w:val="00F5493B"/>
    <w:rsid w:val="00F55097"/>
    <w:rsid w:val="00F550AF"/>
    <w:rsid w:val="00F55854"/>
    <w:rsid w:val="00F55A50"/>
    <w:rsid w:val="00F55A97"/>
    <w:rsid w:val="00F55CEC"/>
    <w:rsid w:val="00F5609A"/>
    <w:rsid w:val="00F5634E"/>
    <w:rsid w:val="00F56813"/>
    <w:rsid w:val="00F5686F"/>
    <w:rsid w:val="00F56FAE"/>
    <w:rsid w:val="00F57BEC"/>
    <w:rsid w:val="00F57F4B"/>
    <w:rsid w:val="00F60034"/>
    <w:rsid w:val="00F600BC"/>
    <w:rsid w:val="00F60257"/>
    <w:rsid w:val="00F60B8D"/>
    <w:rsid w:val="00F60CA1"/>
    <w:rsid w:val="00F60F15"/>
    <w:rsid w:val="00F6180A"/>
    <w:rsid w:val="00F62425"/>
    <w:rsid w:val="00F627EF"/>
    <w:rsid w:val="00F62D42"/>
    <w:rsid w:val="00F62DDB"/>
    <w:rsid w:val="00F62EDF"/>
    <w:rsid w:val="00F63515"/>
    <w:rsid w:val="00F63565"/>
    <w:rsid w:val="00F636AC"/>
    <w:rsid w:val="00F63B8F"/>
    <w:rsid w:val="00F63DC4"/>
    <w:rsid w:val="00F63F59"/>
    <w:rsid w:val="00F6422C"/>
    <w:rsid w:val="00F64584"/>
    <w:rsid w:val="00F64A79"/>
    <w:rsid w:val="00F64B3B"/>
    <w:rsid w:val="00F64FA9"/>
    <w:rsid w:val="00F6534F"/>
    <w:rsid w:val="00F65413"/>
    <w:rsid w:val="00F656A6"/>
    <w:rsid w:val="00F656E3"/>
    <w:rsid w:val="00F65A32"/>
    <w:rsid w:val="00F65CFF"/>
    <w:rsid w:val="00F66298"/>
    <w:rsid w:val="00F663EB"/>
    <w:rsid w:val="00F66617"/>
    <w:rsid w:val="00F67053"/>
    <w:rsid w:val="00F678E8"/>
    <w:rsid w:val="00F70110"/>
    <w:rsid w:val="00F7011F"/>
    <w:rsid w:val="00F707C2"/>
    <w:rsid w:val="00F711C0"/>
    <w:rsid w:val="00F711DA"/>
    <w:rsid w:val="00F712B2"/>
    <w:rsid w:val="00F718A1"/>
    <w:rsid w:val="00F71A2D"/>
    <w:rsid w:val="00F71B9E"/>
    <w:rsid w:val="00F71E9A"/>
    <w:rsid w:val="00F721A0"/>
    <w:rsid w:val="00F72587"/>
    <w:rsid w:val="00F72A80"/>
    <w:rsid w:val="00F72C93"/>
    <w:rsid w:val="00F731F4"/>
    <w:rsid w:val="00F732F8"/>
    <w:rsid w:val="00F733EB"/>
    <w:rsid w:val="00F73671"/>
    <w:rsid w:val="00F736F7"/>
    <w:rsid w:val="00F73AAB"/>
    <w:rsid w:val="00F74288"/>
    <w:rsid w:val="00F746B3"/>
    <w:rsid w:val="00F74A58"/>
    <w:rsid w:val="00F74B4B"/>
    <w:rsid w:val="00F74CB4"/>
    <w:rsid w:val="00F754C2"/>
    <w:rsid w:val="00F75843"/>
    <w:rsid w:val="00F75A5A"/>
    <w:rsid w:val="00F770F9"/>
    <w:rsid w:val="00F77498"/>
    <w:rsid w:val="00F800B8"/>
    <w:rsid w:val="00F80131"/>
    <w:rsid w:val="00F8031E"/>
    <w:rsid w:val="00F80496"/>
    <w:rsid w:val="00F80662"/>
    <w:rsid w:val="00F80866"/>
    <w:rsid w:val="00F80A88"/>
    <w:rsid w:val="00F80B4E"/>
    <w:rsid w:val="00F80F5A"/>
    <w:rsid w:val="00F80F6B"/>
    <w:rsid w:val="00F81498"/>
    <w:rsid w:val="00F81858"/>
    <w:rsid w:val="00F81C6A"/>
    <w:rsid w:val="00F81DCC"/>
    <w:rsid w:val="00F81F72"/>
    <w:rsid w:val="00F823F5"/>
    <w:rsid w:val="00F824BE"/>
    <w:rsid w:val="00F826A2"/>
    <w:rsid w:val="00F82D98"/>
    <w:rsid w:val="00F82EE9"/>
    <w:rsid w:val="00F837A3"/>
    <w:rsid w:val="00F8386F"/>
    <w:rsid w:val="00F8399B"/>
    <w:rsid w:val="00F83B2A"/>
    <w:rsid w:val="00F83D29"/>
    <w:rsid w:val="00F83D92"/>
    <w:rsid w:val="00F83EB1"/>
    <w:rsid w:val="00F840E9"/>
    <w:rsid w:val="00F84207"/>
    <w:rsid w:val="00F842CD"/>
    <w:rsid w:val="00F848F9"/>
    <w:rsid w:val="00F85721"/>
    <w:rsid w:val="00F85B1B"/>
    <w:rsid w:val="00F85EB7"/>
    <w:rsid w:val="00F85F5C"/>
    <w:rsid w:val="00F85F71"/>
    <w:rsid w:val="00F86028"/>
    <w:rsid w:val="00F860DC"/>
    <w:rsid w:val="00F8626D"/>
    <w:rsid w:val="00F863A8"/>
    <w:rsid w:val="00F86519"/>
    <w:rsid w:val="00F86799"/>
    <w:rsid w:val="00F86903"/>
    <w:rsid w:val="00F86B66"/>
    <w:rsid w:val="00F86F78"/>
    <w:rsid w:val="00F87150"/>
    <w:rsid w:val="00F877FF"/>
    <w:rsid w:val="00F879DA"/>
    <w:rsid w:val="00F87A9C"/>
    <w:rsid w:val="00F87CCC"/>
    <w:rsid w:val="00F902DB"/>
    <w:rsid w:val="00F90311"/>
    <w:rsid w:val="00F91011"/>
    <w:rsid w:val="00F9170D"/>
    <w:rsid w:val="00F91AD1"/>
    <w:rsid w:val="00F920C9"/>
    <w:rsid w:val="00F926E2"/>
    <w:rsid w:val="00F92734"/>
    <w:rsid w:val="00F92DE1"/>
    <w:rsid w:val="00F932D3"/>
    <w:rsid w:val="00F935A7"/>
    <w:rsid w:val="00F93824"/>
    <w:rsid w:val="00F93B52"/>
    <w:rsid w:val="00F93D18"/>
    <w:rsid w:val="00F93D8D"/>
    <w:rsid w:val="00F93F47"/>
    <w:rsid w:val="00F94368"/>
    <w:rsid w:val="00F94423"/>
    <w:rsid w:val="00F945EB"/>
    <w:rsid w:val="00F9472E"/>
    <w:rsid w:val="00F9494C"/>
    <w:rsid w:val="00F94A0E"/>
    <w:rsid w:val="00F94C8B"/>
    <w:rsid w:val="00F94EC4"/>
    <w:rsid w:val="00F958D7"/>
    <w:rsid w:val="00F95A03"/>
    <w:rsid w:val="00F962C0"/>
    <w:rsid w:val="00F965D3"/>
    <w:rsid w:val="00F96E89"/>
    <w:rsid w:val="00F971B0"/>
    <w:rsid w:val="00F9733D"/>
    <w:rsid w:val="00F97691"/>
    <w:rsid w:val="00F97A46"/>
    <w:rsid w:val="00F97A61"/>
    <w:rsid w:val="00F97CB8"/>
    <w:rsid w:val="00FA0597"/>
    <w:rsid w:val="00FA0840"/>
    <w:rsid w:val="00FA11C9"/>
    <w:rsid w:val="00FA15C8"/>
    <w:rsid w:val="00FA1640"/>
    <w:rsid w:val="00FA21D5"/>
    <w:rsid w:val="00FA2C5D"/>
    <w:rsid w:val="00FA2D86"/>
    <w:rsid w:val="00FA348C"/>
    <w:rsid w:val="00FA39D5"/>
    <w:rsid w:val="00FA3D87"/>
    <w:rsid w:val="00FA3EBD"/>
    <w:rsid w:val="00FA463F"/>
    <w:rsid w:val="00FA4AED"/>
    <w:rsid w:val="00FA4C57"/>
    <w:rsid w:val="00FA4F25"/>
    <w:rsid w:val="00FA515B"/>
    <w:rsid w:val="00FA53D8"/>
    <w:rsid w:val="00FA5721"/>
    <w:rsid w:val="00FA57E5"/>
    <w:rsid w:val="00FA6201"/>
    <w:rsid w:val="00FA645E"/>
    <w:rsid w:val="00FA6674"/>
    <w:rsid w:val="00FA6792"/>
    <w:rsid w:val="00FA679E"/>
    <w:rsid w:val="00FA6961"/>
    <w:rsid w:val="00FA6A7C"/>
    <w:rsid w:val="00FA6E5C"/>
    <w:rsid w:val="00FA7EB1"/>
    <w:rsid w:val="00FB0185"/>
    <w:rsid w:val="00FB027A"/>
    <w:rsid w:val="00FB045F"/>
    <w:rsid w:val="00FB0A85"/>
    <w:rsid w:val="00FB0AD8"/>
    <w:rsid w:val="00FB0C38"/>
    <w:rsid w:val="00FB0E05"/>
    <w:rsid w:val="00FB12DE"/>
    <w:rsid w:val="00FB16A9"/>
    <w:rsid w:val="00FB1A3B"/>
    <w:rsid w:val="00FB1E68"/>
    <w:rsid w:val="00FB20DA"/>
    <w:rsid w:val="00FB20E7"/>
    <w:rsid w:val="00FB2AC3"/>
    <w:rsid w:val="00FB2E17"/>
    <w:rsid w:val="00FB2E47"/>
    <w:rsid w:val="00FB363C"/>
    <w:rsid w:val="00FB3802"/>
    <w:rsid w:val="00FB39F1"/>
    <w:rsid w:val="00FB3D71"/>
    <w:rsid w:val="00FB404B"/>
    <w:rsid w:val="00FB45E7"/>
    <w:rsid w:val="00FB4A29"/>
    <w:rsid w:val="00FB4C1F"/>
    <w:rsid w:val="00FB4C99"/>
    <w:rsid w:val="00FB4D6C"/>
    <w:rsid w:val="00FB4DBB"/>
    <w:rsid w:val="00FB5526"/>
    <w:rsid w:val="00FB552F"/>
    <w:rsid w:val="00FB5753"/>
    <w:rsid w:val="00FB58C0"/>
    <w:rsid w:val="00FB5E1E"/>
    <w:rsid w:val="00FB5F97"/>
    <w:rsid w:val="00FB6108"/>
    <w:rsid w:val="00FB64C7"/>
    <w:rsid w:val="00FB64FC"/>
    <w:rsid w:val="00FB66E4"/>
    <w:rsid w:val="00FB6C5B"/>
    <w:rsid w:val="00FB6E68"/>
    <w:rsid w:val="00FB7337"/>
    <w:rsid w:val="00FB748F"/>
    <w:rsid w:val="00FB7622"/>
    <w:rsid w:val="00FB792A"/>
    <w:rsid w:val="00FB7A57"/>
    <w:rsid w:val="00FB7B0F"/>
    <w:rsid w:val="00FB7D3F"/>
    <w:rsid w:val="00FC023D"/>
    <w:rsid w:val="00FC0BFA"/>
    <w:rsid w:val="00FC13AD"/>
    <w:rsid w:val="00FC13E5"/>
    <w:rsid w:val="00FC1510"/>
    <w:rsid w:val="00FC1717"/>
    <w:rsid w:val="00FC195C"/>
    <w:rsid w:val="00FC1A06"/>
    <w:rsid w:val="00FC1B86"/>
    <w:rsid w:val="00FC1D33"/>
    <w:rsid w:val="00FC1FFE"/>
    <w:rsid w:val="00FC2007"/>
    <w:rsid w:val="00FC21E3"/>
    <w:rsid w:val="00FC244B"/>
    <w:rsid w:val="00FC28B1"/>
    <w:rsid w:val="00FC2974"/>
    <w:rsid w:val="00FC3557"/>
    <w:rsid w:val="00FC36EE"/>
    <w:rsid w:val="00FC3A39"/>
    <w:rsid w:val="00FC3BED"/>
    <w:rsid w:val="00FC43D1"/>
    <w:rsid w:val="00FC45A5"/>
    <w:rsid w:val="00FC46CA"/>
    <w:rsid w:val="00FC4CF8"/>
    <w:rsid w:val="00FC531B"/>
    <w:rsid w:val="00FC5701"/>
    <w:rsid w:val="00FC5757"/>
    <w:rsid w:val="00FC59AD"/>
    <w:rsid w:val="00FC7206"/>
    <w:rsid w:val="00FC7740"/>
    <w:rsid w:val="00FC7D7A"/>
    <w:rsid w:val="00FD00AA"/>
    <w:rsid w:val="00FD0147"/>
    <w:rsid w:val="00FD019D"/>
    <w:rsid w:val="00FD0423"/>
    <w:rsid w:val="00FD05BA"/>
    <w:rsid w:val="00FD08D4"/>
    <w:rsid w:val="00FD0C68"/>
    <w:rsid w:val="00FD1048"/>
    <w:rsid w:val="00FD1065"/>
    <w:rsid w:val="00FD10FE"/>
    <w:rsid w:val="00FD124C"/>
    <w:rsid w:val="00FD1749"/>
    <w:rsid w:val="00FD1954"/>
    <w:rsid w:val="00FD1C2B"/>
    <w:rsid w:val="00FD2050"/>
    <w:rsid w:val="00FD2393"/>
    <w:rsid w:val="00FD24DE"/>
    <w:rsid w:val="00FD260F"/>
    <w:rsid w:val="00FD45BD"/>
    <w:rsid w:val="00FD51F3"/>
    <w:rsid w:val="00FD5907"/>
    <w:rsid w:val="00FD592E"/>
    <w:rsid w:val="00FD6A05"/>
    <w:rsid w:val="00FD6AEB"/>
    <w:rsid w:val="00FD6B8A"/>
    <w:rsid w:val="00FD6C12"/>
    <w:rsid w:val="00FD717A"/>
    <w:rsid w:val="00FD7374"/>
    <w:rsid w:val="00FD74B9"/>
    <w:rsid w:val="00FD7546"/>
    <w:rsid w:val="00FD795A"/>
    <w:rsid w:val="00FD79E4"/>
    <w:rsid w:val="00FD7DAB"/>
    <w:rsid w:val="00FE0249"/>
    <w:rsid w:val="00FE030E"/>
    <w:rsid w:val="00FE032C"/>
    <w:rsid w:val="00FE040A"/>
    <w:rsid w:val="00FE0471"/>
    <w:rsid w:val="00FE0C45"/>
    <w:rsid w:val="00FE0C87"/>
    <w:rsid w:val="00FE0D40"/>
    <w:rsid w:val="00FE0DAB"/>
    <w:rsid w:val="00FE136C"/>
    <w:rsid w:val="00FE1406"/>
    <w:rsid w:val="00FE1AC3"/>
    <w:rsid w:val="00FE1DB3"/>
    <w:rsid w:val="00FE1EC3"/>
    <w:rsid w:val="00FE21B4"/>
    <w:rsid w:val="00FE23E4"/>
    <w:rsid w:val="00FE2459"/>
    <w:rsid w:val="00FE24FF"/>
    <w:rsid w:val="00FE253B"/>
    <w:rsid w:val="00FE2C17"/>
    <w:rsid w:val="00FE3496"/>
    <w:rsid w:val="00FE39C8"/>
    <w:rsid w:val="00FE3E6C"/>
    <w:rsid w:val="00FE434D"/>
    <w:rsid w:val="00FE47AE"/>
    <w:rsid w:val="00FE48E8"/>
    <w:rsid w:val="00FE4B98"/>
    <w:rsid w:val="00FE4D0B"/>
    <w:rsid w:val="00FE5131"/>
    <w:rsid w:val="00FE518B"/>
    <w:rsid w:val="00FE5C60"/>
    <w:rsid w:val="00FE699F"/>
    <w:rsid w:val="00FE69B9"/>
    <w:rsid w:val="00FE6DFE"/>
    <w:rsid w:val="00FE71D5"/>
    <w:rsid w:val="00FE736A"/>
    <w:rsid w:val="00FE7446"/>
    <w:rsid w:val="00FE7E05"/>
    <w:rsid w:val="00FE7E4E"/>
    <w:rsid w:val="00FE7FAF"/>
    <w:rsid w:val="00FF01D7"/>
    <w:rsid w:val="00FF02CF"/>
    <w:rsid w:val="00FF0402"/>
    <w:rsid w:val="00FF0406"/>
    <w:rsid w:val="00FF050E"/>
    <w:rsid w:val="00FF072F"/>
    <w:rsid w:val="00FF0841"/>
    <w:rsid w:val="00FF09C7"/>
    <w:rsid w:val="00FF0A81"/>
    <w:rsid w:val="00FF0DA3"/>
    <w:rsid w:val="00FF0DF0"/>
    <w:rsid w:val="00FF1027"/>
    <w:rsid w:val="00FF1589"/>
    <w:rsid w:val="00FF15AE"/>
    <w:rsid w:val="00FF15B5"/>
    <w:rsid w:val="00FF1A4E"/>
    <w:rsid w:val="00FF1CBE"/>
    <w:rsid w:val="00FF1D48"/>
    <w:rsid w:val="00FF1F04"/>
    <w:rsid w:val="00FF20D7"/>
    <w:rsid w:val="00FF246E"/>
    <w:rsid w:val="00FF2B14"/>
    <w:rsid w:val="00FF2D85"/>
    <w:rsid w:val="00FF35B8"/>
    <w:rsid w:val="00FF3733"/>
    <w:rsid w:val="00FF3ED1"/>
    <w:rsid w:val="00FF3FF2"/>
    <w:rsid w:val="00FF4613"/>
    <w:rsid w:val="00FF477B"/>
    <w:rsid w:val="00FF489E"/>
    <w:rsid w:val="00FF534A"/>
    <w:rsid w:val="00FF5373"/>
    <w:rsid w:val="00FF55B1"/>
    <w:rsid w:val="00FF5937"/>
    <w:rsid w:val="00FF6658"/>
    <w:rsid w:val="00FF7707"/>
    <w:rsid w:val="00FF7F6A"/>
    <w:rsid w:val="06114355"/>
    <w:rsid w:val="06FD8BCA"/>
    <w:rsid w:val="083D8D59"/>
    <w:rsid w:val="09B8C5CE"/>
    <w:rsid w:val="0ABB79E3"/>
    <w:rsid w:val="0CA3AE72"/>
    <w:rsid w:val="163D6906"/>
    <w:rsid w:val="1A10DA79"/>
    <w:rsid w:val="20CF8A7C"/>
    <w:rsid w:val="22A10D40"/>
    <w:rsid w:val="23B22024"/>
    <w:rsid w:val="24F50054"/>
    <w:rsid w:val="277814D0"/>
    <w:rsid w:val="29557354"/>
    <w:rsid w:val="2A63D557"/>
    <w:rsid w:val="2A6DE07B"/>
    <w:rsid w:val="2CFC9453"/>
    <w:rsid w:val="31BA9522"/>
    <w:rsid w:val="32082CDF"/>
    <w:rsid w:val="332EDEA5"/>
    <w:rsid w:val="3495AE98"/>
    <w:rsid w:val="34ACB110"/>
    <w:rsid w:val="360367E8"/>
    <w:rsid w:val="3619716E"/>
    <w:rsid w:val="376F288F"/>
    <w:rsid w:val="3A5FC838"/>
    <w:rsid w:val="3EEEC718"/>
    <w:rsid w:val="42DC074F"/>
    <w:rsid w:val="4537646C"/>
    <w:rsid w:val="456E2746"/>
    <w:rsid w:val="460D8C84"/>
    <w:rsid w:val="46F25864"/>
    <w:rsid w:val="477855AB"/>
    <w:rsid w:val="4917E216"/>
    <w:rsid w:val="49BC46E6"/>
    <w:rsid w:val="49CCA53F"/>
    <w:rsid w:val="4E770FCD"/>
    <w:rsid w:val="4E940D90"/>
    <w:rsid w:val="4FA0265A"/>
    <w:rsid w:val="50274945"/>
    <w:rsid w:val="512A003F"/>
    <w:rsid w:val="5280316E"/>
    <w:rsid w:val="53A7A6C3"/>
    <w:rsid w:val="54A8BAAC"/>
    <w:rsid w:val="590B4D12"/>
    <w:rsid w:val="59F70394"/>
    <w:rsid w:val="5B5760B0"/>
    <w:rsid w:val="5B788B4C"/>
    <w:rsid w:val="5D3C852E"/>
    <w:rsid w:val="616E1557"/>
    <w:rsid w:val="63365415"/>
    <w:rsid w:val="63F84288"/>
    <w:rsid w:val="66AFCFA2"/>
    <w:rsid w:val="6D757224"/>
    <w:rsid w:val="73B22ADA"/>
    <w:rsid w:val="75D948AC"/>
    <w:rsid w:val="761AD2B1"/>
    <w:rsid w:val="7824269D"/>
    <w:rsid w:val="78394C23"/>
    <w:rsid w:val="7EF3624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30B12F"/>
  <w15:docId w15:val="{F9D9FEDC-7268-4A39-9E77-FD66924B2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53228"/>
    <w:pPr>
      <w:tabs>
        <w:tab w:val="left" w:pos="567"/>
      </w:tabs>
      <w:spacing w:before="120" w:after="0" w:line="254" w:lineRule="auto"/>
    </w:pPr>
    <w:rPr>
      <w:rFonts w:ascii="Open Sans Light" w:hAnsi="Open Sans Light"/>
      <w:sz w:val="20"/>
    </w:rPr>
  </w:style>
  <w:style w:type="paragraph" w:styleId="Heading1">
    <w:name w:val="heading 1"/>
    <w:basedOn w:val="Normal"/>
    <w:next w:val="Normal"/>
    <w:link w:val="Heading1Char"/>
    <w:uiPriority w:val="9"/>
    <w:qFormat/>
    <w:rsid w:val="002B274C"/>
    <w:pPr>
      <w:tabs>
        <w:tab w:val="clear" w:pos="567"/>
      </w:tabs>
      <w:spacing w:before="360" w:after="200" w:line="276" w:lineRule="auto"/>
      <w:outlineLvl w:val="0"/>
    </w:pPr>
    <w:rPr>
      <w:rFonts w:ascii="Work Sans" w:eastAsia="Times New Roman" w:hAnsi="Work Sans" w:cs="Open Sans"/>
      <w:b/>
      <w:bCs/>
      <w:color w:val="006991"/>
      <w:sz w:val="40"/>
      <w:szCs w:val="40"/>
    </w:rPr>
  </w:style>
  <w:style w:type="paragraph" w:styleId="Heading2">
    <w:name w:val="heading 2"/>
    <w:aliases w:val="CGC 2025 Heading 2"/>
    <w:basedOn w:val="Normal"/>
    <w:next w:val="Heading3"/>
    <w:link w:val="Heading2Char"/>
    <w:uiPriority w:val="9"/>
    <w:qFormat/>
    <w:rsid w:val="007C4D64"/>
    <w:pPr>
      <w:tabs>
        <w:tab w:val="clear" w:pos="567"/>
      </w:tabs>
      <w:spacing w:before="360" w:after="200" w:line="276" w:lineRule="auto"/>
      <w:outlineLvl w:val="1"/>
    </w:pPr>
    <w:rPr>
      <w:rFonts w:ascii="Work Sans" w:eastAsia="Times New Roman" w:hAnsi="Work Sans" w:cs="Open Sans"/>
      <w:b/>
      <w:bCs/>
      <w:color w:val="006991"/>
      <w:sz w:val="36"/>
      <w:szCs w:val="36"/>
    </w:rPr>
  </w:style>
  <w:style w:type="paragraph" w:styleId="Heading3">
    <w:name w:val="heading 3"/>
    <w:aliases w:val="CGC 2025 Heading 3"/>
    <w:basedOn w:val="Normal"/>
    <w:next w:val="Heading4"/>
    <w:link w:val="Heading3Char"/>
    <w:uiPriority w:val="9"/>
    <w:qFormat/>
    <w:rsid w:val="009A2C92"/>
    <w:pPr>
      <w:tabs>
        <w:tab w:val="clear" w:pos="567"/>
      </w:tabs>
      <w:spacing w:before="240" w:after="200" w:line="276" w:lineRule="auto"/>
      <w:outlineLvl w:val="2"/>
    </w:pPr>
    <w:rPr>
      <w:rFonts w:ascii="Work Sans" w:eastAsia="Times New Roman" w:hAnsi="Work Sans" w:cs="Open Sans"/>
      <w:b/>
      <w:bCs/>
      <w:color w:val="006991"/>
      <w:sz w:val="28"/>
      <w:szCs w:val="28"/>
    </w:rPr>
  </w:style>
  <w:style w:type="paragraph" w:styleId="Heading4">
    <w:name w:val="heading 4"/>
    <w:aliases w:val="CGC 2025 Heading 4"/>
    <w:basedOn w:val="Normal"/>
    <w:next w:val="Heading5"/>
    <w:link w:val="Heading4Char"/>
    <w:uiPriority w:val="9"/>
    <w:qFormat/>
    <w:rsid w:val="00BD6EEE"/>
    <w:pPr>
      <w:keepNext/>
      <w:widowControl w:val="0"/>
      <w:spacing w:before="240" w:line="240" w:lineRule="auto"/>
      <w:outlineLvl w:val="3"/>
    </w:pPr>
    <w:rPr>
      <w:rFonts w:ascii="Work Sans" w:eastAsiaTheme="majorEastAsia" w:hAnsi="Work Sans" w:cstheme="majorBidi"/>
      <w:b/>
      <w:bCs/>
      <w:iCs/>
      <w:color w:val="006991"/>
      <w:sz w:val="24"/>
    </w:rPr>
  </w:style>
  <w:style w:type="paragraph" w:styleId="Heading5">
    <w:name w:val="heading 5"/>
    <w:aliases w:val="CGC 2025 Heading 5"/>
    <w:basedOn w:val="Normal"/>
    <w:next w:val="Heading6"/>
    <w:link w:val="Heading5Char"/>
    <w:uiPriority w:val="9"/>
    <w:qFormat/>
    <w:rsid w:val="00BD13E7"/>
    <w:pPr>
      <w:keepNext/>
      <w:tabs>
        <w:tab w:val="clear" w:pos="567"/>
      </w:tabs>
      <w:outlineLvl w:val="4"/>
    </w:pPr>
    <w:rPr>
      <w:rFonts w:ascii="Montserrat Semi Bold" w:eastAsiaTheme="majorEastAsia" w:hAnsi="Montserrat Semi Bold" w:cstheme="majorBidi"/>
      <w:color w:val="636466"/>
    </w:rPr>
  </w:style>
  <w:style w:type="paragraph" w:styleId="Heading6">
    <w:name w:val="heading 6"/>
    <w:basedOn w:val="Normal"/>
    <w:next w:val="Normal"/>
    <w:link w:val="Heading6Char"/>
    <w:uiPriority w:val="9"/>
    <w:qFormat/>
    <w:rsid w:val="00782EC4"/>
    <w:pPr>
      <w:keepNext/>
      <w:keepLines/>
      <w:outlineLvl w:val="5"/>
    </w:pPr>
    <w:rPr>
      <w:rFonts w:ascii="Montserrat Semi Bold" w:eastAsiaTheme="majorEastAsia" w:hAnsi="Montserrat Semi Bold" w:cstheme="majorBidi"/>
      <w:i/>
      <w:iCs/>
      <w:color w:val="636466"/>
    </w:rPr>
  </w:style>
  <w:style w:type="paragraph" w:styleId="Heading7">
    <w:name w:val="heading 7"/>
    <w:basedOn w:val="Normal"/>
    <w:next w:val="Normal"/>
    <w:link w:val="Heading7Char"/>
    <w:uiPriority w:val="9"/>
    <w:semiHidden/>
    <w:rsid w:val="00622669"/>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aliases w:val="(Do not use),(Sub-section Nos)"/>
    <w:basedOn w:val="Normal"/>
    <w:next w:val="Normal"/>
    <w:semiHidden/>
    <w:rsid w:val="00765BA8"/>
    <w:pPr>
      <w:numPr>
        <w:ilvl w:val="7"/>
        <w:numId w:val="1"/>
      </w:numPr>
      <w:spacing w:before="240" w:after="60"/>
      <w:outlineLvl w:val="7"/>
    </w:pPr>
    <w:rPr>
      <w:rFonts w:ascii="Arial" w:hAnsi="Arial"/>
      <w:i/>
      <w:szCs w:val="20"/>
    </w:rPr>
  </w:style>
  <w:style w:type="paragraph" w:styleId="Heading9">
    <w:name w:val="heading 9"/>
    <w:aliases w:val="Heading 9 (Do not use),(Subsubsection Nos)"/>
    <w:basedOn w:val="Normal"/>
    <w:next w:val="Normal"/>
    <w:semiHidden/>
    <w:rsid w:val="00765BA8"/>
    <w:pPr>
      <w:numPr>
        <w:ilvl w:val="8"/>
        <w:numId w:val="1"/>
      </w:numPr>
      <w:spacing w:before="240" w:after="60"/>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GCTableheader">
    <w:name w:val="CGC Table header"/>
    <w:basedOn w:val="Normal"/>
    <w:next w:val="Normal"/>
    <w:rsid w:val="00F74B4B"/>
    <w:pPr>
      <w:tabs>
        <w:tab w:val="left" w:pos="680"/>
      </w:tabs>
      <w:spacing w:before="0" w:line="240" w:lineRule="auto"/>
      <w:jc w:val="right"/>
    </w:pPr>
    <w:rPr>
      <w:rFonts w:ascii="Open Sans" w:hAnsi="Open Sans"/>
      <w:b/>
      <w:color w:val="FFFFFF" w:themeColor="background1"/>
      <w:sz w:val="16"/>
      <w:lang w:val="en-US"/>
    </w:rPr>
  </w:style>
  <w:style w:type="paragraph" w:styleId="Caption">
    <w:name w:val="caption"/>
    <w:basedOn w:val="Normal"/>
    <w:next w:val="Normal"/>
    <w:link w:val="CaptionChar"/>
    <w:qFormat/>
    <w:rsid w:val="00485F13"/>
    <w:pPr>
      <w:keepNext/>
      <w:keepLines/>
      <w:tabs>
        <w:tab w:val="clear" w:pos="567"/>
        <w:tab w:val="left" w:pos="1134"/>
        <w:tab w:val="left" w:pos="1418"/>
      </w:tabs>
      <w:spacing w:before="240" w:after="120" w:line="240" w:lineRule="auto"/>
      <w:ind w:left="1134" w:hanging="1134"/>
    </w:pPr>
    <w:rPr>
      <w:rFonts w:ascii="Montserrat Ultra Light" w:hAnsi="Montserrat Ultra Light"/>
      <w:b/>
      <w:bCs/>
      <w:szCs w:val="20"/>
    </w:rPr>
  </w:style>
  <w:style w:type="paragraph" w:customStyle="1" w:styleId="CGCSubbulletlist">
    <w:name w:val="CGC Sub bullet list"/>
    <w:aliases w:val="CGC List 2"/>
    <w:basedOn w:val="Normal"/>
    <w:rsid w:val="00C21EF9"/>
    <w:pPr>
      <w:numPr>
        <w:numId w:val="2"/>
      </w:numPr>
      <w:tabs>
        <w:tab w:val="clear" w:pos="567"/>
        <w:tab w:val="clear" w:pos="927"/>
        <w:tab w:val="left" w:pos="1701"/>
      </w:tabs>
      <w:spacing w:line="300" w:lineRule="atLeast"/>
      <w:ind w:left="1701" w:hanging="567"/>
    </w:pPr>
    <w:rPr>
      <w:szCs w:val="20"/>
    </w:rPr>
  </w:style>
  <w:style w:type="paragraph" w:customStyle="1" w:styleId="CGCTableFootnote">
    <w:name w:val="CGC Table Footnote"/>
    <w:basedOn w:val="Normal"/>
    <w:next w:val="NoSpacing"/>
    <w:rsid w:val="00641D96"/>
    <w:pPr>
      <w:tabs>
        <w:tab w:val="clear" w:pos="567"/>
        <w:tab w:val="left" w:pos="851"/>
      </w:tabs>
      <w:spacing w:before="0" w:line="240" w:lineRule="auto"/>
      <w:ind w:left="851" w:hanging="851"/>
    </w:pPr>
    <w:rPr>
      <w:szCs w:val="24"/>
    </w:rPr>
  </w:style>
  <w:style w:type="paragraph" w:customStyle="1" w:styleId="CGCTableHeading">
    <w:name w:val="CGC Table Heading"/>
    <w:basedOn w:val="Normal"/>
    <w:next w:val="Normal"/>
    <w:link w:val="CGCTableHeadingChar"/>
    <w:rsid w:val="00FE5C60"/>
    <w:pPr>
      <w:keepNext/>
      <w:keepLines/>
      <w:tabs>
        <w:tab w:val="clear" w:pos="567"/>
        <w:tab w:val="left" w:pos="1134"/>
        <w:tab w:val="left" w:pos="1420"/>
      </w:tabs>
      <w:spacing w:before="240" w:after="120" w:line="240" w:lineRule="auto"/>
    </w:pPr>
    <w:rPr>
      <w:rFonts w:ascii="Montserrat Ultra Light" w:hAnsi="Montserrat Ultra Light"/>
      <w:b/>
      <w:szCs w:val="20"/>
    </w:rPr>
  </w:style>
  <w:style w:type="paragraph" w:styleId="DocumentMap">
    <w:name w:val="Document Map"/>
    <w:basedOn w:val="Normal"/>
    <w:rsid w:val="00765BA8"/>
    <w:pPr>
      <w:shd w:val="clear" w:color="auto" w:fill="000080"/>
    </w:pPr>
    <w:rPr>
      <w:rFonts w:ascii="Tahoma" w:hAnsi="Tahoma" w:cs="Tahoma"/>
      <w:szCs w:val="20"/>
    </w:rPr>
  </w:style>
  <w:style w:type="paragraph" w:styleId="Footer">
    <w:name w:val="footer"/>
    <w:basedOn w:val="Normal"/>
    <w:link w:val="FooterChar"/>
    <w:uiPriority w:val="99"/>
    <w:unhideWhenUsed/>
    <w:rsid w:val="007A1785"/>
    <w:pPr>
      <w:tabs>
        <w:tab w:val="clear" w:pos="567"/>
        <w:tab w:val="center" w:pos="4513"/>
        <w:tab w:val="right" w:pos="9026"/>
      </w:tabs>
      <w:spacing w:before="0" w:line="240" w:lineRule="auto"/>
      <w:ind w:left="-284" w:right="-284"/>
      <w:jc w:val="right"/>
    </w:pPr>
    <w:rPr>
      <w:rFonts w:ascii="Montserrat Ultra Light" w:hAnsi="Montserrat Ultra Light"/>
      <w:b/>
      <w:color w:val="004563"/>
    </w:rPr>
  </w:style>
  <w:style w:type="character" w:styleId="FootnoteReference">
    <w:name w:val="footnote reference"/>
    <w:qFormat/>
    <w:rsid w:val="0026115B"/>
    <w:rPr>
      <w:rFonts w:ascii="Work Sans" w:hAnsi="Work Sans"/>
      <w:sz w:val="20"/>
      <w:szCs w:val="20"/>
      <w:vertAlign w:val="superscript"/>
    </w:rPr>
  </w:style>
  <w:style w:type="paragraph" w:styleId="FootnoteText">
    <w:name w:val="footnote text"/>
    <w:basedOn w:val="Normal"/>
    <w:link w:val="FootnoteTextChar"/>
    <w:autoRedefine/>
    <w:qFormat/>
    <w:rsid w:val="002C2B39"/>
    <w:pPr>
      <w:spacing w:before="40" w:line="240" w:lineRule="auto"/>
      <w:ind w:left="142" w:hanging="142"/>
    </w:pPr>
    <w:rPr>
      <w:rFonts w:ascii="Work Sans" w:hAnsi="Work Sans"/>
      <w:sz w:val="14"/>
      <w:szCs w:val="16"/>
    </w:rPr>
  </w:style>
  <w:style w:type="paragraph" w:styleId="Header">
    <w:name w:val="header"/>
    <w:basedOn w:val="Footer"/>
    <w:link w:val="HeaderChar"/>
    <w:uiPriority w:val="99"/>
    <w:unhideWhenUsed/>
    <w:rsid w:val="007A1785"/>
  </w:style>
  <w:style w:type="character" w:styleId="Hyperlink">
    <w:name w:val="Hyperlink"/>
    <w:basedOn w:val="DefaultParagraphFont"/>
    <w:uiPriority w:val="99"/>
    <w:unhideWhenUsed/>
    <w:qFormat/>
    <w:rsid w:val="00782EC4"/>
    <w:rPr>
      <w:color w:val="006991"/>
      <w:u w:val="single"/>
    </w:rPr>
  </w:style>
  <w:style w:type="character" w:styleId="PageNumber">
    <w:name w:val="page number"/>
    <w:basedOn w:val="DefaultParagraphFont"/>
    <w:rsid w:val="00765BA8"/>
  </w:style>
  <w:style w:type="paragraph" w:customStyle="1" w:styleId="Single">
    <w:name w:val="Single"/>
    <w:basedOn w:val="Normal"/>
    <w:next w:val="Normal"/>
    <w:rsid w:val="00765BA8"/>
    <w:pPr>
      <w:spacing w:line="240" w:lineRule="auto"/>
    </w:pPr>
  </w:style>
  <w:style w:type="table" w:styleId="TableGrid">
    <w:name w:val="Table Grid"/>
    <w:basedOn w:val="TableNormal"/>
    <w:uiPriority w:val="39"/>
    <w:rsid w:val="00622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rsid w:val="00485F13"/>
    <w:pPr>
      <w:tabs>
        <w:tab w:val="clear" w:pos="567"/>
        <w:tab w:val="right" w:pos="8942"/>
      </w:tabs>
      <w:spacing w:before="200"/>
      <w:ind w:left="113"/>
    </w:pPr>
    <w:rPr>
      <w:rFonts w:ascii="Open Sans" w:hAnsi="Open Sans"/>
      <w:b/>
      <w:bCs/>
      <w:color w:val="636466"/>
      <w:szCs w:val="20"/>
    </w:rPr>
  </w:style>
  <w:style w:type="paragraph" w:styleId="TOC2">
    <w:name w:val="toc 2"/>
    <w:basedOn w:val="TOC1"/>
    <w:next w:val="Normal"/>
    <w:uiPriority w:val="39"/>
    <w:rsid w:val="00EB6889"/>
    <w:pPr>
      <w:spacing w:before="120"/>
    </w:pPr>
    <w:rPr>
      <w:rFonts w:ascii="Work Sans" w:hAnsi="Work Sans"/>
      <w:b w:val="0"/>
    </w:rPr>
  </w:style>
  <w:style w:type="paragraph" w:styleId="TOC3">
    <w:name w:val="toc 3"/>
    <w:basedOn w:val="TOC2"/>
    <w:next w:val="Normal"/>
    <w:uiPriority w:val="39"/>
    <w:rsid w:val="00485F13"/>
    <w:pPr>
      <w:ind w:left="397"/>
    </w:pPr>
    <w:rPr>
      <w:rFonts w:ascii="Open Sans Light" w:hAnsi="Open Sans Light"/>
      <w:iCs/>
    </w:rPr>
  </w:style>
  <w:style w:type="paragraph" w:styleId="TOC4">
    <w:name w:val="toc 4"/>
    <w:basedOn w:val="TOC3"/>
    <w:next w:val="Normal"/>
    <w:uiPriority w:val="39"/>
    <w:rsid w:val="00FE5C60"/>
    <w:pPr>
      <w:ind w:left="680"/>
    </w:pPr>
    <w:rPr>
      <w:i/>
    </w:rPr>
  </w:style>
  <w:style w:type="paragraph" w:styleId="TOC5">
    <w:name w:val="toc 5"/>
    <w:basedOn w:val="TOC3"/>
    <w:next w:val="Normal"/>
    <w:uiPriority w:val="39"/>
    <w:rsid w:val="007A1785"/>
    <w:pPr>
      <w:spacing w:before="0"/>
      <w:ind w:left="964"/>
    </w:pPr>
    <w:rPr>
      <w:szCs w:val="18"/>
    </w:rPr>
  </w:style>
  <w:style w:type="paragraph" w:styleId="TOC6">
    <w:name w:val="toc 6"/>
    <w:basedOn w:val="TOC5"/>
    <w:next w:val="Normal"/>
    <w:uiPriority w:val="39"/>
    <w:rsid w:val="007A1785"/>
    <w:rPr>
      <w:i/>
    </w:rPr>
  </w:style>
  <w:style w:type="paragraph" w:styleId="TOC7">
    <w:name w:val="toc 7"/>
    <w:basedOn w:val="Normal"/>
    <w:next w:val="Normal"/>
    <w:rsid w:val="00765BA8"/>
    <w:pPr>
      <w:tabs>
        <w:tab w:val="clear" w:pos="567"/>
      </w:tabs>
      <w:ind w:left="1320"/>
    </w:pPr>
    <w:rPr>
      <w:sz w:val="18"/>
      <w:szCs w:val="18"/>
    </w:rPr>
  </w:style>
  <w:style w:type="paragraph" w:styleId="TOC8">
    <w:name w:val="toc 8"/>
    <w:basedOn w:val="Normal"/>
    <w:next w:val="Normal"/>
    <w:rsid w:val="00765BA8"/>
    <w:pPr>
      <w:tabs>
        <w:tab w:val="clear" w:pos="567"/>
      </w:tabs>
      <w:ind w:left="1540"/>
    </w:pPr>
    <w:rPr>
      <w:sz w:val="18"/>
      <w:szCs w:val="18"/>
    </w:rPr>
  </w:style>
  <w:style w:type="paragraph" w:styleId="TOC9">
    <w:name w:val="toc 9"/>
    <w:basedOn w:val="Normal"/>
    <w:next w:val="Normal"/>
    <w:rsid w:val="00765BA8"/>
    <w:pPr>
      <w:tabs>
        <w:tab w:val="clear" w:pos="567"/>
      </w:tabs>
      <w:ind w:left="1760"/>
    </w:pPr>
    <w:rPr>
      <w:sz w:val="18"/>
      <w:szCs w:val="18"/>
    </w:rPr>
  </w:style>
  <w:style w:type="character" w:customStyle="1" w:styleId="Heading1Char">
    <w:name w:val="Heading 1 Char"/>
    <w:basedOn w:val="DefaultParagraphFont"/>
    <w:link w:val="Heading1"/>
    <w:uiPriority w:val="9"/>
    <w:rsid w:val="002B274C"/>
    <w:rPr>
      <w:rFonts w:ascii="Work Sans" w:eastAsia="Times New Roman" w:hAnsi="Work Sans" w:cs="Open Sans"/>
      <w:b/>
      <w:bCs/>
      <w:color w:val="006991"/>
      <w:sz w:val="40"/>
      <w:szCs w:val="40"/>
    </w:rPr>
  </w:style>
  <w:style w:type="character" w:customStyle="1" w:styleId="Heading2Char">
    <w:name w:val="Heading 2 Char"/>
    <w:aliases w:val="CGC 2025 Heading 2 Char"/>
    <w:basedOn w:val="DefaultParagraphFont"/>
    <w:link w:val="Heading2"/>
    <w:uiPriority w:val="9"/>
    <w:rsid w:val="007C4D64"/>
    <w:rPr>
      <w:rFonts w:ascii="Work Sans" w:eastAsia="Times New Roman" w:hAnsi="Work Sans" w:cs="Open Sans"/>
      <w:b/>
      <w:bCs/>
      <w:color w:val="006991"/>
      <w:sz w:val="36"/>
      <w:szCs w:val="36"/>
    </w:rPr>
  </w:style>
  <w:style w:type="character" w:customStyle="1" w:styleId="Heading3Char">
    <w:name w:val="Heading 3 Char"/>
    <w:aliases w:val="CGC 2025 Heading 3 Char"/>
    <w:basedOn w:val="DefaultParagraphFont"/>
    <w:link w:val="Heading3"/>
    <w:uiPriority w:val="9"/>
    <w:rsid w:val="009A2C92"/>
    <w:rPr>
      <w:rFonts w:ascii="Work Sans" w:eastAsia="Times New Roman" w:hAnsi="Work Sans" w:cs="Open Sans"/>
      <w:b/>
      <w:bCs/>
      <w:color w:val="006991"/>
      <w:sz w:val="28"/>
      <w:szCs w:val="28"/>
    </w:rPr>
  </w:style>
  <w:style w:type="character" w:customStyle="1" w:styleId="Heading4Char">
    <w:name w:val="Heading 4 Char"/>
    <w:aliases w:val="CGC 2025 Heading 4 Char"/>
    <w:basedOn w:val="DefaultParagraphFont"/>
    <w:link w:val="Heading4"/>
    <w:uiPriority w:val="9"/>
    <w:rsid w:val="00BD6EEE"/>
    <w:rPr>
      <w:rFonts w:ascii="Work Sans" w:eastAsiaTheme="majorEastAsia" w:hAnsi="Work Sans" w:cstheme="majorBidi"/>
      <w:b/>
      <w:bCs/>
      <w:iCs/>
      <w:color w:val="006991"/>
      <w:sz w:val="24"/>
    </w:rPr>
  </w:style>
  <w:style w:type="character" w:customStyle="1" w:styleId="Heading5Char">
    <w:name w:val="Heading 5 Char"/>
    <w:aliases w:val="CGC 2025 Heading 5 Char"/>
    <w:basedOn w:val="DefaultParagraphFont"/>
    <w:link w:val="Heading5"/>
    <w:uiPriority w:val="9"/>
    <w:rsid w:val="00BD13E7"/>
    <w:rPr>
      <w:rFonts w:ascii="Montserrat Semi Bold" w:eastAsiaTheme="majorEastAsia" w:hAnsi="Montserrat Semi Bold" w:cstheme="majorBidi"/>
      <w:color w:val="636466"/>
      <w:sz w:val="20"/>
    </w:rPr>
  </w:style>
  <w:style w:type="paragraph" w:styleId="NoSpacing">
    <w:name w:val="No Spacing"/>
    <w:link w:val="NoSpacingChar"/>
    <w:uiPriority w:val="1"/>
    <w:qFormat/>
    <w:rsid w:val="00782EC4"/>
    <w:pPr>
      <w:tabs>
        <w:tab w:val="left" w:pos="567"/>
      </w:tabs>
      <w:spacing w:after="0" w:line="240" w:lineRule="auto"/>
    </w:pPr>
    <w:rPr>
      <w:sz w:val="24"/>
    </w:rPr>
  </w:style>
  <w:style w:type="character" w:customStyle="1" w:styleId="NoSpacingChar">
    <w:name w:val="No Spacing Char"/>
    <w:basedOn w:val="DefaultParagraphFont"/>
    <w:link w:val="NoSpacing"/>
    <w:uiPriority w:val="1"/>
    <w:rsid w:val="00782EC4"/>
    <w:rPr>
      <w:sz w:val="24"/>
    </w:rPr>
  </w:style>
  <w:style w:type="paragraph" w:styleId="ListParagraph">
    <w:name w:val="List Paragraph"/>
    <w:basedOn w:val="Normal"/>
    <w:link w:val="ListParagraphChar"/>
    <w:uiPriority w:val="34"/>
    <w:qFormat/>
    <w:rsid w:val="00622669"/>
    <w:pPr>
      <w:ind w:left="720"/>
      <w:contextualSpacing/>
    </w:pPr>
  </w:style>
  <w:style w:type="paragraph" w:styleId="TOCHeading">
    <w:name w:val="TOC Heading"/>
    <w:aliases w:val="CGC 2025 TOC Heading"/>
    <w:basedOn w:val="Heading1"/>
    <w:next w:val="Normal"/>
    <w:uiPriority w:val="39"/>
    <w:unhideWhenUsed/>
    <w:qFormat/>
    <w:rsid w:val="00032318"/>
    <w:pPr>
      <w:keepLines/>
      <w:spacing w:before="480" w:line="320" w:lineRule="atLeast"/>
      <w:outlineLvl w:val="9"/>
    </w:pPr>
    <w:rPr>
      <w:caps/>
      <w:color w:val="365F91" w:themeColor="accent1" w:themeShade="BF"/>
      <w:sz w:val="28"/>
    </w:rPr>
  </w:style>
  <w:style w:type="character" w:customStyle="1" w:styleId="FooterChar">
    <w:name w:val="Footer Char"/>
    <w:basedOn w:val="DefaultParagraphFont"/>
    <w:link w:val="Footer"/>
    <w:uiPriority w:val="99"/>
    <w:rsid w:val="007A1785"/>
    <w:rPr>
      <w:rFonts w:ascii="Montserrat Ultra Light" w:hAnsi="Montserrat Ultra Light"/>
      <w:b/>
      <w:color w:val="004563"/>
      <w:sz w:val="20"/>
    </w:rPr>
  </w:style>
  <w:style w:type="character" w:customStyle="1" w:styleId="HeaderChar">
    <w:name w:val="Header Char"/>
    <w:basedOn w:val="DefaultParagraphFont"/>
    <w:link w:val="Header"/>
    <w:uiPriority w:val="99"/>
    <w:rsid w:val="007A1785"/>
    <w:rPr>
      <w:rFonts w:ascii="Montserrat Ultra Light" w:hAnsi="Montserrat Ultra Light"/>
      <w:b/>
      <w:color w:val="004563"/>
      <w:sz w:val="20"/>
    </w:rPr>
  </w:style>
  <w:style w:type="paragraph" w:customStyle="1" w:styleId="CGCDataCaption">
    <w:name w:val="CGC Data Caption"/>
    <w:basedOn w:val="CGCTableFootnote"/>
    <w:next w:val="NoSpacing"/>
    <w:link w:val="DataCaptionChar"/>
    <w:rsid w:val="00622669"/>
  </w:style>
  <w:style w:type="character" w:customStyle="1" w:styleId="CaptionChar">
    <w:name w:val="Caption Char"/>
    <w:basedOn w:val="DefaultParagraphFont"/>
    <w:link w:val="Caption"/>
    <w:rsid w:val="00485F13"/>
    <w:rPr>
      <w:rFonts w:ascii="Montserrat Ultra Light" w:hAnsi="Montserrat Ultra Light"/>
      <w:b/>
      <w:bCs/>
      <w:sz w:val="20"/>
      <w:szCs w:val="20"/>
    </w:rPr>
  </w:style>
  <w:style w:type="character" w:customStyle="1" w:styleId="DataCaptionChar">
    <w:name w:val="Data Caption Char"/>
    <w:basedOn w:val="DefaultParagraphFont"/>
    <w:link w:val="CGCDataCaption"/>
    <w:rsid w:val="00622669"/>
    <w:rPr>
      <w:sz w:val="20"/>
      <w:szCs w:val="24"/>
    </w:rPr>
  </w:style>
  <w:style w:type="character" w:customStyle="1" w:styleId="FootnoteTextChar">
    <w:name w:val="Footnote Text Char"/>
    <w:basedOn w:val="DefaultParagraphFont"/>
    <w:link w:val="FootnoteText"/>
    <w:rsid w:val="002C2B39"/>
    <w:rPr>
      <w:rFonts w:ascii="Work Sans" w:hAnsi="Work Sans"/>
      <w:sz w:val="14"/>
      <w:szCs w:val="16"/>
    </w:rPr>
  </w:style>
  <w:style w:type="character" w:customStyle="1" w:styleId="Heading6Char">
    <w:name w:val="Heading 6 Char"/>
    <w:basedOn w:val="DefaultParagraphFont"/>
    <w:link w:val="Heading6"/>
    <w:uiPriority w:val="9"/>
    <w:rsid w:val="00782EC4"/>
    <w:rPr>
      <w:rFonts w:ascii="Montserrat Semi Bold" w:eastAsiaTheme="majorEastAsia" w:hAnsi="Montserrat Semi Bold" w:cstheme="majorBidi"/>
      <w:i/>
      <w:iCs/>
      <w:color w:val="636466"/>
      <w:sz w:val="20"/>
    </w:rPr>
  </w:style>
  <w:style w:type="character" w:customStyle="1" w:styleId="Heading7Char">
    <w:name w:val="Heading 7 Char"/>
    <w:basedOn w:val="DefaultParagraphFont"/>
    <w:link w:val="Heading7"/>
    <w:uiPriority w:val="9"/>
    <w:semiHidden/>
    <w:rsid w:val="00622669"/>
    <w:rPr>
      <w:rFonts w:asciiTheme="majorHAnsi" w:eastAsiaTheme="majorEastAsia" w:hAnsiTheme="majorHAnsi" w:cstheme="majorBidi"/>
      <w:i/>
      <w:iCs/>
      <w:color w:val="404040" w:themeColor="text1" w:themeTint="BF"/>
      <w:sz w:val="24"/>
    </w:rPr>
  </w:style>
  <w:style w:type="paragraph" w:customStyle="1" w:styleId="CGCParaNumber">
    <w:name w:val="CGC Para Number"/>
    <w:basedOn w:val="Normal"/>
    <w:qFormat/>
    <w:rsid w:val="00956C4E"/>
    <w:pPr>
      <w:numPr>
        <w:numId w:val="7"/>
      </w:numPr>
      <w:ind w:left="567" w:hanging="567"/>
    </w:pPr>
    <w:rPr>
      <w:rFonts w:ascii="Work Sans" w:hAnsi="Work Sans"/>
      <w:szCs w:val="20"/>
    </w:rPr>
  </w:style>
  <w:style w:type="paragraph" w:customStyle="1" w:styleId="CGC2025Bullet1">
    <w:name w:val="CGC 2025 Bullet 1"/>
    <w:basedOn w:val="Normal"/>
    <w:qFormat/>
    <w:rsid w:val="00956C4E"/>
    <w:pPr>
      <w:numPr>
        <w:numId w:val="3"/>
      </w:numPr>
    </w:pPr>
    <w:rPr>
      <w:rFonts w:ascii="Work Sans" w:hAnsi="Work Sans"/>
      <w:szCs w:val="20"/>
    </w:rPr>
  </w:style>
  <w:style w:type="paragraph" w:customStyle="1" w:styleId="CGCBullet2">
    <w:name w:val="CGC Bullet 2"/>
    <w:basedOn w:val="Normal"/>
    <w:qFormat/>
    <w:rsid w:val="00DA7A60"/>
    <w:pPr>
      <w:numPr>
        <w:numId w:val="4"/>
      </w:numPr>
    </w:pPr>
  </w:style>
  <w:style w:type="paragraph" w:customStyle="1" w:styleId="CGCBullet3">
    <w:name w:val="CGC Bullet 3"/>
    <w:basedOn w:val="Normal"/>
    <w:qFormat/>
    <w:rsid w:val="007A1785"/>
    <w:pPr>
      <w:numPr>
        <w:numId w:val="5"/>
      </w:numPr>
      <w:ind w:left="1491" w:hanging="357"/>
    </w:pPr>
  </w:style>
  <w:style w:type="paragraph" w:customStyle="1" w:styleId="CGCQuoteText">
    <w:name w:val="CGC Quote Text"/>
    <w:basedOn w:val="Normal"/>
    <w:next w:val="Normal"/>
    <w:rsid w:val="00782EC4"/>
    <w:pPr>
      <w:spacing w:after="120"/>
      <w:ind w:left="1418" w:right="1134"/>
    </w:pPr>
  </w:style>
  <w:style w:type="paragraph" w:customStyle="1" w:styleId="CGCQuoteBullet">
    <w:name w:val="CGC Quote Bullet"/>
    <w:basedOn w:val="CGCQuoteText"/>
    <w:next w:val="Normal"/>
    <w:rsid w:val="00782EC4"/>
    <w:pPr>
      <w:numPr>
        <w:numId w:val="6"/>
      </w:numPr>
      <w:ind w:right="1418"/>
    </w:pPr>
  </w:style>
  <w:style w:type="paragraph" w:customStyle="1" w:styleId="CGCTablerow">
    <w:name w:val="CGC Table row"/>
    <w:basedOn w:val="Normal"/>
    <w:qFormat/>
    <w:rsid w:val="00782EC4"/>
    <w:pPr>
      <w:spacing w:before="0" w:line="240" w:lineRule="auto"/>
    </w:pPr>
    <w:rPr>
      <w:sz w:val="16"/>
    </w:rPr>
  </w:style>
  <w:style w:type="paragraph" w:customStyle="1" w:styleId="CGCTablenote">
    <w:name w:val="CGC Table note"/>
    <w:basedOn w:val="Normal"/>
    <w:next w:val="Normal"/>
    <w:qFormat/>
    <w:rsid w:val="00FE5C60"/>
    <w:pPr>
      <w:tabs>
        <w:tab w:val="left" w:pos="680"/>
      </w:tabs>
      <w:spacing w:before="40" w:line="240" w:lineRule="auto"/>
      <w:ind w:left="340" w:hanging="227"/>
    </w:pPr>
    <w:rPr>
      <w:sz w:val="14"/>
    </w:rPr>
  </w:style>
  <w:style w:type="character" w:customStyle="1" w:styleId="CGCTableHeadingChar">
    <w:name w:val="CGC Table Heading Char"/>
    <w:basedOn w:val="DefaultParagraphFont"/>
    <w:link w:val="CGCTableHeading"/>
    <w:rsid w:val="00FE5C60"/>
    <w:rPr>
      <w:rFonts w:ascii="Montserrat Ultra Light" w:hAnsi="Montserrat Ultra Light"/>
      <w:b/>
      <w:sz w:val="20"/>
      <w:szCs w:val="20"/>
    </w:rPr>
  </w:style>
  <w:style w:type="paragraph" w:customStyle="1" w:styleId="TOCtitle">
    <w:name w:val="TOC title"/>
    <w:basedOn w:val="Normal"/>
    <w:next w:val="Normal"/>
    <w:rsid w:val="001C1121"/>
    <w:rPr>
      <w:rFonts w:ascii="Montserrat Semi Bold" w:hAnsi="Montserrat Semi Bold"/>
      <w:color w:val="004563"/>
      <w:sz w:val="36"/>
      <w:lang w:val="en-US"/>
    </w:rPr>
  </w:style>
  <w:style w:type="character" w:styleId="CommentReference">
    <w:name w:val="annotation reference"/>
    <w:basedOn w:val="DefaultParagraphFont"/>
    <w:semiHidden/>
    <w:unhideWhenUsed/>
    <w:rsid w:val="00CA7A75"/>
    <w:rPr>
      <w:sz w:val="16"/>
      <w:szCs w:val="16"/>
    </w:rPr>
  </w:style>
  <w:style w:type="paragraph" w:styleId="CommentText">
    <w:name w:val="annotation text"/>
    <w:basedOn w:val="Normal"/>
    <w:link w:val="CommentTextChar"/>
    <w:unhideWhenUsed/>
    <w:rsid w:val="00CA7A75"/>
    <w:pPr>
      <w:spacing w:line="240" w:lineRule="auto"/>
    </w:pPr>
    <w:rPr>
      <w:szCs w:val="20"/>
    </w:rPr>
  </w:style>
  <w:style w:type="character" w:customStyle="1" w:styleId="CommentTextChar">
    <w:name w:val="Comment Text Char"/>
    <w:basedOn w:val="DefaultParagraphFont"/>
    <w:link w:val="CommentText"/>
    <w:rsid w:val="00CA7A75"/>
    <w:rPr>
      <w:rFonts w:ascii="Open Sans Light" w:hAnsi="Open Sans Light"/>
      <w:sz w:val="20"/>
      <w:szCs w:val="20"/>
    </w:rPr>
  </w:style>
  <w:style w:type="paragraph" w:styleId="CommentSubject">
    <w:name w:val="annotation subject"/>
    <w:basedOn w:val="CommentText"/>
    <w:next w:val="CommentText"/>
    <w:link w:val="CommentSubjectChar"/>
    <w:semiHidden/>
    <w:unhideWhenUsed/>
    <w:rsid w:val="00CA7A75"/>
    <w:rPr>
      <w:b/>
      <w:bCs/>
    </w:rPr>
  </w:style>
  <w:style w:type="character" w:customStyle="1" w:styleId="CommentSubjectChar">
    <w:name w:val="Comment Subject Char"/>
    <w:basedOn w:val="CommentTextChar"/>
    <w:link w:val="CommentSubject"/>
    <w:semiHidden/>
    <w:rsid w:val="00CA7A75"/>
    <w:rPr>
      <w:rFonts w:ascii="Open Sans Light" w:hAnsi="Open Sans Light"/>
      <w:b/>
      <w:bCs/>
      <w:sz w:val="20"/>
      <w:szCs w:val="20"/>
    </w:rPr>
  </w:style>
  <w:style w:type="paragraph" w:customStyle="1" w:styleId="CGCTablesubhead1">
    <w:name w:val="CGC Table subhead1"/>
    <w:basedOn w:val="Normal"/>
    <w:rsid w:val="00BF20E8"/>
    <w:pPr>
      <w:spacing w:before="0" w:line="240" w:lineRule="auto"/>
    </w:pPr>
    <w:rPr>
      <w:rFonts w:ascii="Open Sans Semibold" w:hAnsi="Open Sans Semibold"/>
      <w:sz w:val="16"/>
    </w:rPr>
  </w:style>
  <w:style w:type="character" w:styleId="UnresolvedMention">
    <w:name w:val="Unresolved Mention"/>
    <w:basedOn w:val="DefaultParagraphFont"/>
    <w:uiPriority w:val="99"/>
    <w:unhideWhenUsed/>
    <w:rsid w:val="004F4A13"/>
    <w:rPr>
      <w:color w:val="605E5C"/>
      <w:shd w:val="clear" w:color="auto" w:fill="E1DFDD"/>
    </w:rPr>
  </w:style>
  <w:style w:type="character" w:styleId="Mention">
    <w:name w:val="Mention"/>
    <w:basedOn w:val="DefaultParagraphFont"/>
    <w:uiPriority w:val="99"/>
    <w:unhideWhenUsed/>
    <w:rsid w:val="004F4A13"/>
    <w:rPr>
      <w:color w:val="2B579A"/>
      <w:shd w:val="clear" w:color="auto" w:fill="E1DFDD"/>
    </w:rPr>
  </w:style>
  <w:style w:type="paragraph" w:customStyle="1" w:styleId="Bulletpoint">
    <w:name w:val="Bullet point"/>
    <w:basedOn w:val="ListParagraph"/>
    <w:link w:val="BulletpointChar"/>
    <w:qFormat/>
    <w:rsid w:val="00A5102B"/>
    <w:pPr>
      <w:spacing w:before="240" w:line="300" w:lineRule="atLeast"/>
      <w:ind w:left="360" w:hanging="360"/>
      <w:contextualSpacing w:val="0"/>
      <w:jc w:val="both"/>
    </w:pPr>
  </w:style>
  <w:style w:type="character" w:customStyle="1" w:styleId="ListParagraphChar">
    <w:name w:val="List Paragraph Char"/>
    <w:basedOn w:val="DefaultParagraphFont"/>
    <w:link w:val="ListParagraph"/>
    <w:uiPriority w:val="34"/>
    <w:rsid w:val="00A5102B"/>
    <w:rPr>
      <w:rFonts w:ascii="Open Sans Light" w:hAnsi="Open Sans Light"/>
      <w:sz w:val="20"/>
    </w:rPr>
  </w:style>
  <w:style w:type="character" w:customStyle="1" w:styleId="BulletpointChar">
    <w:name w:val="Bullet point Char"/>
    <w:basedOn w:val="ListParagraphChar"/>
    <w:link w:val="Bulletpoint"/>
    <w:rsid w:val="00A5102B"/>
    <w:rPr>
      <w:rFonts w:ascii="Open Sans Light" w:hAnsi="Open Sans Light"/>
      <w:sz w:val="20"/>
    </w:rPr>
  </w:style>
  <w:style w:type="paragraph" w:styleId="Revision">
    <w:name w:val="Revision"/>
    <w:hidden/>
    <w:uiPriority w:val="99"/>
    <w:semiHidden/>
    <w:rsid w:val="001B76A8"/>
    <w:pPr>
      <w:spacing w:after="0" w:line="240" w:lineRule="auto"/>
    </w:pPr>
    <w:rPr>
      <w:rFonts w:ascii="Open Sans Light" w:hAnsi="Open Sans Light"/>
      <w:sz w:val="20"/>
    </w:rPr>
  </w:style>
  <w:style w:type="paragraph" w:customStyle="1" w:styleId="CGCBulletlist">
    <w:name w:val="CGC Bullet list"/>
    <w:aliases w:val="CGC List 1"/>
    <w:basedOn w:val="Normal"/>
    <w:link w:val="CGCBulletlistChar"/>
    <w:qFormat/>
    <w:rsid w:val="001307A8"/>
    <w:pPr>
      <w:numPr>
        <w:numId w:val="8"/>
      </w:numPr>
      <w:tabs>
        <w:tab w:val="clear" w:pos="567"/>
        <w:tab w:val="left" w:pos="1134"/>
      </w:tabs>
      <w:spacing w:before="80" w:after="80" w:line="300" w:lineRule="atLeast"/>
    </w:pPr>
    <w:rPr>
      <w:rFonts w:asciiTheme="minorHAnsi" w:hAnsiTheme="minorHAnsi"/>
      <w:sz w:val="24"/>
      <w:szCs w:val="20"/>
    </w:rPr>
  </w:style>
  <w:style w:type="paragraph" w:customStyle="1" w:styleId="CGCNumberedPara">
    <w:name w:val="CGC Numbered Para"/>
    <w:aliases w:val="CGC Para No"/>
    <w:basedOn w:val="Normal"/>
    <w:rsid w:val="001307A8"/>
    <w:pPr>
      <w:numPr>
        <w:ilvl w:val="1"/>
        <w:numId w:val="9"/>
      </w:numPr>
      <w:tabs>
        <w:tab w:val="clear" w:pos="567"/>
      </w:tabs>
      <w:spacing w:after="80" w:line="320" w:lineRule="atLeast"/>
    </w:pPr>
    <w:rPr>
      <w:rFonts w:asciiTheme="minorHAnsi" w:hAnsiTheme="minorHAnsi"/>
      <w:sz w:val="24"/>
      <w:szCs w:val="24"/>
    </w:rPr>
  </w:style>
  <w:style w:type="character" w:customStyle="1" w:styleId="CGCBulletlistChar">
    <w:name w:val="CGC Bullet list Char"/>
    <w:aliases w:val="CGC List 1 Char"/>
    <w:basedOn w:val="DefaultParagraphFont"/>
    <w:link w:val="CGCBulletlist"/>
    <w:locked/>
    <w:rsid w:val="001307A8"/>
    <w:rPr>
      <w:sz w:val="24"/>
      <w:szCs w:val="20"/>
    </w:rPr>
  </w:style>
  <w:style w:type="character" w:customStyle="1" w:styleId="cf01">
    <w:name w:val="cf01"/>
    <w:basedOn w:val="DefaultParagraphFont"/>
    <w:rsid w:val="002F0D1B"/>
    <w:rPr>
      <w:rFonts w:ascii="Segoe UI" w:hAnsi="Segoe UI" w:cs="Segoe UI" w:hint="default"/>
      <w:sz w:val="18"/>
      <w:szCs w:val="18"/>
    </w:rPr>
  </w:style>
  <w:style w:type="table" w:customStyle="1" w:styleId="TableGrid1">
    <w:name w:val="Table Grid1"/>
    <w:basedOn w:val="TableNormal"/>
    <w:next w:val="TableGrid"/>
    <w:uiPriority w:val="39"/>
    <w:rsid w:val="002F089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6E3848"/>
    <w:rPr>
      <w:color w:val="800080" w:themeColor="followedHyperlink"/>
      <w:u w:val="single"/>
    </w:rPr>
  </w:style>
  <w:style w:type="paragraph" w:customStyle="1" w:styleId="CGC2025QuestionNumbers">
    <w:name w:val="CGC 2025 Question Numbers"/>
    <w:basedOn w:val="Normal"/>
    <w:qFormat/>
    <w:rsid w:val="00084EE0"/>
    <w:pPr>
      <w:numPr>
        <w:numId w:val="40"/>
      </w:numPr>
      <w:spacing w:after="120"/>
    </w:pPr>
    <w:rPr>
      <w:rFonts w:ascii="Work Sans" w:hAnsi="Work Sans" w:cs="Open Sans Light"/>
      <w:szCs w:val="20"/>
    </w:rPr>
  </w:style>
  <w:style w:type="numbering" w:customStyle="1" w:styleId="CGCConsultQuestion">
    <w:name w:val="CGC Consult Question"/>
    <w:basedOn w:val="NoList"/>
    <w:uiPriority w:val="99"/>
    <w:rsid w:val="00084EE0"/>
    <w:pPr>
      <w:numPr>
        <w:numId w:val="37"/>
      </w:numPr>
    </w:pPr>
  </w:style>
  <w:style w:type="paragraph" w:customStyle="1" w:styleId="CGC2025ParaNumbers">
    <w:name w:val="CGC 2025 Para Numbers"/>
    <w:basedOn w:val="CGCNumberedPara"/>
    <w:rsid w:val="004477FF"/>
    <w:rPr>
      <w:rFonts w:ascii="Work Sans" w:hAnsi="Work Sans"/>
      <w:sz w:val="20"/>
    </w:rPr>
  </w:style>
  <w:style w:type="paragraph" w:customStyle="1" w:styleId="CGC2025Bullet2">
    <w:name w:val="CGC 2025 Bullet 2"/>
    <w:basedOn w:val="CGCBullet2"/>
    <w:rsid w:val="00294D2F"/>
    <w:rPr>
      <w:rFonts w:ascii="Work Sans" w:hAnsi="Work Sans"/>
    </w:rPr>
  </w:style>
  <w:style w:type="paragraph" w:customStyle="1" w:styleId="CGC2025Heading2AttachmentFollower">
    <w:name w:val="CGC 2025 Heading 2 Attachment Follower"/>
    <w:basedOn w:val="Heading2"/>
    <w:rsid w:val="00294D2F"/>
    <w:rPr>
      <w:b w:val="0"/>
      <w:bCs w:val="0"/>
    </w:rPr>
  </w:style>
  <w:style w:type="paragraph" w:customStyle="1" w:styleId="CGC2025Caption">
    <w:name w:val="CGC 2025 Caption"/>
    <w:basedOn w:val="Normal"/>
    <w:qFormat/>
    <w:rsid w:val="00D53228"/>
    <w:pPr>
      <w:spacing w:before="240" w:after="120" w:line="240" w:lineRule="auto"/>
    </w:pPr>
    <w:rPr>
      <w:rFonts w:ascii="Work Sans" w:hAnsi="Work Sans"/>
      <w:b/>
    </w:rPr>
  </w:style>
  <w:style w:type="paragraph" w:customStyle="1" w:styleId="CGCBodyPara">
    <w:name w:val="CGC Body Para"/>
    <w:basedOn w:val="CGCParaNumber"/>
    <w:qFormat/>
    <w:rsid w:val="00E2013D"/>
    <w:pPr>
      <w:numPr>
        <w:numId w:val="0"/>
      </w:numPr>
      <w:tabs>
        <w:tab w:val="clear" w:pos="567"/>
      </w:tabs>
      <w:ind w:left="927" w:right="-121" w:hanging="360"/>
    </w:pPr>
  </w:style>
  <w:style w:type="paragraph" w:customStyle="1" w:styleId="CGCBullet1">
    <w:name w:val="CGC Bullet 1"/>
    <w:basedOn w:val="Normal"/>
    <w:qFormat/>
    <w:rsid w:val="00E2013D"/>
    <w:pPr>
      <w:ind w:left="927" w:hanging="360"/>
    </w:pPr>
    <w:rPr>
      <w:rFonts w:ascii="Work Sans" w:hAnsi="Work Sans"/>
    </w:rPr>
  </w:style>
  <w:style w:type="paragraph" w:customStyle="1" w:styleId="CGC2025Q2s">
    <w:name w:val="CGC 2025 Q2s"/>
    <w:basedOn w:val="Normal"/>
    <w:next w:val="CGCParaNumber"/>
    <w:qFormat/>
    <w:rsid w:val="00393446"/>
    <w:pPr>
      <w:numPr>
        <w:numId w:val="43"/>
      </w:numPr>
      <w:ind w:left="454" w:hanging="454"/>
    </w:pPr>
    <w:rPr>
      <w:rFonts w:ascii="Work Sans" w:hAnsi="Work Sans"/>
    </w:rPr>
  </w:style>
  <w:style w:type="paragraph" w:customStyle="1" w:styleId="Default">
    <w:name w:val="Default"/>
    <w:rsid w:val="00FB64C7"/>
    <w:pPr>
      <w:autoSpaceDE w:val="0"/>
      <w:autoSpaceDN w:val="0"/>
      <w:adjustRightInd w:val="0"/>
      <w:spacing w:after="0" w:line="240" w:lineRule="auto"/>
    </w:pPr>
    <w:rPr>
      <w:rFonts w:ascii="Open Sans" w:hAnsi="Open Sans" w:cs="Open San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6302">
      <w:bodyDiv w:val="1"/>
      <w:marLeft w:val="0"/>
      <w:marRight w:val="0"/>
      <w:marTop w:val="0"/>
      <w:marBottom w:val="0"/>
      <w:divBdr>
        <w:top w:val="none" w:sz="0" w:space="0" w:color="auto"/>
        <w:left w:val="none" w:sz="0" w:space="0" w:color="auto"/>
        <w:bottom w:val="none" w:sz="0" w:space="0" w:color="auto"/>
        <w:right w:val="none" w:sz="0" w:space="0" w:color="auto"/>
      </w:divBdr>
    </w:div>
    <w:div w:id="2976334">
      <w:bodyDiv w:val="1"/>
      <w:marLeft w:val="0"/>
      <w:marRight w:val="0"/>
      <w:marTop w:val="0"/>
      <w:marBottom w:val="0"/>
      <w:divBdr>
        <w:top w:val="none" w:sz="0" w:space="0" w:color="auto"/>
        <w:left w:val="none" w:sz="0" w:space="0" w:color="auto"/>
        <w:bottom w:val="none" w:sz="0" w:space="0" w:color="auto"/>
        <w:right w:val="none" w:sz="0" w:space="0" w:color="auto"/>
      </w:divBdr>
    </w:div>
    <w:div w:id="19476126">
      <w:bodyDiv w:val="1"/>
      <w:marLeft w:val="0"/>
      <w:marRight w:val="0"/>
      <w:marTop w:val="0"/>
      <w:marBottom w:val="0"/>
      <w:divBdr>
        <w:top w:val="none" w:sz="0" w:space="0" w:color="auto"/>
        <w:left w:val="none" w:sz="0" w:space="0" w:color="auto"/>
        <w:bottom w:val="none" w:sz="0" w:space="0" w:color="auto"/>
        <w:right w:val="none" w:sz="0" w:space="0" w:color="auto"/>
      </w:divBdr>
    </w:div>
    <w:div w:id="63381848">
      <w:bodyDiv w:val="1"/>
      <w:marLeft w:val="0"/>
      <w:marRight w:val="0"/>
      <w:marTop w:val="0"/>
      <w:marBottom w:val="0"/>
      <w:divBdr>
        <w:top w:val="none" w:sz="0" w:space="0" w:color="auto"/>
        <w:left w:val="none" w:sz="0" w:space="0" w:color="auto"/>
        <w:bottom w:val="none" w:sz="0" w:space="0" w:color="auto"/>
        <w:right w:val="none" w:sz="0" w:space="0" w:color="auto"/>
      </w:divBdr>
    </w:div>
    <w:div w:id="215361513">
      <w:bodyDiv w:val="1"/>
      <w:marLeft w:val="0"/>
      <w:marRight w:val="0"/>
      <w:marTop w:val="0"/>
      <w:marBottom w:val="0"/>
      <w:divBdr>
        <w:top w:val="none" w:sz="0" w:space="0" w:color="auto"/>
        <w:left w:val="none" w:sz="0" w:space="0" w:color="auto"/>
        <w:bottom w:val="none" w:sz="0" w:space="0" w:color="auto"/>
        <w:right w:val="none" w:sz="0" w:space="0" w:color="auto"/>
      </w:divBdr>
    </w:div>
    <w:div w:id="240454610">
      <w:bodyDiv w:val="1"/>
      <w:marLeft w:val="0"/>
      <w:marRight w:val="0"/>
      <w:marTop w:val="0"/>
      <w:marBottom w:val="0"/>
      <w:divBdr>
        <w:top w:val="none" w:sz="0" w:space="0" w:color="auto"/>
        <w:left w:val="none" w:sz="0" w:space="0" w:color="auto"/>
        <w:bottom w:val="none" w:sz="0" w:space="0" w:color="auto"/>
        <w:right w:val="none" w:sz="0" w:space="0" w:color="auto"/>
      </w:divBdr>
    </w:div>
    <w:div w:id="240608006">
      <w:bodyDiv w:val="1"/>
      <w:marLeft w:val="0"/>
      <w:marRight w:val="0"/>
      <w:marTop w:val="0"/>
      <w:marBottom w:val="0"/>
      <w:divBdr>
        <w:top w:val="none" w:sz="0" w:space="0" w:color="auto"/>
        <w:left w:val="none" w:sz="0" w:space="0" w:color="auto"/>
        <w:bottom w:val="none" w:sz="0" w:space="0" w:color="auto"/>
        <w:right w:val="none" w:sz="0" w:space="0" w:color="auto"/>
      </w:divBdr>
    </w:div>
    <w:div w:id="248123965">
      <w:bodyDiv w:val="1"/>
      <w:marLeft w:val="0"/>
      <w:marRight w:val="0"/>
      <w:marTop w:val="0"/>
      <w:marBottom w:val="0"/>
      <w:divBdr>
        <w:top w:val="none" w:sz="0" w:space="0" w:color="auto"/>
        <w:left w:val="none" w:sz="0" w:space="0" w:color="auto"/>
        <w:bottom w:val="none" w:sz="0" w:space="0" w:color="auto"/>
        <w:right w:val="none" w:sz="0" w:space="0" w:color="auto"/>
      </w:divBdr>
    </w:div>
    <w:div w:id="283461682">
      <w:bodyDiv w:val="1"/>
      <w:marLeft w:val="0"/>
      <w:marRight w:val="0"/>
      <w:marTop w:val="0"/>
      <w:marBottom w:val="0"/>
      <w:divBdr>
        <w:top w:val="none" w:sz="0" w:space="0" w:color="auto"/>
        <w:left w:val="none" w:sz="0" w:space="0" w:color="auto"/>
        <w:bottom w:val="none" w:sz="0" w:space="0" w:color="auto"/>
        <w:right w:val="none" w:sz="0" w:space="0" w:color="auto"/>
      </w:divBdr>
    </w:div>
    <w:div w:id="358245519">
      <w:bodyDiv w:val="1"/>
      <w:marLeft w:val="0"/>
      <w:marRight w:val="0"/>
      <w:marTop w:val="0"/>
      <w:marBottom w:val="0"/>
      <w:divBdr>
        <w:top w:val="none" w:sz="0" w:space="0" w:color="auto"/>
        <w:left w:val="none" w:sz="0" w:space="0" w:color="auto"/>
        <w:bottom w:val="none" w:sz="0" w:space="0" w:color="auto"/>
        <w:right w:val="none" w:sz="0" w:space="0" w:color="auto"/>
      </w:divBdr>
    </w:div>
    <w:div w:id="490872118">
      <w:bodyDiv w:val="1"/>
      <w:marLeft w:val="0"/>
      <w:marRight w:val="0"/>
      <w:marTop w:val="0"/>
      <w:marBottom w:val="0"/>
      <w:divBdr>
        <w:top w:val="none" w:sz="0" w:space="0" w:color="auto"/>
        <w:left w:val="none" w:sz="0" w:space="0" w:color="auto"/>
        <w:bottom w:val="none" w:sz="0" w:space="0" w:color="auto"/>
        <w:right w:val="none" w:sz="0" w:space="0" w:color="auto"/>
      </w:divBdr>
    </w:div>
    <w:div w:id="523597020">
      <w:bodyDiv w:val="1"/>
      <w:marLeft w:val="0"/>
      <w:marRight w:val="0"/>
      <w:marTop w:val="0"/>
      <w:marBottom w:val="0"/>
      <w:divBdr>
        <w:top w:val="none" w:sz="0" w:space="0" w:color="auto"/>
        <w:left w:val="none" w:sz="0" w:space="0" w:color="auto"/>
        <w:bottom w:val="none" w:sz="0" w:space="0" w:color="auto"/>
        <w:right w:val="none" w:sz="0" w:space="0" w:color="auto"/>
      </w:divBdr>
    </w:div>
    <w:div w:id="528180250">
      <w:bodyDiv w:val="1"/>
      <w:marLeft w:val="0"/>
      <w:marRight w:val="0"/>
      <w:marTop w:val="0"/>
      <w:marBottom w:val="0"/>
      <w:divBdr>
        <w:top w:val="none" w:sz="0" w:space="0" w:color="auto"/>
        <w:left w:val="none" w:sz="0" w:space="0" w:color="auto"/>
        <w:bottom w:val="none" w:sz="0" w:space="0" w:color="auto"/>
        <w:right w:val="none" w:sz="0" w:space="0" w:color="auto"/>
      </w:divBdr>
    </w:div>
    <w:div w:id="542055706">
      <w:bodyDiv w:val="1"/>
      <w:marLeft w:val="0"/>
      <w:marRight w:val="0"/>
      <w:marTop w:val="0"/>
      <w:marBottom w:val="0"/>
      <w:divBdr>
        <w:top w:val="none" w:sz="0" w:space="0" w:color="auto"/>
        <w:left w:val="none" w:sz="0" w:space="0" w:color="auto"/>
        <w:bottom w:val="none" w:sz="0" w:space="0" w:color="auto"/>
        <w:right w:val="none" w:sz="0" w:space="0" w:color="auto"/>
      </w:divBdr>
    </w:div>
    <w:div w:id="547255162">
      <w:bodyDiv w:val="1"/>
      <w:marLeft w:val="0"/>
      <w:marRight w:val="0"/>
      <w:marTop w:val="0"/>
      <w:marBottom w:val="0"/>
      <w:divBdr>
        <w:top w:val="none" w:sz="0" w:space="0" w:color="auto"/>
        <w:left w:val="none" w:sz="0" w:space="0" w:color="auto"/>
        <w:bottom w:val="none" w:sz="0" w:space="0" w:color="auto"/>
        <w:right w:val="none" w:sz="0" w:space="0" w:color="auto"/>
      </w:divBdr>
    </w:div>
    <w:div w:id="608045514">
      <w:bodyDiv w:val="1"/>
      <w:marLeft w:val="0"/>
      <w:marRight w:val="0"/>
      <w:marTop w:val="0"/>
      <w:marBottom w:val="0"/>
      <w:divBdr>
        <w:top w:val="none" w:sz="0" w:space="0" w:color="auto"/>
        <w:left w:val="none" w:sz="0" w:space="0" w:color="auto"/>
        <w:bottom w:val="none" w:sz="0" w:space="0" w:color="auto"/>
        <w:right w:val="none" w:sz="0" w:space="0" w:color="auto"/>
      </w:divBdr>
    </w:div>
    <w:div w:id="611522579">
      <w:bodyDiv w:val="1"/>
      <w:marLeft w:val="0"/>
      <w:marRight w:val="0"/>
      <w:marTop w:val="0"/>
      <w:marBottom w:val="0"/>
      <w:divBdr>
        <w:top w:val="none" w:sz="0" w:space="0" w:color="auto"/>
        <w:left w:val="none" w:sz="0" w:space="0" w:color="auto"/>
        <w:bottom w:val="none" w:sz="0" w:space="0" w:color="auto"/>
        <w:right w:val="none" w:sz="0" w:space="0" w:color="auto"/>
      </w:divBdr>
    </w:div>
    <w:div w:id="679813372">
      <w:bodyDiv w:val="1"/>
      <w:marLeft w:val="0"/>
      <w:marRight w:val="0"/>
      <w:marTop w:val="0"/>
      <w:marBottom w:val="0"/>
      <w:divBdr>
        <w:top w:val="none" w:sz="0" w:space="0" w:color="auto"/>
        <w:left w:val="none" w:sz="0" w:space="0" w:color="auto"/>
        <w:bottom w:val="none" w:sz="0" w:space="0" w:color="auto"/>
        <w:right w:val="none" w:sz="0" w:space="0" w:color="auto"/>
      </w:divBdr>
    </w:div>
    <w:div w:id="704869077">
      <w:bodyDiv w:val="1"/>
      <w:marLeft w:val="0"/>
      <w:marRight w:val="0"/>
      <w:marTop w:val="0"/>
      <w:marBottom w:val="0"/>
      <w:divBdr>
        <w:top w:val="none" w:sz="0" w:space="0" w:color="auto"/>
        <w:left w:val="none" w:sz="0" w:space="0" w:color="auto"/>
        <w:bottom w:val="none" w:sz="0" w:space="0" w:color="auto"/>
        <w:right w:val="none" w:sz="0" w:space="0" w:color="auto"/>
      </w:divBdr>
    </w:div>
    <w:div w:id="738019680">
      <w:bodyDiv w:val="1"/>
      <w:marLeft w:val="0"/>
      <w:marRight w:val="0"/>
      <w:marTop w:val="0"/>
      <w:marBottom w:val="0"/>
      <w:divBdr>
        <w:top w:val="none" w:sz="0" w:space="0" w:color="auto"/>
        <w:left w:val="none" w:sz="0" w:space="0" w:color="auto"/>
        <w:bottom w:val="none" w:sz="0" w:space="0" w:color="auto"/>
        <w:right w:val="none" w:sz="0" w:space="0" w:color="auto"/>
      </w:divBdr>
    </w:div>
    <w:div w:id="741756186">
      <w:bodyDiv w:val="1"/>
      <w:marLeft w:val="0"/>
      <w:marRight w:val="0"/>
      <w:marTop w:val="0"/>
      <w:marBottom w:val="0"/>
      <w:divBdr>
        <w:top w:val="none" w:sz="0" w:space="0" w:color="auto"/>
        <w:left w:val="none" w:sz="0" w:space="0" w:color="auto"/>
        <w:bottom w:val="none" w:sz="0" w:space="0" w:color="auto"/>
        <w:right w:val="none" w:sz="0" w:space="0" w:color="auto"/>
      </w:divBdr>
    </w:div>
    <w:div w:id="852499281">
      <w:bodyDiv w:val="1"/>
      <w:marLeft w:val="0"/>
      <w:marRight w:val="0"/>
      <w:marTop w:val="0"/>
      <w:marBottom w:val="0"/>
      <w:divBdr>
        <w:top w:val="none" w:sz="0" w:space="0" w:color="auto"/>
        <w:left w:val="none" w:sz="0" w:space="0" w:color="auto"/>
        <w:bottom w:val="none" w:sz="0" w:space="0" w:color="auto"/>
        <w:right w:val="none" w:sz="0" w:space="0" w:color="auto"/>
      </w:divBdr>
    </w:div>
    <w:div w:id="894314632">
      <w:bodyDiv w:val="1"/>
      <w:marLeft w:val="0"/>
      <w:marRight w:val="0"/>
      <w:marTop w:val="0"/>
      <w:marBottom w:val="0"/>
      <w:divBdr>
        <w:top w:val="none" w:sz="0" w:space="0" w:color="auto"/>
        <w:left w:val="none" w:sz="0" w:space="0" w:color="auto"/>
        <w:bottom w:val="none" w:sz="0" w:space="0" w:color="auto"/>
        <w:right w:val="none" w:sz="0" w:space="0" w:color="auto"/>
      </w:divBdr>
    </w:div>
    <w:div w:id="901789176">
      <w:bodyDiv w:val="1"/>
      <w:marLeft w:val="0"/>
      <w:marRight w:val="0"/>
      <w:marTop w:val="0"/>
      <w:marBottom w:val="0"/>
      <w:divBdr>
        <w:top w:val="none" w:sz="0" w:space="0" w:color="auto"/>
        <w:left w:val="none" w:sz="0" w:space="0" w:color="auto"/>
        <w:bottom w:val="none" w:sz="0" w:space="0" w:color="auto"/>
        <w:right w:val="none" w:sz="0" w:space="0" w:color="auto"/>
      </w:divBdr>
    </w:div>
    <w:div w:id="916524878">
      <w:bodyDiv w:val="1"/>
      <w:marLeft w:val="0"/>
      <w:marRight w:val="0"/>
      <w:marTop w:val="0"/>
      <w:marBottom w:val="0"/>
      <w:divBdr>
        <w:top w:val="none" w:sz="0" w:space="0" w:color="auto"/>
        <w:left w:val="none" w:sz="0" w:space="0" w:color="auto"/>
        <w:bottom w:val="none" w:sz="0" w:space="0" w:color="auto"/>
        <w:right w:val="none" w:sz="0" w:space="0" w:color="auto"/>
      </w:divBdr>
    </w:div>
    <w:div w:id="966736093">
      <w:bodyDiv w:val="1"/>
      <w:marLeft w:val="0"/>
      <w:marRight w:val="0"/>
      <w:marTop w:val="0"/>
      <w:marBottom w:val="0"/>
      <w:divBdr>
        <w:top w:val="none" w:sz="0" w:space="0" w:color="auto"/>
        <w:left w:val="none" w:sz="0" w:space="0" w:color="auto"/>
        <w:bottom w:val="none" w:sz="0" w:space="0" w:color="auto"/>
        <w:right w:val="none" w:sz="0" w:space="0" w:color="auto"/>
      </w:divBdr>
    </w:div>
    <w:div w:id="997612217">
      <w:bodyDiv w:val="1"/>
      <w:marLeft w:val="0"/>
      <w:marRight w:val="0"/>
      <w:marTop w:val="0"/>
      <w:marBottom w:val="0"/>
      <w:divBdr>
        <w:top w:val="none" w:sz="0" w:space="0" w:color="auto"/>
        <w:left w:val="none" w:sz="0" w:space="0" w:color="auto"/>
        <w:bottom w:val="none" w:sz="0" w:space="0" w:color="auto"/>
        <w:right w:val="none" w:sz="0" w:space="0" w:color="auto"/>
      </w:divBdr>
    </w:div>
    <w:div w:id="1050298469">
      <w:bodyDiv w:val="1"/>
      <w:marLeft w:val="0"/>
      <w:marRight w:val="0"/>
      <w:marTop w:val="0"/>
      <w:marBottom w:val="0"/>
      <w:divBdr>
        <w:top w:val="none" w:sz="0" w:space="0" w:color="auto"/>
        <w:left w:val="none" w:sz="0" w:space="0" w:color="auto"/>
        <w:bottom w:val="none" w:sz="0" w:space="0" w:color="auto"/>
        <w:right w:val="none" w:sz="0" w:space="0" w:color="auto"/>
      </w:divBdr>
    </w:div>
    <w:div w:id="1105930284">
      <w:bodyDiv w:val="1"/>
      <w:marLeft w:val="0"/>
      <w:marRight w:val="0"/>
      <w:marTop w:val="0"/>
      <w:marBottom w:val="0"/>
      <w:divBdr>
        <w:top w:val="none" w:sz="0" w:space="0" w:color="auto"/>
        <w:left w:val="none" w:sz="0" w:space="0" w:color="auto"/>
        <w:bottom w:val="none" w:sz="0" w:space="0" w:color="auto"/>
        <w:right w:val="none" w:sz="0" w:space="0" w:color="auto"/>
      </w:divBdr>
    </w:div>
    <w:div w:id="1132210765">
      <w:bodyDiv w:val="1"/>
      <w:marLeft w:val="0"/>
      <w:marRight w:val="0"/>
      <w:marTop w:val="0"/>
      <w:marBottom w:val="0"/>
      <w:divBdr>
        <w:top w:val="none" w:sz="0" w:space="0" w:color="auto"/>
        <w:left w:val="none" w:sz="0" w:space="0" w:color="auto"/>
        <w:bottom w:val="none" w:sz="0" w:space="0" w:color="auto"/>
        <w:right w:val="none" w:sz="0" w:space="0" w:color="auto"/>
      </w:divBdr>
    </w:div>
    <w:div w:id="1221673140">
      <w:bodyDiv w:val="1"/>
      <w:marLeft w:val="0"/>
      <w:marRight w:val="0"/>
      <w:marTop w:val="0"/>
      <w:marBottom w:val="0"/>
      <w:divBdr>
        <w:top w:val="none" w:sz="0" w:space="0" w:color="auto"/>
        <w:left w:val="none" w:sz="0" w:space="0" w:color="auto"/>
        <w:bottom w:val="none" w:sz="0" w:space="0" w:color="auto"/>
        <w:right w:val="none" w:sz="0" w:space="0" w:color="auto"/>
      </w:divBdr>
    </w:div>
    <w:div w:id="1229682430">
      <w:bodyDiv w:val="1"/>
      <w:marLeft w:val="0"/>
      <w:marRight w:val="0"/>
      <w:marTop w:val="0"/>
      <w:marBottom w:val="0"/>
      <w:divBdr>
        <w:top w:val="none" w:sz="0" w:space="0" w:color="auto"/>
        <w:left w:val="none" w:sz="0" w:space="0" w:color="auto"/>
        <w:bottom w:val="none" w:sz="0" w:space="0" w:color="auto"/>
        <w:right w:val="none" w:sz="0" w:space="0" w:color="auto"/>
      </w:divBdr>
    </w:div>
    <w:div w:id="1296058382">
      <w:bodyDiv w:val="1"/>
      <w:marLeft w:val="0"/>
      <w:marRight w:val="0"/>
      <w:marTop w:val="0"/>
      <w:marBottom w:val="0"/>
      <w:divBdr>
        <w:top w:val="none" w:sz="0" w:space="0" w:color="auto"/>
        <w:left w:val="none" w:sz="0" w:space="0" w:color="auto"/>
        <w:bottom w:val="none" w:sz="0" w:space="0" w:color="auto"/>
        <w:right w:val="none" w:sz="0" w:space="0" w:color="auto"/>
      </w:divBdr>
    </w:div>
    <w:div w:id="1379433095">
      <w:bodyDiv w:val="1"/>
      <w:marLeft w:val="0"/>
      <w:marRight w:val="0"/>
      <w:marTop w:val="0"/>
      <w:marBottom w:val="0"/>
      <w:divBdr>
        <w:top w:val="none" w:sz="0" w:space="0" w:color="auto"/>
        <w:left w:val="none" w:sz="0" w:space="0" w:color="auto"/>
        <w:bottom w:val="none" w:sz="0" w:space="0" w:color="auto"/>
        <w:right w:val="none" w:sz="0" w:space="0" w:color="auto"/>
      </w:divBdr>
    </w:div>
    <w:div w:id="1455103462">
      <w:bodyDiv w:val="1"/>
      <w:marLeft w:val="0"/>
      <w:marRight w:val="0"/>
      <w:marTop w:val="0"/>
      <w:marBottom w:val="0"/>
      <w:divBdr>
        <w:top w:val="none" w:sz="0" w:space="0" w:color="auto"/>
        <w:left w:val="none" w:sz="0" w:space="0" w:color="auto"/>
        <w:bottom w:val="none" w:sz="0" w:space="0" w:color="auto"/>
        <w:right w:val="none" w:sz="0" w:space="0" w:color="auto"/>
      </w:divBdr>
    </w:div>
    <w:div w:id="1461997063">
      <w:bodyDiv w:val="1"/>
      <w:marLeft w:val="0"/>
      <w:marRight w:val="0"/>
      <w:marTop w:val="0"/>
      <w:marBottom w:val="0"/>
      <w:divBdr>
        <w:top w:val="none" w:sz="0" w:space="0" w:color="auto"/>
        <w:left w:val="none" w:sz="0" w:space="0" w:color="auto"/>
        <w:bottom w:val="none" w:sz="0" w:space="0" w:color="auto"/>
        <w:right w:val="none" w:sz="0" w:space="0" w:color="auto"/>
      </w:divBdr>
    </w:div>
    <w:div w:id="1485076633">
      <w:bodyDiv w:val="1"/>
      <w:marLeft w:val="0"/>
      <w:marRight w:val="0"/>
      <w:marTop w:val="0"/>
      <w:marBottom w:val="0"/>
      <w:divBdr>
        <w:top w:val="none" w:sz="0" w:space="0" w:color="auto"/>
        <w:left w:val="none" w:sz="0" w:space="0" w:color="auto"/>
        <w:bottom w:val="none" w:sz="0" w:space="0" w:color="auto"/>
        <w:right w:val="none" w:sz="0" w:space="0" w:color="auto"/>
      </w:divBdr>
    </w:div>
    <w:div w:id="1513835799">
      <w:bodyDiv w:val="1"/>
      <w:marLeft w:val="0"/>
      <w:marRight w:val="0"/>
      <w:marTop w:val="0"/>
      <w:marBottom w:val="0"/>
      <w:divBdr>
        <w:top w:val="none" w:sz="0" w:space="0" w:color="auto"/>
        <w:left w:val="none" w:sz="0" w:space="0" w:color="auto"/>
        <w:bottom w:val="none" w:sz="0" w:space="0" w:color="auto"/>
        <w:right w:val="none" w:sz="0" w:space="0" w:color="auto"/>
      </w:divBdr>
    </w:div>
    <w:div w:id="1567304326">
      <w:bodyDiv w:val="1"/>
      <w:marLeft w:val="0"/>
      <w:marRight w:val="0"/>
      <w:marTop w:val="0"/>
      <w:marBottom w:val="0"/>
      <w:divBdr>
        <w:top w:val="none" w:sz="0" w:space="0" w:color="auto"/>
        <w:left w:val="none" w:sz="0" w:space="0" w:color="auto"/>
        <w:bottom w:val="none" w:sz="0" w:space="0" w:color="auto"/>
        <w:right w:val="none" w:sz="0" w:space="0" w:color="auto"/>
      </w:divBdr>
    </w:div>
    <w:div w:id="1673294271">
      <w:bodyDiv w:val="1"/>
      <w:marLeft w:val="0"/>
      <w:marRight w:val="0"/>
      <w:marTop w:val="0"/>
      <w:marBottom w:val="0"/>
      <w:divBdr>
        <w:top w:val="none" w:sz="0" w:space="0" w:color="auto"/>
        <w:left w:val="none" w:sz="0" w:space="0" w:color="auto"/>
        <w:bottom w:val="none" w:sz="0" w:space="0" w:color="auto"/>
        <w:right w:val="none" w:sz="0" w:space="0" w:color="auto"/>
      </w:divBdr>
    </w:div>
    <w:div w:id="1726878688">
      <w:bodyDiv w:val="1"/>
      <w:marLeft w:val="0"/>
      <w:marRight w:val="0"/>
      <w:marTop w:val="0"/>
      <w:marBottom w:val="0"/>
      <w:divBdr>
        <w:top w:val="none" w:sz="0" w:space="0" w:color="auto"/>
        <w:left w:val="none" w:sz="0" w:space="0" w:color="auto"/>
        <w:bottom w:val="none" w:sz="0" w:space="0" w:color="auto"/>
        <w:right w:val="none" w:sz="0" w:space="0" w:color="auto"/>
      </w:divBdr>
    </w:div>
    <w:div w:id="1750693866">
      <w:bodyDiv w:val="1"/>
      <w:marLeft w:val="0"/>
      <w:marRight w:val="0"/>
      <w:marTop w:val="0"/>
      <w:marBottom w:val="0"/>
      <w:divBdr>
        <w:top w:val="none" w:sz="0" w:space="0" w:color="auto"/>
        <w:left w:val="none" w:sz="0" w:space="0" w:color="auto"/>
        <w:bottom w:val="none" w:sz="0" w:space="0" w:color="auto"/>
        <w:right w:val="none" w:sz="0" w:space="0" w:color="auto"/>
      </w:divBdr>
    </w:div>
    <w:div w:id="1793287607">
      <w:bodyDiv w:val="1"/>
      <w:marLeft w:val="0"/>
      <w:marRight w:val="0"/>
      <w:marTop w:val="0"/>
      <w:marBottom w:val="0"/>
      <w:divBdr>
        <w:top w:val="none" w:sz="0" w:space="0" w:color="auto"/>
        <w:left w:val="none" w:sz="0" w:space="0" w:color="auto"/>
        <w:bottom w:val="none" w:sz="0" w:space="0" w:color="auto"/>
        <w:right w:val="none" w:sz="0" w:space="0" w:color="auto"/>
      </w:divBdr>
    </w:div>
    <w:div w:id="1795174233">
      <w:bodyDiv w:val="1"/>
      <w:marLeft w:val="0"/>
      <w:marRight w:val="0"/>
      <w:marTop w:val="0"/>
      <w:marBottom w:val="0"/>
      <w:divBdr>
        <w:top w:val="none" w:sz="0" w:space="0" w:color="auto"/>
        <w:left w:val="none" w:sz="0" w:space="0" w:color="auto"/>
        <w:bottom w:val="none" w:sz="0" w:space="0" w:color="auto"/>
        <w:right w:val="none" w:sz="0" w:space="0" w:color="auto"/>
      </w:divBdr>
    </w:div>
    <w:div w:id="1855532205">
      <w:bodyDiv w:val="1"/>
      <w:marLeft w:val="0"/>
      <w:marRight w:val="0"/>
      <w:marTop w:val="0"/>
      <w:marBottom w:val="0"/>
      <w:divBdr>
        <w:top w:val="none" w:sz="0" w:space="0" w:color="auto"/>
        <w:left w:val="none" w:sz="0" w:space="0" w:color="auto"/>
        <w:bottom w:val="none" w:sz="0" w:space="0" w:color="auto"/>
        <w:right w:val="none" w:sz="0" w:space="0" w:color="auto"/>
      </w:divBdr>
    </w:div>
    <w:div w:id="1864974902">
      <w:bodyDiv w:val="1"/>
      <w:marLeft w:val="0"/>
      <w:marRight w:val="0"/>
      <w:marTop w:val="0"/>
      <w:marBottom w:val="0"/>
      <w:divBdr>
        <w:top w:val="none" w:sz="0" w:space="0" w:color="auto"/>
        <w:left w:val="none" w:sz="0" w:space="0" w:color="auto"/>
        <w:bottom w:val="none" w:sz="0" w:space="0" w:color="auto"/>
        <w:right w:val="none" w:sz="0" w:space="0" w:color="auto"/>
      </w:divBdr>
    </w:div>
    <w:div w:id="1890069058">
      <w:bodyDiv w:val="1"/>
      <w:marLeft w:val="0"/>
      <w:marRight w:val="0"/>
      <w:marTop w:val="0"/>
      <w:marBottom w:val="0"/>
      <w:divBdr>
        <w:top w:val="none" w:sz="0" w:space="0" w:color="auto"/>
        <w:left w:val="none" w:sz="0" w:space="0" w:color="auto"/>
        <w:bottom w:val="none" w:sz="0" w:space="0" w:color="auto"/>
        <w:right w:val="none" w:sz="0" w:space="0" w:color="auto"/>
      </w:divBdr>
    </w:div>
    <w:div w:id="1934701863">
      <w:bodyDiv w:val="1"/>
      <w:marLeft w:val="0"/>
      <w:marRight w:val="0"/>
      <w:marTop w:val="0"/>
      <w:marBottom w:val="0"/>
      <w:divBdr>
        <w:top w:val="none" w:sz="0" w:space="0" w:color="auto"/>
        <w:left w:val="none" w:sz="0" w:space="0" w:color="auto"/>
        <w:bottom w:val="none" w:sz="0" w:space="0" w:color="auto"/>
        <w:right w:val="none" w:sz="0" w:space="0" w:color="auto"/>
      </w:divBdr>
    </w:div>
    <w:div w:id="1936592479">
      <w:bodyDiv w:val="1"/>
      <w:marLeft w:val="0"/>
      <w:marRight w:val="0"/>
      <w:marTop w:val="0"/>
      <w:marBottom w:val="0"/>
      <w:divBdr>
        <w:top w:val="none" w:sz="0" w:space="0" w:color="auto"/>
        <w:left w:val="none" w:sz="0" w:space="0" w:color="auto"/>
        <w:bottom w:val="none" w:sz="0" w:space="0" w:color="auto"/>
        <w:right w:val="none" w:sz="0" w:space="0" w:color="auto"/>
      </w:divBdr>
    </w:div>
    <w:div w:id="1948123806">
      <w:bodyDiv w:val="1"/>
      <w:marLeft w:val="0"/>
      <w:marRight w:val="0"/>
      <w:marTop w:val="0"/>
      <w:marBottom w:val="0"/>
      <w:divBdr>
        <w:top w:val="none" w:sz="0" w:space="0" w:color="auto"/>
        <w:left w:val="none" w:sz="0" w:space="0" w:color="auto"/>
        <w:bottom w:val="none" w:sz="0" w:space="0" w:color="auto"/>
        <w:right w:val="none" w:sz="0" w:space="0" w:color="auto"/>
      </w:divBdr>
    </w:div>
    <w:div w:id="1948343386">
      <w:bodyDiv w:val="1"/>
      <w:marLeft w:val="0"/>
      <w:marRight w:val="0"/>
      <w:marTop w:val="0"/>
      <w:marBottom w:val="0"/>
      <w:divBdr>
        <w:top w:val="none" w:sz="0" w:space="0" w:color="auto"/>
        <w:left w:val="none" w:sz="0" w:space="0" w:color="auto"/>
        <w:bottom w:val="none" w:sz="0" w:space="0" w:color="auto"/>
        <w:right w:val="none" w:sz="0" w:space="0" w:color="auto"/>
      </w:divBdr>
    </w:div>
    <w:div w:id="1993672917">
      <w:bodyDiv w:val="1"/>
      <w:marLeft w:val="0"/>
      <w:marRight w:val="0"/>
      <w:marTop w:val="0"/>
      <w:marBottom w:val="0"/>
      <w:divBdr>
        <w:top w:val="none" w:sz="0" w:space="0" w:color="auto"/>
        <w:left w:val="none" w:sz="0" w:space="0" w:color="auto"/>
        <w:bottom w:val="none" w:sz="0" w:space="0" w:color="auto"/>
        <w:right w:val="none" w:sz="0" w:space="0" w:color="auto"/>
      </w:divBdr>
    </w:div>
    <w:div w:id="2054423432">
      <w:bodyDiv w:val="1"/>
      <w:marLeft w:val="0"/>
      <w:marRight w:val="0"/>
      <w:marTop w:val="0"/>
      <w:marBottom w:val="0"/>
      <w:divBdr>
        <w:top w:val="none" w:sz="0" w:space="0" w:color="auto"/>
        <w:left w:val="none" w:sz="0" w:space="0" w:color="auto"/>
        <w:bottom w:val="none" w:sz="0" w:space="0" w:color="auto"/>
        <w:right w:val="none" w:sz="0" w:space="0" w:color="auto"/>
      </w:divBdr>
    </w:div>
    <w:div w:id="2059357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s://www.cgc.gov.au/reports-for-government/2020-review"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emf"/><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ncver.edu.au/about/about-ncver/about-our-dat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7.emf"/><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ncver.edu.au/about/about-ncver/about-our-researc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ncver.edu.au/research-and-statistics/publications/all-publications/revising-course-mix-weight-methodology-for-the-annual-national-report" TargetMode="External"/><Relationship Id="rId1" Type="http://schemas.openxmlformats.org/officeDocument/2006/relationships/hyperlink" Target="https://www.ncver.edu.au/about-ncver/about-u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rina.Baldock\Downloads\UPDATED%20AP%202023-07%20Assessment%20Consultation%20Paper%20-%20Post-secondary%20educa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0229631F80714C9595CC742C6B48E8" ma:contentTypeVersion="16" ma:contentTypeDescription="Create a new document." ma:contentTypeScope="" ma:versionID="587377675d66a617c05529d80887533c">
  <xsd:schema xmlns:xsd="http://www.w3.org/2001/XMLSchema" xmlns:xs="http://www.w3.org/2001/XMLSchema" xmlns:p="http://schemas.microsoft.com/office/2006/metadata/properties" xmlns:ns2="b947e97b-0e0d-4a37-b7a7-c36958e104ca" xmlns:ns3="cde6150a-2887-4330-9d33-41179dba62e9" targetNamespace="http://schemas.microsoft.com/office/2006/metadata/properties" ma:root="true" ma:fieldsID="6ef3d4c26885e350e4ca4a1c7d57392c" ns2:_="" ns3:_="">
    <xsd:import namespace="b947e97b-0e0d-4a37-b7a7-c36958e104ca"/>
    <xsd:import namespace="cde6150a-2887-4330-9d33-41179dba62e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47e97b-0e0d-4a37-b7a7-c36958e104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8a0b90d-15e3-4b68-b4ed-e1e0d46dd53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de6150a-2887-4330-9d33-41179dba62e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5da1c902-3ee1-4304-9c6c-5526e8376569}" ma:internalName="TaxCatchAll" ma:showField="CatchAllData" ma:web="cde6150a-2887-4330-9d33-41179dba62e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cde6150a-2887-4330-9d33-41179dba62e9">
      <UserInfo>
        <DisplayName>Dermot Doherty</DisplayName>
        <AccountId>30</AccountId>
        <AccountType/>
      </UserInfo>
    </SharedWithUsers>
    <TaxCatchAll xmlns="cde6150a-2887-4330-9d33-41179dba62e9" xsi:nil="true"/>
    <lcf76f155ced4ddcb4097134ff3c332f xmlns="b947e97b-0e0d-4a37-b7a7-c36958e104c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C7235E3-D109-41FC-A241-5C1049DDB5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47e97b-0e0d-4a37-b7a7-c36958e104ca"/>
    <ds:schemaRef ds:uri="cde6150a-2887-4330-9d33-41179dba62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291E0D-5249-4EB3-A667-BC88029BF320}">
  <ds:schemaRefs>
    <ds:schemaRef ds:uri="http://schemas.openxmlformats.org/officeDocument/2006/bibliography"/>
  </ds:schemaRefs>
</ds:datastoreItem>
</file>

<file path=customXml/itemProps3.xml><?xml version="1.0" encoding="utf-8"?>
<ds:datastoreItem xmlns:ds="http://schemas.openxmlformats.org/officeDocument/2006/customXml" ds:itemID="{0DF9C94A-53B2-4B40-BB19-46D4024B11F1}">
  <ds:schemaRefs>
    <ds:schemaRef ds:uri="http://schemas.microsoft.com/sharepoint/v3/contenttype/forms"/>
  </ds:schemaRefs>
</ds:datastoreItem>
</file>

<file path=customXml/itemProps4.xml><?xml version="1.0" encoding="utf-8"?>
<ds:datastoreItem xmlns:ds="http://schemas.openxmlformats.org/officeDocument/2006/customXml" ds:itemID="{ED2A4F8F-140F-4856-8B9E-31DCD427886D}">
  <ds:schemaRefs>
    <ds:schemaRef ds:uri="http://schemas.microsoft.com/office/2006/metadata/properties"/>
    <ds:schemaRef ds:uri="http://schemas.microsoft.com/office/infopath/2007/PartnerControls"/>
    <ds:schemaRef ds:uri="cde6150a-2887-4330-9d33-41179dba62e9"/>
    <ds:schemaRef ds:uri="b947e97b-0e0d-4a37-b7a7-c36958e104ca"/>
  </ds:schemaRefs>
</ds:datastoreItem>
</file>

<file path=docProps/app.xml><?xml version="1.0" encoding="utf-8"?>
<Properties xmlns="http://schemas.openxmlformats.org/officeDocument/2006/extended-properties" xmlns:vt="http://schemas.openxmlformats.org/officeDocument/2006/docPropsVTypes">
  <Template>UPDATED AP 2023-07 Assessment Consultation Paper - Post-secondary education</Template>
  <TotalTime>477</TotalTime>
  <Pages>15</Pages>
  <Words>3425</Words>
  <Characters>19528</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vt:lpstr>
    </vt:vector>
  </TitlesOfParts>
  <Company>Hewlett-Packard Company</Company>
  <LinksUpToDate>false</LinksUpToDate>
  <CharactersWithSpaces>22908</CharactersWithSpaces>
  <SharedDoc>false</SharedDoc>
  <HLinks>
    <vt:vector size="132" baseType="variant">
      <vt:variant>
        <vt:i4>786522</vt:i4>
      </vt:variant>
      <vt:variant>
        <vt:i4>138</vt:i4>
      </vt:variant>
      <vt:variant>
        <vt:i4>0</vt:i4>
      </vt:variant>
      <vt:variant>
        <vt:i4>5</vt:i4>
      </vt:variant>
      <vt:variant>
        <vt:lpwstr>https://www.cgc.gov.au/reports-for-government/2020-review</vt:lpwstr>
      </vt:variant>
      <vt:variant>
        <vt:lpwstr/>
      </vt:variant>
      <vt:variant>
        <vt:i4>4325468</vt:i4>
      </vt:variant>
      <vt:variant>
        <vt:i4>114</vt:i4>
      </vt:variant>
      <vt:variant>
        <vt:i4>0</vt:i4>
      </vt:variant>
      <vt:variant>
        <vt:i4>5</vt:i4>
      </vt:variant>
      <vt:variant>
        <vt:lpwstr>https://www.ncver.edu.au/about/about-ncver/about-our-data</vt:lpwstr>
      </vt:variant>
      <vt:variant>
        <vt:lpwstr/>
      </vt:variant>
      <vt:variant>
        <vt:i4>5308495</vt:i4>
      </vt:variant>
      <vt:variant>
        <vt:i4>111</vt:i4>
      </vt:variant>
      <vt:variant>
        <vt:i4>0</vt:i4>
      </vt:variant>
      <vt:variant>
        <vt:i4>5</vt:i4>
      </vt:variant>
      <vt:variant>
        <vt:lpwstr>https://www.ncver.edu.au/about/about-ncver/about-our-research</vt:lpwstr>
      </vt:variant>
      <vt:variant>
        <vt:lpwstr/>
      </vt:variant>
      <vt:variant>
        <vt:i4>1245235</vt:i4>
      </vt:variant>
      <vt:variant>
        <vt:i4>98</vt:i4>
      </vt:variant>
      <vt:variant>
        <vt:i4>0</vt:i4>
      </vt:variant>
      <vt:variant>
        <vt:i4>5</vt:i4>
      </vt:variant>
      <vt:variant>
        <vt:lpwstr/>
      </vt:variant>
      <vt:variant>
        <vt:lpwstr>_Toc137639683</vt:lpwstr>
      </vt:variant>
      <vt:variant>
        <vt:i4>1245235</vt:i4>
      </vt:variant>
      <vt:variant>
        <vt:i4>92</vt:i4>
      </vt:variant>
      <vt:variant>
        <vt:i4>0</vt:i4>
      </vt:variant>
      <vt:variant>
        <vt:i4>5</vt:i4>
      </vt:variant>
      <vt:variant>
        <vt:lpwstr/>
      </vt:variant>
      <vt:variant>
        <vt:lpwstr>_Toc137639682</vt:lpwstr>
      </vt:variant>
      <vt:variant>
        <vt:i4>1245235</vt:i4>
      </vt:variant>
      <vt:variant>
        <vt:i4>86</vt:i4>
      </vt:variant>
      <vt:variant>
        <vt:i4>0</vt:i4>
      </vt:variant>
      <vt:variant>
        <vt:i4>5</vt:i4>
      </vt:variant>
      <vt:variant>
        <vt:lpwstr/>
      </vt:variant>
      <vt:variant>
        <vt:lpwstr>_Toc137639681</vt:lpwstr>
      </vt:variant>
      <vt:variant>
        <vt:i4>1245235</vt:i4>
      </vt:variant>
      <vt:variant>
        <vt:i4>80</vt:i4>
      </vt:variant>
      <vt:variant>
        <vt:i4>0</vt:i4>
      </vt:variant>
      <vt:variant>
        <vt:i4>5</vt:i4>
      </vt:variant>
      <vt:variant>
        <vt:lpwstr/>
      </vt:variant>
      <vt:variant>
        <vt:lpwstr>_Toc137639680</vt:lpwstr>
      </vt:variant>
      <vt:variant>
        <vt:i4>1835059</vt:i4>
      </vt:variant>
      <vt:variant>
        <vt:i4>74</vt:i4>
      </vt:variant>
      <vt:variant>
        <vt:i4>0</vt:i4>
      </vt:variant>
      <vt:variant>
        <vt:i4>5</vt:i4>
      </vt:variant>
      <vt:variant>
        <vt:lpwstr/>
      </vt:variant>
      <vt:variant>
        <vt:lpwstr>_Toc137639679</vt:lpwstr>
      </vt:variant>
      <vt:variant>
        <vt:i4>1835059</vt:i4>
      </vt:variant>
      <vt:variant>
        <vt:i4>68</vt:i4>
      </vt:variant>
      <vt:variant>
        <vt:i4>0</vt:i4>
      </vt:variant>
      <vt:variant>
        <vt:i4>5</vt:i4>
      </vt:variant>
      <vt:variant>
        <vt:lpwstr/>
      </vt:variant>
      <vt:variant>
        <vt:lpwstr>_Toc137639678</vt:lpwstr>
      </vt:variant>
      <vt:variant>
        <vt:i4>1835059</vt:i4>
      </vt:variant>
      <vt:variant>
        <vt:i4>62</vt:i4>
      </vt:variant>
      <vt:variant>
        <vt:i4>0</vt:i4>
      </vt:variant>
      <vt:variant>
        <vt:i4>5</vt:i4>
      </vt:variant>
      <vt:variant>
        <vt:lpwstr/>
      </vt:variant>
      <vt:variant>
        <vt:lpwstr>_Toc137639677</vt:lpwstr>
      </vt:variant>
      <vt:variant>
        <vt:i4>1835059</vt:i4>
      </vt:variant>
      <vt:variant>
        <vt:i4>56</vt:i4>
      </vt:variant>
      <vt:variant>
        <vt:i4>0</vt:i4>
      </vt:variant>
      <vt:variant>
        <vt:i4>5</vt:i4>
      </vt:variant>
      <vt:variant>
        <vt:lpwstr/>
      </vt:variant>
      <vt:variant>
        <vt:lpwstr>_Toc137639676</vt:lpwstr>
      </vt:variant>
      <vt:variant>
        <vt:i4>1835059</vt:i4>
      </vt:variant>
      <vt:variant>
        <vt:i4>50</vt:i4>
      </vt:variant>
      <vt:variant>
        <vt:i4>0</vt:i4>
      </vt:variant>
      <vt:variant>
        <vt:i4>5</vt:i4>
      </vt:variant>
      <vt:variant>
        <vt:lpwstr/>
      </vt:variant>
      <vt:variant>
        <vt:lpwstr>_Toc137639675</vt:lpwstr>
      </vt:variant>
      <vt:variant>
        <vt:i4>1835059</vt:i4>
      </vt:variant>
      <vt:variant>
        <vt:i4>44</vt:i4>
      </vt:variant>
      <vt:variant>
        <vt:i4>0</vt:i4>
      </vt:variant>
      <vt:variant>
        <vt:i4>5</vt:i4>
      </vt:variant>
      <vt:variant>
        <vt:lpwstr/>
      </vt:variant>
      <vt:variant>
        <vt:lpwstr>_Toc137639674</vt:lpwstr>
      </vt:variant>
      <vt:variant>
        <vt:i4>1835059</vt:i4>
      </vt:variant>
      <vt:variant>
        <vt:i4>38</vt:i4>
      </vt:variant>
      <vt:variant>
        <vt:i4>0</vt:i4>
      </vt:variant>
      <vt:variant>
        <vt:i4>5</vt:i4>
      </vt:variant>
      <vt:variant>
        <vt:lpwstr/>
      </vt:variant>
      <vt:variant>
        <vt:lpwstr>_Toc137639673</vt:lpwstr>
      </vt:variant>
      <vt:variant>
        <vt:i4>1835059</vt:i4>
      </vt:variant>
      <vt:variant>
        <vt:i4>32</vt:i4>
      </vt:variant>
      <vt:variant>
        <vt:i4>0</vt:i4>
      </vt:variant>
      <vt:variant>
        <vt:i4>5</vt:i4>
      </vt:variant>
      <vt:variant>
        <vt:lpwstr/>
      </vt:variant>
      <vt:variant>
        <vt:lpwstr>_Toc137639672</vt:lpwstr>
      </vt:variant>
      <vt:variant>
        <vt:i4>1835059</vt:i4>
      </vt:variant>
      <vt:variant>
        <vt:i4>26</vt:i4>
      </vt:variant>
      <vt:variant>
        <vt:i4>0</vt:i4>
      </vt:variant>
      <vt:variant>
        <vt:i4>5</vt:i4>
      </vt:variant>
      <vt:variant>
        <vt:lpwstr/>
      </vt:variant>
      <vt:variant>
        <vt:lpwstr>_Toc137639671</vt:lpwstr>
      </vt:variant>
      <vt:variant>
        <vt:i4>1835059</vt:i4>
      </vt:variant>
      <vt:variant>
        <vt:i4>20</vt:i4>
      </vt:variant>
      <vt:variant>
        <vt:i4>0</vt:i4>
      </vt:variant>
      <vt:variant>
        <vt:i4>5</vt:i4>
      </vt:variant>
      <vt:variant>
        <vt:lpwstr/>
      </vt:variant>
      <vt:variant>
        <vt:lpwstr>_Toc137639670</vt:lpwstr>
      </vt:variant>
      <vt:variant>
        <vt:i4>1900595</vt:i4>
      </vt:variant>
      <vt:variant>
        <vt:i4>14</vt:i4>
      </vt:variant>
      <vt:variant>
        <vt:i4>0</vt:i4>
      </vt:variant>
      <vt:variant>
        <vt:i4>5</vt:i4>
      </vt:variant>
      <vt:variant>
        <vt:lpwstr/>
      </vt:variant>
      <vt:variant>
        <vt:lpwstr>_Toc137639669</vt:lpwstr>
      </vt:variant>
      <vt:variant>
        <vt:i4>1900595</vt:i4>
      </vt:variant>
      <vt:variant>
        <vt:i4>8</vt:i4>
      </vt:variant>
      <vt:variant>
        <vt:i4>0</vt:i4>
      </vt:variant>
      <vt:variant>
        <vt:i4>5</vt:i4>
      </vt:variant>
      <vt:variant>
        <vt:lpwstr/>
      </vt:variant>
      <vt:variant>
        <vt:lpwstr>_Toc137639668</vt:lpwstr>
      </vt:variant>
      <vt:variant>
        <vt:i4>1900595</vt:i4>
      </vt:variant>
      <vt:variant>
        <vt:i4>2</vt:i4>
      </vt:variant>
      <vt:variant>
        <vt:i4>0</vt:i4>
      </vt:variant>
      <vt:variant>
        <vt:i4>5</vt:i4>
      </vt:variant>
      <vt:variant>
        <vt:lpwstr/>
      </vt:variant>
      <vt:variant>
        <vt:lpwstr>_Toc137639667</vt:lpwstr>
      </vt:variant>
      <vt:variant>
        <vt:i4>4194382</vt:i4>
      </vt:variant>
      <vt:variant>
        <vt:i4>3</vt:i4>
      </vt:variant>
      <vt:variant>
        <vt:i4>0</vt:i4>
      </vt:variant>
      <vt:variant>
        <vt:i4>5</vt:i4>
      </vt:variant>
      <vt:variant>
        <vt:lpwstr>https://www.ncver.edu.au/research-and-statistics/publications/all-publications/revising-course-mix-weight-methodology-for-the-annual-national-report</vt:lpwstr>
      </vt:variant>
      <vt:variant>
        <vt:lpwstr/>
      </vt:variant>
      <vt:variant>
        <vt:i4>4194397</vt:i4>
      </vt:variant>
      <vt:variant>
        <vt:i4>0</vt:i4>
      </vt:variant>
      <vt:variant>
        <vt:i4>0</vt:i4>
      </vt:variant>
      <vt:variant>
        <vt:i4>5</vt:i4>
      </vt:variant>
      <vt:variant>
        <vt:lpwstr>https://www.ncver.edu.au/about-ncver/about-us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Katrina Baldock</dc:creator>
  <cp:keywords/>
  <cp:lastModifiedBy>Katrina Baldock</cp:lastModifiedBy>
  <cp:revision>226</cp:revision>
  <cp:lastPrinted>2023-06-19T23:37:00Z</cp:lastPrinted>
  <dcterms:created xsi:type="dcterms:W3CDTF">2023-05-05T02:33:00Z</dcterms:created>
  <dcterms:modified xsi:type="dcterms:W3CDTF">2023-06-19T23:38:00Z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0x010100E60229631F80714C9595CC742C6B48E8</vt:lpwstr>
  </property>
  <property fmtid="{D5CDD505-2E9C-101B-9397-08002B2CF9AE}" pid="3" name="MediaServiceImageTags">
    <vt:lpwstr/>
  </property>
  <property fmtid="{D5CDD505-2E9C-101B-9397-08002B2CF9AE}" pid="4" name="Order">
    <vt:r8>86000600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_ColorTag">
    <vt:lpwstr/>
  </property>
  <property fmtid="{D5CDD505-2E9C-101B-9397-08002B2CF9AE}" pid="12" name="_ColorHex">
    <vt:lpwstr/>
  </property>
  <property fmtid="{D5CDD505-2E9C-101B-9397-08002B2CF9AE}" pid="13" name="_Emoji">
    <vt:lpwstr/>
  </property>
</Properties>
</file>