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drawings/drawing1.xml" ContentType="application/vnd.openxmlformats-officedocument.drawingml.chartshapes+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drawings/drawing2.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11EE1F" w14:textId="7F9E58DB" w:rsidR="00F93866" w:rsidRPr="00F93866" w:rsidRDefault="00F93866" w:rsidP="00F93866">
      <w:pPr>
        <w:rPr>
          <w:rFonts w:ascii="Work Sans" w:hAnsi="Work Sans"/>
          <w:sz w:val="24"/>
          <w:szCs w:val="24"/>
        </w:rPr>
      </w:pPr>
      <w:r w:rsidRPr="00F93866">
        <w:rPr>
          <w:noProof/>
        </w:rPr>
        <w:drawing>
          <wp:anchor distT="0" distB="0" distL="114300" distR="114300" simplePos="0" relativeHeight="251658245" behindDoc="1" locked="0" layoutInCell="1" allowOverlap="1" wp14:anchorId="49D3A044" wp14:editId="0DC8AEE2">
            <wp:simplePos x="0" y="0"/>
            <wp:positionH relativeFrom="margin">
              <wp:posOffset>-915670</wp:posOffset>
            </wp:positionH>
            <wp:positionV relativeFrom="paragraph">
              <wp:posOffset>-1117600</wp:posOffset>
            </wp:positionV>
            <wp:extent cx="7725600" cy="10922400"/>
            <wp:effectExtent l="0" t="0" r="8890" b="0"/>
            <wp:wrapNone/>
            <wp:docPr id="19" name="Picture 19" descr="A picture containing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fish&#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25600" cy="10922400"/>
                    </a:xfrm>
                    <a:prstGeom prst="rect">
                      <a:avLst/>
                    </a:prstGeom>
                  </pic:spPr>
                </pic:pic>
              </a:graphicData>
            </a:graphic>
            <wp14:sizeRelH relativeFrom="margin">
              <wp14:pctWidth>0</wp14:pctWidth>
            </wp14:sizeRelH>
            <wp14:sizeRelV relativeFrom="margin">
              <wp14:pctHeight>0</wp14:pctHeight>
            </wp14:sizeRelV>
          </wp:anchor>
        </w:drawing>
      </w:r>
      <w:r w:rsidR="00BE794E">
        <w:rPr>
          <w:rFonts w:ascii="Work Sans" w:hAnsi="Work Sans"/>
          <w:sz w:val="24"/>
          <w:szCs w:val="24"/>
        </w:rPr>
        <w:t xml:space="preserve"> </w:t>
      </w:r>
      <w:r w:rsidRPr="00F93866">
        <w:rPr>
          <w:noProof/>
        </w:rPr>
        <w:drawing>
          <wp:inline distT="0" distB="0" distL="0" distR="0" wp14:anchorId="73503C23" wp14:editId="68200AD7">
            <wp:extent cx="2441749" cy="460926"/>
            <wp:effectExtent l="0" t="0" r="4445" b="0"/>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41749" cy="460926"/>
                    </a:xfrm>
                    <a:prstGeom prst="rect">
                      <a:avLst/>
                    </a:prstGeom>
                  </pic:spPr>
                </pic:pic>
              </a:graphicData>
            </a:graphic>
          </wp:inline>
        </w:drawing>
      </w:r>
    </w:p>
    <w:p w14:paraId="31E8DD5A" w14:textId="77777777" w:rsidR="00F93866" w:rsidRPr="00F93866" w:rsidRDefault="00F93866" w:rsidP="00F93866">
      <w:pPr>
        <w:rPr>
          <w:rFonts w:ascii="Work Sans" w:hAnsi="Work Sans"/>
          <w:sz w:val="24"/>
          <w:szCs w:val="24"/>
        </w:rPr>
      </w:pPr>
    </w:p>
    <w:p w14:paraId="4D80811D" w14:textId="77777777" w:rsidR="00F93866" w:rsidRPr="00F93866" w:rsidRDefault="00F93866" w:rsidP="00F93866">
      <w:pPr>
        <w:rPr>
          <w:rFonts w:ascii="Work Sans" w:hAnsi="Work Sans"/>
          <w:sz w:val="24"/>
          <w:szCs w:val="24"/>
        </w:rPr>
      </w:pPr>
    </w:p>
    <w:p w14:paraId="55E610F2" w14:textId="77777777" w:rsidR="00F93866" w:rsidRPr="00F93866" w:rsidRDefault="00F93866" w:rsidP="00F93866">
      <w:pPr>
        <w:tabs>
          <w:tab w:val="clear" w:pos="567"/>
        </w:tabs>
        <w:spacing w:after="80" w:line="320" w:lineRule="atLeast"/>
        <w:ind w:left="567" w:hanging="567"/>
        <w:rPr>
          <w:rFonts w:asciiTheme="minorHAnsi" w:hAnsiTheme="minorHAnsi"/>
          <w:sz w:val="24"/>
          <w:szCs w:val="24"/>
        </w:rPr>
      </w:pPr>
    </w:p>
    <w:p w14:paraId="762504D4" w14:textId="77777777" w:rsidR="00F93866" w:rsidRPr="00F93866" w:rsidRDefault="00F93866" w:rsidP="00F93866">
      <w:pPr>
        <w:tabs>
          <w:tab w:val="clear" w:pos="567"/>
          <w:tab w:val="left" w:pos="2515"/>
        </w:tabs>
        <w:rPr>
          <w:rFonts w:ascii="Work Sans" w:hAnsi="Work Sans"/>
          <w:sz w:val="24"/>
          <w:szCs w:val="24"/>
        </w:rPr>
      </w:pPr>
    </w:p>
    <w:p w14:paraId="05372EF5" w14:textId="77777777" w:rsidR="00F93866" w:rsidRPr="00F93866" w:rsidRDefault="00F93866" w:rsidP="00F93866">
      <w:pPr>
        <w:rPr>
          <w:rFonts w:ascii="Work Sans" w:hAnsi="Work Sans"/>
          <w:sz w:val="24"/>
          <w:szCs w:val="24"/>
        </w:rPr>
      </w:pPr>
      <w:r w:rsidRPr="00F93866">
        <w:rPr>
          <w:noProof/>
        </w:rPr>
        <mc:AlternateContent>
          <mc:Choice Requires="wps">
            <w:drawing>
              <wp:anchor distT="0" distB="0" distL="114300" distR="114300" simplePos="0" relativeHeight="251658243" behindDoc="0" locked="0" layoutInCell="1" allowOverlap="1" wp14:anchorId="304CCB53" wp14:editId="0D20F43D">
                <wp:simplePos x="0" y="0"/>
                <wp:positionH relativeFrom="margin">
                  <wp:posOffset>0</wp:posOffset>
                </wp:positionH>
                <wp:positionV relativeFrom="page">
                  <wp:posOffset>2618513</wp:posOffset>
                </wp:positionV>
                <wp:extent cx="6000750" cy="776975"/>
                <wp:effectExtent l="0" t="0" r="0" b="4445"/>
                <wp:wrapNone/>
                <wp:docPr id="13" name="Text Box 13"/>
                <wp:cNvGraphicFramePr/>
                <a:graphic xmlns:a="http://schemas.openxmlformats.org/drawingml/2006/main">
                  <a:graphicData uri="http://schemas.microsoft.com/office/word/2010/wordprocessingShape">
                    <wps:wsp>
                      <wps:cNvSpPr txBox="1"/>
                      <wps:spPr>
                        <a:xfrm>
                          <a:off x="0" y="0"/>
                          <a:ext cx="6000750" cy="776975"/>
                        </a:xfrm>
                        <a:prstGeom prst="rect">
                          <a:avLst/>
                        </a:prstGeom>
                        <a:noFill/>
                        <a:ln w="6350">
                          <a:noFill/>
                        </a:ln>
                      </wps:spPr>
                      <wps:txbx>
                        <w:txbxContent>
                          <w:p w14:paraId="4DBDD4BD" w14:textId="77777777" w:rsidR="00F93866" w:rsidRPr="00F656E3" w:rsidRDefault="00F93866" w:rsidP="00F93866">
                            <w:pPr>
                              <w:jc w:val="center"/>
                              <w:rPr>
                                <w:rFonts w:ascii="Work Sans" w:hAnsi="Work Sans" w:cs="Open Sans"/>
                                <w:b/>
                                <w:color w:val="FFFFFF"/>
                                <w:sz w:val="56"/>
                                <w:szCs w:val="56"/>
                              </w:rPr>
                            </w:pPr>
                            <w:r w:rsidRPr="00F656E3">
                              <w:rPr>
                                <w:rFonts w:ascii="Work Sans" w:hAnsi="Work Sans" w:cs="Open Sans"/>
                                <w:b/>
                                <w:color w:val="FFFFFF"/>
                                <w:sz w:val="56"/>
                                <w:szCs w:val="56"/>
                              </w:rPr>
                              <w:t xml:space="preserve">2025 </w:t>
                            </w:r>
                            <w:r w:rsidRPr="00F656E3">
                              <w:rPr>
                                <w:rFonts w:ascii="Work Sans" w:hAnsi="Work Sans" w:cs="Open Sans"/>
                                <w:b/>
                                <w:bCs/>
                                <w:color w:val="FFFFFF"/>
                                <w:sz w:val="56"/>
                                <w:szCs w:val="56"/>
                              </w:rPr>
                              <w:t xml:space="preserve">Methodology </w:t>
                            </w:r>
                            <w:r w:rsidRPr="00F656E3">
                              <w:rPr>
                                <w:rFonts w:ascii="Work Sans" w:hAnsi="Work Sans" w:cs="Open Sans"/>
                                <w:b/>
                                <w:color w:val="FFFFFF"/>
                                <w:sz w:val="56"/>
                                <w:szCs w:val="56"/>
                              </w:rPr>
                              <w:t>Review</w:t>
                            </w:r>
                          </w:p>
                          <w:p w14:paraId="0697366C" w14:textId="77777777" w:rsidR="00F93866" w:rsidRPr="00EB24B1" w:rsidRDefault="00F93866" w:rsidP="00F93866">
                            <w:pPr>
                              <w:jc w:val="center"/>
                              <w:rPr>
                                <w:rFonts w:cs="Open Sans"/>
                                <w:color w:val="FFFFFF"/>
                                <w:sz w:val="48"/>
                                <w:szCs w:val="48"/>
                              </w:rPr>
                            </w:pPr>
                            <w:r>
                              <w:rPr>
                                <w:rFonts w:cs="Open Sans"/>
                                <w:color w:val="FFFFFF"/>
                                <w:sz w:val="48"/>
                                <w:szCs w:val="4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4CCB53" id="_x0000_t202" coordsize="21600,21600" o:spt="202" path="m,l,21600r21600,l21600,xe">
                <v:stroke joinstyle="miter"/>
                <v:path gradientshapeok="t" o:connecttype="rect"/>
              </v:shapetype>
              <v:shape id="Text Box 13" o:spid="_x0000_s1026" type="#_x0000_t202" style="position:absolute;margin-left:0;margin-top:206.2pt;width:472.5pt;height:61.2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" filled="f" stroked="f" strokeweight=".5pt">
                <v:textbox>
                  <w:txbxContent>
                    <w:p w14:paraId="4DBDD4BD" w14:textId="77777777" w:rsidR="00F93866" w:rsidRPr="00F656E3" w:rsidRDefault="00F93866" w:rsidP="00F93866">
                      <w:pPr>
                        <w:jc w:val="center"/>
                        <w:rPr>
                          <w:rFonts w:ascii="Work Sans" w:hAnsi="Work Sans" w:cs="Open Sans"/>
                          <w:b/>
                          <w:color w:val="FFFFFF"/>
                          <w:sz w:val="56"/>
                          <w:szCs w:val="56"/>
                        </w:rPr>
                      </w:pPr>
                      <w:r w:rsidRPr="00F656E3">
                        <w:rPr>
                          <w:rFonts w:ascii="Work Sans" w:hAnsi="Work Sans" w:cs="Open Sans"/>
                          <w:b/>
                          <w:color w:val="FFFFFF"/>
                          <w:sz w:val="56"/>
                          <w:szCs w:val="56"/>
                        </w:rPr>
                        <w:t xml:space="preserve">2025 </w:t>
                      </w:r>
                      <w:r w:rsidRPr="00F656E3">
                        <w:rPr>
                          <w:rFonts w:ascii="Work Sans" w:hAnsi="Work Sans" w:cs="Open Sans"/>
                          <w:b/>
                          <w:bCs/>
                          <w:color w:val="FFFFFF"/>
                          <w:sz w:val="56"/>
                          <w:szCs w:val="56"/>
                        </w:rPr>
                        <w:t xml:space="preserve">Methodology </w:t>
                      </w:r>
                      <w:r w:rsidRPr="00F656E3">
                        <w:rPr>
                          <w:rFonts w:ascii="Work Sans" w:hAnsi="Work Sans" w:cs="Open Sans"/>
                          <w:b/>
                          <w:color w:val="FFFFFF"/>
                          <w:sz w:val="56"/>
                          <w:szCs w:val="56"/>
                        </w:rPr>
                        <w:t>Review</w:t>
                      </w:r>
                    </w:p>
                    <w:p w14:paraId="0697366C" w14:textId="77777777" w:rsidR="00F93866" w:rsidRPr="00EB24B1" w:rsidRDefault="00F93866" w:rsidP="00F93866">
                      <w:pPr>
                        <w:jc w:val="center"/>
                        <w:rPr>
                          <w:rFonts w:cs="Open Sans"/>
                          <w:color w:val="FFFFFF"/>
                          <w:sz w:val="48"/>
                          <w:szCs w:val="48"/>
                        </w:rPr>
                      </w:pPr>
                      <w:r>
                        <w:rPr>
                          <w:rFonts w:cs="Open Sans"/>
                          <w:color w:val="FFFFFF"/>
                          <w:sz w:val="48"/>
                          <w:szCs w:val="48"/>
                        </w:rPr>
                        <w:br/>
                      </w:r>
                    </w:p>
                  </w:txbxContent>
                </v:textbox>
                <w10:wrap anchorx="margin" anchory="page"/>
              </v:shape>
            </w:pict>
          </mc:Fallback>
        </mc:AlternateContent>
      </w:r>
    </w:p>
    <w:p w14:paraId="31111CE2" w14:textId="77777777" w:rsidR="00F93866" w:rsidRPr="00F93866" w:rsidRDefault="00F93866" w:rsidP="00F93866">
      <w:pPr>
        <w:rPr>
          <w:rFonts w:ascii="Work Sans" w:hAnsi="Work Sans"/>
          <w:sz w:val="24"/>
          <w:szCs w:val="24"/>
        </w:rPr>
      </w:pPr>
    </w:p>
    <w:p w14:paraId="788DE68F" w14:textId="77777777" w:rsidR="00F93866" w:rsidRPr="00F93866" w:rsidRDefault="00F93866" w:rsidP="00F93866">
      <w:pPr>
        <w:rPr>
          <w:rFonts w:ascii="Work Sans" w:hAnsi="Work Sans"/>
          <w:sz w:val="24"/>
          <w:szCs w:val="24"/>
        </w:rPr>
      </w:pPr>
    </w:p>
    <w:p w14:paraId="76D301B1" w14:textId="77777777" w:rsidR="00F93866" w:rsidRPr="00F93866" w:rsidRDefault="00F93866" w:rsidP="00F93866">
      <w:pPr>
        <w:rPr>
          <w:rFonts w:ascii="Work Sans" w:hAnsi="Work Sans"/>
          <w:sz w:val="24"/>
          <w:szCs w:val="24"/>
        </w:rPr>
      </w:pPr>
    </w:p>
    <w:p w14:paraId="17F4EC59" w14:textId="77777777" w:rsidR="00F93866" w:rsidRPr="00F93866" w:rsidRDefault="00F93866" w:rsidP="00F93866">
      <w:pPr>
        <w:rPr>
          <w:rFonts w:ascii="Work Sans" w:hAnsi="Work Sans"/>
          <w:sz w:val="24"/>
          <w:szCs w:val="24"/>
        </w:rPr>
      </w:pPr>
    </w:p>
    <w:p w14:paraId="2A1BCE5A" w14:textId="4B0C1CBE" w:rsidR="00F93866" w:rsidRPr="00F93866" w:rsidRDefault="00B442F6" w:rsidP="00F93866">
      <w:pPr>
        <w:rPr>
          <w:rFonts w:ascii="Work Sans" w:hAnsi="Work Sans"/>
          <w:sz w:val="24"/>
          <w:szCs w:val="24"/>
        </w:rPr>
      </w:pPr>
      <w:r w:rsidRPr="00F93866">
        <w:rPr>
          <w:noProof/>
        </w:rPr>
        <mc:AlternateContent>
          <mc:Choice Requires="wps">
            <w:drawing>
              <wp:anchor distT="0" distB="0" distL="114300" distR="114300" simplePos="0" relativeHeight="251658242" behindDoc="0" locked="0" layoutInCell="1" allowOverlap="1" wp14:anchorId="44468DC5" wp14:editId="2DAE7A4B">
                <wp:simplePos x="0" y="0"/>
                <wp:positionH relativeFrom="margin">
                  <wp:align>left</wp:align>
                </wp:positionH>
                <wp:positionV relativeFrom="page">
                  <wp:posOffset>4020185</wp:posOffset>
                </wp:positionV>
                <wp:extent cx="6000750" cy="197104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6000750" cy="1971040"/>
                        </a:xfrm>
                        <a:prstGeom prst="rect">
                          <a:avLst/>
                        </a:prstGeom>
                        <a:noFill/>
                        <a:ln w="6350">
                          <a:noFill/>
                        </a:ln>
                      </wps:spPr>
                      <wps:txbx>
                        <w:txbxContent>
                          <w:p w14:paraId="023BCBF5" w14:textId="77777777" w:rsidR="00F93866" w:rsidRPr="0036633A" w:rsidRDefault="00F93866" w:rsidP="00F93866">
                            <w:pPr>
                              <w:jc w:val="center"/>
                              <w:rPr>
                                <w:rFonts w:ascii="Work Sans" w:hAnsi="Work Sans" w:cs="Open Sans"/>
                                <w:color w:val="FFFFFF"/>
                                <w:sz w:val="52"/>
                                <w:szCs w:val="56"/>
                              </w:rPr>
                            </w:pPr>
                            <w:r>
                              <w:rPr>
                                <w:rFonts w:ascii="Work Sans" w:hAnsi="Work Sans" w:cs="Open Sans"/>
                                <w:color w:val="FFFFFF"/>
                                <w:sz w:val="52"/>
                                <w:szCs w:val="56"/>
                              </w:rPr>
                              <w:t>Transport</w:t>
                            </w:r>
                            <w:r w:rsidRPr="00545F2D">
                              <w:rPr>
                                <w:rFonts w:ascii="Work Sans" w:hAnsi="Work Sans" w:cs="Open Sans"/>
                                <w:color w:val="FFFFFF"/>
                                <w:sz w:val="52"/>
                                <w:szCs w:val="56"/>
                              </w:rPr>
                              <w:t xml:space="preserve"> consultation</w:t>
                            </w:r>
                            <w:r>
                              <w:rPr>
                                <w:rFonts w:ascii="Work Sans" w:hAnsi="Work Sans" w:cs="Open Sans"/>
                                <w:color w:val="FFFFFF"/>
                                <w:sz w:val="52"/>
                                <w:szCs w:val="56"/>
                              </w:rPr>
                              <w:t xml:space="preserve"> </w:t>
                            </w:r>
                            <w:r w:rsidRPr="00545F2D">
                              <w:rPr>
                                <w:rFonts w:ascii="Work Sans" w:hAnsi="Work Sans" w:cs="Open Sans"/>
                                <w:color w:val="FFFFFF"/>
                                <w:sz w:val="52"/>
                                <w:szCs w:val="56"/>
                              </w:rPr>
                              <w:t>paper</w:t>
                            </w:r>
                            <w:r>
                              <w:rPr>
                                <w:rFonts w:ascii="Work Sans" w:hAnsi="Work Sans" w:cs="Open Sans"/>
                                <w:color w:val="FFFFFF"/>
                                <w:sz w:val="52"/>
                                <w:szCs w:val="56"/>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68DC5" id="Text Box 16" o:spid="_x0000_s1027" type="#_x0000_t202" style="position:absolute;margin-left:0;margin-top:316.55pt;width:472.5pt;height:155.2pt;z-index:25165824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" filled="f" stroked="f" strokeweight=".5pt">
                <v:textbox>
                  <w:txbxContent>
                    <w:p w14:paraId="023BCBF5" w14:textId="77777777" w:rsidR="00F93866" w:rsidRPr="0036633A" w:rsidRDefault="00F93866" w:rsidP="00F93866">
                      <w:pPr>
                        <w:jc w:val="center"/>
                        <w:rPr>
                          <w:rFonts w:ascii="Work Sans" w:hAnsi="Work Sans" w:cs="Open Sans"/>
                          <w:color w:val="FFFFFF"/>
                          <w:sz w:val="52"/>
                          <w:szCs w:val="56"/>
                        </w:rPr>
                      </w:pPr>
                      <w:r>
                        <w:rPr>
                          <w:rFonts w:ascii="Work Sans" w:hAnsi="Work Sans" w:cs="Open Sans"/>
                          <w:color w:val="FFFFFF"/>
                          <w:sz w:val="52"/>
                          <w:szCs w:val="56"/>
                        </w:rPr>
                        <w:t>Transport</w:t>
                      </w:r>
                      <w:r w:rsidRPr="00545F2D">
                        <w:rPr>
                          <w:rFonts w:ascii="Work Sans" w:hAnsi="Work Sans" w:cs="Open Sans"/>
                          <w:color w:val="FFFFFF"/>
                          <w:sz w:val="52"/>
                          <w:szCs w:val="56"/>
                        </w:rPr>
                        <w:t xml:space="preserve"> consultation</w:t>
                      </w:r>
                      <w:r>
                        <w:rPr>
                          <w:rFonts w:ascii="Work Sans" w:hAnsi="Work Sans" w:cs="Open Sans"/>
                          <w:color w:val="FFFFFF"/>
                          <w:sz w:val="52"/>
                          <w:szCs w:val="56"/>
                        </w:rPr>
                        <w:t xml:space="preserve"> </w:t>
                      </w:r>
                      <w:r w:rsidRPr="00545F2D">
                        <w:rPr>
                          <w:rFonts w:ascii="Work Sans" w:hAnsi="Work Sans" w:cs="Open Sans"/>
                          <w:color w:val="FFFFFF"/>
                          <w:sz w:val="52"/>
                          <w:szCs w:val="56"/>
                        </w:rPr>
                        <w:t>paper</w:t>
                      </w:r>
                      <w:r>
                        <w:rPr>
                          <w:rFonts w:ascii="Work Sans" w:hAnsi="Work Sans" w:cs="Open Sans"/>
                          <w:color w:val="FFFFFF"/>
                          <w:sz w:val="52"/>
                          <w:szCs w:val="56"/>
                        </w:rPr>
                        <w:br/>
                      </w:r>
                    </w:p>
                  </w:txbxContent>
                </v:textbox>
                <w10:wrap anchorx="margin" anchory="page"/>
              </v:shape>
            </w:pict>
          </mc:Fallback>
        </mc:AlternateContent>
      </w:r>
    </w:p>
    <w:p w14:paraId="07C81922" w14:textId="70935416" w:rsidR="00F93866" w:rsidRPr="00F93866" w:rsidRDefault="00F93866" w:rsidP="00F93866">
      <w:pPr>
        <w:rPr>
          <w:rFonts w:ascii="Work Sans" w:hAnsi="Work Sans"/>
          <w:sz w:val="24"/>
          <w:szCs w:val="24"/>
        </w:rPr>
      </w:pPr>
    </w:p>
    <w:p w14:paraId="2278D6F0" w14:textId="77777777" w:rsidR="00F93866" w:rsidRPr="00F93866" w:rsidRDefault="00F93866" w:rsidP="00F93866">
      <w:pPr>
        <w:jc w:val="center"/>
        <w:rPr>
          <w:rFonts w:ascii="Work Sans" w:hAnsi="Work Sans"/>
          <w:sz w:val="24"/>
          <w:szCs w:val="24"/>
        </w:rPr>
      </w:pPr>
    </w:p>
    <w:p w14:paraId="10DA87C3" w14:textId="77777777" w:rsidR="00F93866" w:rsidRPr="00F93866" w:rsidRDefault="00F93866" w:rsidP="00F93866">
      <w:pPr>
        <w:rPr>
          <w:rFonts w:ascii="Work Sans" w:hAnsi="Work Sans" w:cs="Open Sans"/>
          <w:color w:val="FFFFFF"/>
          <w:sz w:val="28"/>
          <w:szCs w:val="28"/>
        </w:rPr>
      </w:pPr>
    </w:p>
    <w:p w14:paraId="2A96FDC3" w14:textId="77777777" w:rsidR="00F93866" w:rsidRPr="00F93866" w:rsidRDefault="00F93866" w:rsidP="00F93866">
      <w:pPr>
        <w:rPr>
          <w:rFonts w:ascii="Work Sans" w:hAnsi="Work Sans" w:cs="Open Sans"/>
          <w:color w:val="FFFFFF"/>
          <w:sz w:val="28"/>
          <w:szCs w:val="28"/>
        </w:rPr>
      </w:pPr>
    </w:p>
    <w:p w14:paraId="7D91E4F9" w14:textId="77777777" w:rsidR="00F93866" w:rsidRPr="00F93866" w:rsidRDefault="00F93866" w:rsidP="00F93866">
      <w:pPr>
        <w:rPr>
          <w:rFonts w:ascii="Work Sans" w:hAnsi="Work Sans" w:cs="Open Sans"/>
          <w:color w:val="FFFFFF"/>
          <w:sz w:val="28"/>
          <w:szCs w:val="28"/>
        </w:rPr>
      </w:pPr>
    </w:p>
    <w:p w14:paraId="610A1B11" w14:textId="77777777" w:rsidR="00F93866" w:rsidRPr="00F93866" w:rsidRDefault="00F93866" w:rsidP="00F93866">
      <w:pPr>
        <w:rPr>
          <w:rFonts w:ascii="Work Sans" w:hAnsi="Work Sans" w:cs="Open Sans"/>
          <w:color w:val="FFFFFF"/>
          <w:sz w:val="28"/>
          <w:szCs w:val="28"/>
        </w:rPr>
      </w:pPr>
    </w:p>
    <w:p w14:paraId="5BBD49B2" w14:textId="77777777" w:rsidR="00F93866" w:rsidRPr="00F93866" w:rsidRDefault="00F93866" w:rsidP="00F93866">
      <w:pPr>
        <w:rPr>
          <w:rFonts w:ascii="Work Sans" w:hAnsi="Work Sans" w:cs="Open Sans"/>
          <w:color w:val="FFFFFF"/>
          <w:sz w:val="28"/>
          <w:szCs w:val="28"/>
        </w:rPr>
      </w:pPr>
    </w:p>
    <w:p w14:paraId="07C1086F" w14:textId="77777777" w:rsidR="00F93866" w:rsidRPr="00F93866" w:rsidRDefault="00F93866" w:rsidP="00F93866">
      <w:pPr>
        <w:rPr>
          <w:rFonts w:ascii="Work Sans" w:hAnsi="Work Sans" w:cs="Open Sans"/>
          <w:color w:val="FFFFFF"/>
          <w:sz w:val="28"/>
          <w:szCs w:val="28"/>
        </w:rPr>
      </w:pPr>
    </w:p>
    <w:p w14:paraId="136D4AD7" w14:textId="77777777" w:rsidR="00F93866" w:rsidRPr="00F93866" w:rsidRDefault="00F93866" w:rsidP="00F93866">
      <w:pPr>
        <w:jc w:val="center"/>
        <w:rPr>
          <w:rFonts w:ascii="Work Sans" w:hAnsi="Work Sans" w:cs="Open Sans"/>
          <w:color w:val="FFFFFF"/>
          <w:sz w:val="28"/>
          <w:szCs w:val="28"/>
        </w:rPr>
      </w:pPr>
      <w:r w:rsidRPr="00F93866">
        <w:rPr>
          <w:noProof/>
        </w:rPr>
        <mc:AlternateContent>
          <mc:Choice Requires="wps">
            <w:drawing>
              <wp:anchor distT="0" distB="0" distL="114300" distR="114300" simplePos="0" relativeHeight="251658244" behindDoc="0" locked="0" layoutInCell="1" allowOverlap="1" wp14:anchorId="26A01066" wp14:editId="65A1CEDA">
                <wp:simplePos x="0" y="0"/>
                <wp:positionH relativeFrom="margin">
                  <wp:align>center</wp:align>
                </wp:positionH>
                <wp:positionV relativeFrom="page">
                  <wp:posOffset>6528021</wp:posOffset>
                </wp:positionV>
                <wp:extent cx="1704975" cy="43878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704975" cy="438785"/>
                        </a:xfrm>
                        <a:prstGeom prst="rect">
                          <a:avLst/>
                        </a:prstGeom>
                        <a:noFill/>
                        <a:ln w="6350">
                          <a:noFill/>
                        </a:ln>
                      </wps:spPr>
                      <wps:txbx>
                        <w:txbxContent>
                          <w:p w14:paraId="5892CEBC" w14:textId="06CDDBE3" w:rsidR="00F93866" w:rsidRPr="00BA4C59" w:rsidRDefault="00F93866" w:rsidP="00F93866">
                            <w:pPr>
                              <w:jc w:val="center"/>
                              <w:rPr>
                                <w:rFonts w:ascii="Work Sans" w:hAnsi="Work Sans" w:cs="Open Sans"/>
                                <w:color w:val="FFFFFF"/>
                                <w:sz w:val="28"/>
                                <w:szCs w:val="28"/>
                              </w:rPr>
                            </w:pPr>
                            <w:r>
                              <w:rPr>
                                <w:rFonts w:ascii="Work Sans" w:hAnsi="Work Sans" w:cs="Open Sans"/>
                                <w:color w:val="FFFFFF"/>
                                <w:sz w:val="28"/>
                                <w:szCs w:val="28"/>
                              </w:rPr>
                              <w:t>June</w:t>
                            </w:r>
                            <w:r w:rsidRPr="00BA4C59">
                              <w:rPr>
                                <w:rFonts w:ascii="Work Sans" w:hAnsi="Work Sans" w:cs="Open Sans"/>
                                <w:color w:val="FFFFFF"/>
                                <w:sz w:val="28"/>
                                <w:szCs w:val="28"/>
                              </w:rPr>
                              <w:t xml:space="preserv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01066" id="Text Box 30" o:spid="_x0000_s1028" type="#_x0000_t202" style="position:absolute;left:0;text-align:left;margin-left:0;margin-top:514pt;width:134.25pt;height:34.55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" filled="f" stroked="f" strokeweight=".5pt">
                <v:textbox>
                  <w:txbxContent>
                    <w:p w14:paraId="5892CEBC" w14:textId="06CDDBE3" w:rsidR="00F93866" w:rsidRPr="00BA4C59" w:rsidRDefault="00F93866" w:rsidP="00F93866">
                      <w:pPr>
                        <w:jc w:val="center"/>
                        <w:rPr>
                          <w:rFonts w:ascii="Work Sans" w:hAnsi="Work Sans" w:cs="Open Sans"/>
                          <w:color w:val="FFFFFF"/>
                          <w:sz w:val="28"/>
                          <w:szCs w:val="28"/>
                        </w:rPr>
                      </w:pPr>
                      <w:r>
                        <w:rPr>
                          <w:rFonts w:ascii="Work Sans" w:hAnsi="Work Sans" w:cs="Open Sans"/>
                          <w:color w:val="FFFFFF"/>
                          <w:sz w:val="28"/>
                          <w:szCs w:val="28"/>
                        </w:rPr>
                        <w:t>June</w:t>
                      </w:r>
                      <w:r w:rsidRPr="00BA4C59">
                        <w:rPr>
                          <w:rFonts w:ascii="Work Sans" w:hAnsi="Work Sans" w:cs="Open Sans"/>
                          <w:color w:val="FFFFFF"/>
                          <w:sz w:val="28"/>
                          <w:szCs w:val="28"/>
                        </w:rPr>
                        <w:t xml:space="preserve"> 2023</w:t>
                      </w:r>
                    </w:p>
                  </w:txbxContent>
                </v:textbox>
                <w10:wrap anchorx="margin" anchory="page"/>
              </v:shape>
            </w:pict>
          </mc:Fallback>
        </mc:AlternateContent>
      </w:r>
    </w:p>
    <w:p w14:paraId="62DCDCA4" w14:textId="77777777" w:rsidR="00F93866" w:rsidRPr="00F93866" w:rsidRDefault="00F93866" w:rsidP="00F93866">
      <w:pPr>
        <w:rPr>
          <w:rFonts w:ascii="Work Sans" w:hAnsi="Work Sans" w:cs="Open Sans"/>
          <w:color w:val="FFFFFF"/>
          <w:sz w:val="28"/>
          <w:szCs w:val="28"/>
        </w:rPr>
      </w:pPr>
    </w:p>
    <w:p w14:paraId="4E0964CE" w14:textId="77777777" w:rsidR="00F93866" w:rsidRPr="00F93866" w:rsidRDefault="00F93866" w:rsidP="00F93866">
      <w:pPr>
        <w:rPr>
          <w:rFonts w:ascii="Work Sans" w:hAnsi="Work Sans" w:cs="Open Sans"/>
          <w:color w:val="FFFFFF"/>
          <w:sz w:val="28"/>
          <w:szCs w:val="28"/>
        </w:rPr>
      </w:pPr>
    </w:p>
    <w:p w14:paraId="596D1BE2" w14:textId="77777777" w:rsidR="00F93866" w:rsidRPr="00F93866" w:rsidRDefault="00F93866" w:rsidP="00F93866">
      <w:pPr>
        <w:tabs>
          <w:tab w:val="clear" w:pos="567"/>
        </w:tabs>
        <w:spacing w:before="360" w:after="200" w:line="276" w:lineRule="auto"/>
        <w:jc w:val="center"/>
        <w:outlineLvl w:val="0"/>
        <w:rPr>
          <w:rFonts w:ascii="Work Sans" w:eastAsia="Times New Roman" w:hAnsi="Work Sans" w:cs="Open Sans"/>
          <w:b/>
          <w:bCs/>
          <w:color w:val="006991"/>
          <w:sz w:val="40"/>
          <w:szCs w:val="40"/>
        </w:rPr>
        <w:sectPr w:rsidR="00F93866" w:rsidRPr="00F93866">
          <w:pgSz w:w="11906" w:h="16838"/>
          <w:pgMar w:top="1440" w:right="1440" w:bottom="1440" w:left="1440" w:header="708" w:footer="708" w:gutter="0"/>
          <w:cols w:space="708"/>
          <w:docGrid w:linePitch="360"/>
        </w:sectPr>
      </w:pPr>
    </w:p>
    <w:p w14:paraId="38498437" w14:textId="7762036D" w:rsidR="00E23804" w:rsidRDefault="00E23804">
      <w:pPr>
        <w:tabs>
          <w:tab w:val="clear" w:pos="567"/>
        </w:tabs>
        <w:spacing w:before="0" w:after="200" w:line="276" w:lineRule="auto"/>
        <w:rPr>
          <w:rFonts w:ascii="Work Sans" w:hAnsi="Work Sans"/>
          <w:szCs w:val="20"/>
        </w:rPr>
      </w:pPr>
    </w:p>
    <w:p w14:paraId="062A5773" w14:textId="21698B28" w:rsidR="00E23804" w:rsidRDefault="00E23804">
      <w:pPr>
        <w:tabs>
          <w:tab w:val="clear" w:pos="567"/>
        </w:tabs>
        <w:spacing w:before="0" w:after="200" w:line="276" w:lineRule="auto"/>
        <w:rPr>
          <w:rFonts w:ascii="Work Sans" w:hAnsi="Work Sans"/>
          <w:szCs w:val="20"/>
        </w:rPr>
      </w:pPr>
    </w:p>
    <w:p w14:paraId="39F3DCD0" w14:textId="77777777" w:rsidR="008B4271" w:rsidRDefault="008B4271">
      <w:pPr>
        <w:tabs>
          <w:tab w:val="clear" w:pos="567"/>
        </w:tabs>
        <w:spacing w:before="0" w:after="200" w:line="276" w:lineRule="auto"/>
        <w:rPr>
          <w:rFonts w:ascii="Work Sans" w:hAnsi="Work Sans"/>
          <w:szCs w:val="20"/>
        </w:rPr>
      </w:pPr>
    </w:p>
    <w:p w14:paraId="3D2F3789" w14:textId="77777777" w:rsidR="008B4271" w:rsidRDefault="008B4271">
      <w:pPr>
        <w:tabs>
          <w:tab w:val="clear" w:pos="567"/>
        </w:tabs>
        <w:spacing w:before="0" w:after="200" w:line="276" w:lineRule="auto"/>
        <w:rPr>
          <w:rFonts w:ascii="Work Sans" w:hAnsi="Work Sans"/>
          <w:szCs w:val="20"/>
        </w:rPr>
      </w:pPr>
    </w:p>
    <w:p w14:paraId="531CE828" w14:textId="77777777" w:rsidR="008B4271" w:rsidRDefault="008B4271">
      <w:pPr>
        <w:tabs>
          <w:tab w:val="clear" w:pos="567"/>
        </w:tabs>
        <w:spacing w:before="0" w:after="200" w:line="276" w:lineRule="auto"/>
        <w:rPr>
          <w:rFonts w:ascii="Work Sans" w:hAnsi="Work Sans"/>
          <w:szCs w:val="20"/>
        </w:rPr>
      </w:pPr>
    </w:p>
    <w:p w14:paraId="18A6B85A" w14:textId="77777777" w:rsidR="008B4271" w:rsidRDefault="008B4271">
      <w:pPr>
        <w:tabs>
          <w:tab w:val="clear" w:pos="567"/>
        </w:tabs>
        <w:spacing w:before="0" w:after="200" w:line="276" w:lineRule="auto"/>
        <w:rPr>
          <w:rFonts w:ascii="Work Sans" w:hAnsi="Work Sans"/>
          <w:szCs w:val="20"/>
        </w:rPr>
      </w:pPr>
    </w:p>
    <w:p w14:paraId="330DB1E6" w14:textId="77777777" w:rsidR="008B4271" w:rsidRDefault="008B4271">
      <w:pPr>
        <w:tabs>
          <w:tab w:val="clear" w:pos="567"/>
        </w:tabs>
        <w:spacing w:before="0" w:after="200" w:line="276" w:lineRule="auto"/>
        <w:rPr>
          <w:rFonts w:ascii="Work Sans" w:hAnsi="Work Sans"/>
          <w:szCs w:val="20"/>
        </w:rPr>
      </w:pPr>
    </w:p>
    <w:p w14:paraId="73F49961" w14:textId="77777777" w:rsidR="00591DC8" w:rsidRDefault="00591DC8">
      <w:pPr>
        <w:tabs>
          <w:tab w:val="clear" w:pos="567"/>
        </w:tabs>
        <w:spacing w:before="0" w:after="200" w:line="276" w:lineRule="auto"/>
        <w:rPr>
          <w:rFonts w:ascii="Work Sans" w:hAnsi="Work Sans"/>
          <w:szCs w:val="20"/>
        </w:rPr>
      </w:pPr>
    </w:p>
    <w:p w14:paraId="4DACF274" w14:textId="77777777" w:rsidR="00591DC8" w:rsidRDefault="00591DC8">
      <w:pPr>
        <w:tabs>
          <w:tab w:val="clear" w:pos="567"/>
        </w:tabs>
        <w:spacing w:before="0" w:after="200" w:line="276" w:lineRule="auto"/>
        <w:rPr>
          <w:rFonts w:ascii="Work Sans" w:hAnsi="Work Sans"/>
          <w:szCs w:val="20"/>
        </w:rPr>
      </w:pPr>
    </w:p>
    <w:p w14:paraId="2E915B42" w14:textId="77777777" w:rsidR="00591DC8" w:rsidRDefault="00591DC8">
      <w:pPr>
        <w:tabs>
          <w:tab w:val="clear" w:pos="567"/>
        </w:tabs>
        <w:spacing w:before="0" w:after="200" w:line="276" w:lineRule="auto"/>
        <w:rPr>
          <w:rFonts w:ascii="Work Sans" w:hAnsi="Work Sans"/>
          <w:szCs w:val="20"/>
        </w:rPr>
      </w:pPr>
    </w:p>
    <w:p w14:paraId="15709AC2" w14:textId="77777777" w:rsidR="00591DC8" w:rsidRDefault="00591DC8">
      <w:pPr>
        <w:tabs>
          <w:tab w:val="clear" w:pos="567"/>
        </w:tabs>
        <w:spacing w:before="0" w:after="200" w:line="276" w:lineRule="auto"/>
        <w:rPr>
          <w:rFonts w:ascii="Work Sans" w:hAnsi="Work Sans"/>
          <w:szCs w:val="20"/>
        </w:rPr>
      </w:pPr>
    </w:p>
    <w:p w14:paraId="459B18B7" w14:textId="77777777" w:rsidR="008B4271" w:rsidRDefault="008B4271">
      <w:pPr>
        <w:tabs>
          <w:tab w:val="clear" w:pos="567"/>
        </w:tabs>
        <w:spacing w:before="0" w:after="200" w:line="276" w:lineRule="auto"/>
        <w:rPr>
          <w:rFonts w:ascii="Work Sans" w:hAnsi="Work Sans"/>
          <w:szCs w:val="20"/>
        </w:rPr>
      </w:pPr>
    </w:p>
    <w:p w14:paraId="7BB284D7" w14:textId="77777777" w:rsidR="008B4271" w:rsidRDefault="008B4271">
      <w:pPr>
        <w:tabs>
          <w:tab w:val="clear" w:pos="567"/>
        </w:tabs>
        <w:spacing w:before="0" w:after="200" w:line="276" w:lineRule="auto"/>
        <w:rPr>
          <w:rFonts w:ascii="Work Sans" w:hAnsi="Work Sans"/>
          <w:szCs w:val="20"/>
        </w:rPr>
      </w:pPr>
    </w:p>
    <w:p w14:paraId="269BF03A" w14:textId="77777777" w:rsidR="008B4271" w:rsidRDefault="008B4271">
      <w:pPr>
        <w:tabs>
          <w:tab w:val="clear" w:pos="567"/>
        </w:tabs>
        <w:spacing w:before="0" w:after="200" w:line="276" w:lineRule="auto"/>
        <w:rPr>
          <w:rFonts w:ascii="Work Sans" w:hAnsi="Work Sans"/>
          <w:szCs w:val="20"/>
        </w:rPr>
      </w:pPr>
    </w:p>
    <w:tbl>
      <w:tblPr>
        <w:tblStyle w:val="TableGrid"/>
        <w:tblW w:w="0" w:type="auto"/>
        <w:tblLook w:val="04A0" w:firstRow="1" w:lastRow="0" w:firstColumn="1" w:lastColumn="0" w:noHBand="0" w:noVBand="1"/>
      </w:tblPr>
      <w:tblGrid>
        <w:gridCol w:w="2949"/>
        <w:gridCol w:w="6000"/>
      </w:tblGrid>
      <w:tr w:rsidR="00456979" w14:paraId="5F4445F0" w14:textId="77777777" w:rsidTr="00C01495">
        <w:tc>
          <w:tcPr>
            <w:tcW w:w="2949" w:type="dxa"/>
          </w:tcPr>
          <w:p w14:paraId="077A356C" w14:textId="77777777" w:rsidR="00456979" w:rsidRPr="00C01495" w:rsidRDefault="00456979">
            <w:pPr>
              <w:rPr>
                <w:rFonts w:ascii="Work Sans" w:hAnsi="Work Sans"/>
                <w:sz w:val="20"/>
                <w:szCs w:val="20"/>
              </w:rPr>
            </w:pPr>
            <w:r w:rsidRPr="00C01495">
              <w:rPr>
                <w:rFonts w:ascii="Work Sans" w:hAnsi="Work Sans"/>
                <w:sz w:val="20"/>
                <w:szCs w:val="20"/>
              </w:rPr>
              <w:t>Paper issued</w:t>
            </w:r>
          </w:p>
        </w:tc>
        <w:tc>
          <w:tcPr>
            <w:tcW w:w="6000" w:type="dxa"/>
          </w:tcPr>
          <w:p w14:paraId="7660164C" w14:textId="67A5BB1D" w:rsidR="00456979" w:rsidRPr="00C01495" w:rsidRDefault="00C22016">
            <w:pPr>
              <w:rPr>
                <w:rFonts w:ascii="Work Sans" w:hAnsi="Work Sans"/>
                <w:sz w:val="20"/>
                <w:szCs w:val="20"/>
              </w:rPr>
            </w:pPr>
            <w:r w:rsidRPr="00C01495">
              <w:rPr>
                <w:rFonts w:ascii="Work Sans" w:hAnsi="Work Sans"/>
                <w:sz w:val="20"/>
                <w:szCs w:val="20"/>
              </w:rPr>
              <w:t>27 June 2023</w:t>
            </w:r>
          </w:p>
        </w:tc>
      </w:tr>
      <w:tr w:rsidR="00456979" w14:paraId="20BF8320" w14:textId="77777777" w:rsidTr="00C01495">
        <w:tc>
          <w:tcPr>
            <w:tcW w:w="2949" w:type="dxa"/>
          </w:tcPr>
          <w:p w14:paraId="593BEA6B" w14:textId="330B6776" w:rsidR="00456979" w:rsidRPr="00C01495" w:rsidRDefault="00456979">
            <w:pPr>
              <w:rPr>
                <w:rFonts w:ascii="Work Sans" w:hAnsi="Work Sans"/>
                <w:spacing w:val="-4"/>
                <w:sz w:val="20"/>
                <w:szCs w:val="20"/>
              </w:rPr>
            </w:pPr>
            <w:r w:rsidRPr="00C01495">
              <w:rPr>
                <w:rFonts w:ascii="Work Sans" w:hAnsi="Work Sans"/>
                <w:spacing w:val="-4"/>
                <w:sz w:val="20"/>
                <w:szCs w:val="20"/>
              </w:rPr>
              <w:t>Commission contact officer</w:t>
            </w:r>
            <w:r w:rsidR="00646F54" w:rsidRPr="00C01495">
              <w:rPr>
                <w:rFonts w:ascii="Work Sans" w:hAnsi="Work Sans"/>
                <w:spacing w:val="-4"/>
                <w:sz w:val="20"/>
                <w:szCs w:val="20"/>
              </w:rPr>
              <w:t>s</w:t>
            </w:r>
          </w:p>
        </w:tc>
        <w:tc>
          <w:tcPr>
            <w:tcW w:w="6000" w:type="dxa"/>
          </w:tcPr>
          <w:p w14:paraId="6A9CE9BA" w14:textId="4CC146AF" w:rsidR="00456979" w:rsidRPr="00C01495" w:rsidRDefault="00456979" w:rsidP="00456979">
            <w:pPr>
              <w:rPr>
                <w:rFonts w:ascii="Work Sans" w:hAnsi="Work Sans"/>
                <w:sz w:val="20"/>
                <w:szCs w:val="20"/>
              </w:rPr>
            </w:pPr>
            <w:r w:rsidRPr="00C01495">
              <w:rPr>
                <w:rFonts w:ascii="Work Sans" w:hAnsi="Work Sans"/>
                <w:sz w:val="20"/>
                <w:szCs w:val="20"/>
              </w:rPr>
              <w:t xml:space="preserve">Carrie Dreese, 02 6218 5715, </w:t>
            </w:r>
            <w:hyperlink r:id="rId13" w:history="1">
              <w:r w:rsidR="00C22016" w:rsidRPr="00C01495">
                <w:rPr>
                  <w:rStyle w:val="Hyperlink"/>
                  <w:rFonts w:ascii="Work Sans" w:hAnsi="Work Sans"/>
                  <w:sz w:val="20"/>
                  <w:szCs w:val="20"/>
                </w:rPr>
                <w:t>Carrie.Dreese@cgc.gov.au</w:t>
              </w:r>
            </w:hyperlink>
            <w:r w:rsidR="00C22016" w:rsidRPr="00C01495">
              <w:rPr>
                <w:rFonts w:ascii="Work Sans" w:hAnsi="Work Sans"/>
                <w:sz w:val="20"/>
                <w:szCs w:val="20"/>
              </w:rPr>
              <w:br/>
            </w:r>
            <w:r w:rsidRPr="00C01495">
              <w:rPr>
                <w:rFonts w:ascii="Work Sans" w:hAnsi="Work Sans"/>
                <w:spacing w:val="-4"/>
                <w:sz w:val="20"/>
                <w:szCs w:val="20"/>
              </w:rPr>
              <w:t xml:space="preserve">Dana McQuestin, 02 6218 5732, </w:t>
            </w:r>
            <w:hyperlink r:id="rId14" w:history="1">
              <w:r w:rsidR="00C22016" w:rsidRPr="00C01495">
                <w:rPr>
                  <w:rStyle w:val="Hyperlink"/>
                  <w:rFonts w:ascii="Work Sans" w:hAnsi="Work Sans"/>
                  <w:spacing w:val="-4"/>
                  <w:sz w:val="20"/>
                  <w:szCs w:val="20"/>
                </w:rPr>
                <w:t>Dana.McQuestin@cgc.gov.au</w:t>
              </w:r>
            </w:hyperlink>
            <w:r w:rsidR="00C22016" w:rsidRPr="00C01495">
              <w:rPr>
                <w:rFonts w:ascii="Work Sans" w:hAnsi="Work Sans"/>
                <w:spacing w:val="-4"/>
                <w:sz w:val="20"/>
                <w:szCs w:val="20"/>
              </w:rPr>
              <w:br/>
            </w:r>
            <w:r w:rsidRPr="00C01495">
              <w:rPr>
                <w:rFonts w:ascii="Work Sans" w:hAnsi="Work Sans"/>
                <w:sz w:val="20"/>
                <w:szCs w:val="20"/>
              </w:rPr>
              <w:t xml:space="preserve">Julia Lindsay, 02 6218 5736, </w:t>
            </w:r>
            <w:hyperlink r:id="rId15" w:history="1">
              <w:r w:rsidR="000672BE" w:rsidRPr="00C01495">
                <w:rPr>
                  <w:rStyle w:val="Hyperlink"/>
                  <w:rFonts w:ascii="Work Sans" w:hAnsi="Work Sans"/>
                  <w:sz w:val="20"/>
                  <w:szCs w:val="20"/>
                </w:rPr>
                <w:t>Julia.Lindsay@cgc.gov.au</w:t>
              </w:r>
            </w:hyperlink>
          </w:p>
        </w:tc>
      </w:tr>
      <w:tr w:rsidR="00456979" w14:paraId="0E3BF243" w14:textId="77777777" w:rsidTr="00C01495">
        <w:tc>
          <w:tcPr>
            <w:tcW w:w="2949" w:type="dxa"/>
          </w:tcPr>
          <w:p w14:paraId="6E163472" w14:textId="77777777" w:rsidR="00456979" w:rsidRPr="00C01495" w:rsidRDefault="00456979">
            <w:pPr>
              <w:rPr>
                <w:rFonts w:ascii="Work Sans" w:hAnsi="Work Sans"/>
                <w:sz w:val="20"/>
                <w:szCs w:val="20"/>
              </w:rPr>
            </w:pPr>
            <w:r w:rsidRPr="00C01495">
              <w:rPr>
                <w:rFonts w:ascii="Work Sans" w:hAnsi="Work Sans"/>
                <w:sz w:val="20"/>
                <w:szCs w:val="20"/>
              </w:rPr>
              <w:t>Submissions sought by</w:t>
            </w:r>
          </w:p>
        </w:tc>
        <w:tc>
          <w:tcPr>
            <w:tcW w:w="6000" w:type="dxa"/>
          </w:tcPr>
          <w:p w14:paraId="64E6E0BD" w14:textId="2E2EDF03" w:rsidR="00456979" w:rsidRPr="00C01495" w:rsidRDefault="00C22016">
            <w:pPr>
              <w:rPr>
                <w:rFonts w:ascii="Work Sans" w:hAnsi="Work Sans"/>
                <w:sz w:val="20"/>
                <w:szCs w:val="20"/>
              </w:rPr>
            </w:pPr>
            <w:r w:rsidRPr="00C01495">
              <w:rPr>
                <w:rFonts w:ascii="Work Sans" w:hAnsi="Work Sans"/>
                <w:sz w:val="20"/>
                <w:szCs w:val="20"/>
              </w:rPr>
              <w:t>13 October 2023</w:t>
            </w:r>
          </w:p>
          <w:p w14:paraId="08489F16" w14:textId="3D83000D" w:rsidR="00456979" w:rsidRPr="00C01495" w:rsidRDefault="00456979">
            <w:pPr>
              <w:rPr>
                <w:rFonts w:ascii="Work Sans" w:hAnsi="Work Sans"/>
                <w:sz w:val="20"/>
                <w:szCs w:val="20"/>
              </w:rPr>
            </w:pPr>
            <w:r w:rsidRPr="00C01495">
              <w:rPr>
                <w:rFonts w:ascii="Work Sans" w:hAnsi="Work Sans"/>
                <w:sz w:val="20"/>
                <w:szCs w:val="20"/>
              </w:rPr>
              <w:t xml:space="preserve">Submissions should be placed in your private state channel in CGC Engagement Teams, with a post notifying </w:t>
            </w:r>
            <w:r w:rsidR="00C22016" w:rsidRPr="00C01495">
              <w:rPr>
                <w:rFonts w:ascii="Work Sans" w:hAnsi="Work Sans"/>
                <w:sz w:val="20"/>
                <w:szCs w:val="20"/>
              </w:rPr>
              <w:t>Katrina Baldock</w:t>
            </w:r>
            <w:r w:rsidRPr="00C01495">
              <w:rPr>
                <w:rFonts w:ascii="Work Sans" w:hAnsi="Work Sans"/>
                <w:sz w:val="20"/>
                <w:szCs w:val="20"/>
              </w:rPr>
              <w:t>.</w:t>
            </w:r>
          </w:p>
          <w:p w14:paraId="650BBC19" w14:textId="77777777" w:rsidR="00456979" w:rsidRPr="00C01495" w:rsidRDefault="00456979">
            <w:pPr>
              <w:rPr>
                <w:rFonts w:ascii="Work Sans" w:hAnsi="Work Sans"/>
                <w:sz w:val="20"/>
                <w:szCs w:val="20"/>
              </w:rPr>
            </w:pPr>
            <w:r w:rsidRPr="00C01495">
              <w:rPr>
                <w:rFonts w:ascii="Work Sans" w:hAnsi="Work Sans"/>
                <w:sz w:val="20"/>
                <w:szCs w:val="20"/>
              </w:rPr>
              <w:t>Submissions should be in Word format and posted in the relevant state channel of the CGC engagement Team. Submissions more than 10 pages in length should include a summary section.</w:t>
            </w:r>
          </w:p>
        </w:tc>
      </w:tr>
      <w:tr w:rsidR="00456979" w14:paraId="4CB89EA8" w14:textId="77777777" w:rsidTr="00C01495">
        <w:tc>
          <w:tcPr>
            <w:tcW w:w="2949" w:type="dxa"/>
          </w:tcPr>
          <w:p w14:paraId="2CC9AC63" w14:textId="77777777" w:rsidR="00456979" w:rsidRPr="00C01495" w:rsidRDefault="00456979">
            <w:pPr>
              <w:rPr>
                <w:rFonts w:ascii="Work Sans" w:hAnsi="Work Sans"/>
                <w:sz w:val="20"/>
                <w:szCs w:val="20"/>
              </w:rPr>
            </w:pPr>
            <w:r w:rsidRPr="00C01495">
              <w:rPr>
                <w:rFonts w:ascii="Work Sans" w:hAnsi="Work Sans"/>
                <w:sz w:val="20"/>
                <w:szCs w:val="20"/>
              </w:rPr>
              <w:t>Confidential material</w:t>
            </w:r>
          </w:p>
        </w:tc>
        <w:tc>
          <w:tcPr>
            <w:tcW w:w="6000" w:type="dxa"/>
          </w:tcPr>
          <w:p w14:paraId="4FE726B5" w14:textId="77777777" w:rsidR="00456979" w:rsidRPr="00C01495" w:rsidRDefault="00456979">
            <w:pPr>
              <w:rPr>
                <w:rFonts w:ascii="Work Sans" w:hAnsi="Work Sans"/>
                <w:sz w:val="20"/>
                <w:szCs w:val="20"/>
              </w:rPr>
            </w:pPr>
            <w:r w:rsidRPr="00C01495">
              <w:rPr>
                <w:rFonts w:ascii="Work Sans" w:hAnsi="Work Sans"/>
                <w:sz w:val="20"/>
                <w:szCs w:val="20"/>
              </w:rPr>
              <w:t xml:space="preserve">It is the Commission’s normal practice to make state submissions available on its website under the CC BY licence, allowing free use of content by third parties. </w:t>
            </w:r>
          </w:p>
          <w:p w14:paraId="71C4D84D" w14:textId="77777777" w:rsidR="00456979" w:rsidRPr="00C01495" w:rsidRDefault="00456979">
            <w:pPr>
              <w:rPr>
                <w:rFonts w:ascii="Work Sans" w:hAnsi="Work Sans"/>
                <w:sz w:val="20"/>
                <w:szCs w:val="20"/>
              </w:rPr>
            </w:pPr>
            <w:r w:rsidRPr="00C01495">
              <w:rPr>
                <w:noProof/>
                <w:sz w:val="20"/>
                <w:szCs w:val="20"/>
                <w:lang w:eastAsia="en-AU"/>
              </w:rPr>
              <w:drawing>
                <wp:inline distT="0" distB="0" distL="0" distR="0" wp14:anchorId="61AB6EF7" wp14:editId="08CCF511">
                  <wp:extent cx="828675" cy="295275"/>
                  <wp:effectExtent l="19050" t="0" r="9525" b="0"/>
                  <wp:docPr id="25" name="Picture 25" descr="Creative Commons - CC BY At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 Attribution"/>
                          <pic:cNvPicPr>
                            <a:picLocks noChangeAspect="1" noChangeArrowheads="1"/>
                          </pic:cNvPicPr>
                        </pic:nvPicPr>
                        <pic:blipFill>
                          <a:blip r:embed="rId16"/>
                          <a:srcRect/>
                          <a:stretch>
                            <a:fillRect/>
                          </a:stretch>
                        </pic:blipFill>
                        <pic:spPr bwMode="auto">
                          <a:xfrm>
                            <a:off x="0" y="0"/>
                            <a:ext cx="828675" cy="295275"/>
                          </a:xfrm>
                          <a:prstGeom prst="rect">
                            <a:avLst/>
                          </a:prstGeom>
                          <a:noFill/>
                          <a:ln w="9525">
                            <a:noFill/>
                            <a:miter lim="800000"/>
                            <a:headEnd/>
                            <a:tailEnd/>
                          </a:ln>
                        </pic:spPr>
                      </pic:pic>
                    </a:graphicData>
                  </a:graphic>
                </wp:inline>
              </w:drawing>
            </w:r>
          </w:p>
          <w:p w14:paraId="27AAE70E" w14:textId="77777777" w:rsidR="00456979" w:rsidRPr="00C01495" w:rsidRDefault="00456979">
            <w:pPr>
              <w:rPr>
                <w:rFonts w:ascii="Work Sans" w:hAnsi="Work Sans"/>
                <w:sz w:val="20"/>
                <w:szCs w:val="20"/>
              </w:rPr>
            </w:pPr>
            <w:r w:rsidRPr="00C01495">
              <w:rPr>
                <w:rFonts w:ascii="Work Sans" w:hAnsi="Work Sans"/>
                <w:sz w:val="20"/>
                <w:szCs w:val="20"/>
              </w:rPr>
              <w:t xml:space="preserve">Further information on the CC BY licence can be found on the Creative Commons website (http://creativecommons.org). </w:t>
            </w:r>
          </w:p>
          <w:p w14:paraId="626EB8E9" w14:textId="77777777" w:rsidR="00456979" w:rsidRPr="00C01495" w:rsidRDefault="00456979">
            <w:pPr>
              <w:rPr>
                <w:rFonts w:ascii="Work Sans" w:hAnsi="Work Sans"/>
                <w:sz w:val="20"/>
                <w:szCs w:val="20"/>
              </w:rPr>
            </w:pPr>
            <w:r w:rsidRPr="00C01495">
              <w:rPr>
                <w:rFonts w:ascii="Work Sans" w:hAnsi="Work Sans"/>
                <w:sz w:val="20"/>
                <w:szCs w:val="20"/>
              </w:rPr>
              <w:t>Confidential material contained in submissions must be clearly identified or included in separate attachment/s, and details provided in the covering email. Identified confidential material will not be published on the Commission’s website.</w:t>
            </w:r>
          </w:p>
        </w:tc>
      </w:tr>
    </w:tbl>
    <w:p w14:paraId="2A48A8F9" w14:textId="1BEDCCEF" w:rsidR="00776B3D" w:rsidRDefault="00776B3D">
      <w:pPr>
        <w:tabs>
          <w:tab w:val="clear" w:pos="567"/>
        </w:tabs>
        <w:spacing w:before="0" w:after="200" w:line="276" w:lineRule="auto"/>
        <w:rPr>
          <w:rFonts w:ascii="Work Sans" w:hAnsi="Work Sans"/>
          <w:szCs w:val="20"/>
        </w:rPr>
      </w:pPr>
    </w:p>
    <w:sdt>
      <w:sdtPr>
        <w:rPr>
          <w:rFonts w:ascii="Open Sans Light" w:eastAsiaTheme="minorHAnsi" w:hAnsi="Open Sans Light" w:cstheme="minorBidi"/>
          <w:b w:val="0"/>
          <w:bCs w:val="0"/>
          <w:iCs/>
          <w:caps w:val="0"/>
          <w:color w:val="auto"/>
          <w:sz w:val="20"/>
          <w:szCs w:val="20"/>
        </w:rPr>
        <w:id w:val="-1892797897"/>
        <w:docPartObj>
          <w:docPartGallery w:val="Table of Contents"/>
          <w:docPartUnique/>
        </w:docPartObj>
      </w:sdtPr>
      <w:sdtEndPr>
        <w:rPr>
          <w:bCs/>
          <w:color w:val="636466"/>
          <w:sz w:val="18"/>
        </w:rPr>
      </w:sdtEndPr>
      <w:sdtContent>
        <w:p w14:paraId="2B381657" w14:textId="79B4595C" w:rsidR="00C711EA" w:rsidRPr="00C711EA" w:rsidRDefault="00CB681A" w:rsidP="000F46EA">
          <w:pPr>
            <w:pStyle w:val="TOCHeading"/>
          </w:pPr>
          <w:r w:rsidRPr="00E94E50">
            <w:t xml:space="preserve">Contents </w:t>
          </w:r>
        </w:p>
        <w:p w14:paraId="708B4394" w14:textId="576AF562" w:rsidR="00AF6C08" w:rsidRDefault="008329BC">
          <w:pPr>
            <w:pStyle w:val="TOC2"/>
            <w:rPr>
              <w:rFonts w:asciiTheme="minorHAnsi" w:eastAsiaTheme="minorEastAsia" w:hAnsiTheme="minorHAnsi"/>
              <w:bCs w:val="0"/>
              <w:noProof/>
              <w:color w:val="auto"/>
              <w:kern w:val="2"/>
              <w:sz w:val="22"/>
              <w:szCs w:val="22"/>
              <w:lang w:eastAsia="en-AU"/>
              <w14:ligatures w14:val="standardContextual"/>
            </w:rPr>
          </w:pPr>
          <w:r w:rsidRPr="00D57A3C">
            <w:fldChar w:fldCharType="begin"/>
          </w:r>
          <w:r w:rsidRPr="00D57A3C">
            <w:instrText xml:space="preserve"> TOC \o "1-3" \h \z \u </w:instrText>
          </w:r>
          <w:r w:rsidRPr="00D57A3C">
            <w:fldChar w:fldCharType="separate"/>
          </w:r>
          <w:hyperlink w:anchor="_Toc138691888" w:history="1">
            <w:r w:rsidR="00AF6C08" w:rsidRPr="00677895">
              <w:rPr>
                <w:rStyle w:val="Hyperlink"/>
                <w:noProof/>
              </w:rPr>
              <w:t>Overview of category</w:t>
            </w:r>
            <w:r w:rsidR="00AF6C08">
              <w:rPr>
                <w:noProof/>
                <w:webHidden/>
              </w:rPr>
              <w:tab/>
            </w:r>
            <w:r w:rsidR="00AF6C08">
              <w:rPr>
                <w:noProof/>
                <w:webHidden/>
              </w:rPr>
              <w:fldChar w:fldCharType="begin"/>
            </w:r>
            <w:r w:rsidR="00AF6C08">
              <w:rPr>
                <w:noProof/>
                <w:webHidden/>
              </w:rPr>
              <w:instrText xml:space="preserve"> PAGEREF _Toc138691888 \h </w:instrText>
            </w:r>
            <w:r w:rsidR="00AF6C08">
              <w:rPr>
                <w:noProof/>
                <w:webHidden/>
              </w:rPr>
            </w:r>
            <w:r w:rsidR="00AF6C08">
              <w:rPr>
                <w:noProof/>
                <w:webHidden/>
              </w:rPr>
              <w:fldChar w:fldCharType="separate"/>
            </w:r>
            <w:r w:rsidR="00282693">
              <w:rPr>
                <w:noProof/>
                <w:webHidden/>
              </w:rPr>
              <w:t>4</w:t>
            </w:r>
            <w:r w:rsidR="00AF6C08">
              <w:rPr>
                <w:noProof/>
                <w:webHidden/>
              </w:rPr>
              <w:fldChar w:fldCharType="end"/>
            </w:r>
          </w:hyperlink>
        </w:p>
        <w:p w14:paraId="29AC69EC" w14:textId="16167EB6" w:rsidR="00AF6C08" w:rsidRDefault="00000000">
          <w:pPr>
            <w:pStyle w:val="TOC2"/>
            <w:rPr>
              <w:rFonts w:asciiTheme="minorHAnsi" w:eastAsiaTheme="minorEastAsia" w:hAnsiTheme="minorHAnsi"/>
              <w:bCs w:val="0"/>
              <w:noProof/>
              <w:color w:val="auto"/>
              <w:kern w:val="2"/>
              <w:sz w:val="22"/>
              <w:szCs w:val="22"/>
              <w:lang w:eastAsia="en-AU"/>
              <w14:ligatures w14:val="standardContextual"/>
            </w:rPr>
          </w:pPr>
          <w:hyperlink w:anchor="_Toc138691889" w:history="1">
            <w:r w:rsidR="00AF6C08" w:rsidRPr="00677895">
              <w:rPr>
                <w:rStyle w:val="Hyperlink"/>
                <w:noProof/>
              </w:rPr>
              <w:t>Current assessment method — 2020 Review</w:t>
            </w:r>
            <w:r w:rsidR="00AF6C08">
              <w:rPr>
                <w:noProof/>
                <w:webHidden/>
              </w:rPr>
              <w:tab/>
            </w:r>
            <w:r w:rsidR="00AF6C08">
              <w:rPr>
                <w:noProof/>
                <w:webHidden/>
              </w:rPr>
              <w:fldChar w:fldCharType="begin"/>
            </w:r>
            <w:r w:rsidR="00AF6C08">
              <w:rPr>
                <w:noProof/>
                <w:webHidden/>
              </w:rPr>
              <w:instrText xml:space="preserve"> PAGEREF _Toc138691889 \h </w:instrText>
            </w:r>
            <w:r w:rsidR="00AF6C08">
              <w:rPr>
                <w:noProof/>
                <w:webHidden/>
              </w:rPr>
            </w:r>
            <w:r w:rsidR="00AF6C08">
              <w:rPr>
                <w:noProof/>
                <w:webHidden/>
              </w:rPr>
              <w:fldChar w:fldCharType="separate"/>
            </w:r>
            <w:r w:rsidR="00282693">
              <w:rPr>
                <w:noProof/>
                <w:webHidden/>
              </w:rPr>
              <w:t>4</w:t>
            </w:r>
            <w:r w:rsidR="00AF6C08">
              <w:rPr>
                <w:noProof/>
                <w:webHidden/>
              </w:rPr>
              <w:fldChar w:fldCharType="end"/>
            </w:r>
          </w:hyperlink>
        </w:p>
        <w:p w14:paraId="56683E9A" w14:textId="5EFA1D1C"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890" w:history="1">
            <w:r w:rsidR="00AF6C08" w:rsidRPr="00677895">
              <w:rPr>
                <w:rStyle w:val="Hyperlink"/>
                <w:noProof/>
              </w:rPr>
              <w:t>Urban transport recurrent expenses</w:t>
            </w:r>
            <w:r w:rsidR="00AF6C08">
              <w:rPr>
                <w:noProof/>
                <w:webHidden/>
              </w:rPr>
              <w:tab/>
            </w:r>
            <w:r w:rsidR="00AF6C08">
              <w:rPr>
                <w:noProof/>
                <w:webHidden/>
              </w:rPr>
              <w:fldChar w:fldCharType="begin"/>
            </w:r>
            <w:r w:rsidR="00AF6C08">
              <w:rPr>
                <w:noProof/>
                <w:webHidden/>
              </w:rPr>
              <w:instrText xml:space="preserve"> PAGEREF _Toc138691890 \h </w:instrText>
            </w:r>
            <w:r w:rsidR="00AF6C08">
              <w:rPr>
                <w:noProof/>
                <w:webHidden/>
              </w:rPr>
            </w:r>
            <w:r w:rsidR="00AF6C08">
              <w:rPr>
                <w:noProof/>
                <w:webHidden/>
              </w:rPr>
              <w:fldChar w:fldCharType="separate"/>
            </w:r>
            <w:r w:rsidR="00282693">
              <w:rPr>
                <w:noProof/>
                <w:webHidden/>
              </w:rPr>
              <w:t>4</w:t>
            </w:r>
            <w:r w:rsidR="00AF6C08">
              <w:rPr>
                <w:noProof/>
                <w:webHidden/>
              </w:rPr>
              <w:fldChar w:fldCharType="end"/>
            </w:r>
          </w:hyperlink>
        </w:p>
        <w:p w14:paraId="783678CD" w14:textId="573D49D4"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891" w:history="1">
            <w:r w:rsidR="00AF6C08" w:rsidRPr="00677895">
              <w:rPr>
                <w:rStyle w:val="Hyperlink"/>
                <w:noProof/>
              </w:rPr>
              <w:t>Non-urban transport recurrent expenses</w:t>
            </w:r>
            <w:r w:rsidR="00AF6C08">
              <w:rPr>
                <w:noProof/>
                <w:webHidden/>
              </w:rPr>
              <w:tab/>
            </w:r>
            <w:r w:rsidR="00AF6C08">
              <w:rPr>
                <w:noProof/>
                <w:webHidden/>
              </w:rPr>
              <w:fldChar w:fldCharType="begin"/>
            </w:r>
            <w:r w:rsidR="00AF6C08">
              <w:rPr>
                <w:noProof/>
                <w:webHidden/>
              </w:rPr>
              <w:instrText xml:space="preserve"> PAGEREF _Toc138691891 \h </w:instrText>
            </w:r>
            <w:r w:rsidR="00AF6C08">
              <w:rPr>
                <w:noProof/>
                <w:webHidden/>
              </w:rPr>
            </w:r>
            <w:r w:rsidR="00AF6C08">
              <w:rPr>
                <w:noProof/>
                <w:webHidden/>
              </w:rPr>
              <w:fldChar w:fldCharType="separate"/>
            </w:r>
            <w:r w:rsidR="00282693">
              <w:rPr>
                <w:noProof/>
                <w:webHidden/>
              </w:rPr>
              <w:t>6</w:t>
            </w:r>
            <w:r w:rsidR="00AF6C08">
              <w:rPr>
                <w:noProof/>
                <w:webHidden/>
              </w:rPr>
              <w:fldChar w:fldCharType="end"/>
            </w:r>
          </w:hyperlink>
        </w:p>
        <w:p w14:paraId="5CC54F06" w14:textId="4D9E2875"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892" w:history="1">
            <w:r w:rsidR="00AF6C08" w:rsidRPr="00677895">
              <w:rPr>
                <w:rStyle w:val="Hyperlink"/>
                <w:noProof/>
              </w:rPr>
              <w:t>Transport investment</w:t>
            </w:r>
            <w:r w:rsidR="00AF6C08">
              <w:rPr>
                <w:noProof/>
                <w:webHidden/>
              </w:rPr>
              <w:tab/>
            </w:r>
            <w:r w:rsidR="00AF6C08">
              <w:rPr>
                <w:noProof/>
                <w:webHidden/>
              </w:rPr>
              <w:fldChar w:fldCharType="begin"/>
            </w:r>
            <w:r w:rsidR="00AF6C08">
              <w:rPr>
                <w:noProof/>
                <w:webHidden/>
              </w:rPr>
              <w:instrText xml:space="preserve"> PAGEREF _Toc138691892 \h </w:instrText>
            </w:r>
            <w:r w:rsidR="00AF6C08">
              <w:rPr>
                <w:noProof/>
                <w:webHidden/>
              </w:rPr>
            </w:r>
            <w:r w:rsidR="00AF6C08">
              <w:rPr>
                <w:noProof/>
                <w:webHidden/>
              </w:rPr>
              <w:fldChar w:fldCharType="separate"/>
            </w:r>
            <w:r w:rsidR="00282693">
              <w:rPr>
                <w:noProof/>
                <w:webHidden/>
              </w:rPr>
              <w:t>7</w:t>
            </w:r>
            <w:r w:rsidR="00AF6C08">
              <w:rPr>
                <w:noProof/>
                <w:webHidden/>
              </w:rPr>
              <w:fldChar w:fldCharType="end"/>
            </w:r>
          </w:hyperlink>
        </w:p>
        <w:p w14:paraId="18759171" w14:textId="03459094"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893" w:history="1">
            <w:r w:rsidR="00AF6C08" w:rsidRPr="00677895">
              <w:rPr>
                <w:rStyle w:val="Hyperlink"/>
                <w:noProof/>
              </w:rPr>
              <w:t>Data used in the assessment</w:t>
            </w:r>
            <w:r w:rsidR="00AF6C08">
              <w:rPr>
                <w:noProof/>
                <w:webHidden/>
              </w:rPr>
              <w:tab/>
            </w:r>
            <w:r w:rsidR="00AF6C08">
              <w:rPr>
                <w:noProof/>
                <w:webHidden/>
              </w:rPr>
              <w:fldChar w:fldCharType="begin"/>
            </w:r>
            <w:r w:rsidR="00AF6C08">
              <w:rPr>
                <w:noProof/>
                <w:webHidden/>
              </w:rPr>
              <w:instrText xml:space="preserve"> PAGEREF _Toc138691893 \h </w:instrText>
            </w:r>
            <w:r w:rsidR="00AF6C08">
              <w:rPr>
                <w:noProof/>
                <w:webHidden/>
              </w:rPr>
            </w:r>
            <w:r w:rsidR="00AF6C08">
              <w:rPr>
                <w:noProof/>
                <w:webHidden/>
              </w:rPr>
              <w:fldChar w:fldCharType="separate"/>
            </w:r>
            <w:r w:rsidR="00282693">
              <w:rPr>
                <w:noProof/>
                <w:webHidden/>
              </w:rPr>
              <w:t>7</w:t>
            </w:r>
            <w:r w:rsidR="00AF6C08">
              <w:rPr>
                <w:noProof/>
                <w:webHidden/>
              </w:rPr>
              <w:fldChar w:fldCharType="end"/>
            </w:r>
          </w:hyperlink>
        </w:p>
        <w:p w14:paraId="715963FB" w14:textId="7F893B0B"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894" w:history="1">
            <w:r w:rsidR="00AF6C08" w:rsidRPr="00677895">
              <w:rPr>
                <w:rStyle w:val="Hyperlink"/>
                <w:noProof/>
              </w:rPr>
              <w:t>Category and component revenue</w:t>
            </w:r>
            <w:r w:rsidR="00AF6C08">
              <w:rPr>
                <w:noProof/>
                <w:webHidden/>
              </w:rPr>
              <w:tab/>
            </w:r>
            <w:r w:rsidR="00AF6C08">
              <w:rPr>
                <w:noProof/>
                <w:webHidden/>
              </w:rPr>
              <w:fldChar w:fldCharType="begin"/>
            </w:r>
            <w:r w:rsidR="00AF6C08">
              <w:rPr>
                <w:noProof/>
                <w:webHidden/>
              </w:rPr>
              <w:instrText xml:space="preserve"> PAGEREF _Toc138691894 \h </w:instrText>
            </w:r>
            <w:r w:rsidR="00AF6C08">
              <w:rPr>
                <w:noProof/>
                <w:webHidden/>
              </w:rPr>
            </w:r>
            <w:r w:rsidR="00AF6C08">
              <w:rPr>
                <w:noProof/>
                <w:webHidden/>
              </w:rPr>
              <w:fldChar w:fldCharType="separate"/>
            </w:r>
            <w:r w:rsidR="00282693">
              <w:rPr>
                <w:noProof/>
                <w:webHidden/>
              </w:rPr>
              <w:t>8</w:t>
            </w:r>
            <w:r w:rsidR="00AF6C08">
              <w:rPr>
                <w:noProof/>
                <w:webHidden/>
              </w:rPr>
              <w:fldChar w:fldCharType="end"/>
            </w:r>
          </w:hyperlink>
        </w:p>
        <w:p w14:paraId="0D5D7C6A" w14:textId="10F7DE48"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895" w:history="1">
            <w:r w:rsidR="00AF6C08" w:rsidRPr="00677895">
              <w:rPr>
                <w:rStyle w:val="Hyperlink"/>
                <w:noProof/>
              </w:rPr>
              <w:t>GST distribution in the 2023 Update</w:t>
            </w:r>
            <w:r w:rsidR="00AF6C08">
              <w:rPr>
                <w:noProof/>
                <w:webHidden/>
              </w:rPr>
              <w:tab/>
            </w:r>
            <w:r w:rsidR="00AF6C08">
              <w:rPr>
                <w:noProof/>
                <w:webHidden/>
              </w:rPr>
              <w:fldChar w:fldCharType="begin"/>
            </w:r>
            <w:r w:rsidR="00AF6C08">
              <w:rPr>
                <w:noProof/>
                <w:webHidden/>
              </w:rPr>
              <w:instrText xml:space="preserve"> PAGEREF _Toc138691895 \h </w:instrText>
            </w:r>
            <w:r w:rsidR="00AF6C08">
              <w:rPr>
                <w:noProof/>
                <w:webHidden/>
              </w:rPr>
            </w:r>
            <w:r w:rsidR="00AF6C08">
              <w:rPr>
                <w:noProof/>
                <w:webHidden/>
              </w:rPr>
              <w:fldChar w:fldCharType="separate"/>
            </w:r>
            <w:r w:rsidR="00282693">
              <w:rPr>
                <w:noProof/>
                <w:webHidden/>
              </w:rPr>
              <w:t>9</w:t>
            </w:r>
            <w:r w:rsidR="00AF6C08">
              <w:rPr>
                <w:noProof/>
                <w:webHidden/>
              </w:rPr>
              <w:fldChar w:fldCharType="end"/>
            </w:r>
          </w:hyperlink>
        </w:p>
        <w:p w14:paraId="567A9518" w14:textId="60F00458" w:rsidR="00AF6C08" w:rsidRDefault="00000000">
          <w:pPr>
            <w:pStyle w:val="TOC2"/>
            <w:rPr>
              <w:rFonts w:asciiTheme="minorHAnsi" w:eastAsiaTheme="minorEastAsia" w:hAnsiTheme="minorHAnsi"/>
              <w:bCs w:val="0"/>
              <w:noProof/>
              <w:color w:val="auto"/>
              <w:kern w:val="2"/>
              <w:sz w:val="22"/>
              <w:szCs w:val="22"/>
              <w:lang w:eastAsia="en-AU"/>
              <w14:ligatures w14:val="standardContextual"/>
            </w:rPr>
          </w:pPr>
          <w:hyperlink w:anchor="_Toc138691896" w:history="1">
            <w:r w:rsidR="00AF6C08" w:rsidRPr="00677895">
              <w:rPr>
                <w:rStyle w:val="Hyperlink"/>
                <w:noProof/>
              </w:rPr>
              <w:t>What has changed since the 2020 Review?</w:t>
            </w:r>
            <w:r w:rsidR="00AF6C08">
              <w:rPr>
                <w:noProof/>
                <w:webHidden/>
              </w:rPr>
              <w:tab/>
            </w:r>
            <w:r w:rsidR="00AF6C08">
              <w:rPr>
                <w:noProof/>
                <w:webHidden/>
              </w:rPr>
              <w:fldChar w:fldCharType="begin"/>
            </w:r>
            <w:r w:rsidR="00AF6C08">
              <w:rPr>
                <w:noProof/>
                <w:webHidden/>
              </w:rPr>
              <w:instrText xml:space="preserve"> PAGEREF _Toc138691896 \h </w:instrText>
            </w:r>
            <w:r w:rsidR="00AF6C08">
              <w:rPr>
                <w:noProof/>
                <w:webHidden/>
              </w:rPr>
            </w:r>
            <w:r w:rsidR="00AF6C08">
              <w:rPr>
                <w:noProof/>
                <w:webHidden/>
              </w:rPr>
              <w:fldChar w:fldCharType="separate"/>
            </w:r>
            <w:r w:rsidR="00282693">
              <w:rPr>
                <w:noProof/>
                <w:webHidden/>
              </w:rPr>
              <w:t>9</w:t>
            </w:r>
            <w:r w:rsidR="00AF6C08">
              <w:rPr>
                <w:noProof/>
                <w:webHidden/>
              </w:rPr>
              <w:fldChar w:fldCharType="end"/>
            </w:r>
          </w:hyperlink>
        </w:p>
        <w:p w14:paraId="37B6A877" w14:textId="1DFF0D1F"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897" w:history="1">
            <w:r w:rsidR="00AF6C08" w:rsidRPr="00677895">
              <w:rPr>
                <w:rStyle w:val="Hyperlink"/>
                <w:noProof/>
              </w:rPr>
              <w:t>COVID-19 affected urban transport service provision and use</w:t>
            </w:r>
            <w:r w:rsidR="00AF6C08">
              <w:rPr>
                <w:noProof/>
                <w:webHidden/>
              </w:rPr>
              <w:tab/>
            </w:r>
            <w:r w:rsidR="00AF6C08">
              <w:rPr>
                <w:noProof/>
                <w:webHidden/>
              </w:rPr>
              <w:fldChar w:fldCharType="begin"/>
            </w:r>
            <w:r w:rsidR="00AF6C08">
              <w:rPr>
                <w:noProof/>
                <w:webHidden/>
              </w:rPr>
              <w:instrText xml:space="preserve"> PAGEREF _Toc138691897 \h </w:instrText>
            </w:r>
            <w:r w:rsidR="00AF6C08">
              <w:rPr>
                <w:noProof/>
                <w:webHidden/>
              </w:rPr>
            </w:r>
            <w:r w:rsidR="00AF6C08">
              <w:rPr>
                <w:noProof/>
                <w:webHidden/>
              </w:rPr>
              <w:fldChar w:fldCharType="separate"/>
            </w:r>
            <w:r w:rsidR="00282693">
              <w:rPr>
                <w:noProof/>
                <w:webHidden/>
              </w:rPr>
              <w:t>9</w:t>
            </w:r>
            <w:r w:rsidR="00AF6C08">
              <w:rPr>
                <w:noProof/>
                <w:webHidden/>
              </w:rPr>
              <w:fldChar w:fldCharType="end"/>
            </w:r>
          </w:hyperlink>
        </w:p>
        <w:p w14:paraId="7569A289" w14:textId="12C1B5EB"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898" w:history="1">
            <w:r w:rsidR="00AF6C08" w:rsidRPr="00677895">
              <w:rPr>
                <w:rStyle w:val="Hyperlink"/>
                <w:noProof/>
              </w:rPr>
              <w:t>2021 Census data do not reflect normal circumstances</w:t>
            </w:r>
            <w:r w:rsidR="00AF6C08">
              <w:rPr>
                <w:noProof/>
                <w:webHidden/>
              </w:rPr>
              <w:tab/>
            </w:r>
            <w:r w:rsidR="00AF6C08">
              <w:rPr>
                <w:noProof/>
                <w:webHidden/>
              </w:rPr>
              <w:fldChar w:fldCharType="begin"/>
            </w:r>
            <w:r w:rsidR="00AF6C08">
              <w:rPr>
                <w:noProof/>
                <w:webHidden/>
              </w:rPr>
              <w:instrText xml:space="preserve"> PAGEREF _Toc138691898 \h </w:instrText>
            </w:r>
            <w:r w:rsidR="00AF6C08">
              <w:rPr>
                <w:noProof/>
                <w:webHidden/>
              </w:rPr>
            </w:r>
            <w:r w:rsidR="00AF6C08">
              <w:rPr>
                <w:noProof/>
                <w:webHidden/>
              </w:rPr>
              <w:fldChar w:fldCharType="separate"/>
            </w:r>
            <w:r w:rsidR="00282693">
              <w:rPr>
                <w:noProof/>
                <w:webHidden/>
              </w:rPr>
              <w:t>10</w:t>
            </w:r>
            <w:r w:rsidR="00AF6C08">
              <w:rPr>
                <w:noProof/>
                <w:webHidden/>
              </w:rPr>
              <w:fldChar w:fldCharType="end"/>
            </w:r>
          </w:hyperlink>
        </w:p>
        <w:p w14:paraId="708D62A5" w14:textId="6145A747"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899" w:history="1">
            <w:r w:rsidR="00AF6C08" w:rsidRPr="00677895">
              <w:rPr>
                <w:rStyle w:val="Hyperlink"/>
                <w:noProof/>
              </w:rPr>
              <w:t>Urban centre boundaries and populations have changed</w:t>
            </w:r>
            <w:r w:rsidR="00AF6C08">
              <w:rPr>
                <w:noProof/>
                <w:webHidden/>
              </w:rPr>
              <w:tab/>
            </w:r>
            <w:r w:rsidR="00AF6C08">
              <w:rPr>
                <w:noProof/>
                <w:webHidden/>
              </w:rPr>
              <w:fldChar w:fldCharType="begin"/>
            </w:r>
            <w:r w:rsidR="00AF6C08">
              <w:rPr>
                <w:noProof/>
                <w:webHidden/>
              </w:rPr>
              <w:instrText xml:space="preserve"> PAGEREF _Toc138691899 \h </w:instrText>
            </w:r>
            <w:r w:rsidR="00AF6C08">
              <w:rPr>
                <w:noProof/>
                <w:webHidden/>
              </w:rPr>
            </w:r>
            <w:r w:rsidR="00AF6C08">
              <w:rPr>
                <w:noProof/>
                <w:webHidden/>
              </w:rPr>
              <w:fldChar w:fldCharType="separate"/>
            </w:r>
            <w:r w:rsidR="00282693">
              <w:rPr>
                <w:noProof/>
                <w:webHidden/>
              </w:rPr>
              <w:t>10</w:t>
            </w:r>
            <w:r w:rsidR="00AF6C08">
              <w:rPr>
                <w:noProof/>
                <w:webHidden/>
              </w:rPr>
              <w:fldChar w:fldCharType="end"/>
            </w:r>
          </w:hyperlink>
        </w:p>
        <w:p w14:paraId="7B0E3DF6" w14:textId="55339524"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00" w:history="1">
            <w:r w:rsidR="00AF6C08" w:rsidRPr="00677895">
              <w:rPr>
                <w:rStyle w:val="Hyperlink"/>
                <w:noProof/>
              </w:rPr>
              <w:t>Urban transport networks have changed</w:t>
            </w:r>
            <w:r w:rsidR="00AF6C08">
              <w:rPr>
                <w:noProof/>
                <w:webHidden/>
              </w:rPr>
              <w:tab/>
            </w:r>
            <w:r w:rsidR="00AF6C08">
              <w:rPr>
                <w:noProof/>
                <w:webHidden/>
              </w:rPr>
              <w:fldChar w:fldCharType="begin"/>
            </w:r>
            <w:r w:rsidR="00AF6C08">
              <w:rPr>
                <w:noProof/>
                <w:webHidden/>
              </w:rPr>
              <w:instrText xml:space="preserve"> PAGEREF _Toc138691900 \h </w:instrText>
            </w:r>
            <w:r w:rsidR="00AF6C08">
              <w:rPr>
                <w:noProof/>
                <w:webHidden/>
              </w:rPr>
            </w:r>
            <w:r w:rsidR="00AF6C08">
              <w:rPr>
                <w:noProof/>
                <w:webHidden/>
              </w:rPr>
              <w:fldChar w:fldCharType="separate"/>
            </w:r>
            <w:r w:rsidR="00282693">
              <w:rPr>
                <w:noProof/>
                <w:webHidden/>
              </w:rPr>
              <w:t>10</w:t>
            </w:r>
            <w:r w:rsidR="00AF6C08">
              <w:rPr>
                <w:noProof/>
                <w:webHidden/>
              </w:rPr>
              <w:fldChar w:fldCharType="end"/>
            </w:r>
          </w:hyperlink>
        </w:p>
        <w:p w14:paraId="6C6C0777" w14:textId="4E99289B"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01" w:history="1">
            <w:r w:rsidR="00AF6C08" w:rsidRPr="00677895">
              <w:rPr>
                <w:rStyle w:val="Hyperlink"/>
                <w:noProof/>
              </w:rPr>
              <w:t>Non-urban populations have changed</w:t>
            </w:r>
            <w:r w:rsidR="00AF6C08">
              <w:rPr>
                <w:noProof/>
                <w:webHidden/>
              </w:rPr>
              <w:tab/>
            </w:r>
            <w:r w:rsidR="00AF6C08">
              <w:rPr>
                <w:noProof/>
                <w:webHidden/>
              </w:rPr>
              <w:fldChar w:fldCharType="begin"/>
            </w:r>
            <w:r w:rsidR="00AF6C08">
              <w:rPr>
                <w:noProof/>
                <w:webHidden/>
              </w:rPr>
              <w:instrText xml:space="preserve"> PAGEREF _Toc138691901 \h </w:instrText>
            </w:r>
            <w:r w:rsidR="00AF6C08">
              <w:rPr>
                <w:noProof/>
                <w:webHidden/>
              </w:rPr>
            </w:r>
            <w:r w:rsidR="00AF6C08">
              <w:rPr>
                <w:noProof/>
                <w:webHidden/>
              </w:rPr>
              <w:fldChar w:fldCharType="separate"/>
            </w:r>
            <w:r w:rsidR="00282693">
              <w:rPr>
                <w:noProof/>
                <w:webHidden/>
              </w:rPr>
              <w:t>10</w:t>
            </w:r>
            <w:r w:rsidR="00AF6C08">
              <w:rPr>
                <w:noProof/>
                <w:webHidden/>
              </w:rPr>
              <w:fldChar w:fldCharType="end"/>
            </w:r>
          </w:hyperlink>
        </w:p>
        <w:p w14:paraId="07675F3D" w14:textId="761E8ABF" w:rsidR="00AF6C08" w:rsidRDefault="00000000">
          <w:pPr>
            <w:pStyle w:val="TOC2"/>
            <w:rPr>
              <w:rFonts w:asciiTheme="minorHAnsi" w:eastAsiaTheme="minorEastAsia" w:hAnsiTheme="minorHAnsi"/>
              <w:bCs w:val="0"/>
              <w:noProof/>
              <w:color w:val="auto"/>
              <w:kern w:val="2"/>
              <w:sz w:val="22"/>
              <w:szCs w:val="22"/>
              <w:lang w:eastAsia="en-AU"/>
              <w14:ligatures w14:val="standardContextual"/>
            </w:rPr>
          </w:pPr>
          <w:hyperlink w:anchor="_Toc138691902" w:history="1">
            <w:r w:rsidR="00AF6C08" w:rsidRPr="00677895">
              <w:rPr>
                <w:rStyle w:val="Hyperlink"/>
                <w:noProof/>
              </w:rPr>
              <w:t>Implications for assessment</w:t>
            </w:r>
            <w:r w:rsidR="00AF6C08">
              <w:rPr>
                <w:noProof/>
                <w:webHidden/>
              </w:rPr>
              <w:tab/>
            </w:r>
            <w:r w:rsidR="00AF6C08">
              <w:rPr>
                <w:noProof/>
                <w:webHidden/>
              </w:rPr>
              <w:fldChar w:fldCharType="begin"/>
            </w:r>
            <w:r w:rsidR="00AF6C08">
              <w:rPr>
                <w:noProof/>
                <w:webHidden/>
              </w:rPr>
              <w:instrText xml:space="preserve"> PAGEREF _Toc138691902 \h </w:instrText>
            </w:r>
            <w:r w:rsidR="00AF6C08">
              <w:rPr>
                <w:noProof/>
                <w:webHidden/>
              </w:rPr>
            </w:r>
            <w:r w:rsidR="00AF6C08">
              <w:rPr>
                <w:noProof/>
                <w:webHidden/>
              </w:rPr>
              <w:fldChar w:fldCharType="separate"/>
            </w:r>
            <w:r w:rsidR="00282693">
              <w:rPr>
                <w:noProof/>
                <w:webHidden/>
              </w:rPr>
              <w:t>11</w:t>
            </w:r>
            <w:r w:rsidR="00AF6C08">
              <w:rPr>
                <w:noProof/>
                <w:webHidden/>
              </w:rPr>
              <w:fldChar w:fldCharType="end"/>
            </w:r>
          </w:hyperlink>
        </w:p>
        <w:p w14:paraId="23BD5624" w14:textId="63BBF200"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03" w:history="1">
            <w:r w:rsidR="00AF6C08" w:rsidRPr="00677895">
              <w:rPr>
                <w:rStyle w:val="Hyperlink"/>
                <w:noProof/>
              </w:rPr>
              <w:t>To what extent has the experience of COVID-19 challenged the underlying assumptions of the urban transport assessment?</w:t>
            </w:r>
            <w:r w:rsidR="00AF6C08">
              <w:rPr>
                <w:noProof/>
                <w:webHidden/>
              </w:rPr>
              <w:tab/>
            </w:r>
            <w:r w:rsidR="00AF6C08">
              <w:rPr>
                <w:noProof/>
                <w:webHidden/>
              </w:rPr>
              <w:fldChar w:fldCharType="begin"/>
            </w:r>
            <w:r w:rsidR="00AF6C08">
              <w:rPr>
                <w:noProof/>
                <w:webHidden/>
              </w:rPr>
              <w:instrText xml:space="preserve"> PAGEREF _Toc138691903 \h </w:instrText>
            </w:r>
            <w:r w:rsidR="00AF6C08">
              <w:rPr>
                <w:noProof/>
                <w:webHidden/>
              </w:rPr>
            </w:r>
            <w:r w:rsidR="00AF6C08">
              <w:rPr>
                <w:noProof/>
                <w:webHidden/>
              </w:rPr>
              <w:fldChar w:fldCharType="separate"/>
            </w:r>
            <w:r w:rsidR="00282693">
              <w:rPr>
                <w:noProof/>
                <w:webHidden/>
              </w:rPr>
              <w:t>11</w:t>
            </w:r>
            <w:r w:rsidR="00AF6C08">
              <w:rPr>
                <w:noProof/>
                <w:webHidden/>
              </w:rPr>
              <w:fldChar w:fldCharType="end"/>
            </w:r>
          </w:hyperlink>
        </w:p>
        <w:p w14:paraId="319E78A6" w14:textId="79900F80"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04" w:history="1">
            <w:r w:rsidR="00AF6C08" w:rsidRPr="00677895">
              <w:rPr>
                <w:rStyle w:val="Hyperlink"/>
                <w:noProof/>
              </w:rPr>
              <w:t>Are reliable data available to update the assessment of urban transport needs?</w:t>
            </w:r>
            <w:r w:rsidR="00AF6C08">
              <w:rPr>
                <w:noProof/>
                <w:webHidden/>
              </w:rPr>
              <w:tab/>
            </w:r>
            <w:r w:rsidR="00AF6C08">
              <w:rPr>
                <w:noProof/>
                <w:webHidden/>
              </w:rPr>
              <w:fldChar w:fldCharType="begin"/>
            </w:r>
            <w:r w:rsidR="00AF6C08">
              <w:rPr>
                <w:noProof/>
                <w:webHidden/>
              </w:rPr>
              <w:instrText xml:space="preserve"> PAGEREF _Toc138691904 \h </w:instrText>
            </w:r>
            <w:r w:rsidR="00AF6C08">
              <w:rPr>
                <w:noProof/>
                <w:webHidden/>
              </w:rPr>
            </w:r>
            <w:r w:rsidR="00AF6C08">
              <w:rPr>
                <w:noProof/>
                <w:webHidden/>
              </w:rPr>
              <w:fldChar w:fldCharType="separate"/>
            </w:r>
            <w:r w:rsidR="00282693">
              <w:rPr>
                <w:noProof/>
                <w:webHidden/>
              </w:rPr>
              <w:t>15</w:t>
            </w:r>
            <w:r w:rsidR="00AF6C08">
              <w:rPr>
                <w:noProof/>
                <w:webHidden/>
              </w:rPr>
              <w:fldChar w:fldCharType="end"/>
            </w:r>
          </w:hyperlink>
        </w:p>
        <w:p w14:paraId="27873C6B" w14:textId="3B346434"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05" w:history="1">
            <w:r w:rsidR="00AF6C08" w:rsidRPr="00677895">
              <w:rPr>
                <w:rStyle w:val="Hyperlink"/>
                <w:noProof/>
              </w:rPr>
              <w:t>What are the implications of additions to networks and new modes of transport?</w:t>
            </w:r>
            <w:r w:rsidR="00AF6C08">
              <w:rPr>
                <w:noProof/>
                <w:webHidden/>
              </w:rPr>
              <w:tab/>
            </w:r>
            <w:r w:rsidR="00AF6C08">
              <w:rPr>
                <w:noProof/>
                <w:webHidden/>
              </w:rPr>
              <w:fldChar w:fldCharType="begin"/>
            </w:r>
            <w:r w:rsidR="00AF6C08">
              <w:rPr>
                <w:noProof/>
                <w:webHidden/>
              </w:rPr>
              <w:instrText xml:space="preserve"> PAGEREF _Toc138691905 \h </w:instrText>
            </w:r>
            <w:r w:rsidR="00AF6C08">
              <w:rPr>
                <w:noProof/>
                <w:webHidden/>
              </w:rPr>
            </w:r>
            <w:r w:rsidR="00AF6C08">
              <w:rPr>
                <w:noProof/>
                <w:webHidden/>
              </w:rPr>
              <w:fldChar w:fldCharType="separate"/>
            </w:r>
            <w:r w:rsidR="00282693">
              <w:rPr>
                <w:noProof/>
                <w:webHidden/>
              </w:rPr>
              <w:t>23</w:t>
            </w:r>
            <w:r w:rsidR="00AF6C08">
              <w:rPr>
                <w:noProof/>
                <w:webHidden/>
              </w:rPr>
              <w:fldChar w:fldCharType="end"/>
            </w:r>
          </w:hyperlink>
        </w:p>
        <w:p w14:paraId="0A258C9F" w14:textId="48168E2F"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06" w:history="1">
            <w:r w:rsidR="00AF6C08" w:rsidRPr="00677895">
              <w:rPr>
                <w:rStyle w:val="Hyperlink"/>
                <w:noProof/>
              </w:rPr>
              <w:t>What are the implications of changes to urban centre sizes and populations?</w:t>
            </w:r>
            <w:r w:rsidR="00AF6C08">
              <w:rPr>
                <w:noProof/>
                <w:webHidden/>
              </w:rPr>
              <w:tab/>
            </w:r>
            <w:r w:rsidR="00AF6C08">
              <w:rPr>
                <w:noProof/>
                <w:webHidden/>
              </w:rPr>
              <w:fldChar w:fldCharType="begin"/>
            </w:r>
            <w:r w:rsidR="00AF6C08">
              <w:rPr>
                <w:noProof/>
                <w:webHidden/>
              </w:rPr>
              <w:instrText xml:space="preserve"> PAGEREF _Toc138691906 \h </w:instrText>
            </w:r>
            <w:r w:rsidR="00AF6C08">
              <w:rPr>
                <w:noProof/>
                <w:webHidden/>
              </w:rPr>
            </w:r>
            <w:r w:rsidR="00AF6C08">
              <w:rPr>
                <w:noProof/>
                <w:webHidden/>
              </w:rPr>
              <w:fldChar w:fldCharType="separate"/>
            </w:r>
            <w:r w:rsidR="00282693">
              <w:rPr>
                <w:noProof/>
                <w:webHidden/>
              </w:rPr>
              <w:t>25</w:t>
            </w:r>
            <w:r w:rsidR="00AF6C08">
              <w:rPr>
                <w:noProof/>
                <w:webHidden/>
              </w:rPr>
              <w:fldChar w:fldCharType="end"/>
            </w:r>
          </w:hyperlink>
        </w:p>
        <w:p w14:paraId="5D9068A1" w14:textId="16B0A17C"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07" w:history="1">
            <w:r w:rsidR="00AF6C08" w:rsidRPr="00677895">
              <w:rPr>
                <w:rStyle w:val="Hyperlink"/>
                <w:noProof/>
              </w:rPr>
              <w:t>What are the implications of changing non-urban populations?</w:t>
            </w:r>
            <w:r w:rsidR="00AF6C08">
              <w:rPr>
                <w:noProof/>
                <w:webHidden/>
              </w:rPr>
              <w:tab/>
            </w:r>
            <w:r w:rsidR="00AF6C08">
              <w:rPr>
                <w:noProof/>
                <w:webHidden/>
              </w:rPr>
              <w:fldChar w:fldCharType="begin"/>
            </w:r>
            <w:r w:rsidR="00AF6C08">
              <w:rPr>
                <w:noProof/>
                <w:webHidden/>
              </w:rPr>
              <w:instrText xml:space="preserve"> PAGEREF _Toc138691907 \h </w:instrText>
            </w:r>
            <w:r w:rsidR="00AF6C08">
              <w:rPr>
                <w:noProof/>
                <w:webHidden/>
              </w:rPr>
            </w:r>
            <w:r w:rsidR="00AF6C08">
              <w:rPr>
                <w:noProof/>
                <w:webHidden/>
              </w:rPr>
              <w:fldChar w:fldCharType="separate"/>
            </w:r>
            <w:r w:rsidR="00282693">
              <w:rPr>
                <w:noProof/>
                <w:webHidden/>
              </w:rPr>
              <w:t>28</w:t>
            </w:r>
            <w:r w:rsidR="00AF6C08">
              <w:rPr>
                <w:noProof/>
                <w:webHidden/>
              </w:rPr>
              <w:fldChar w:fldCharType="end"/>
            </w:r>
          </w:hyperlink>
        </w:p>
        <w:p w14:paraId="080AE386" w14:textId="744E6E18" w:rsidR="00AF6C08" w:rsidRDefault="00000000">
          <w:pPr>
            <w:pStyle w:val="TOC2"/>
            <w:rPr>
              <w:rFonts w:asciiTheme="minorHAnsi" w:eastAsiaTheme="minorEastAsia" w:hAnsiTheme="minorHAnsi"/>
              <w:bCs w:val="0"/>
              <w:noProof/>
              <w:color w:val="auto"/>
              <w:kern w:val="2"/>
              <w:sz w:val="22"/>
              <w:szCs w:val="22"/>
              <w:lang w:eastAsia="en-AU"/>
              <w14:ligatures w14:val="standardContextual"/>
            </w:rPr>
          </w:pPr>
          <w:hyperlink w:anchor="_Toc138691908" w:history="1">
            <w:r w:rsidR="00AF6C08" w:rsidRPr="00677895">
              <w:rPr>
                <w:rStyle w:val="Hyperlink"/>
                <w:noProof/>
              </w:rPr>
              <w:t>Proposed assessment</w:t>
            </w:r>
            <w:r w:rsidR="00AF6C08">
              <w:rPr>
                <w:noProof/>
                <w:webHidden/>
              </w:rPr>
              <w:tab/>
            </w:r>
            <w:r w:rsidR="00AF6C08">
              <w:rPr>
                <w:noProof/>
                <w:webHidden/>
              </w:rPr>
              <w:fldChar w:fldCharType="begin"/>
            </w:r>
            <w:r w:rsidR="00AF6C08">
              <w:rPr>
                <w:noProof/>
                <w:webHidden/>
              </w:rPr>
              <w:instrText xml:space="preserve"> PAGEREF _Toc138691908 \h </w:instrText>
            </w:r>
            <w:r w:rsidR="00AF6C08">
              <w:rPr>
                <w:noProof/>
                <w:webHidden/>
              </w:rPr>
            </w:r>
            <w:r w:rsidR="00AF6C08">
              <w:rPr>
                <w:noProof/>
                <w:webHidden/>
              </w:rPr>
              <w:fldChar w:fldCharType="separate"/>
            </w:r>
            <w:r w:rsidR="00282693">
              <w:rPr>
                <w:noProof/>
                <w:webHidden/>
              </w:rPr>
              <w:t>30</w:t>
            </w:r>
            <w:r w:rsidR="00AF6C08">
              <w:rPr>
                <w:noProof/>
                <w:webHidden/>
              </w:rPr>
              <w:fldChar w:fldCharType="end"/>
            </w:r>
          </w:hyperlink>
        </w:p>
        <w:p w14:paraId="24C748E6" w14:textId="2FF6B7E7"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09" w:history="1">
            <w:r w:rsidR="00AF6C08" w:rsidRPr="00677895">
              <w:rPr>
                <w:rStyle w:val="Hyperlink"/>
                <w:noProof/>
              </w:rPr>
              <w:t>Differences from the 2020 Review approach</w:t>
            </w:r>
            <w:r w:rsidR="00AF6C08">
              <w:rPr>
                <w:noProof/>
                <w:webHidden/>
              </w:rPr>
              <w:tab/>
            </w:r>
            <w:r w:rsidR="00AF6C08">
              <w:rPr>
                <w:noProof/>
                <w:webHidden/>
              </w:rPr>
              <w:fldChar w:fldCharType="begin"/>
            </w:r>
            <w:r w:rsidR="00AF6C08">
              <w:rPr>
                <w:noProof/>
                <w:webHidden/>
              </w:rPr>
              <w:instrText xml:space="preserve"> PAGEREF _Toc138691909 \h </w:instrText>
            </w:r>
            <w:r w:rsidR="00AF6C08">
              <w:rPr>
                <w:noProof/>
                <w:webHidden/>
              </w:rPr>
            </w:r>
            <w:r w:rsidR="00AF6C08">
              <w:rPr>
                <w:noProof/>
                <w:webHidden/>
              </w:rPr>
              <w:fldChar w:fldCharType="separate"/>
            </w:r>
            <w:r w:rsidR="00282693">
              <w:rPr>
                <w:noProof/>
                <w:webHidden/>
              </w:rPr>
              <w:t>30</w:t>
            </w:r>
            <w:r w:rsidR="00AF6C08">
              <w:rPr>
                <w:noProof/>
                <w:webHidden/>
              </w:rPr>
              <w:fldChar w:fldCharType="end"/>
            </w:r>
          </w:hyperlink>
        </w:p>
        <w:p w14:paraId="0C446265" w14:textId="5A287915"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10" w:history="1">
            <w:r w:rsidR="00AF6C08" w:rsidRPr="00677895">
              <w:rPr>
                <w:rStyle w:val="Hyperlink"/>
                <w:noProof/>
              </w:rPr>
              <w:t>Proposed assessment structure</w:t>
            </w:r>
            <w:r w:rsidR="00AF6C08">
              <w:rPr>
                <w:noProof/>
                <w:webHidden/>
              </w:rPr>
              <w:tab/>
            </w:r>
            <w:r w:rsidR="00AF6C08">
              <w:rPr>
                <w:noProof/>
                <w:webHidden/>
              </w:rPr>
              <w:fldChar w:fldCharType="begin"/>
            </w:r>
            <w:r w:rsidR="00AF6C08">
              <w:rPr>
                <w:noProof/>
                <w:webHidden/>
              </w:rPr>
              <w:instrText xml:space="preserve"> PAGEREF _Toc138691910 \h </w:instrText>
            </w:r>
            <w:r w:rsidR="00AF6C08">
              <w:rPr>
                <w:noProof/>
                <w:webHidden/>
              </w:rPr>
            </w:r>
            <w:r w:rsidR="00AF6C08">
              <w:rPr>
                <w:noProof/>
                <w:webHidden/>
              </w:rPr>
              <w:fldChar w:fldCharType="separate"/>
            </w:r>
            <w:r w:rsidR="00282693">
              <w:rPr>
                <w:noProof/>
                <w:webHidden/>
              </w:rPr>
              <w:t>31</w:t>
            </w:r>
            <w:r w:rsidR="00AF6C08">
              <w:rPr>
                <w:noProof/>
                <w:webHidden/>
              </w:rPr>
              <w:fldChar w:fldCharType="end"/>
            </w:r>
          </w:hyperlink>
        </w:p>
        <w:p w14:paraId="367F7111" w14:textId="45A48612"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11" w:history="1">
            <w:r w:rsidR="00AF6C08" w:rsidRPr="00677895">
              <w:rPr>
                <w:rStyle w:val="Hyperlink"/>
                <w:noProof/>
              </w:rPr>
              <w:t>New data requirements</w:t>
            </w:r>
            <w:r w:rsidR="00AF6C08">
              <w:rPr>
                <w:noProof/>
                <w:webHidden/>
              </w:rPr>
              <w:tab/>
            </w:r>
            <w:r w:rsidR="00AF6C08">
              <w:rPr>
                <w:noProof/>
                <w:webHidden/>
              </w:rPr>
              <w:fldChar w:fldCharType="begin"/>
            </w:r>
            <w:r w:rsidR="00AF6C08">
              <w:rPr>
                <w:noProof/>
                <w:webHidden/>
              </w:rPr>
              <w:instrText xml:space="preserve"> PAGEREF _Toc138691911 \h </w:instrText>
            </w:r>
            <w:r w:rsidR="00AF6C08">
              <w:rPr>
                <w:noProof/>
                <w:webHidden/>
              </w:rPr>
            </w:r>
            <w:r w:rsidR="00AF6C08">
              <w:rPr>
                <w:noProof/>
                <w:webHidden/>
              </w:rPr>
              <w:fldChar w:fldCharType="separate"/>
            </w:r>
            <w:r w:rsidR="00282693">
              <w:rPr>
                <w:noProof/>
                <w:webHidden/>
              </w:rPr>
              <w:t>31</w:t>
            </w:r>
            <w:r w:rsidR="00AF6C08">
              <w:rPr>
                <w:noProof/>
                <w:webHidden/>
              </w:rPr>
              <w:fldChar w:fldCharType="end"/>
            </w:r>
          </w:hyperlink>
        </w:p>
        <w:p w14:paraId="522171BE" w14:textId="5E4565AB" w:rsidR="00AF6C08" w:rsidRDefault="00000000">
          <w:pPr>
            <w:pStyle w:val="TOC2"/>
            <w:rPr>
              <w:rFonts w:asciiTheme="minorHAnsi" w:eastAsiaTheme="minorEastAsia" w:hAnsiTheme="minorHAnsi"/>
              <w:bCs w:val="0"/>
              <w:noProof/>
              <w:color w:val="auto"/>
              <w:kern w:val="2"/>
              <w:sz w:val="22"/>
              <w:szCs w:val="22"/>
              <w:lang w:eastAsia="en-AU"/>
              <w14:ligatures w14:val="standardContextual"/>
            </w:rPr>
          </w:pPr>
          <w:hyperlink w:anchor="_Toc138691912" w:history="1">
            <w:r w:rsidR="00AF6C08" w:rsidRPr="00677895">
              <w:rPr>
                <w:rStyle w:val="Hyperlink"/>
                <w:noProof/>
              </w:rPr>
              <w:t>Consultation</w:t>
            </w:r>
            <w:r w:rsidR="00AF6C08">
              <w:rPr>
                <w:noProof/>
                <w:webHidden/>
              </w:rPr>
              <w:tab/>
            </w:r>
            <w:r w:rsidR="00AF6C08">
              <w:rPr>
                <w:noProof/>
                <w:webHidden/>
              </w:rPr>
              <w:fldChar w:fldCharType="begin"/>
            </w:r>
            <w:r w:rsidR="00AF6C08">
              <w:rPr>
                <w:noProof/>
                <w:webHidden/>
              </w:rPr>
              <w:instrText xml:space="preserve"> PAGEREF _Toc138691912 \h </w:instrText>
            </w:r>
            <w:r w:rsidR="00AF6C08">
              <w:rPr>
                <w:noProof/>
                <w:webHidden/>
              </w:rPr>
            </w:r>
            <w:r w:rsidR="00AF6C08">
              <w:rPr>
                <w:noProof/>
                <w:webHidden/>
              </w:rPr>
              <w:fldChar w:fldCharType="separate"/>
            </w:r>
            <w:r w:rsidR="00282693">
              <w:rPr>
                <w:noProof/>
                <w:webHidden/>
              </w:rPr>
              <w:t>32</w:t>
            </w:r>
            <w:r w:rsidR="00AF6C08">
              <w:rPr>
                <w:noProof/>
                <w:webHidden/>
              </w:rPr>
              <w:fldChar w:fldCharType="end"/>
            </w:r>
          </w:hyperlink>
        </w:p>
        <w:p w14:paraId="68155452" w14:textId="4906B2D9" w:rsidR="00AF6C08" w:rsidRDefault="00000000">
          <w:pPr>
            <w:pStyle w:val="TOC2"/>
            <w:rPr>
              <w:rFonts w:asciiTheme="minorHAnsi" w:eastAsiaTheme="minorEastAsia" w:hAnsiTheme="minorHAnsi"/>
              <w:bCs w:val="0"/>
              <w:noProof/>
              <w:color w:val="auto"/>
              <w:kern w:val="2"/>
              <w:sz w:val="22"/>
              <w:szCs w:val="22"/>
              <w:lang w:eastAsia="en-AU"/>
              <w14:ligatures w14:val="standardContextual"/>
            </w:rPr>
          </w:pPr>
          <w:hyperlink w:anchor="_Toc138691913" w:history="1">
            <w:r w:rsidR="00AF6C08" w:rsidRPr="00677895">
              <w:rPr>
                <w:rStyle w:val="Hyperlink"/>
                <w:noProof/>
              </w:rPr>
              <w:t>Attachment A: Technical note</w:t>
            </w:r>
            <w:r w:rsidR="00AF6C08">
              <w:rPr>
                <w:noProof/>
                <w:webHidden/>
              </w:rPr>
              <w:tab/>
            </w:r>
            <w:r w:rsidR="00AF6C08">
              <w:rPr>
                <w:noProof/>
                <w:webHidden/>
              </w:rPr>
              <w:fldChar w:fldCharType="begin"/>
            </w:r>
            <w:r w:rsidR="00AF6C08">
              <w:rPr>
                <w:noProof/>
                <w:webHidden/>
              </w:rPr>
              <w:instrText xml:space="preserve"> PAGEREF _Toc138691913 \h </w:instrText>
            </w:r>
            <w:r w:rsidR="00AF6C08">
              <w:rPr>
                <w:noProof/>
                <w:webHidden/>
              </w:rPr>
            </w:r>
            <w:r w:rsidR="00AF6C08">
              <w:rPr>
                <w:noProof/>
                <w:webHidden/>
              </w:rPr>
              <w:fldChar w:fldCharType="separate"/>
            </w:r>
            <w:r w:rsidR="00282693">
              <w:rPr>
                <w:noProof/>
                <w:webHidden/>
              </w:rPr>
              <w:t>34</w:t>
            </w:r>
            <w:r w:rsidR="00AF6C08">
              <w:rPr>
                <w:noProof/>
                <w:webHidden/>
              </w:rPr>
              <w:fldChar w:fldCharType="end"/>
            </w:r>
          </w:hyperlink>
        </w:p>
        <w:p w14:paraId="1550C6E0" w14:textId="4F15DF91"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14" w:history="1">
            <w:r w:rsidR="00AF6C08" w:rsidRPr="00677895">
              <w:rPr>
                <w:rStyle w:val="Hyperlink"/>
                <w:noProof/>
              </w:rPr>
              <w:t>Regression — urban centre characteristics</w:t>
            </w:r>
            <w:r w:rsidR="00AF6C08">
              <w:rPr>
                <w:noProof/>
                <w:webHidden/>
              </w:rPr>
              <w:tab/>
            </w:r>
            <w:r w:rsidR="00AF6C08">
              <w:rPr>
                <w:noProof/>
                <w:webHidden/>
              </w:rPr>
              <w:fldChar w:fldCharType="begin"/>
            </w:r>
            <w:r w:rsidR="00AF6C08">
              <w:rPr>
                <w:noProof/>
                <w:webHidden/>
              </w:rPr>
              <w:instrText xml:space="preserve"> PAGEREF _Toc138691914 \h </w:instrText>
            </w:r>
            <w:r w:rsidR="00AF6C08">
              <w:rPr>
                <w:noProof/>
                <w:webHidden/>
              </w:rPr>
            </w:r>
            <w:r w:rsidR="00AF6C08">
              <w:rPr>
                <w:noProof/>
                <w:webHidden/>
              </w:rPr>
              <w:fldChar w:fldCharType="separate"/>
            </w:r>
            <w:r w:rsidR="00282693">
              <w:rPr>
                <w:noProof/>
                <w:webHidden/>
              </w:rPr>
              <w:t>34</w:t>
            </w:r>
            <w:r w:rsidR="00AF6C08">
              <w:rPr>
                <w:noProof/>
                <w:webHidden/>
              </w:rPr>
              <w:fldChar w:fldCharType="end"/>
            </w:r>
          </w:hyperlink>
        </w:p>
        <w:p w14:paraId="56EA473B" w14:textId="36FEBA0F"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15" w:history="1">
            <w:r w:rsidR="00AF6C08" w:rsidRPr="00677895">
              <w:rPr>
                <w:rStyle w:val="Hyperlink"/>
                <w:noProof/>
              </w:rPr>
              <w:t>Measure of urban areas</w:t>
            </w:r>
            <w:r w:rsidR="00AF6C08">
              <w:rPr>
                <w:noProof/>
                <w:webHidden/>
              </w:rPr>
              <w:tab/>
            </w:r>
            <w:r w:rsidR="00AF6C08">
              <w:rPr>
                <w:noProof/>
                <w:webHidden/>
              </w:rPr>
              <w:fldChar w:fldCharType="begin"/>
            </w:r>
            <w:r w:rsidR="00AF6C08">
              <w:rPr>
                <w:noProof/>
                <w:webHidden/>
              </w:rPr>
              <w:instrText xml:space="preserve"> PAGEREF _Toc138691915 \h </w:instrText>
            </w:r>
            <w:r w:rsidR="00AF6C08">
              <w:rPr>
                <w:noProof/>
                <w:webHidden/>
              </w:rPr>
            </w:r>
            <w:r w:rsidR="00AF6C08">
              <w:rPr>
                <w:noProof/>
                <w:webHidden/>
              </w:rPr>
              <w:fldChar w:fldCharType="separate"/>
            </w:r>
            <w:r w:rsidR="00282693">
              <w:rPr>
                <w:noProof/>
                <w:webHidden/>
              </w:rPr>
              <w:t>34</w:t>
            </w:r>
            <w:r w:rsidR="00AF6C08">
              <w:rPr>
                <w:noProof/>
                <w:webHidden/>
              </w:rPr>
              <w:fldChar w:fldCharType="end"/>
            </w:r>
          </w:hyperlink>
        </w:p>
        <w:p w14:paraId="74BB83B0" w14:textId="2DBC28AA"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16" w:history="1">
            <w:r w:rsidR="00AF6C08" w:rsidRPr="00677895">
              <w:rPr>
                <w:rStyle w:val="Hyperlink"/>
                <w:noProof/>
              </w:rPr>
              <w:t>Actual and modelled urban passenger numbers</w:t>
            </w:r>
            <w:r w:rsidR="00AF6C08">
              <w:rPr>
                <w:noProof/>
                <w:webHidden/>
              </w:rPr>
              <w:tab/>
            </w:r>
            <w:r w:rsidR="00AF6C08">
              <w:rPr>
                <w:noProof/>
                <w:webHidden/>
              </w:rPr>
              <w:fldChar w:fldCharType="begin"/>
            </w:r>
            <w:r w:rsidR="00AF6C08">
              <w:rPr>
                <w:noProof/>
                <w:webHidden/>
              </w:rPr>
              <w:instrText xml:space="preserve"> PAGEREF _Toc138691916 \h </w:instrText>
            </w:r>
            <w:r w:rsidR="00AF6C08">
              <w:rPr>
                <w:noProof/>
                <w:webHidden/>
              </w:rPr>
            </w:r>
            <w:r w:rsidR="00AF6C08">
              <w:rPr>
                <w:noProof/>
                <w:webHidden/>
              </w:rPr>
              <w:fldChar w:fldCharType="separate"/>
            </w:r>
            <w:r w:rsidR="00282693">
              <w:rPr>
                <w:noProof/>
                <w:webHidden/>
              </w:rPr>
              <w:t>35</w:t>
            </w:r>
            <w:r w:rsidR="00AF6C08">
              <w:rPr>
                <w:noProof/>
                <w:webHidden/>
              </w:rPr>
              <w:fldChar w:fldCharType="end"/>
            </w:r>
          </w:hyperlink>
        </w:p>
        <w:p w14:paraId="58B7EE4C" w14:textId="4FB43023"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17" w:history="1">
            <w:r w:rsidR="00AF6C08" w:rsidRPr="00677895">
              <w:rPr>
                <w:rStyle w:val="Hyperlink"/>
                <w:noProof/>
              </w:rPr>
              <w:t>Data requirements</w:t>
            </w:r>
            <w:r w:rsidR="00AF6C08">
              <w:rPr>
                <w:noProof/>
                <w:webHidden/>
              </w:rPr>
              <w:tab/>
            </w:r>
            <w:r w:rsidR="00AF6C08">
              <w:rPr>
                <w:noProof/>
                <w:webHidden/>
              </w:rPr>
              <w:fldChar w:fldCharType="begin"/>
            </w:r>
            <w:r w:rsidR="00AF6C08">
              <w:rPr>
                <w:noProof/>
                <w:webHidden/>
              </w:rPr>
              <w:instrText xml:space="preserve"> PAGEREF _Toc138691917 \h </w:instrText>
            </w:r>
            <w:r w:rsidR="00AF6C08">
              <w:rPr>
                <w:noProof/>
                <w:webHidden/>
              </w:rPr>
            </w:r>
            <w:r w:rsidR="00AF6C08">
              <w:rPr>
                <w:noProof/>
                <w:webHidden/>
              </w:rPr>
              <w:fldChar w:fldCharType="separate"/>
            </w:r>
            <w:r w:rsidR="00282693">
              <w:rPr>
                <w:noProof/>
                <w:webHidden/>
              </w:rPr>
              <w:t>36</w:t>
            </w:r>
            <w:r w:rsidR="00AF6C08">
              <w:rPr>
                <w:noProof/>
                <w:webHidden/>
              </w:rPr>
              <w:fldChar w:fldCharType="end"/>
            </w:r>
          </w:hyperlink>
        </w:p>
        <w:p w14:paraId="233DC116" w14:textId="0CF1F878"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18" w:history="1">
            <w:r w:rsidR="00AF6C08" w:rsidRPr="00677895">
              <w:rPr>
                <w:rStyle w:val="Hyperlink"/>
                <w:noProof/>
              </w:rPr>
              <w:t>Alternative measure of ferry services</w:t>
            </w:r>
            <w:r w:rsidR="00AF6C08">
              <w:rPr>
                <w:noProof/>
                <w:webHidden/>
              </w:rPr>
              <w:tab/>
            </w:r>
            <w:r w:rsidR="00AF6C08">
              <w:rPr>
                <w:noProof/>
                <w:webHidden/>
              </w:rPr>
              <w:fldChar w:fldCharType="begin"/>
            </w:r>
            <w:r w:rsidR="00AF6C08">
              <w:rPr>
                <w:noProof/>
                <w:webHidden/>
              </w:rPr>
              <w:instrText xml:space="preserve"> PAGEREF _Toc138691918 \h </w:instrText>
            </w:r>
            <w:r w:rsidR="00AF6C08">
              <w:rPr>
                <w:noProof/>
                <w:webHidden/>
              </w:rPr>
            </w:r>
            <w:r w:rsidR="00AF6C08">
              <w:rPr>
                <w:noProof/>
                <w:webHidden/>
              </w:rPr>
              <w:fldChar w:fldCharType="separate"/>
            </w:r>
            <w:r w:rsidR="00282693">
              <w:rPr>
                <w:noProof/>
                <w:webHidden/>
              </w:rPr>
              <w:t>36</w:t>
            </w:r>
            <w:r w:rsidR="00AF6C08">
              <w:rPr>
                <w:noProof/>
                <w:webHidden/>
              </w:rPr>
              <w:fldChar w:fldCharType="end"/>
            </w:r>
          </w:hyperlink>
        </w:p>
        <w:p w14:paraId="13253CEA" w14:textId="57712429" w:rsidR="00AF6C08" w:rsidRDefault="00000000">
          <w:pPr>
            <w:pStyle w:val="TOC2"/>
            <w:rPr>
              <w:rFonts w:asciiTheme="minorHAnsi" w:eastAsiaTheme="minorEastAsia" w:hAnsiTheme="minorHAnsi"/>
              <w:bCs w:val="0"/>
              <w:noProof/>
              <w:color w:val="auto"/>
              <w:kern w:val="2"/>
              <w:sz w:val="22"/>
              <w:szCs w:val="22"/>
              <w:lang w:eastAsia="en-AU"/>
              <w14:ligatures w14:val="standardContextual"/>
            </w:rPr>
          </w:pPr>
          <w:hyperlink w:anchor="_Toc138691919" w:history="1">
            <w:r w:rsidR="00AF6C08" w:rsidRPr="00677895">
              <w:rPr>
                <w:rStyle w:val="Hyperlink"/>
                <w:noProof/>
              </w:rPr>
              <w:t>Attachment B: Indicative data required from states to update the urban transport assessment in the 2025 Review</w:t>
            </w:r>
            <w:r w:rsidR="00AF6C08">
              <w:rPr>
                <w:noProof/>
                <w:webHidden/>
              </w:rPr>
              <w:tab/>
            </w:r>
            <w:r w:rsidR="00AF6C08">
              <w:rPr>
                <w:noProof/>
                <w:webHidden/>
              </w:rPr>
              <w:fldChar w:fldCharType="begin"/>
            </w:r>
            <w:r w:rsidR="00AF6C08">
              <w:rPr>
                <w:noProof/>
                <w:webHidden/>
              </w:rPr>
              <w:instrText xml:space="preserve"> PAGEREF _Toc138691919 \h </w:instrText>
            </w:r>
            <w:r w:rsidR="00AF6C08">
              <w:rPr>
                <w:noProof/>
                <w:webHidden/>
              </w:rPr>
            </w:r>
            <w:r w:rsidR="00AF6C08">
              <w:rPr>
                <w:noProof/>
                <w:webHidden/>
              </w:rPr>
              <w:fldChar w:fldCharType="separate"/>
            </w:r>
            <w:r w:rsidR="00282693">
              <w:rPr>
                <w:noProof/>
                <w:webHidden/>
              </w:rPr>
              <w:t>38</w:t>
            </w:r>
            <w:r w:rsidR="00AF6C08">
              <w:rPr>
                <w:noProof/>
                <w:webHidden/>
              </w:rPr>
              <w:fldChar w:fldCharType="end"/>
            </w:r>
          </w:hyperlink>
        </w:p>
        <w:p w14:paraId="169EA145" w14:textId="506B6E1A" w:rsidR="00AF6C08" w:rsidRDefault="00000000">
          <w:pPr>
            <w:pStyle w:val="TOC3"/>
            <w:rPr>
              <w:rFonts w:asciiTheme="minorHAnsi" w:eastAsiaTheme="minorEastAsia" w:hAnsiTheme="minorHAnsi"/>
              <w:bCs w:val="0"/>
              <w:iCs w:val="0"/>
              <w:noProof/>
              <w:color w:val="auto"/>
              <w:kern w:val="2"/>
              <w:sz w:val="22"/>
              <w:szCs w:val="22"/>
              <w:lang w:eastAsia="en-AU"/>
              <w14:ligatures w14:val="standardContextual"/>
            </w:rPr>
          </w:pPr>
          <w:hyperlink w:anchor="_Toc138691920" w:history="1">
            <w:r w:rsidR="00AF6C08" w:rsidRPr="00677895">
              <w:rPr>
                <w:rStyle w:val="Hyperlink"/>
                <w:noProof/>
              </w:rPr>
              <w:t>Recurrent expenditure and revenue</w:t>
            </w:r>
            <w:r w:rsidR="00AF6C08">
              <w:rPr>
                <w:noProof/>
                <w:webHidden/>
              </w:rPr>
              <w:tab/>
            </w:r>
            <w:r w:rsidR="00AF6C08">
              <w:rPr>
                <w:noProof/>
                <w:webHidden/>
              </w:rPr>
              <w:fldChar w:fldCharType="begin"/>
            </w:r>
            <w:r w:rsidR="00AF6C08">
              <w:rPr>
                <w:noProof/>
                <w:webHidden/>
              </w:rPr>
              <w:instrText xml:space="preserve"> PAGEREF _Toc138691920 \h </w:instrText>
            </w:r>
            <w:r w:rsidR="00AF6C08">
              <w:rPr>
                <w:noProof/>
                <w:webHidden/>
              </w:rPr>
            </w:r>
            <w:r w:rsidR="00AF6C08">
              <w:rPr>
                <w:noProof/>
                <w:webHidden/>
              </w:rPr>
              <w:fldChar w:fldCharType="separate"/>
            </w:r>
            <w:r w:rsidR="00282693">
              <w:rPr>
                <w:noProof/>
                <w:webHidden/>
              </w:rPr>
              <w:t>38</w:t>
            </w:r>
            <w:r w:rsidR="00AF6C08">
              <w:rPr>
                <w:noProof/>
                <w:webHidden/>
              </w:rPr>
              <w:fldChar w:fldCharType="end"/>
            </w:r>
          </w:hyperlink>
        </w:p>
        <w:p w14:paraId="2A609176" w14:textId="5E9D99C0" w:rsidR="00F9560A" w:rsidRDefault="008329BC" w:rsidP="00EA2A66">
          <w:pPr>
            <w:pStyle w:val="TOC3"/>
            <w:rPr>
              <w:noProof/>
            </w:rPr>
          </w:pPr>
          <w:r w:rsidRPr="00D57A3C">
            <w:rPr>
              <w:rFonts w:ascii="Work Sans" w:hAnsi="Work Sans"/>
              <w:b/>
            </w:rPr>
            <w:fldChar w:fldCharType="end"/>
          </w:r>
        </w:p>
      </w:sdtContent>
    </w:sdt>
    <w:p w14:paraId="73D41033" w14:textId="77777777" w:rsidR="00015481" w:rsidRDefault="00015481">
      <w:pPr>
        <w:tabs>
          <w:tab w:val="clear" w:pos="567"/>
        </w:tabs>
        <w:spacing w:before="0" w:after="200" w:line="276" w:lineRule="auto"/>
        <w:rPr>
          <w:rFonts w:ascii="Work Sans" w:eastAsia="Times New Roman" w:hAnsi="Work Sans" w:cs="Open Sans"/>
          <w:b/>
          <w:bCs/>
          <w:color w:val="006991"/>
          <w:sz w:val="36"/>
          <w:szCs w:val="36"/>
        </w:rPr>
      </w:pPr>
      <w:r>
        <w:br w:type="page"/>
      </w:r>
    </w:p>
    <w:p w14:paraId="22076381" w14:textId="47752332" w:rsidR="0008185A" w:rsidRPr="00E442E5" w:rsidRDefault="00540F6B" w:rsidP="00E442E5">
      <w:pPr>
        <w:pStyle w:val="Heading2"/>
      </w:pPr>
      <w:bookmarkStart w:id="0" w:name="_Toc138691888"/>
      <w:r w:rsidRPr="00E442E5">
        <w:lastRenderedPageBreak/>
        <w:t>Overview of category</w:t>
      </w:r>
      <w:bookmarkEnd w:id="0"/>
    </w:p>
    <w:p w14:paraId="3CA866A2" w14:textId="69F63FD6" w:rsidR="00C0015D" w:rsidRDefault="00C0015D" w:rsidP="00921933">
      <w:pPr>
        <w:pStyle w:val="CGC2025ParaNumbers"/>
        <w:tabs>
          <w:tab w:val="clear" w:pos="567"/>
        </w:tabs>
      </w:pPr>
      <w:bookmarkStart w:id="1" w:name="_Toc116563445"/>
      <w:bookmarkStart w:id="2" w:name="_Toc117241705"/>
      <w:r>
        <w:t xml:space="preserve">The transport assessment covers state and territory (state) expenditure on bus, </w:t>
      </w:r>
      <w:r w:rsidR="00827BB3">
        <w:t>light and heavy</w:t>
      </w:r>
      <w:r>
        <w:t xml:space="preserve"> rail (passenger and freight), ferry services, air transport, ports and other maritime related services. </w:t>
      </w:r>
    </w:p>
    <w:p w14:paraId="2376324A" w14:textId="77777777" w:rsidR="00C0015D" w:rsidRDefault="00C0015D" w:rsidP="00921933">
      <w:pPr>
        <w:pStyle w:val="CGC2025ParaNumbers"/>
        <w:tabs>
          <w:tab w:val="clear" w:pos="567"/>
        </w:tabs>
      </w:pPr>
      <w:r>
        <w:t xml:space="preserve">Urban transport and non-urban transport have different drivers of need and are assessed differently. </w:t>
      </w:r>
    </w:p>
    <w:p w14:paraId="1A40861E" w14:textId="080B79AE" w:rsidR="009920FE" w:rsidRDefault="009920FE" w:rsidP="00921933">
      <w:pPr>
        <w:pStyle w:val="CGC2025ParaNumbers"/>
        <w:tabs>
          <w:tab w:val="clear" w:pos="567"/>
        </w:tabs>
      </w:pPr>
      <w:r>
        <w:t xml:space="preserve">Recurrent expenses include subsidies paid to transport operators, the cost of passenger concessions, administration expenses and student transport expenses. User charges (mainly passenger fares) are netted off these expenses.  </w:t>
      </w:r>
    </w:p>
    <w:p w14:paraId="087407C5" w14:textId="2B675444" w:rsidR="00C0015D" w:rsidRDefault="00C0015D" w:rsidP="00921933">
      <w:pPr>
        <w:pStyle w:val="CGC2025ParaNumbers"/>
        <w:tabs>
          <w:tab w:val="clear" w:pos="567"/>
        </w:tabs>
      </w:pPr>
      <w:r>
        <w:t>In addition to being discussed in the Investment consultation paper (</w:t>
      </w:r>
      <w:r w:rsidR="00147430">
        <w:t xml:space="preserve">due to be </w:t>
      </w:r>
      <w:r>
        <w:t xml:space="preserve">released in October 2023), investment needs for transport are also briefly discussed in this paper, due to the relative importance of investment to total transport expenditure. </w:t>
      </w:r>
    </w:p>
    <w:p w14:paraId="422876CA" w14:textId="2BB85D9F" w:rsidR="00C0015D" w:rsidRDefault="00C0015D" w:rsidP="00921933">
      <w:pPr>
        <w:pStyle w:val="CGC2025ParaNumbers"/>
        <w:tabs>
          <w:tab w:val="clear" w:pos="567"/>
        </w:tabs>
      </w:pPr>
      <w:r>
        <w:t xml:space="preserve">States provide urban transport services using a mix of direct general government provision, public non-financial corporation provision or by contracting private providers. Non-urban transport services are provided mainly by </w:t>
      </w:r>
      <w:r w:rsidR="00AA1C2C">
        <w:t xml:space="preserve">contracted private providers and </w:t>
      </w:r>
      <w:r w:rsidR="009E34A1">
        <w:t>public non-financial corporations</w:t>
      </w:r>
      <w:r>
        <w:t xml:space="preserve">. </w:t>
      </w:r>
      <w:r w:rsidR="00E01638">
        <w:t>The t</w:t>
      </w:r>
      <w:r>
        <w:t xml:space="preserve">ransport </w:t>
      </w:r>
      <w:r w:rsidR="00E01638">
        <w:t>categor</w:t>
      </w:r>
      <w:r w:rsidR="00D908A0">
        <w:t>y</w:t>
      </w:r>
      <w:r w:rsidR="00E01638">
        <w:t xml:space="preserve"> </w:t>
      </w:r>
      <w:r>
        <w:t>include</w:t>
      </w:r>
      <w:r w:rsidR="00E01638">
        <w:t>s</w:t>
      </w:r>
      <w:r>
        <w:t xml:space="preserve"> </w:t>
      </w:r>
      <w:r w:rsidR="00734664">
        <w:t>urban transport</w:t>
      </w:r>
      <w:r>
        <w:t xml:space="preserve"> </w:t>
      </w:r>
      <w:r w:rsidR="007A5F53">
        <w:t>public non-financial corporation</w:t>
      </w:r>
      <w:r>
        <w:t xml:space="preserve"> expenditure.</w:t>
      </w:r>
      <w:r w:rsidR="005107FE" w:rsidRPr="004A3BD8">
        <w:rPr>
          <w:rStyle w:val="FootnoteReference"/>
        </w:rPr>
        <w:footnoteReference w:id="2"/>
      </w:r>
      <w:r w:rsidRPr="002F57C8">
        <w:t xml:space="preserve"> </w:t>
      </w:r>
      <w:r>
        <w:t xml:space="preserve">This is because transport </w:t>
      </w:r>
      <w:r w:rsidR="00E249AC">
        <w:t>public non-financial corporation</w:t>
      </w:r>
      <w:r w:rsidR="007A5F53">
        <w:t>s</w:t>
      </w:r>
      <w:r>
        <w:t xml:space="preserve"> depend on government funds to meet their operating costs and make major investments, and government departments decide the level of service provision and charges. </w:t>
      </w:r>
    </w:p>
    <w:p w14:paraId="6EF06578" w14:textId="153A40CD" w:rsidR="00E9389C" w:rsidRDefault="00E9389C" w:rsidP="00E442E5">
      <w:pPr>
        <w:pStyle w:val="Heading2"/>
      </w:pPr>
      <w:bookmarkStart w:id="3" w:name="_Toc138691889"/>
      <w:bookmarkEnd w:id="1"/>
      <w:bookmarkEnd w:id="2"/>
      <w:r>
        <w:t xml:space="preserve">Current assessment method </w:t>
      </w:r>
      <w:r w:rsidR="009E4F62">
        <w:t>—</w:t>
      </w:r>
      <w:r>
        <w:t xml:space="preserve"> 2020 Review</w:t>
      </w:r>
      <w:bookmarkEnd w:id="3"/>
    </w:p>
    <w:p w14:paraId="400BA078" w14:textId="79744165" w:rsidR="00F96A31" w:rsidRPr="00F96A31" w:rsidRDefault="009B4C8B" w:rsidP="00F96A31">
      <w:pPr>
        <w:pStyle w:val="Heading3"/>
      </w:pPr>
      <w:bookmarkStart w:id="4" w:name="_Toc138691890"/>
      <w:r w:rsidRPr="009B4C8B">
        <w:t>Urban transport recurrent expenses</w:t>
      </w:r>
      <w:bookmarkEnd w:id="4"/>
    </w:p>
    <w:p w14:paraId="066E06E3" w14:textId="744E0B07" w:rsidR="007071C4" w:rsidRDefault="007071C4" w:rsidP="00921933">
      <w:pPr>
        <w:pStyle w:val="CGC2025ParaNumbers"/>
        <w:tabs>
          <w:tab w:val="clear" w:pos="567"/>
        </w:tabs>
      </w:pPr>
      <w:r>
        <w:t>The urban transport assessment includes operating expenses (including depreciation) for passenger transport services within urban centres, net of revenues. It includes expenses of relevant general government agencies and public non</w:t>
      </w:r>
      <w:r w:rsidR="00776B3D">
        <w:noBreakHyphen/>
      </w:r>
      <w:r>
        <w:t xml:space="preserve">financial </w:t>
      </w:r>
      <w:r w:rsidR="007E2AC3">
        <w:t>corporations.</w:t>
      </w:r>
      <w:r>
        <w:t xml:space="preserve">  </w:t>
      </w:r>
    </w:p>
    <w:p w14:paraId="460AF467" w14:textId="37EE090C" w:rsidR="007071C4" w:rsidRDefault="007071C4" w:rsidP="00921933">
      <w:pPr>
        <w:pStyle w:val="CGC2025ParaNumbers"/>
        <w:tabs>
          <w:tab w:val="clear" w:pos="567"/>
        </w:tabs>
      </w:pPr>
      <w:r>
        <w:t>The urban transport assessment recognises</w:t>
      </w:r>
      <w:r w:rsidR="009D6ACC">
        <w:t>, as drivers of state expenditure needs,</w:t>
      </w:r>
      <w:r>
        <w:t xml:space="preserve"> the effects of: </w:t>
      </w:r>
    </w:p>
    <w:p w14:paraId="2D4EE744" w14:textId="77777777" w:rsidR="007071C4" w:rsidRPr="002202CE" w:rsidRDefault="007071C4" w:rsidP="002202CE">
      <w:pPr>
        <w:pStyle w:val="CGC2025Bullet1"/>
      </w:pPr>
      <w:r w:rsidRPr="002202CE">
        <w:t xml:space="preserve">urban centre characteristics  </w:t>
      </w:r>
    </w:p>
    <w:p w14:paraId="470AD8FF" w14:textId="76DFE6B2" w:rsidR="007071C4" w:rsidRPr="002202CE" w:rsidRDefault="007071C4" w:rsidP="002202CE">
      <w:pPr>
        <w:pStyle w:val="CGC2025Bullet1"/>
      </w:pPr>
      <w:r w:rsidRPr="002202CE">
        <w:t xml:space="preserve">state shares of urban population </w:t>
      </w:r>
    </w:p>
    <w:p w14:paraId="06337872" w14:textId="77777777" w:rsidR="007071C4" w:rsidRPr="002202CE" w:rsidRDefault="007071C4" w:rsidP="002202CE">
      <w:pPr>
        <w:pStyle w:val="CGC2025Bullet1"/>
      </w:pPr>
      <w:r w:rsidRPr="002202CE">
        <w:t xml:space="preserve">differences in wage costs between states. </w:t>
      </w:r>
    </w:p>
    <w:p w14:paraId="7FA05DAA" w14:textId="3C1E3B4B" w:rsidR="007071C4" w:rsidRDefault="007071C4" w:rsidP="00921933">
      <w:pPr>
        <w:pStyle w:val="CGC2025ParaNumbers"/>
        <w:tabs>
          <w:tab w:val="clear" w:pos="567"/>
        </w:tabs>
      </w:pPr>
      <w:r>
        <w:t>The effect</w:t>
      </w:r>
      <w:r w:rsidR="003447C2">
        <w:t>s</w:t>
      </w:r>
      <w:r>
        <w:t xml:space="preserve"> of urban centre characteristics and state shares of urban area population are blended in the assessment. The assessment of urban centre </w:t>
      </w:r>
      <w:r>
        <w:lastRenderedPageBreak/>
        <w:t xml:space="preserve">characteristics is given a weight of 75% and state shares of urban population 25%. Differential state wage costs are then applied. </w:t>
      </w:r>
    </w:p>
    <w:p w14:paraId="3C695140" w14:textId="7628E51C" w:rsidR="00EE50BE" w:rsidRDefault="00A80293" w:rsidP="00B65B67">
      <w:pPr>
        <w:pStyle w:val="Heading4"/>
      </w:pPr>
      <w:r w:rsidRPr="00A80293">
        <w:t>Urban centre characteristics</w:t>
      </w:r>
    </w:p>
    <w:p w14:paraId="4DDD391A" w14:textId="673F1113" w:rsidR="003756EC" w:rsidRDefault="003756EC" w:rsidP="00921933">
      <w:pPr>
        <w:pStyle w:val="CGC2025ParaNumbers"/>
        <w:tabs>
          <w:tab w:val="clear" w:pos="567"/>
        </w:tabs>
      </w:pPr>
      <w:r>
        <w:t>Urban areas (see</w:t>
      </w:r>
      <w:r w:rsidR="00A56CA5">
        <w:t xml:space="preserve"> </w:t>
      </w:r>
      <w:hyperlink w:anchor="_Attachment_A:_Technical" w:history="1">
        <w:r w:rsidR="002E0806" w:rsidRPr="002E0806">
          <w:rPr>
            <w:rStyle w:val="Hyperlink"/>
            <w:color w:val="auto"/>
            <w:szCs w:val="20"/>
            <w:u w:val="none"/>
          </w:rPr>
          <w:t>Attachment A</w:t>
        </w:r>
      </w:hyperlink>
      <w:r w:rsidR="00A56CA5">
        <w:t>)</w:t>
      </w:r>
      <w:r>
        <w:t xml:space="preserve"> have different public transport costs that go beyond simple differences in population. For example, uneven terrain makes it more expensive to build train lines. </w:t>
      </w:r>
    </w:p>
    <w:p w14:paraId="3AE47E7A" w14:textId="632AE53B" w:rsidR="003756EC" w:rsidRPr="00407F21" w:rsidRDefault="003756EC" w:rsidP="00921933">
      <w:pPr>
        <w:pStyle w:val="CGC2025ParaNumbers"/>
        <w:tabs>
          <w:tab w:val="clear" w:pos="567"/>
        </w:tabs>
      </w:pPr>
      <w:r>
        <w:t>In the 2020 Review, the Commission engaged a consultant</w:t>
      </w:r>
      <w:r w:rsidRPr="00DB1C16">
        <w:rPr>
          <w:rStyle w:val="FootnoteReference"/>
        </w:rPr>
        <w:footnoteReference w:id="3"/>
      </w:r>
      <w:r w:rsidRPr="002F57C8">
        <w:t xml:space="preserve"> </w:t>
      </w:r>
      <w:r>
        <w:t>to develop a regression model to identify the drivers of costs associated with providing transport services</w:t>
      </w:r>
      <w:r w:rsidRPr="00E61FC3">
        <w:t xml:space="preserve"> </w:t>
      </w:r>
      <w:r>
        <w:t>in urban areas</w:t>
      </w:r>
      <w:r w:rsidR="00995331">
        <w:rPr>
          <w:rStyle w:val="FootnoteReference"/>
        </w:rPr>
        <w:footnoteReference w:id="4"/>
      </w:r>
      <w:r w:rsidRPr="00E61FC3">
        <w:t xml:space="preserve"> </w:t>
      </w:r>
      <w:r>
        <w:t>(see</w:t>
      </w:r>
      <w:r w:rsidR="00A56CA5">
        <w:t xml:space="preserve"> </w:t>
      </w:r>
      <w:hyperlink w:anchor="_Attachment_A:_Technical" w:history="1">
        <w:r w:rsidR="002E0806" w:rsidRPr="002E0806">
          <w:rPr>
            <w:rStyle w:val="Hyperlink"/>
            <w:color w:val="auto"/>
            <w:szCs w:val="20"/>
            <w:u w:val="none"/>
          </w:rPr>
          <w:t>Attachment A</w:t>
        </w:r>
      </w:hyperlink>
      <w:r>
        <w:t>). The urban centre characteristics identified as the drivers of costs were:</w:t>
      </w:r>
      <w:r w:rsidRPr="00407F21">
        <w:t xml:space="preserve"> </w:t>
      </w:r>
    </w:p>
    <w:p w14:paraId="15E83601" w14:textId="77777777" w:rsidR="00470D3A" w:rsidRDefault="00470D3A" w:rsidP="000D7A15">
      <w:pPr>
        <w:pStyle w:val="CGC2025Bullet1"/>
      </w:pPr>
      <w:r>
        <w:t>demand for public transport</w:t>
      </w:r>
    </w:p>
    <w:p w14:paraId="086C887A" w14:textId="77777777" w:rsidR="00470D3A" w:rsidRDefault="00470D3A" w:rsidP="000D7A15">
      <w:pPr>
        <w:pStyle w:val="CGC2025Bullet1"/>
      </w:pPr>
      <w:r>
        <w:t xml:space="preserve">transport supply by mode </w:t>
      </w:r>
    </w:p>
    <w:p w14:paraId="46BC6811" w14:textId="77777777" w:rsidR="00470D3A" w:rsidRDefault="00470D3A" w:rsidP="000D7A15">
      <w:pPr>
        <w:pStyle w:val="CGC2025Bullet1"/>
      </w:pPr>
      <w:r>
        <w:t>unique jurisdictional characteristics</w:t>
      </w:r>
    </w:p>
    <w:p w14:paraId="44F13369" w14:textId="77777777" w:rsidR="00470D3A" w:rsidRDefault="00470D3A" w:rsidP="000D7A15">
      <w:pPr>
        <w:pStyle w:val="CGC2025Bullet1"/>
      </w:pPr>
      <w:r>
        <w:t xml:space="preserve">topography </w:t>
      </w:r>
    </w:p>
    <w:p w14:paraId="744E17D0" w14:textId="77777777" w:rsidR="00470D3A" w:rsidRDefault="00470D3A" w:rsidP="000D7A15">
      <w:pPr>
        <w:pStyle w:val="CGC2025Bullet1"/>
      </w:pPr>
      <w:r>
        <w:t xml:space="preserve">network complexity. </w:t>
      </w:r>
    </w:p>
    <w:p w14:paraId="229F5983" w14:textId="3B218A3F" w:rsidR="00F91A96" w:rsidRDefault="00713FFA" w:rsidP="00A36457">
      <w:pPr>
        <w:pStyle w:val="CGC2025ParaNumbers"/>
      </w:pPr>
      <w:r>
        <w:fldChar w:fldCharType="begin"/>
      </w:r>
      <w:r>
        <w:instrText xml:space="preserve"> REF _Ref138763044 \h </w:instrText>
      </w:r>
      <w:r>
        <w:fldChar w:fldCharType="separate"/>
      </w:r>
      <w:r w:rsidR="00282693" w:rsidRPr="004B3E54">
        <w:t xml:space="preserve">Figure </w:t>
      </w:r>
      <w:r w:rsidR="00282693">
        <w:rPr>
          <w:noProof/>
        </w:rPr>
        <w:t>1</w:t>
      </w:r>
      <w:r>
        <w:fldChar w:fldCharType="end"/>
      </w:r>
      <w:r w:rsidR="00DF0A70">
        <w:t xml:space="preserve"> </w:t>
      </w:r>
      <w:r w:rsidR="004E4BD7" w:rsidRPr="004E4BD7">
        <w:t xml:space="preserve">shows the variables that are used to represent these characteristics in the regression model. </w:t>
      </w:r>
      <w:r w:rsidR="00A96FE1" w:rsidRPr="005C18B2">
        <w:t xml:space="preserve">The regression </w:t>
      </w:r>
      <w:r w:rsidR="00D71A9E" w:rsidRPr="005C18B2">
        <w:t xml:space="preserve">uses </w:t>
      </w:r>
      <w:r w:rsidR="00B07875" w:rsidRPr="005C18B2">
        <w:t xml:space="preserve">net per capita </w:t>
      </w:r>
      <w:r w:rsidR="000B14C2" w:rsidRPr="005C18B2">
        <w:t xml:space="preserve">state expense data </w:t>
      </w:r>
      <w:r w:rsidR="00891B1E" w:rsidRPr="005C18B2">
        <w:t xml:space="preserve">by urban area </w:t>
      </w:r>
      <w:r w:rsidR="000B14C2" w:rsidRPr="005C18B2">
        <w:t xml:space="preserve">to </w:t>
      </w:r>
      <w:r w:rsidR="005F1AD3" w:rsidRPr="005C18B2">
        <w:t xml:space="preserve">derive the </w:t>
      </w:r>
      <w:r w:rsidR="2A188F5E" w:rsidRPr="005C18B2">
        <w:t>impact of</w:t>
      </w:r>
      <w:r w:rsidR="00397376" w:rsidRPr="005C18B2">
        <w:t xml:space="preserve"> each variable.</w:t>
      </w:r>
      <w:r w:rsidR="00397376">
        <w:t xml:space="preserve"> </w:t>
      </w:r>
    </w:p>
    <w:p w14:paraId="00857A17" w14:textId="548067C5" w:rsidR="00F91A96" w:rsidRPr="00CB5B19" w:rsidRDefault="004B3E54" w:rsidP="00713FFA">
      <w:pPr>
        <w:pStyle w:val="CGC2025Caption"/>
        <w:tabs>
          <w:tab w:val="left" w:pos="1134"/>
        </w:tabs>
        <w:ind w:left="1134" w:hanging="1134"/>
      </w:pPr>
      <w:bookmarkStart w:id="5" w:name="_Ref132915077"/>
      <w:bookmarkStart w:id="6" w:name="_Ref138763044"/>
      <w:r w:rsidRPr="004B3E54">
        <w:t xml:space="preserve">Figure </w:t>
      </w:r>
      <w:r>
        <w:fldChar w:fldCharType="begin"/>
      </w:r>
      <w:r>
        <w:instrText>SEQ Figure \* ARABIC</w:instrText>
      </w:r>
      <w:r>
        <w:fldChar w:fldCharType="separate"/>
      </w:r>
      <w:r w:rsidR="00282693">
        <w:rPr>
          <w:noProof/>
        </w:rPr>
        <w:t>1</w:t>
      </w:r>
      <w:r>
        <w:fldChar w:fldCharType="end"/>
      </w:r>
      <w:bookmarkEnd w:id="5"/>
      <w:bookmarkEnd w:id="6"/>
      <w:r w:rsidR="00DF0A70">
        <w:tab/>
      </w:r>
      <w:r w:rsidR="00AD7FEB" w:rsidRPr="00F91A96">
        <w:t>Urban centre characteristics recognised in the transport regression model and the explanatory variables used to represent them</w:t>
      </w:r>
    </w:p>
    <w:p w14:paraId="25991271" w14:textId="56C7412E" w:rsidR="00CB5B19" w:rsidRDefault="004B3E54" w:rsidP="00925ED9">
      <w:pPr>
        <w:pStyle w:val="CGCParaNumber"/>
        <w:ind w:left="360" w:firstLine="0"/>
      </w:pPr>
      <w:r w:rsidRPr="00753FF9">
        <w:rPr>
          <w:noProof/>
        </w:rPr>
        <w:drawing>
          <wp:inline distT="0" distB="0" distL="0" distR="0" wp14:anchorId="351C788C" wp14:editId="2C1912F7">
            <wp:extent cx="5688965" cy="1210945"/>
            <wp:effectExtent l="0" t="0" r="6985" b="8255"/>
            <wp:docPr id="10" name="Picture 10"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imeline&#10;&#10;Description automatically generated with medium confidence"/>
                    <pic:cNvPicPr/>
                  </pic:nvPicPr>
                  <pic:blipFill>
                    <a:blip r:embed="rId17"/>
                    <a:stretch>
                      <a:fillRect/>
                    </a:stretch>
                  </pic:blipFill>
                  <pic:spPr>
                    <a:xfrm>
                      <a:off x="0" y="0"/>
                      <a:ext cx="5688965" cy="1210945"/>
                    </a:xfrm>
                    <a:prstGeom prst="rect">
                      <a:avLst/>
                    </a:prstGeom>
                  </pic:spPr>
                </pic:pic>
              </a:graphicData>
            </a:graphic>
          </wp:inline>
        </w:drawing>
      </w:r>
    </w:p>
    <w:p w14:paraId="1E08A5C6" w14:textId="311BF403" w:rsidR="007676DF" w:rsidRPr="007676DF" w:rsidRDefault="007676DF" w:rsidP="007676DF">
      <w:pPr>
        <w:pStyle w:val="CGCTablenote"/>
        <w:rPr>
          <w:rFonts w:ascii="Work Sans" w:hAnsi="Work Sans"/>
        </w:rPr>
      </w:pPr>
      <w:r w:rsidRPr="007676DF">
        <w:rPr>
          <w:rFonts w:ascii="Work Sans" w:hAnsi="Work Sans"/>
        </w:rPr>
        <w:t xml:space="preserve">Source: </w:t>
      </w:r>
      <w:r w:rsidR="0006766A">
        <w:rPr>
          <w:rFonts w:ascii="Work Sans" w:hAnsi="Work Sans"/>
        </w:rPr>
        <w:t xml:space="preserve">The </w:t>
      </w:r>
      <w:r w:rsidRPr="007676DF">
        <w:rPr>
          <w:rFonts w:ascii="Work Sans" w:hAnsi="Work Sans"/>
        </w:rPr>
        <w:t>Commission</w:t>
      </w:r>
      <w:r w:rsidR="0006766A">
        <w:rPr>
          <w:rFonts w:ascii="Work Sans" w:hAnsi="Work Sans"/>
        </w:rPr>
        <w:t>.</w:t>
      </w:r>
    </w:p>
    <w:p w14:paraId="5D8F5441" w14:textId="3AE79B19" w:rsidR="00343855" w:rsidRDefault="004D20E5" w:rsidP="00A36457">
      <w:pPr>
        <w:pStyle w:val="CGC2025ParaNumbers"/>
      </w:pPr>
      <w:r w:rsidRPr="004D20E5">
        <w:t xml:space="preserve">In </w:t>
      </w:r>
      <w:r w:rsidR="10890A1C">
        <w:t>updates</w:t>
      </w:r>
      <w:r w:rsidR="3B487A73">
        <w:t xml:space="preserve"> following </w:t>
      </w:r>
      <w:r w:rsidRPr="004D20E5">
        <w:t xml:space="preserve">the 2020 Review, </w:t>
      </w:r>
      <w:r w:rsidR="00324F2B">
        <w:t>t</w:t>
      </w:r>
      <w:r w:rsidRPr="004D20E5">
        <w:t xml:space="preserve">he </w:t>
      </w:r>
      <w:r w:rsidR="4EFBC726">
        <w:t>estimated</w:t>
      </w:r>
      <w:r w:rsidRPr="004D20E5">
        <w:t xml:space="preserve"> regression coefficients have been</w:t>
      </w:r>
      <w:r w:rsidR="2C6CEF55">
        <w:t xml:space="preserve"> </w:t>
      </w:r>
      <w:r w:rsidR="21CF540D">
        <w:t xml:space="preserve">held constant and have been </w:t>
      </w:r>
      <w:r w:rsidRPr="004D20E5">
        <w:t>applied to updated modelled urban transport passenger numbers by mode (heavy rail, light rail and bus) and population weighted density in each urban area</w:t>
      </w:r>
      <w:r w:rsidRPr="00CB5B19">
        <w:t>.</w:t>
      </w:r>
      <w:r w:rsidRPr="004D20E5">
        <w:t xml:space="preserve"> If an urban area starts providing ferry services this is also captured in an update</w:t>
      </w:r>
      <w:r w:rsidR="00343855">
        <w:t>.</w:t>
      </w:r>
      <w:r w:rsidR="00F138F3">
        <w:t xml:space="preserve"> Details about the current method of assessing urban transport expense</w:t>
      </w:r>
      <w:r w:rsidR="00302615">
        <w:t xml:space="preserve">s are provided in </w:t>
      </w:r>
      <w:hyperlink w:anchor="_Attachment_A:_Technical" w:history="1">
        <w:r w:rsidR="007C2536" w:rsidRPr="00A1798A">
          <w:rPr>
            <w:rStyle w:val="Hyperlink"/>
            <w:color w:val="auto"/>
            <w:szCs w:val="20"/>
            <w:u w:val="none"/>
          </w:rPr>
          <w:t>Att</w:t>
        </w:r>
        <w:r w:rsidR="00A1798A" w:rsidRPr="00A1798A">
          <w:rPr>
            <w:rStyle w:val="Hyperlink"/>
            <w:color w:val="auto"/>
            <w:szCs w:val="20"/>
            <w:u w:val="none"/>
          </w:rPr>
          <w:t>achment A</w:t>
        </w:r>
        <w:r w:rsidR="00302615" w:rsidRPr="00A1798A">
          <w:rPr>
            <w:rStyle w:val="Hyperlink"/>
            <w:color w:val="auto"/>
            <w:u w:val="none"/>
          </w:rPr>
          <w:t>.</w:t>
        </w:r>
      </w:hyperlink>
    </w:p>
    <w:p w14:paraId="77D911DD" w14:textId="0D429793" w:rsidR="00343855" w:rsidRPr="004D20E5" w:rsidRDefault="003135AC" w:rsidP="00AF0E9A">
      <w:pPr>
        <w:pStyle w:val="Heading3"/>
        <w:keepNext/>
      </w:pPr>
      <w:bookmarkStart w:id="7" w:name="_Toc138691891"/>
      <w:r w:rsidRPr="003135AC">
        <w:lastRenderedPageBreak/>
        <w:t>Non-urban transport recurrent expenses</w:t>
      </w:r>
      <w:bookmarkEnd w:id="7"/>
    </w:p>
    <w:p w14:paraId="0D2BBD99" w14:textId="36EC719E" w:rsidR="0060778E" w:rsidRDefault="0060778E" w:rsidP="00AF0E9A">
      <w:pPr>
        <w:pStyle w:val="CGC2025ParaNumbers"/>
        <w:keepNext/>
      </w:pPr>
      <w:r>
        <w:t xml:space="preserve">The non-urban transport component includes general government operating subsidies expenditure for passenger and freight transport. The majority of expenses relate to the provision of non-urban rail passenger services. </w:t>
      </w:r>
    </w:p>
    <w:p w14:paraId="62154A5B" w14:textId="2E18287B" w:rsidR="0060778E" w:rsidRDefault="0060778E" w:rsidP="00A36457">
      <w:pPr>
        <w:pStyle w:val="CGC2025ParaNumbers"/>
      </w:pPr>
      <w:r>
        <w:t>The non-urban transport assessment recognises</w:t>
      </w:r>
      <w:r w:rsidR="0093046A">
        <w:t xml:space="preserve">, </w:t>
      </w:r>
      <w:r w:rsidR="006004A2">
        <w:t>as drivers of expenditure needs, the effects of</w:t>
      </w:r>
      <w:r>
        <w:t>:</w:t>
      </w:r>
    </w:p>
    <w:p w14:paraId="04AE0EB6" w14:textId="77777777" w:rsidR="007D4E67" w:rsidRDefault="007D4E67" w:rsidP="00897936">
      <w:pPr>
        <w:pStyle w:val="CGC2025Bullet1"/>
      </w:pPr>
      <w:r>
        <w:t xml:space="preserve">state shares of total population (equal per capita assessment) </w:t>
      </w:r>
    </w:p>
    <w:p w14:paraId="24770ED8" w14:textId="77777777" w:rsidR="007D4E67" w:rsidRDefault="007D4E67" w:rsidP="00897936">
      <w:pPr>
        <w:pStyle w:val="CGC2025Bullet1"/>
      </w:pPr>
      <w:r>
        <w:t>differences in costs associated with providing services to different regions</w:t>
      </w:r>
    </w:p>
    <w:p w14:paraId="06814D30" w14:textId="77777777" w:rsidR="007D4E67" w:rsidRDefault="007D4E67" w:rsidP="00897936">
      <w:pPr>
        <w:pStyle w:val="CGC2025Bullet1"/>
      </w:pPr>
      <w:r>
        <w:t>differences in wage costs between states.</w:t>
      </w:r>
    </w:p>
    <w:p w14:paraId="21C6B2C5" w14:textId="77777777" w:rsidR="00AE42F7" w:rsidRDefault="00AE42F7" w:rsidP="00A36457">
      <w:pPr>
        <w:pStyle w:val="CGC2025ParaNumbers"/>
      </w:pPr>
      <w:r>
        <w:t xml:space="preserve">Total state population shares are used rather than non-urban population shares. This is because non-urban transport services can be accessed by people living in both urban areas (for both regional travel and travel between urban centres) and non-urban areas. </w:t>
      </w:r>
    </w:p>
    <w:p w14:paraId="5EC4FBC4" w14:textId="4A42D4E8" w:rsidR="00AE42F7" w:rsidRDefault="00713FFA" w:rsidP="00A36457">
      <w:pPr>
        <w:pStyle w:val="CGC2025ParaNumbers"/>
      </w:pPr>
      <w:r>
        <w:fldChar w:fldCharType="begin"/>
      </w:r>
      <w:r>
        <w:instrText xml:space="preserve"> REF _Ref138763107 \h </w:instrText>
      </w:r>
      <w:r>
        <w:fldChar w:fldCharType="separate"/>
      </w:r>
      <w:r w:rsidR="00282693" w:rsidRPr="00DF0A70">
        <w:t xml:space="preserve">Figure </w:t>
      </w:r>
      <w:r w:rsidR="00282693">
        <w:rPr>
          <w:noProof/>
        </w:rPr>
        <w:t>2</w:t>
      </w:r>
      <w:r>
        <w:fldChar w:fldCharType="end"/>
      </w:r>
      <w:r w:rsidR="00DF0A70">
        <w:t xml:space="preserve"> </w:t>
      </w:r>
      <w:r w:rsidR="00AE42F7">
        <w:t>shows how state recurrent transport needs are assessed.</w:t>
      </w:r>
    </w:p>
    <w:p w14:paraId="5B5C8F28" w14:textId="48EC1E25" w:rsidR="00F91A96" w:rsidRPr="00DF0A70" w:rsidRDefault="00DF0A70" w:rsidP="007C0D67">
      <w:pPr>
        <w:pStyle w:val="CGC2025Caption"/>
        <w:tabs>
          <w:tab w:val="left" w:pos="1134"/>
        </w:tabs>
        <w:rPr>
          <w:bCs/>
        </w:rPr>
      </w:pPr>
      <w:bookmarkStart w:id="8" w:name="_Ref132915144"/>
      <w:bookmarkStart w:id="9" w:name="_Ref138763107"/>
      <w:r w:rsidRPr="00DF0A70">
        <w:t xml:space="preserve">Figure </w:t>
      </w:r>
      <w:r>
        <w:fldChar w:fldCharType="begin"/>
      </w:r>
      <w:r>
        <w:instrText>SEQ Figure \* ARABIC</w:instrText>
      </w:r>
      <w:r>
        <w:fldChar w:fldCharType="separate"/>
      </w:r>
      <w:r w:rsidR="00282693">
        <w:rPr>
          <w:noProof/>
        </w:rPr>
        <w:t>2</w:t>
      </w:r>
      <w:r>
        <w:fldChar w:fldCharType="end"/>
      </w:r>
      <w:bookmarkEnd w:id="8"/>
      <w:bookmarkEnd w:id="9"/>
      <w:r w:rsidRPr="00DF0A70">
        <w:tab/>
      </w:r>
      <w:r w:rsidR="002C2CE7" w:rsidRPr="00DF0A70">
        <w:t>Stylised representation of the recurrent transport assessment method</w:t>
      </w:r>
    </w:p>
    <w:p w14:paraId="172DC1BA" w14:textId="51EE1119" w:rsidR="004E53EA" w:rsidRPr="00E07E86" w:rsidRDefault="004E53EA" w:rsidP="00925ED9">
      <w:pPr>
        <w:pStyle w:val="CGCParaNumber"/>
        <w:ind w:left="0" w:firstLine="0"/>
        <w:rPr>
          <w:sz w:val="20"/>
        </w:rPr>
      </w:pPr>
      <w:r w:rsidRPr="00E07E86">
        <w:rPr>
          <w:sz w:val="20"/>
        </w:rPr>
        <w:t xml:space="preserve">Held constant between </w:t>
      </w:r>
      <w:r w:rsidR="001B524F" w:rsidRPr="00E07E86">
        <w:rPr>
          <w:sz w:val="20"/>
        </w:rPr>
        <w:t>r</w:t>
      </w:r>
      <w:r w:rsidRPr="00E07E86">
        <w:rPr>
          <w:sz w:val="20"/>
        </w:rPr>
        <w:t>eviews</w:t>
      </w:r>
      <w:r w:rsidR="000A7C49" w:rsidRPr="00E07E86">
        <w:rPr>
          <w:sz w:val="20"/>
        </w:rPr>
        <w:t>:</w:t>
      </w:r>
    </w:p>
    <w:p w14:paraId="172C1575" w14:textId="11D1CF48" w:rsidR="00762CE7" w:rsidRDefault="00C172F1" w:rsidP="00925ED9">
      <w:pPr>
        <w:pStyle w:val="CGCParaNumber"/>
        <w:ind w:left="0" w:firstLine="0"/>
      </w:pPr>
      <w:r w:rsidRPr="00AA4869">
        <w:rPr>
          <w:noProof/>
        </w:rPr>
        <w:drawing>
          <wp:inline distT="0" distB="0" distL="0" distR="0" wp14:anchorId="3909CA55" wp14:editId="018FEAAF">
            <wp:extent cx="5688965" cy="1007110"/>
            <wp:effectExtent l="0" t="0" r="698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88965" cy="1007110"/>
                    </a:xfrm>
                    <a:prstGeom prst="rect">
                      <a:avLst/>
                    </a:prstGeom>
                  </pic:spPr>
                </pic:pic>
              </a:graphicData>
            </a:graphic>
          </wp:inline>
        </w:drawing>
      </w:r>
    </w:p>
    <w:p w14:paraId="7E854A46" w14:textId="2F563CD8" w:rsidR="004E53EA" w:rsidRPr="00E07E86" w:rsidRDefault="004E53EA" w:rsidP="004E53EA">
      <w:pPr>
        <w:pStyle w:val="Caption"/>
        <w:rPr>
          <w:rFonts w:ascii="Work Sans" w:hAnsi="Work Sans"/>
          <w:b w:val="0"/>
          <w:sz w:val="20"/>
        </w:rPr>
      </w:pPr>
      <w:r w:rsidRPr="00E07E86">
        <w:rPr>
          <w:rFonts w:ascii="Work Sans" w:hAnsi="Work Sans"/>
          <w:b w:val="0"/>
          <w:sz w:val="20"/>
        </w:rPr>
        <w:t xml:space="preserve">Updated </w:t>
      </w:r>
      <w:r w:rsidR="001B524F" w:rsidRPr="00E07E86">
        <w:rPr>
          <w:rFonts w:ascii="Work Sans" w:hAnsi="Work Sans"/>
          <w:b w:val="0"/>
          <w:sz w:val="20"/>
        </w:rPr>
        <w:t>a</w:t>
      </w:r>
      <w:r w:rsidRPr="00E07E86">
        <w:rPr>
          <w:rFonts w:ascii="Work Sans" w:hAnsi="Work Sans"/>
          <w:b w:val="0"/>
          <w:sz w:val="20"/>
        </w:rPr>
        <w:t>nnually</w:t>
      </w:r>
      <w:r w:rsidR="000A7C49" w:rsidRPr="00E07E86">
        <w:rPr>
          <w:rFonts w:ascii="Work Sans" w:hAnsi="Work Sans"/>
          <w:b w:val="0"/>
          <w:sz w:val="20"/>
        </w:rPr>
        <w:t>:</w:t>
      </w:r>
    </w:p>
    <w:p w14:paraId="79BC7A5F" w14:textId="65463D80" w:rsidR="004E53EA" w:rsidRDefault="001E2D11" w:rsidP="00925ED9">
      <w:pPr>
        <w:pStyle w:val="CGCParaNumber"/>
        <w:ind w:left="0" w:firstLine="0"/>
      </w:pPr>
      <w:r w:rsidRPr="001E2D11">
        <w:rPr>
          <w:noProof/>
        </w:rPr>
        <w:drawing>
          <wp:inline distT="0" distB="0" distL="0" distR="0" wp14:anchorId="52B236A8" wp14:editId="2AA452ED">
            <wp:extent cx="5688965" cy="242062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88965" cy="2420620"/>
                    </a:xfrm>
                    <a:prstGeom prst="rect">
                      <a:avLst/>
                    </a:prstGeom>
                  </pic:spPr>
                </pic:pic>
              </a:graphicData>
            </a:graphic>
          </wp:inline>
        </w:drawing>
      </w:r>
    </w:p>
    <w:p w14:paraId="4D511841" w14:textId="243E1192" w:rsidR="007676DF" w:rsidRPr="007676DF" w:rsidRDefault="007676DF" w:rsidP="007676DF">
      <w:pPr>
        <w:pStyle w:val="CGCTablenote"/>
        <w:rPr>
          <w:rFonts w:ascii="Work Sans" w:hAnsi="Work Sans"/>
        </w:rPr>
      </w:pPr>
      <w:r w:rsidRPr="007676DF">
        <w:rPr>
          <w:rFonts w:ascii="Work Sans" w:hAnsi="Work Sans"/>
        </w:rPr>
        <w:t xml:space="preserve">Source: </w:t>
      </w:r>
      <w:r w:rsidR="00D838AE">
        <w:rPr>
          <w:rFonts w:ascii="Work Sans" w:hAnsi="Work Sans"/>
        </w:rPr>
        <w:t xml:space="preserve">The </w:t>
      </w:r>
      <w:r w:rsidRPr="007676DF">
        <w:rPr>
          <w:rFonts w:ascii="Work Sans" w:hAnsi="Work Sans"/>
        </w:rPr>
        <w:t>Commission</w:t>
      </w:r>
      <w:r w:rsidR="00D838AE">
        <w:rPr>
          <w:rFonts w:ascii="Work Sans" w:hAnsi="Work Sans"/>
        </w:rPr>
        <w:t>.</w:t>
      </w:r>
    </w:p>
    <w:p w14:paraId="2D921D4F" w14:textId="77777777" w:rsidR="007C0D67" w:rsidRDefault="007C0D67">
      <w:pPr>
        <w:tabs>
          <w:tab w:val="clear" w:pos="567"/>
        </w:tabs>
        <w:spacing w:before="0" w:after="200" w:line="276" w:lineRule="auto"/>
        <w:rPr>
          <w:rFonts w:ascii="Work Sans" w:eastAsia="Times New Roman" w:hAnsi="Work Sans" w:cs="Open Sans"/>
          <w:b/>
          <w:bCs/>
          <w:color w:val="006991"/>
          <w:sz w:val="28"/>
          <w:szCs w:val="28"/>
        </w:rPr>
      </w:pPr>
      <w:bookmarkStart w:id="10" w:name="_Toc132916135"/>
      <w:bookmarkStart w:id="11" w:name="_Toc132916734"/>
      <w:r>
        <w:br w:type="page"/>
      </w:r>
    </w:p>
    <w:p w14:paraId="566DD1EE" w14:textId="5B797558" w:rsidR="0063713E" w:rsidRDefault="0063713E" w:rsidP="0063713E">
      <w:pPr>
        <w:pStyle w:val="Heading3"/>
      </w:pPr>
      <w:bookmarkStart w:id="12" w:name="_Toc138691892"/>
      <w:r>
        <w:lastRenderedPageBreak/>
        <w:t xml:space="preserve">Transport </w:t>
      </w:r>
      <w:r w:rsidR="00D838AE">
        <w:t>i</w:t>
      </w:r>
      <w:r>
        <w:t>nvestment</w:t>
      </w:r>
      <w:bookmarkEnd w:id="10"/>
      <w:bookmarkEnd w:id="11"/>
      <w:bookmarkEnd w:id="12"/>
    </w:p>
    <w:p w14:paraId="7A26BECF" w14:textId="77777777" w:rsidR="0091200C" w:rsidRPr="0091200C" w:rsidRDefault="0091200C" w:rsidP="00A36457">
      <w:pPr>
        <w:pStyle w:val="CGC2025ParaNumbers"/>
      </w:pPr>
      <w:r w:rsidRPr="0091200C">
        <w:t>The urban transport investment assessment recognises:</w:t>
      </w:r>
    </w:p>
    <w:p w14:paraId="09BFD458" w14:textId="77777777" w:rsidR="005E14F9" w:rsidRDefault="005E14F9" w:rsidP="00897936">
      <w:pPr>
        <w:pStyle w:val="CGC2025Bullet1"/>
      </w:pPr>
      <w:r>
        <w:t xml:space="preserve">urban centre characteristics </w:t>
      </w:r>
    </w:p>
    <w:p w14:paraId="32CBD077" w14:textId="1E7B08AE" w:rsidR="0063713E" w:rsidRDefault="005E14F9" w:rsidP="00897936">
      <w:pPr>
        <w:pStyle w:val="CGC2025Bullet1"/>
      </w:pPr>
      <w:r>
        <w:t>state shares of squared urban</w:t>
      </w:r>
      <w:r w:rsidRPr="002377D2">
        <w:t xml:space="preserve"> populations</w:t>
      </w:r>
      <w:r w:rsidR="00286093">
        <w:t>.</w:t>
      </w:r>
      <w:r>
        <w:rPr>
          <w:rStyle w:val="FootnoteReference"/>
        </w:rPr>
        <w:footnoteReference w:id="5"/>
      </w:r>
    </w:p>
    <w:p w14:paraId="22696DA1" w14:textId="77777777" w:rsidR="003C4BE2" w:rsidRDefault="003C4BE2" w:rsidP="00A36457">
      <w:pPr>
        <w:pStyle w:val="CGC2025ParaNumbers"/>
      </w:pPr>
      <w:r>
        <w:t>The share of squared urban populations is used to recognise the relationship between state per capita urban transport asset needs and its urban population.</w:t>
      </w:r>
    </w:p>
    <w:p w14:paraId="419F73B5" w14:textId="758ABDD6" w:rsidR="003C4BE2" w:rsidRDefault="003C4BE2" w:rsidP="00A36457">
      <w:pPr>
        <w:pStyle w:val="CGC2025ParaNumbers"/>
      </w:pPr>
      <w:r>
        <w:t>The effect</w:t>
      </w:r>
      <w:r w:rsidR="0071587B">
        <w:t>s</w:t>
      </w:r>
      <w:r>
        <w:t xml:space="preserve"> of urban centre characteristics and state shares of squared urban populations are blended in the assessment. The assessment of urban centre characteristics has a weight of 75% and states’ shares of squared urban population is weighted at 25%.</w:t>
      </w:r>
    </w:p>
    <w:p w14:paraId="1D26C5C4" w14:textId="7C8019A5" w:rsidR="003C4BE2" w:rsidRDefault="003C4BE2" w:rsidP="00A36457">
      <w:pPr>
        <w:pStyle w:val="CGC2025ParaNumbers"/>
      </w:pPr>
      <w:r>
        <w:t>Non-urban transport investment needs are assessed on an equal per capita basis.</w:t>
      </w:r>
    </w:p>
    <w:p w14:paraId="3A82B474" w14:textId="1DDFDD40" w:rsidR="00EC0F7F" w:rsidRPr="0063713E" w:rsidRDefault="003C4BE2" w:rsidP="00A36457">
      <w:pPr>
        <w:pStyle w:val="CGC2025ParaNumbers"/>
      </w:pPr>
      <w:r>
        <w:t>A consultation paper on the assessment of state investment needs in the 2025</w:t>
      </w:r>
      <w:r w:rsidR="00AE7623">
        <w:t> </w:t>
      </w:r>
      <w:r>
        <w:t>Review will be released in October 2023.</w:t>
      </w:r>
    </w:p>
    <w:p w14:paraId="36B46546" w14:textId="77777777" w:rsidR="0068729E" w:rsidRPr="00170166" w:rsidRDefault="0068729E" w:rsidP="0068729E">
      <w:pPr>
        <w:pStyle w:val="Heading3"/>
      </w:pPr>
      <w:bookmarkStart w:id="13" w:name="_Toc138691893"/>
      <w:r w:rsidRPr="00170166">
        <w:t>Data used in the assessment</w:t>
      </w:r>
      <w:bookmarkEnd w:id="13"/>
      <w:r w:rsidRPr="00170166">
        <w:t xml:space="preserve"> </w:t>
      </w:r>
    </w:p>
    <w:p w14:paraId="5388D64D" w14:textId="4513092B" w:rsidR="005F08F5" w:rsidRDefault="005F08F5" w:rsidP="00A36457">
      <w:pPr>
        <w:pStyle w:val="CGC2025ParaNumbers"/>
      </w:pPr>
      <w:r>
        <w:t xml:space="preserve">The assessment draws on a range of data from the </w:t>
      </w:r>
      <w:r w:rsidR="00204C9F">
        <w:t>Australian Bureau of Statistics (</w:t>
      </w:r>
      <w:r>
        <w:t>ABS</w:t>
      </w:r>
      <w:r w:rsidR="00204C9F">
        <w:t>)</w:t>
      </w:r>
      <w:r>
        <w:t>, state budget data and topography information from Geoscience Australia.</w:t>
      </w:r>
    </w:p>
    <w:p w14:paraId="439217FF" w14:textId="77777777" w:rsidR="005F08F5" w:rsidRDefault="005F08F5" w:rsidP="00A36457">
      <w:pPr>
        <w:pStyle w:val="CGC2025ParaNumbers"/>
      </w:pPr>
      <w:r>
        <w:t>The data used in the regression to model urban centre characteristics are held constant between reviews:</w:t>
      </w:r>
    </w:p>
    <w:p w14:paraId="2381C9AB" w14:textId="581B8118" w:rsidR="006D098F" w:rsidRDefault="006D098F" w:rsidP="000D7A15">
      <w:pPr>
        <w:pStyle w:val="CGC2025Bullet1"/>
      </w:pPr>
      <w:r>
        <w:t>net expenses for public transport by urban centre (states)</w:t>
      </w:r>
    </w:p>
    <w:p w14:paraId="45226E40" w14:textId="77777777" w:rsidR="006D098F" w:rsidRDefault="006D098F" w:rsidP="000D7A15">
      <w:pPr>
        <w:pStyle w:val="CGC2025Bullet1"/>
      </w:pPr>
      <w:r>
        <w:t>measures of population and area used in density calculation (ABS population and geography data)</w:t>
      </w:r>
    </w:p>
    <w:p w14:paraId="54EC71E1" w14:textId="77777777" w:rsidR="006D098F" w:rsidRDefault="006D098F" w:rsidP="000D7A15">
      <w:pPr>
        <w:pStyle w:val="CGC2025Bullet1"/>
      </w:pPr>
      <w:r>
        <w:t>actual public transport passenger numbers (ABS population and census journey to work data)</w:t>
      </w:r>
    </w:p>
    <w:p w14:paraId="0DD99C68" w14:textId="77777777" w:rsidR="006D098F" w:rsidRDefault="006D098F" w:rsidP="000D7A15">
      <w:pPr>
        <w:pStyle w:val="CGC2025Bullet1"/>
      </w:pPr>
      <w:r>
        <w:t>distance to work (ABS census distance to work data)</w:t>
      </w:r>
    </w:p>
    <w:p w14:paraId="63D8D175" w14:textId="7922545D" w:rsidR="0068729E" w:rsidRDefault="006D098F" w:rsidP="000D7A15">
      <w:pPr>
        <w:pStyle w:val="CGC2025Bullet1"/>
      </w:pPr>
      <w:r>
        <w:t>topography (Geoscience Australia)</w:t>
      </w:r>
      <w:r w:rsidR="0068068D">
        <w:t>.</w:t>
      </w:r>
    </w:p>
    <w:p w14:paraId="7397DCBF" w14:textId="77777777" w:rsidR="00C0409D" w:rsidRPr="00C0409D" w:rsidRDefault="00C0409D" w:rsidP="00A36457">
      <w:pPr>
        <w:pStyle w:val="CGC2025ParaNumbers"/>
      </w:pPr>
      <w:r w:rsidRPr="00C0409D">
        <w:t>The following data are updated annually:</w:t>
      </w:r>
    </w:p>
    <w:p w14:paraId="337D8D3B" w14:textId="77777777" w:rsidR="00920A43" w:rsidRDefault="00920A43" w:rsidP="00897936">
      <w:pPr>
        <w:pStyle w:val="CGC2025Bullet1"/>
      </w:pPr>
      <w:r>
        <w:t>population of urban areas (ABS population data)</w:t>
      </w:r>
    </w:p>
    <w:p w14:paraId="729FDD15" w14:textId="2AA792FE" w:rsidR="00920A43" w:rsidRDefault="00920A43" w:rsidP="00897936">
      <w:pPr>
        <w:pStyle w:val="CGC2025Bullet1"/>
      </w:pPr>
      <w:r>
        <w:t>measures of population used in density calculation (ABS population data)</w:t>
      </w:r>
    </w:p>
    <w:p w14:paraId="79F167DC" w14:textId="77777777" w:rsidR="00920A43" w:rsidRDefault="00920A43" w:rsidP="00897936">
      <w:pPr>
        <w:pStyle w:val="CGC2025Bullet1"/>
      </w:pPr>
      <w:r>
        <w:t>modelled passenger numbers (using updated ABS population and census journey to work data)</w:t>
      </w:r>
    </w:p>
    <w:p w14:paraId="3D2A5F3A" w14:textId="5568938E" w:rsidR="00920A43" w:rsidRDefault="00920A43" w:rsidP="00897936">
      <w:pPr>
        <w:pStyle w:val="CGC2025Bullet1"/>
      </w:pPr>
      <w:r>
        <w:t>public transport modes – the addition of a ferry service (</w:t>
      </w:r>
      <w:r w:rsidR="00DA1A1F">
        <w:t>s</w:t>
      </w:r>
      <w:r>
        <w:t>tate data)</w:t>
      </w:r>
    </w:p>
    <w:p w14:paraId="1F55FA6E" w14:textId="734956B3" w:rsidR="006D098F" w:rsidRDefault="00920A43" w:rsidP="00897936">
      <w:pPr>
        <w:pStyle w:val="CGC2025Bullet1"/>
      </w:pPr>
      <w:r>
        <w:t>adjusted budget (ABS G</w:t>
      </w:r>
      <w:r w:rsidR="00BE65D1">
        <w:t>overnment Financ</w:t>
      </w:r>
      <w:r w:rsidR="00634C1E">
        <w:t>e</w:t>
      </w:r>
      <w:r w:rsidR="00BE65D1">
        <w:t xml:space="preserve"> Statistics</w:t>
      </w:r>
      <w:r>
        <w:t xml:space="preserve"> and state budget data).</w:t>
      </w:r>
    </w:p>
    <w:p w14:paraId="6328252C" w14:textId="77777777" w:rsidR="007C0D67" w:rsidRDefault="007C0D67">
      <w:pPr>
        <w:tabs>
          <w:tab w:val="clear" w:pos="567"/>
        </w:tabs>
        <w:spacing w:before="0" w:after="200" w:line="276" w:lineRule="auto"/>
        <w:rPr>
          <w:rFonts w:ascii="Work Sans" w:eastAsia="Times New Roman" w:hAnsi="Work Sans" w:cs="Open Sans"/>
          <w:b/>
          <w:bCs/>
          <w:color w:val="006991"/>
          <w:sz w:val="28"/>
          <w:szCs w:val="28"/>
        </w:rPr>
      </w:pPr>
      <w:r>
        <w:br w:type="page"/>
      </w:r>
    </w:p>
    <w:p w14:paraId="7FA0B7BC" w14:textId="597B1D84" w:rsidR="004A0A26" w:rsidRDefault="004A0A26" w:rsidP="00613A7F">
      <w:pPr>
        <w:pStyle w:val="Heading3"/>
      </w:pPr>
      <w:bookmarkStart w:id="14" w:name="_Toc138691894"/>
      <w:r>
        <w:lastRenderedPageBreak/>
        <w:t>Category and c</w:t>
      </w:r>
      <w:r w:rsidR="00173273">
        <w:t xml:space="preserve">omponent </w:t>
      </w:r>
      <w:r w:rsidR="007F6655">
        <w:t>revenue</w:t>
      </w:r>
      <w:bookmarkEnd w:id="14"/>
    </w:p>
    <w:p w14:paraId="3B743F85" w14:textId="77777777" w:rsidR="006C6D14" w:rsidRPr="006C6D14" w:rsidRDefault="006C6D14" w:rsidP="00A36457">
      <w:pPr>
        <w:pStyle w:val="CGC2025ParaNumbers"/>
      </w:pPr>
      <w:r w:rsidRPr="006C6D14">
        <w:t>The assessment separately considers state expense and investment needs for:</w:t>
      </w:r>
    </w:p>
    <w:p w14:paraId="0495E44C" w14:textId="57842FC9" w:rsidR="005A339D" w:rsidRDefault="005A339D" w:rsidP="00897936">
      <w:pPr>
        <w:pStyle w:val="CGC2025Bullet1"/>
      </w:pPr>
      <w:r>
        <w:t>urban transport</w:t>
      </w:r>
    </w:p>
    <w:p w14:paraId="52D57166" w14:textId="209731DD" w:rsidR="00953516" w:rsidRDefault="005A339D" w:rsidP="00897936">
      <w:pPr>
        <w:pStyle w:val="CGC2025Bullet1"/>
      </w:pPr>
      <w:r>
        <w:t>non-urban transport.</w:t>
      </w:r>
    </w:p>
    <w:p w14:paraId="10C65A93" w14:textId="44F52F52" w:rsidR="00914947" w:rsidRDefault="00E07E86" w:rsidP="00A36457">
      <w:pPr>
        <w:pStyle w:val="CGC2025ParaNumbers"/>
      </w:pPr>
      <w:r>
        <w:fldChar w:fldCharType="begin"/>
      </w:r>
      <w:r>
        <w:instrText xml:space="preserve"> REF _Ref138763182 \h </w:instrText>
      </w:r>
      <w:r>
        <w:fldChar w:fldCharType="separate"/>
      </w:r>
      <w:r w:rsidR="00282693" w:rsidRPr="00B56A25">
        <w:t xml:space="preserve">Table </w:t>
      </w:r>
      <w:r w:rsidR="00282693">
        <w:rPr>
          <w:noProof/>
        </w:rPr>
        <w:t>1</w:t>
      </w:r>
      <w:r>
        <w:fldChar w:fldCharType="end"/>
      </w:r>
      <w:r w:rsidR="00B56A25">
        <w:t xml:space="preserve"> </w:t>
      </w:r>
      <w:r w:rsidR="00AF02A3" w:rsidRPr="00AF02A3">
        <w:t>shows each state’s expenditure on transport (recurrent and investment). The transport assessments account for approximately 1</w:t>
      </w:r>
      <w:r w:rsidR="00AB641A">
        <w:t>2</w:t>
      </w:r>
      <w:r w:rsidR="00AF02A3" w:rsidRPr="00AF02A3">
        <w:t xml:space="preserve">% of total state expenditure. </w:t>
      </w:r>
    </w:p>
    <w:p w14:paraId="654C0B4F" w14:textId="147B9306" w:rsidR="00AF02A3" w:rsidRPr="00B56A25" w:rsidRDefault="00B56A25" w:rsidP="00E96A7D">
      <w:pPr>
        <w:pStyle w:val="CGC2025Caption"/>
        <w:tabs>
          <w:tab w:val="left" w:pos="1134"/>
        </w:tabs>
      </w:pPr>
      <w:bookmarkStart w:id="15" w:name="_Ref132915284"/>
      <w:bookmarkStart w:id="16" w:name="_Ref138763182"/>
      <w:bookmarkStart w:id="17" w:name="_Hlk132905978"/>
      <w:r w:rsidRPr="00B56A25">
        <w:t xml:space="preserve">Table </w:t>
      </w:r>
      <w:r>
        <w:fldChar w:fldCharType="begin"/>
      </w:r>
      <w:r>
        <w:instrText>SEQ Table \* ARABIC</w:instrText>
      </w:r>
      <w:r>
        <w:fldChar w:fldCharType="separate"/>
      </w:r>
      <w:r w:rsidR="00282693">
        <w:rPr>
          <w:noProof/>
        </w:rPr>
        <w:t>1</w:t>
      </w:r>
      <w:r>
        <w:fldChar w:fldCharType="end"/>
      </w:r>
      <w:bookmarkEnd w:id="15"/>
      <w:bookmarkEnd w:id="16"/>
      <w:r w:rsidRPr="00B56A25">
        <w:tab/>
      </w:r>
      <w:r w:rsidR="001C6A1E" w:rsidRPr="00B56A25">
        <w:t>Transport expenditure by state, 2021</w:t>
      </w:r>
      <w:r w:rsidR="00E55361">
        <w:t>–</w:t>
      </w:r>
      <w:r w:rsidR="001C6A1E" w:rsidRPr="00B56A25">
        <w:t>22</w:t>
      </w:r>
    </w:p>
    <w:tbl>
      <w:tblPr>
        <w:tblW w:w="8942" w:type="dxa"/>
        <w:tblLook w:val="04A0" w:firstRow="1" w:lastRow="0" w:firstColumn="1" w:lastColumn="0" w:noHBand="0" w:noVBand="1"/>
      </w:tblPr>
      <w:tblGrid>
        <w:gridCol w:w="1886"/>
        <w:gridCol w:w="792"/>
        <w:gridCol w:w="792"/>
        <w:gridCol w:w="780"/>
        <w:gridCol w:w="780"/>
        <w:gridCol w:w="780"/>
        <w:gridCol w:w="780"/>
        <w:gridCol w:w="780"/>
        <w:gridCol w:w="780"/>
        <w:gridCol w:w="792"/>
      </w:tblGrid>
      <w:tr w:rsidR="00B72D0D" w:rsidRPr="00CE5B36" w14:paraId="34D36253" w14:textId="77777777" w:rsidTr="00514DDD">
        <w:trPr>
          <w:trHeight w:val="375"/>
        </w:trPr>
        <w:tc>
          <w:tcPr>
            <w:tcW w:w="1886" w:type="dxa"/>
            <w:tcBorders>
              <w:top w:val="nil"/>
              <w:left w:val="nil"/>
              <w:right w:val="nil"/>
            </w:tcBorders>
            <w:shd w:val="clear" w:color="000000" w:fill="006991"/>
            <w:vAlign w:val="center"/>
            <w:hideMark/>
          </w:tcPr>
          <w:bookmarkEnd w:id="17"/>
          <w:p w14:paraId="6D276C26" w14:textId="77777777" w:rsidR="00B72D0D" w:rsidRPr="00CE5B36" w:rsidRDefault="00B72D0D">
            <w:pPr>
              <w:tabs>
                <w:tab w:val="clear" w:pos="567"/>
              </w:tabs>
              <w:spacing w:before="0" w:line="240" w:lineRule="auto"/>
              <w:rPr>
                <w:rFonts w:ascii="Open Sans Semibold" w:eastAsia="Times New Roman" w:hAnsi="Open Sans Semibold" w:cs="Open Sans Semibold"/>
                <w:color w:val="FFFFFF"/>
                <w:sz w:val="16"/>
                <w:szCs w:val="16"/>
                <w:lang w:eastAsia="en-AU"/>
              </w:rPr>
            </w:pPr>
            <w:r w:rsidRPr="00CE5B36">
              <w:rPr>
                <w:rFonts w:ascii="Open Sans Semibold" w:eastAsia="Times New Roman" w:hAnsi="Open Sans Semibold" w:cs="Open Sans Semibold"/>
                <w:color w:val="FFFFFF"/>
                <w:sz w:val="16"/>
                <w:szCs w:val="16"/>
                <w:lang w:eastAsia="en-AU"/>
              </w:rPr>
              <w:t> </w:t>
            </w:r>
          </w:p>
        </w:tc>
        <w:tc>
          <w:tcPr>
            <w:tcW w:w="792" w:type="dxa"/>
            <w:tcBorders>
              <w:top w:val="nil"/>
              <w:left w:val="nil"/>
              <w:right w:val="nil"/>
            </w:tcBorders>
            <w:shd w:val="clear" w:color="000000" w:fill="006991"/>
            <w:vAlign w:val="center"/>
            <w:hideMark/>
          </w:tcPr>
          <w:p w14:paraId="1C6CEF22"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E5B36">
              <w:rPr>
                <w:rFonts w:ascii="Open Sans Semibold" w:eastAsia="Times New Roman" w:hAnsi="Open Sans Semibold" w:cs="Open Sans Semibold"/>
                <w:color w:val="FFFFFF"/>
                <w:sz w:val="16"/>
                <w:szCs w:val="16"/>
                <w:lang w:eastAsia="en-AU"/>
              </w:rPr>
              <w:t>NSW</w:t>
            </w:r>
          </w:p>
        </w:tc>
        <w:tc>
          <w:tcPr>
            <w:tcW w:w="792" w:type="dxa"/>
            <w:tcBorders>
              <w:top w:val="nil"/>
              <w:left w:val="nil"/>
              <w:right w:val="nil"/>
            </w:tcBorders>
            <w:shd w:val="clear" w:color="000000" w:fill="006991"/>
            <w:vAlign w:val="center"/>
            <w:hideMark/>
          </w:tcPr>
          <w:p w14:paraId="1A1EB29C"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E5B36">
              <w:rPr>
                <w:rFonts w:ascii="Open Sans Semibold" w:eastAsia="Times New Roman" w:hAnsi="Open Sans Semibold" w:cs="Open Sans Semibold"/>
                <w:color w:val="FFFFFF"/>
                <w:sz w:val="16"/>
                <w:szCs w:val="16"/>
                <w:lang w:eastAsia="en-AU"/>
              </w:rPr>
              <w:t>Vic</w:t>
            </w:r>
          </w:p>
        </w:tc>
        <w:tc>
          <w:tcPr>
            <w:tcW w:w="780" w:type="dxa"/>
            <w:tcBorders>
              <w:top w:val="nil"/>
              <w:left w:val="nil"/>
              <w:right w:val="nil"/>
            </w:tcBorders>
            <w:shd w:val="clear" w:color="000000" w:fill="006991"/>
            <w:vAlign w:val="center"/>
            <w:hideMark/>
          </w:tcPr>
          <w:p w14:paraId="26B6DA8C"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E5B36">
              <w:rPr>
                <w:rFonts w:ascii="Open Sans Semibold" w:eastAsia="Times New Roman" w:hAnsi="Open Sans Semibold" w:cs="Open Sans Semibold"/>
                <w:color w:val="FFFFFF"/>
                <w:sz w:val="16"/>
                <w:szCs w:val="16"/>
                <w:lang w:eastAsia="en-AU"/>
              </w:rPr>
              <w:t>Qld</w:t>
            </w:r>
          </w:p>
        </w:tc>
        <w:tc>
          <w:tcPr>
            <w:tcW w:w="780" w:type="dxa"/>
            <w:tcBorders>
              <w:top w:val="nil"/>
              <w:left w:val="nil"/>
              <w:right w:val="nil"/>
            </w:tcBorders>
            <w:shd w:val="clear" w:color="000000" w:fill="006991"/>
            <w:vAlign w:val="center"/>
            <w:hideMark/>
          </w:tcPr>
          <w:p w14:paraId="4FEAF876"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E5B36">
              <w:rPr>
                <w:rFonts w:ascii="Open Sans Semibold" w:eastAsia="Times New Roman" w:hAnsi="Open Sans Semibold" w:cs="Open Sans Semibold"/>
                <w:color w:val="FFFFFF"/>
                <w:sz w:val="16"/>
                <w:szCs w:val="16"/>
                <w:lang w:eastAsia="en-AU"/>
              </w:rPr>
              <w:t>WA</w:t>
            </w:r>
          </w:p>
        </w:tc>
        <w:tc>
          <w:tcPr>
            <w:tcW w:w="780" w:type="dxa"/>
            <w:tcBorders>
              <w:top w:val="nil"/>
              <w:left w:val="nil"/>
              <w:right w:val="nil"/>
            </w:tcBorders>
            <w:shd w:val="clear" w:color="000000" w:fill="006991"/>
            <w:vAlign w:val="center"/>
            <w:hideMark/>
          </w:tcPr>
          <w:p w14:paraId="044AAB46"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E5B36">
              <w:rPr>
                <w:rFonts w:ascii="Open Sans Semibold" w:eastAsia="Times New Roman" w:hAnsi="Open Sans Semibold" w:cs="Open Sans Semibold"/>
                <w:color w:val="FFFFFF"/>
                <w:sz w:val="16"/>
                <w:szCs w:val="16"/>
                <w:lang w:eastAsia="en-AU"/>
              </w:rPr>
              <w:t>SA</w:t>
            </w:r>
          </w:p>
        </w:tc>
        <w:tc>
          <w:tcPr>
            <w:tcW w:w="780" w:type="dxa"/>
            <w:tcBorders>
              <w:top w:val="nil"/>
              <w:left w:val="nil"/>
              <w:right w:val="nil"/>
            </w:tcBorders>
            <w:shd w:val="clear" w:color="000000" w:fill="006991"/>
            <w:vAlign w:val="center"/>
            <w:hideMark/>
          </w:tcPr>
          <w:p w14:paraId="3F995F31"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E5B36">
              <w:rPr>
                <w:rFonts w:ascii="Open Sans Semibold" w:eastAsia="Times New Roman" w:hAnsi="Open Sans Semibold" w:cs="Open Sans Semibold"/>
                <w:color w:val="FFFFFF"/>
                <w:sz w:val="16"/>
                <w:szCs w:val="16"/>
                <w:lang w:eastAsia="en-AU"/>
              </w:rPr>
              <w:t>Tas</w:t>
            </w:r>
          </w:p>
        </w:tc>
        <w:tc>
          <w:tcPr>
            <w:tcW w:w="780" w:type="dxa"/>
            <w:tcBorders>
              <w:top w:val="nil"/>
              <w:left w:val="nil"/>
              <w:right w:val="nil"/>
            </w:tcBorders>
            <w:shd w:val="clear" w:color="000000" w:fill="006991"/>
            <w:vAlign w:val="center"/>
            <w:hideMark/>
          </w:tcPr>
          <w:p w14:paraId="79E5AE91"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E5B36">
              <w:rPr>
                <w:rFonts w:ascii="Open Sans Semibold" w:eastAsia="Times New Roman" w:hAnsi="Open Sans Semibold" w:cs="Open Sans Semibold"/>
                <w:color w:val="FFFFFF"/>
                <w:sz w:val="16"/>
                <w:szCs w:val="16"/>
                <w:lang w:eastAsia="en-AU"/>
              </w:rPr>
              <w:t>ACT</w:t>
            </w:r>
          </w:p>
        </w:tc>
        <w:tc>
          <w:tcPr>
            <w:tcW w:w="780" w:type="dxa"/>
            <w:tcBorders>
              <w:top w:val="nil"/>
              <w:left w:val="nil"/>
              <w:right w:val="nil"/>
            </w:tcBorders>
            <w:shd w:val="clear" w:color="000000" w:fill="006991"/>
            <w:vAlign w:val="center"/>
            <w:hideMark/>
          </w:tcPr>
          <w:p w14:paraId="7B66F3B9"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E5B36">
              <w:rPr>
                <w:rFonts w:ascii="Open Sans Semibold" w:eastAsia="Times New Roman" w:hAnsi="Open Sans Semibold" w:cs="Open Sans Semibold"/>
                <w:color w:val="FFFFFF"/>
                <w:sz w:val="16"/>
                <w:szCs w:val="16"/>
                <w:lang w:eastAsia="en-AU"/>
              </w:rPr>
              <w:t>NT</w:t>
            </w:r>
          </w:p>
        </w:tc>
        <w:tc>
          <w:tcPr>
            <w:tcW w:w="792" w:type="dxa"/>
            <w:tcBorders>
              <w:top w:val="nil"/>
              <w:left w:val="nil"/>
              <w:right w:val="nil"/>
            </w:tcBorders>
            <w:shd w:val="clear" w:color="000000" w:fill="006991"/>
            <w:vAlign w:val="center"/>
            <w:hideMark/>
          </w:tcPr>
          <w:p w14:paraId="37A0F492"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CE5B36">
              <w:rPr>
                <w:rFonts w:ascii="Open Sans Semibold" w:eastAsia="Times New Roman" w:hAnsi="Open Sans Semibold" w:cs="Open Sans Semibold"/>
                <w:color w:val="FFFFFF"/>
                <w:sz w:val="16"/>
                <w:szCs w:val="16"/>
                <w:lang w:eastAsia="en-AU"/>
              </w:rPr>
              <w:t>Total</w:t>
            </w:r>
          </w:p>
        </w:tc>
      </w:tr>
      <w:tr w:rsidR="00B72D0D" w:rsidRPr="00CE5B36" w14:paraId="6A664976" w14:textId="77777777" w:rsidTr="00F05551">
        <w:trPr>
          <w:trHeight w:val="259"/>
        </w:trPr>
        <w:tc>
          <w:tcPr>
            <w:tcW w:w="1886" w:type="dxa"/>
            <w:tcBorders>
              <w:top w:val="nil"/>
              <w:left w:val="nil"/>
              <w:bottom w:val="nil"/>
              <w:right w:val="nil"/>
            </w:tcBorders>
            <w:shd w:val="clear" w:color="000000" w:fill="B6D5E4"/>
            <w:vAlign w:val="center"/>
            <w:hideMark/>
          </w:tcPr>
          <w:p w14:paraId="2C6FE976"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E5B36">
              <w:rPr>
                <w:rFonts w:ascii="Open Sans Semibold" w:eastAsia="Times New Roman" w:hAnsi="Open Sans Semibold" w:cs="Open Sans Semibold"/>
                <w:color w:val="000000"/>
                <w:sz w:val="16"/>
                <w:szCs w:val="16"/>
                <w:lang w:eastAsia="en-AU"/>
              </w:rPr>
              <w:t> </w:t>
            </w:r>
          </w:p>
        </w:tc>
        <w:tc>
          <w:tcPr>
            <w:tcW w:w="792" w:type="dxa"/>
            <w:tcBorders>
              <w:top w:val="nil"/>
              <w:left w:val="nil"/>
              <w:bottom w:val="nil"/>
              <w:right w:val="nil"/>
            </w:tcBorders>
            <w:shd w:val="clear" w:color="000000" w:fill="B6D5E4"/>
            <w:vAlign w:val="center"/>
            <w:hideMark/>
          </w:tcPr>
          <w:p w14:paraId="5C5C2F81"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E5B36">
              <w:rPr>
                <w:rFonts w:ascii="Open Sans Semibold" w:eastAsia="Times New Roman" w:hAnsi="Open Sans Semibold" w:cs="Open Sans Semibold"/>
                <w:color w:val="000000"/>
                <w:sz w:val="16"/>
                <w:szCs w:val="16"/>
                <w:lang w:eastAsia="en-AU"/>
              </w:rPr>
              <w:t>$m</w:t>
            </w:r>
          </w:p>
        </w:tc>
        <w:tc>
          <w:tcPr>
            <w:tcW w:w="792" w:type="dxa"/>
            <w:tcBorders>
              <w:top w:val="nil"/>
              <w:left w:val="nil"/>
              <w:bottom w:val="nil"/>
              <w:right w:val="nil"/>
            </w:tcBorders>
            <w:shd w:val="clear" w:color="000000" w:fill="B6D5E4"/>
            <w:vAlign w:val="center"/>
            <w:hideMark/>
          </w:tcPr>
          <w:p w14:paraId="57974752"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E5B36">
              <w:rPr>
                <w:rFonts w:ascii="Open Sans Semibold" w:eastAsia="Times New Roman" w:hAnsi="Open Sans Semibold" w:cs="Open Sans Semibold"/>
                <w:color w:val="000000"/>
                <w:sz w:val="16"/>
                <w:szCs w:val="16"/>
                <w:lang w:eastAsia="en-AU"/>
              </w:rPr>
              <w:t>$m</w:t>
            </w:r>
          </w:p>
        </w:tc>
        <w:tc>
          <w:tcPr>
            <w:tcW w:w="780" w:type="dxa"/>
            <w:tcBorders>
              <w:top w:val="nil"/>
              <w:left w:val="nil"/>
              <w:bottom w:val="nil"/>
              <w:right w:val="nil"/>
            </w:tcBorders>
            <w:shd w:val="clear" w:color="000000" w:fill="B6D5E4"/>
            <w:vAlign w:val="center"/>
            <w:hideMark/>
          </w:tcPr>
          <w:p w14:paraId="6197FE5C"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E5B36">
              <w:rPr>
                <w:rFonts w:ascii="Open Sans Semibold" w:eastAsia="Times New Roman" w:hAnsi="Open Sans Semibold" w:cs="Open Sans Semibold"/>
                <w:color w:val="000000"/>
                <w:sz w:val="16"/>
                <w:szCs w:val="16"/>
                <w:lang w:eastAsia="en-AU"/>
              </w:rPr>
              <w:t>$m</w:t>
            </w:r>
          </w:p>
        </w:tc>
        <w:tc>
          <w:tcPr>
            <w:tcW w:w="780" w:type="dxa"/>
            <w:tcBorders>
              <w:top w:val="nil"/>
              <w:left w:val="nil"/>
              <w:bottom w:val="nil"/>
              <w:right w:val="nil"/>
            </w:tcBorders>
            <w:shd w:val="clear" w:color="000000" w:fill="B6D5E4"/>
            <w:vAlign w:val="center"/>
            <w:hideMark/>
          </w:tcPr>
          <w:p w14:paraId="1F060D01"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E5B36">
              <w:rPr>
                <w:rFonts w:ascii="Open Sans Semibold" w:eastAsia="Times New Roman" w:hAnsi="Open Sans Semibold" w:cs="Open Sans Semibold"/>
                <w:color w:val="000000"/>
                <w:sz w:val="16"/>
                <w:szCs w:val="16"/>
                <w:lang w:eastAsia="en-AU"/>
              </w:rPr>
              <w:t>$m</w:t>
            </w:r>
          </w:p>
        </w:tc>
        <w:tc>
          <w:tcPr>
            <w:tcW w:w="780" w:type="dxa"/>
            <w:tcBorders>
              <w:top w:val="nil"/>
              <w:left w:val="nil"/>
              <w:bottom w:val="nil"/>
              <w:right w:val="nil"/>
            </w:tcBorders>
            <w:shd w:val="clear" w:color="000000" w:fill="B6D5E4"/>
            <w:vAlign w:val="center"/>
            <w:hideMark/>
          </w:tcPr>
          <w:p w14:paraId="462DA353"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E5B36">
              <w:rPr>
                <w:rFonts w:ascii="Open Sans Semibold" w:eastAsia="Times New Roman" w:hAnsi="Open Sans Semibold" w:cs="Open Sans Semibold"/>
                <w:color w:val="000000"/>
                <w:sz w:val="16"/>
                <w:szCs w:val="16"/>
                <w:lang w:eastAsia="en-AU"/>
              </w:rPr>
              <w:t>$m</w:t>
            </w:r>
          </w:p>
        </w:tc>
        <w:tc>
          <w:tcPr>
            <w:tcW w:w="780" w:type="dxa"/>
            <w:tcBorders>
              <w:top w:val="nil"/>
              <w:left w:val="nil"/>
              <w:bottom w:val="nil"/>
              <w:right w:val="nil"/>
            </w:tcBorders>
            <w:shd w:val="clear" w:color="000000" w:fill="B6D5E4"/>
            <w:vAlign w:val="center"/>
            <w:hideMark/>
          </w:tcPr>
          <w:p w14:paraId="5FDF7753"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E5B36">
              <w:rPr>
                <w:rFonts w:ascii="Open Sans Semibold" w:eastAsia="Times New Roman" w:hAnsi="Open Sans Semibold" w:cs="Open Sans Semibold"/>
                <w:color w:val="000000"/>
                <w:sz w:val="16"/>
                <w:szCs w:val="16"/>
                <w:lang w:eastAsia="en-AU"/>
              </w:rPr>
              <w:t>$m</w:t>
            </w:r>
          </w:p>
        </w:tc>
        <w:tc>
          <w:tcPr>
            <w:tcW w:w="780" w:type="dxa"/>
            <w:tcBorders>
              <w:top w:val="nil"/>
              <w:left w:val="nil"/>
              <w:bottom w:val="nil"/>
              <w:right w:val="nil"/>
            </w:tcBorders>
            <w:shd w:val="clear" w:color="000000" w:fill="B6D5E4"/>
            <w:vAlign w:val="center"/>
            <w:hideMark/>
          </w:tcPr>
          <w:p w14:paraId="1AF192A2"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E5B36">
              <w:rPr>
                <w:rFonts w:ascii="Open Sans Semibold" w:eastAsia="Times New Roman" w:hAnsi="Open Sans Semibold" w:cs="Open Sans Semibold"/>
                <w:color w:val="000000"/>
                <w:sz w:val="16"/>
                <w:szCs w:val="16"/>
                <w:lang w:eastAsia="en-AU"/>
              </w:rPr>
              <w:t>$m</w:t>
            </w:r>
          </w:p>
        </w:tc>
        <w:tc>
          <w:tcPr>
            <w:tcW w:w="780" w:type="dxa"/>
            <w:tcBorders>
              <w:top w:val="nil"/>
              <w:left w:val="nil"/>
              <w:bottom w:val="nil"/>
              <w:right w:val="nil"/>
            </w:tcBorders>
            <w:shd w:val="clear" w:color="000000" w:fill="B6D5E4"/>
            <w:vAlign w:val="center"/>
            <w:hideMark/>
          </w:tcPr>
          <w:p w14:paraId="4092FE69"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E5B36">
              <w:rPr>
                <w:rFonts w:ascii="Open Sans Semibold" w:eastAsia="Times New Roman" w:hAnsi="Open Sans Semibold" w:cs="Open Sans Semibold"/>
                <w:color w:val="000000"/>
                <w:sz w:val="16"/>
                <w:szCs w:val="16"/>
                <w:lang w:eastAsia="en-AU"/>
              </w:rPr>
              <w:t>$m</w:t>
            </w:r>
          </w:p>
        </w:tc>
        <w:tc>
          <w:tcPr>
            <w:tcW w:w="792" w:type="dxa"/>
            <w:tcBorders>
              <w:top w:val="nil"/>
              <w:left w:val="nil"/>
              <w:bottom w:val="nil"/>
              <w:right w:val="nil"/>
            </w:tcBorders>
            <w:shd w:val="clear" w:color="000000" w:fill="B6D5E4"/>
            <w:vAlign w:val="center"/>
            <w:hideMark/>
          </w:tcPr>
          <w:p w14:paraId="6236C667" w14:textId="77777777" w:rsidR="00B72D0D" w:rsidRPr="00CE5B36" w:rsidRDefault="00B72D0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CE5B36">
              <w:rPr>
                <w:rFonts w:ascii="Open Sans Semibold" w:eastAsia="Times New Roman" w:hAnsi="Open Sans Semibold" w:cs="Open Sans Semibold"/>
                <w:color w:val="000000"/>
                <w:sz w:val="16"/>
                <w:szCs w:val="16"/>
                <w:lang w:eastAsia="en-AU"/>
              </w:rPr>
              <w:t>$m</w:t>
            </w:r>
          </w:p>
        </w:tc>
      </w:tr>
      <w:tr w:rsidR="001C1369" w:rsidRPr="00CE5B36" w14:paraId="49006D3F" w14:textId="77777777" w:rsidTr="00E979B8">
        <w:trPr>
          <w:trHeight w:val="315"/>
        </w:trPr>
        <w:tc>
          <w:tcPr>
            <w:tcW w:w="1886" w:type="dxa"/>
            <w:tcBorders>
              <w:top w:val="nil"/>
              <w:left w:val="nil"/>
              <w:bottom w:val="single" w:sz="4" w:space="0" w:color="ADD6EA"/>
              <w:right w:val="nil"/>
            </w:tcBorders>
            <w:shd w:val="clear" w:color="auto" w:fill="auto"/>
            <w:vAlign w:val="bottom"/>
            <w:hideMark/>
          </w:tcPr>
          <w:p w14:paraId="6FE9F22B" w14:textId="7B576157" w:rsidR="001C1369" w:rsidRPr="00CE5B36" w:rsidRDefault="001C1369" w:rsidP="00292046">
            <w:pPr>
              <w:tabs>
                <w:tab w:val="clear" w:pos="567"/>
              </w:tabs>
              <w:spacing w:before="0" w:line="240" w:lineRule="auto"/>
              <w:rPr>
                <w:rFonts w:eastAsia="Times New Roman" w:cs="Open Sans Light"/>
                <w:sz w:val="16"/>
                <w:szCs w:val="16"/>
                <w:lang w:eastAsia="en-AU"/>
              </w:rPr>
            </w:pPr>
            <w:r w:rsidRPr="00CE5B36">
              <w:rPr>
                <w:rFonts w:eastAsia="Times New Roman" w:cs="Open Sans Light"/>
                <w:sz w:val="16"/>
                <w:szCs w:val="16"/>
                <w:lang w:eastAsia="en-AU"/>
              </w:rPr>
              <w:t xml:space="preserve">Recurrent </w:t>
            </w:r>
            <w:r w:rsidR="00292046">
              <w:rPr>
                <w:rFonts w:eastAsia="Times New Roman" w:cs="Open Sans Light"/>
                <w:sz w:val="16"/>
                <w:szCs w:val="16"/>
                <w:lang w:eastAsia="en-AU"/>
              </w:rPr>
              <w:t>e</w:t>
            </w:r>
            <w:r w:rsidRPr="00CE5B36">
              <w:rPr>
                <w:rFonts w:eastAsia="Times New Roman" w:cs="Open Sans Light"/>
                <w:sz w:val="16"/>
                <w:szCs w:val="16"/>
                <w:lang w:eastAsia="en-AU"/>
              </w:rPr>
              <w:t>xpen</w:t>
            </w:r>
            <w:r>
              <w:rPr>
                <w:rFonts w:eastAsia="Times New Roman" w:cs="Open Sans Light"/>
                <w:sz w:val="16"/>
                <w:szCs w:val="16"/>
                <w:lang w:eastAsia="en-AU"/>
              </w:rPr>
              <w:t>ses</w:t>
            </w:r>
          </w:p>
        </w:tc>
        <w:tc>
          <w:tcPr>
            <w:tcW w:w="792" w:type="dxa"/>
            <w:tcBorders>
              <w:top w:val="single" w:sz="4" w:space="0" w:color="ADD6EA"/>
              <w:left w:val="nil"/>
              <w:bottom w:val="single" w:sz="4" w:space="0" w:color="B8CCE4" w:themeColor="accent1" w:themeTint="66"/>
              <w:right w:val="nil"/>
            </w:tcBorders>
            <w:shd w:val="clear" w:color="auto" w:fill="auto"/>
            <w:vAlign w:val="bottom"/>
            <w:hideMark/>
          </w:tcPr>
          <w:p w14:paraId="7CFC597F" w14:textId="77777777"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6,001</w:t>
            </w:r>
          </w:p>
        </w:tc>
        <w:tc>
          <w:tcPr>
            <w:tcW w:w="792" w:type="dxa"/>
            <w:tcBorders>
              <w:top w:val="single" w:sz="4" w:space="0" w:color="ADD6EA"/>
              <w:left w:val="nil"/>
              <w:bottom w:val="single" w:sz="4" w:space="0" w:color="B8CCE4" w:themeColor="accent1" w:themeTint="66"/>
              <w:right w:val="nil"/>
            </w:tcBorders>
            <w:shd w:val="clear" w:color="auto" w:fill="auto"/>
            <w:vAlign w:val="bottom"/>
            <w:hideMark/>
          </w:tcPr>
          <w:p w14:paraId="78026355" w14:textId="77777777"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5,322</w:t>
            </w:r>
          </w:p>
        </w:tc>
        <w:tc>
          <w:tcPr>
            <w:tcW w:w="780" w:type="dxa"/>
            <w:tcBorders>
              <w:top w:val="single" w:sz="4" w:space="0" w:color="ADD6EA"/>
              <w:left w:val="nil"/>
              <w:bottom w:val="single" w:sz="4" w:space="0" w:color="B8CCE4" w:themeColor="accent1" w:themeTint="66"/>
              <w:right w:val="nil"/>
            </w:tcBorders>
            <w:shd w:val="clear" w:color="auto" w:fill="auto"/>
            <w:vAlign w:val="bottom"/>
            <w:hideMark/>
          </w:tcPr>
          <w:p w14:paraId="0EA99A02" w14:textId="77777777"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2,942</w:t>
            </w:r>
          </w:p>
        </w:tc>
        <w:tc>
          <w:tcPr>
            <w:tcW w:w="780" w:type="dxa"/>
            <w:tcBorders>
              <w:top w:val="single" w:sz="4" w:space="0" w:color="ADD6EA"/>
              <w:left w:val="nil"/>
              <w:bottom w:val="single" w:sz="4" w:space="0" w:color="B8CCE4" w:themeColor="accent1" w:themeTint="66"/>
              <w:right w:val="nil"/>
            </w:tcBorders>
            <w:shd w:val="clear" w:color="auto" w:fill="auto"/>
            <w:vAlign w:val="bottom"/>
            <w:hideMark/>
          </w:tcPr>
          <w:p w14:paraId="1B860862" w14:textId="77777777"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1,681</w:t>
            </w:r>
          </w:p>
        </w:tc>
        <w:tc>
          <w:tcPr>
            <w:tcW w:w="780" w:type="dxa"/>
            <w:tcBorders>
              <w:top w:val="single" w:sz="4" w:space="0" w:color="ADD6EA"/>
              <w:left w:val="nil"/>
              <w:bottom w:val="single" w:sz="4" w:space="0" w:color="B8CCE4" w:themeColor="accent1" w:themeTint="66"/>
              <w:right w:val="nil"/>
            </w:tcBorders>
            <w:shd w:val="clear" w:color="auto" w:fill="auto"/>
            <w:vAlign w:val="bottom"/>
            <w:hideMark/>
          </w:tcPr>
          <w:p w14:paraId="7FFC6047" w14:textId="77777777"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562</w:t>
            </w:r>
          </w:p>
        </w:tc>
        <w:tc>
          <w:tcPr>
            <w:tcW w:w="780" w:type="dxa"/>
            <w:tcBorders>
              <w:top w:val="single" w:sz="4" w:space="0" w:color="ADD6EA"/>
              <w:left w:val="nil"/>
              <w:bottom w:val="single" w:sz="4" w:space="0" w:color="B8CCE4" w:themeColor="accent1" w:themeTint="66"/>
              <w:right w:val="nil"/>
            </w:tcBorders>
            <w:shd w:val="clear" w:color="auto" w:fill="auto"/>
            <w:vAlign w:val="bottom"/>
            <w:hideMark/>
          </w:tcPr>
          <w:p w14:paraId="10068B57" w14:textId="77777777"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101</w:t>
            </w:r>
          </w:p>
        </w:tc>
        <w:tc>
          <w:tcPr>
            <w:tcW w:w="780" w:type="dxa"/>
            <w:tcBorders>
              <w:top w:val="single" w:sz="4" w:space="0" w:color="ADD6EA"/>
              <w:left w:val="nil"/>
              <w:bottom w:val="single" w:sz="4" w:space="0" w:color="B8CCE4" w:themeColor="accent1" w:themeTint="66"/>
              <w:right w:val="nil"/>
            </w:tcBorders>
            <w:shd w:val="clear" w:color="auto" w:fill="auto"/>
            <w:vAlign w:val="bottom"/>
            <w:hideMark/>
          </w:tcPr>
          <w:p w14:paraId="661C52B5" w14:textId="77777777"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234</w:t>
            </w:r>
          </w:p>
        </w:tc>
        <w:tc>
          <w:tcPr>
            <w:tcW w:w="780" w:type="dxa"/>
            <w:tcBorders>
              <w:top w:val="single" w:sz="4" w:space="0" w:color="ADD6EA"/>
              <w:left w:val="nil"/>
              <w:bottom w:val="single" w:sz="4" w:space="0" w:color="B8CCE4" w:themeColor="accent1" w:themeTint="66"/>
              <w:right w:val="nil"/>
            </w:tcBorders>
            <w:shd w:val="clear" w:color="auto" w:fill="auto"/>
            <w:vAlign w:val="bottom"/>
            <w:hideMark/>
          </w:tcPr>
          <w:p w14:paraId="679DDC3E" w14:textId="77777777"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76</w:t>
            </w:r>
          </w:p>
        </w:tc>
        <w:tc>
          <w:tcPr>
            <w:tcW w:w="792" w:type="dxa"/>
            <w:tcBorders>
              <w:top w:val="nil"/>
              <w:left w:val="nil"/>
              <w:bottom w:val="single" w:sz="4" w:space="0" w:color="ADD6EA"/>
              <w:right w:val="nil"/>
            </w:tcBorders>
            <w:shd w:val="clear" w:color="auto" w:fill="auto"/>
            <w:vAlign w:val="bottom"/>
            <w:hideMark/>
          </w:tcPr>
          <w:p w14:paraId="2E172558" w14:textId="77777777"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sidRPr="00CE5B36">
              <w:rPr>
                <w:rFonts w:eastAsia="Times New Roman" w:cs="Open Sans Light"/>
                <w:sz w:val="16"/>
                <w:szCs w:val="16"/>
                <w:lang w:eastAsia="en-AU"/>
              </w:rPr>
              <w:t>16,920</w:t>
            </w:r>
          </w:p>
        </w:tc>
      </w:tr>
      <w:tr w:rsidR="001C1369" w:rsidRPr="00CE5B36" w14:paraId="5ED3485E" w14:textId="77777777" w:rsidTr="00514DDD">
        <w:trPr>
          <w:trHeight w:val="315"/>
        </w:trPr>
        <w:tc>
          <w:tcPr>
            <w:tcW w:w="1886" w:type="dxa"/>
            <w:tcBorders>
              <w:top w:val="nil"/>
              <w:left w:val="nil"/>
              <w:bottom w:val="single" w:sz="4" w:space="0" w:color="ADD6EA"/>
              <w:right w:val="nil"/>
            </w:tcBorders>
            <w:shd w:val="clear" w:color="auto" w:fill="auto"/>
            <w:vAlign w:val="bottom"/>
          </w:tcPr>
          <w:p w14:paraId="5B79F41A" w14:textId="2557A335" w:rsidR="001C1369" w:rsidRPr="00CE5B36" w:rsidRDefault="001C1369" w:rsidP="00292046">
            <w:pPr>
              <w:tabs>
                <w:tab w:val="clear" w:pos="567"/>
              </w:tabs>
              <w:spacing w:before="0" w:line="240" w:lineRule="auto"/>
              <w:rPr>
                <w:rFonts w:eastAsia="Times New Roman" w:cs="Open Sans Light"/>
                <w:sz w:val="16"/>
                <w:szCs w:val="16"/>
                <w:lang w:eastAsia="en-AU"/>
              </w:rPr>
            </w:pPr>
            <w:r w:rsidRPr="00CE5B36">
              <w:rPr>
                <w:rFonts w:eastAsia="Times New Roman" w:cs="Open Sans Light"/>
                <w:sz w:val="16"/>
                <w:szCs w:val="16"/>
                <w:lang w:eastAsia="en-AU"/>
              </w:rPr>
              <w:t>Investment</w:t>
            </w:r>
          </w:p>
        </w:tc>
        <w:tc>
          <w:tcPr>
            <w:tcW w:w="792" w:type="dxa"/>
            <w:tcBorders>
              <w:top w:val="single" w:sz="4" w:space="0" w:color="B8CCE4" w:themeColor="accent1" w:themeTint="66"/>
              <w:left w:val="nil"/>
              <w:bottom w:val="single" w:sz="4" w:space="0" w:color="ADD6EA"/>
              <w:right w:val="nil"/>
            </w:tcBorders>
            <w:shd w:val="clear" w:color="auto" w:fill="auto"/>
            <w:vAlign w:val="bottom"/>
          </w:tcPr>
          <w:p w14:paraId="70966561" w14:textId="2E1CDDC1"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sidRPr="00CE5B36">
              <w:rPr>
                <w:rFonts w:eastAsia="Times New Roman" w:cs="Open Sans Light"/>
                <w:sz w:val="16"/>
                <w:szCs w:val="16"/>
                <w:lang w:eastAsia="en-AU"/>
              </w:rPr>
              <w:t>7,907</w:t>
            </w:r>
          </w:p>
        </w:tc>
        <w:tc>
          <w:tcPr>
            <w:tcW w:w="792" w:type="dxa"/>
            <w:tcBorders>
              <w:top w:val="single" w:sz="4" w:space="0" w:color="B8CCE4" w:themeColor="accent1" w:themeTint="66"/>
              <w:left w:val="nil"/>
              <w:bottom w:val="single" w:sz="4" w:space="0" w:color="ADD6EA"/>
              <w:right w:val="nil"/>
            </w:tcBorders>
            <w:shd w:val="clear" w:color="auto" w:fill="auto"/>
            <w:vAlign w:val="bottom"/>
          </w:tcPr>
          <w:p w14:paraId="54BC3592" w14:textId="2474031E"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sidRPr="00CE5B36">
              <w:rPr>
                <w:rFonts w:eastAsia="Times New Roman" w:cs="Open Sans Light"/>
                <w:sz w:val="16"/>
                <w:szCs w:val="16"/>
                <w:lang w:eastAsia="en-AU"/>
              </w:rPr>
              <w:t>8,562</w:t>
            </w:r>
          </w:p>
        </w:tc>
        <w:tc>
          <w:tcPr>
            <w:tcW w:w="780" w:type="dxa"/>
            <w:tcBorders>
              <w:top w:val="single" w:sz="4" w:space="0" w:color="B8CCE4" w:themeColor="accent1" w:themeTint="66"/>
              <w:left w:val="nil"/>
              <w:bottom w:val="single" w:sz="4" w:space="0" w:color="ADD6EA"/>
              <w:right w:val="nil"/>
            </w:tcBorders>
            <w:shd w:val="clear" w:color="auto" w:fill="auto"/>
            <w:vAlign w:val="bottom"/>
          </w:tcPr>
          <w:p w14:paraId="535FFB47" w14:textId="11A84CC0"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sidRPr="00CE5B36">
              <w:rPr>
                <w:rFonts w:eastAsia="Times New Roman" w:cs="Open Sans Light"/>
                <w:sz w:val="16"/>
                <w:szCs w:val="16"/>
                <w:lang w:eastAsia="en-AU"/>
              </w:rPr>
              <w:t>1,355</w:t>
            </w:r>
          </w:p>
        </w:tc>
        <w:tc>
          <w:tcPr>
            <w:tcW w:w="780" w:type="dxa"/>
            <w:tcBorders>
              <w:top w:val="single" w:sz="4" w:space="0" w:color="B8CCE4" w:themeColor="accent1" w:themeTint="66"/>
              <w:left w:val="nil"/>
              <w:bottom w:val="single" w:sz="4" w:space="0" w:color="ADD6EA"/>
              <w:right w:val="nil"/>
            </w:tcBorders>
            <w:shd w:val="clear" w:color="auto" w:fill="auto"/>
            <w:vAlign w:val="bottom"/>
          </w:tcPr>
          <w:p w14:paraId="2437B972" w14:textId="009513BB"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sidRPr="00CE5B36">
              <w:rPr>
                <w:rFonts w:eastAsia="Times New Roman" w:cs="Open Sans Light"/>
                <w:sz w:val="16"/>
                <w:szCs w:val="16"/>
                <w:lang w:eastAsia="en-AU"/>
              </w:rPr>
              <w:t>698</w:t>
            </w:r>
          </w:p>
        </w:tc>
        <w:tc>
          <w:tcPr>
            <w:tcW w:w="780" w:type="dxa"/>
            <w:tcBorders>
              <w:top w:val="single" w:sz="4" w:space="0" w:color="B8CCE4" w:themeColor="accent1" w:themeTint="66"/>
              <w:left w:val="nil"/>
              <w:bottom w:val="single" w:sz="4" w:space="0" w:color="ADD6EA"/>
              <w:right w:val="nil"/>
            </w:tcBorders>
            <w:shd w:val="clear" w:color="auto" w:fill="auto"/>
            <w:vAlign w:val="bottom"/>
          </w:tcPr>
          <w:p w14:paraId="08D21E6A" w14:textId="7222A653"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sidRPr="00CE5B36">
              <w:rPr>
                <w:rFonts w:eastAsia="Times New Roman" w:cs="Open Sans Light"/>
                <w:sz w:val="16"/>
                <w:szCs w:val="16"/>
                <w:lang w:eastAsia="en-AU"/>
              </w:rPr>
              <w:t>333</w:t>
            </w:r>
          </w:p>
        </w:tc>
        <w:tc>
          <w:tcPr>
            <w:tcW w:w="780" w:type="dxa"/>
            <w:tcBorders>
              <w:top w:val="single" w:sz="4" w:space="0" w:color="B8CCE4" w:themeColor="accent1" w:themeTint="66"/>
              <w:left w:val="nil"/>
              <w:bottom w:val="single" w:sz="4" w:space="0" w:color="ADD6EA"/>
              <w:right w:val="nil"/>
            </w:tcBorders>
            <w:shd w:val="clear" w:color="auto" w:fill="auto"/>
            <w:vAlign w:val="bottom"/>
          </w:tcPr>
          <w:p w14:paraId="7FE56D5E" w14:textId="3653C39A"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sidRPr="00CE5B36">
              <w:rPr>
                <w:rFonts w:eastAsia="Times New Roman" w:cs="Open Sans Light"/>
                <w:sz w:val="16"/>
                <w:szCs w:val="16"/>
                <w:lang w:eastAsia="en-AU"/>
              </w:rPr>
              <w:t>-10</w:t>
            </w:r>
          </w:p>
        </w:tc>
        <w:tc>
          <w:tcPr>
            <w:tcW w:w="780" w:type="dxa"/>
            <w:tcBorders>
              <w:top w:val="single" w:sz="4" w:space="0" w:color="B8CCE4" w:themeColor="accent1" w:themeTint="66"/>
              <w:left w:val="nil"/>
              <w:bottom w:val="single" w:sz="4" w:space="0" w:color="ADD6EA"/>
              <w:right w:val="nil"/>
            </w:tcBorders>
            <w:shd w:val="clear" w:color="auto" w:fill="auto"/>
            <w:vAlign w:val="bottom"/>
          </w:tcPr>
          <w:p w14:paraId="1FA1BD71" w14:textId="4683BD4B"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sidRPr="00CE5B36">
              <w:rPr>
                <w:rFonts w:eastAsia="Times New Roman" w:cs="Open Sans Light"/>
                <w:sz w:val="16"/>
                <w:szCs w:val="16"/>
                <w:lang w:eastAsia="en-AU"/>
              </w:rPr>
              <w:t>70</w:t>
            </w:r>
          </w:p>
        </w:tc>
        <w:tc>
          <w:tcPr>
            <w:tcW w:w="780" w:type="dxa"/>
            <w:tcBorders>
              <w:top w:val="single" w:sz="4" w:space="0" w:color="B8CCE4" w:themeColor="accent1" w:themeTint="66"/>
              <w:left w:val="nil"/>
              <w:bottom w:val="single" w:sz="4" w:space="0" w:color="ADD6EA"/>
              <w:right w:val="nil"/>
            </w:tcBorders>
            <w:shd w:val="clear" w:color="auto" w:fill="auto"/>
            <w:vAlign w:val="bottom"/>
          </w:tcPr>
          <w:p w14:paraId="1AED4922" w14:textId="4701B1A0"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sidRPr="00CE5B36">
              <w:rPr>
                <w:rFonts w:eastAsia="Times New Roman" w:cs="Open Sans Light"/>
                <w:sz w:val="16"/>
                <w:szCs w:val="16"/>
                <w:lang w:eastAsia="en-AU"/>
              </w:rPr>
              <w:t>64</w:t>
            </w:r>
          </w:p>
        </w:tc>
        <w:tc>
          <w:tcPr>
            <w:tcW w:w="792" w:type="dxa"/>
            <w:tcBorders>
              <w:top w:val="nil"/>
              <w:left w:val="nil"/>
              <w:bottom w:val="single" w:sz="4" w:space="0" w:color="ADD6EA"/>
              <w:right w:val="nil"/>
            </w:tcBorders>
            <w:shd w:val="clear" w:color="auto" w:fill="auto"/>
            <w:vAlign w:val="bottom"/>
          </w:tcPr>
          <w:p w14:paraId="1C1B4FDB" w14:textId="270816A0" w:rsidR="001C1369" w:rsidRPr="00CE5B36" w:rsidRDefault="001C1369" w:rsidP="00292046">
            <w:pPr>
              <w:tabs>
                <w:tab w:val="clear" w:pos="567"/>
              </w:tabs>
              <w:spacing w:before="0" w:line="240" w:lineRule="auto"/>
              <w:jc w:val="right"/>
              <w:rPr>
                <w:rFonts w:eastAsia="Times New Roman" w:cs="Open Sans Light"/>
                <w:sz w:val="16"/>
                <w:szCs w:val="16"/>
                <w:lang w:eastAsia="en-AU"/>
              </w:rPr>
            </w:pPr>
            <w:r w:rsidRPr="00CE5B36">
              <w:rPr>
                <w:rFonts w:eastAsia="Times New Roman" w:cs="Open Sans Light"/>
                <w:sz w:val="16"/>
                <w:szCs w:val="16"/>
                <w:lang w:eastAsia="en-AU"/>
              </w:rPr>
              <w:t>18,978</w:t>
            </w:r>
          </w:p>
        </w:tc>
      </w:tr>
      <w:tr w:rsidR="00B72D0D" w:rsidRPr="00CE5B36" w14:paraId="49697267" w14:textId="77777777" w:rsidTr="00514DDD">
        <w:trPr>
          <w:trHeight w:val="555"/>
        </w:trPr>
        <w:tc>
          <w:tcPr>
            <w:tcW w:w="1886" w:type="dxa"/>
            <w:tcBorders>
              <w:top w:val="nil"/>
              <w:left w:val="nil"/>
              <w:bottom w:val="single" w:sz="4" w:space="0" w:color="ADD6EA"/>
              <w:right w:val="nil"/>
            </w:tcBorders>
            <w:shd w:val="clear" w:color="auto" w:fill="auto"/>
            <w:vAlign w:val="bottom"/>
            <w:hideMark/>
          </w:tcPr>
          <w:p w14:paraId="7128AE3F" w14:textId="74578FA9" w:rsidR="00B72D0D" w:rsidRPr="00CE5B36" w:rsidRDefault="00B72D0D" w:rsidP="00292046">
            <w:pPr>
              <w:tabs>
                <w:tab w:val="clear" w:pos="567"/>
              </w:tabs>
              <w:spacing w:before="0" w:line="240" w:lineRule="auto"/>
              <w:rPr>
                <w:rFonts w:eastAsia="Times New Roman" w:cs="Open Sans Light"/>
                <w:sz w:val="16"/>
                <w:szCs w:val="16"/>
                <w:lang w:eastAsia="en-AU"/>
              </w:rPr>
            </w:pPr>
            <w:r w:rsidRPr="00CE5B36">
              <w:rPr>
                <w:rFonts w:eastAsia="Times New Roman" w:cs="Open Sans Light"/>
                <w:sz w:val="16"/>
                <w:szCs w:val="16"/>
                <w:lang w:eastAsia="en-AU"/>
              </w:rPr>
              <w:t xml:space="preserve">Proportion of total expenditure </w:t>
            </w:r>
            <w:r w:rsidR="00436B47">
              <w:rPr>
                <w:rFonts w:eastAsia="Times New Roman" w:cs="Open Sans Light"/>
                <w:sz w:val="16"/>
                <w:szCs w:val="16"/>
                <w:lang w:eastAsia="en-AU"/>
              </w:rPr>
              <w:t>(%)</w:t>
            </w:r>
          </w:p>
        </w:tc>
        <w:tc>
          <w:tcPr>
            <w:tcW w:w="792" w:type="dxa"/>
            <w:tcBorders>
              <w:top w:val="single" w:sz="4" w:space="0" w:color="ADD6EA"/>
              <w:left w:val="nil"/>
              <w:bottom w:val="single" w:sz="4" w:space="0" w:color="ADD6EA"/>
              <w:right w:val="nil"/>
            </w:tcBorders>
            <w:shd w:val="clear" w:color="auto" w:fill="auto"/>
            <w:vAlign w:val="bottom"/>
            <w:hideMark/>
          </w:tcPr>
          <w:p w14:paraId="40B188AB" w14:textId="1A89925B" w:rsidR="00B72D0D" w:rsidRPr="00CE5B36" w:rsidRDefault="00C63FC2"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16.2</w:t>
            </w:r>
          </w:p>
        </w:tc>
        <w:tc>
          <w:tcPr>
            <w:tcW w:w="792" w:type="dxa"/>
            <w:tcBorders>
              <w:top w:val="single" w:sz="4" w:space="0" w:color="ADD6EA"/>
              <w:left w:val="nil"/>
              <w:bottom w:val="single" w:sz="4" w:space="0" w:color="ADD6EA"/>
              <w:right w:val="nil"/>
            </w:tcBorders>
            <w:shd w:val="clear" w:color="auto" w:fill="auto"/>
            <w:vAlign w:val="bottom"/>
            <w:hideMark/>
          </w:tcPr>
          <w:p w14:paraId="75D4E39B" w14:textId="324F8D6A" w:rsidR="00B72D0D" w:rsidRPr="00CE5B36" w:rsidRDefault="00C63FC2"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20.3</w:t>
            </w:r>
          </w:p>
        </w:tc>
        <w:tc>
          <w:tcPr>
            <w:tcW w:w="780" w:type="dxa"/>
            <w:tcBorders>
              <w:top w:val="single" w:sz="4" w:space="0" w:color="ADD6EA"/>
              <w:left w:val="nil"/>
              <w:bottom w:val="single" w:sz="4" w:space="0" w:color="ADD6EA"/>
              <w:right w:val="nil"/>
            </w:tcBorders>
            <w:shd w:val="clear" w:color="auto" w:fill="auto"/>
            <w:vAlign w:val="bottom"/>
            <w:hideMark/>
          </w:tcPr>
          <w:p w14:paraId="032CA933" w14:textId="26FE4923" w:rsidR="00B72D0D" w:rsidRPr="00CE5B36" w:rsidRDefault="00C63FC2"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7.2</w:t>
            </w:r>
          </w:p>
        </w:tc>
        <w:tc>
          <w:tcPr>
            <w:tcW w:w="780" w:type="dxa"/>
            <w:tcBorders>
              <w:top w:val="single" w:sz="4" w:space="0" w:color="ADD6EA"/>
              <w:left w:val="nil"/>
              <w:bottom w:val="single" w:sz="4" w:space="0" w:color="ADD6EA"/>
              <w:right w:val="nil"/>
            </w:tcBorders>
            <w:shd w:val="clear" w:color="auto" w:fill="auto"/>
            <w:vAlign w:val="bottom"/>
            <w:hideMark/>
          </w:tcPr>
          <w:p w14:paraId="6363AE9D" w14:textId="6B9E3E22" w:rsidR="00B72D0D" w:rsidRPr="00CE5B36" w:rsidRDefault="00B72D0D"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6.</w:t>
            </w:r>
            <w:r w:rsidR="00C63FC2">
              <w:rPr>
                <w:rFonts w:cs="Open Sans Light"/>
                <w:color w:val="000000"/>
                <w:sz w:val="16"/>
                <w:szCs w:val="16"/>
              </w:rPr>
              <w:t>3</w:t>
            </w:r>
          </w:p>
        </w:tc>
        <w:tc>
          <w:tcPr>
            <w:tcW w:w="780" w:type="dxa"/>
            <w:tcBorders>
              <w:top w:val="single" w:sz="4" w:space="0" w:color="ADD6EA"/>
              <w:left w:val="nil"/>
              <w:bottom w:val="single" w:sz="4" w:space="0" w:color="ADD6EA"/>
              <w:right w:val="nil"/>
            </w:tcBorders>
            <w:shd w:val="clear" w:color="auto" w:fill="auto"/>
            <w:vAlign w:val="bottom"/>
            <w:hideMark/>
          </w:tcPr>
          <w:p w14:paraId="022EB9DF" w14:textId="33B431A5" w:rsidR="00B72D0D" w:rsidRPr="00CE5B36" w:rsidRDefault="00C63FC2"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4</w:t>
            </w:r>
            <w:r w:rsidR="00B72D0D">
              <w:rPr>
                <w:rFonts w:cs="Open Sans Light"/>
                <w:color w:val="000000"/>
                <w:sz w:val="16"/>
                <w:szCs w:val="16"/>
              </w:rPr>
              <w:t>.7</w:t>
            </w:r>
          </w:p>
        </w:tc>
        <w:tc>
          <w:tcPr>
            <w:tcW w:w="780" w:type="dxa"/>
            <w:tcBorders>
              <w:top w:val="single" w:sz="4" w:space="0" w:color="ADD6EA"/>
              <w:left w:val="nil"/>
              <w:bottom w:val="single" w:sz="4" w:space="0" w:color="ADD6EA"/>
              <w:right w:val="nil"/>
            </w:tcBorders>
            <w:shd w:val="clear" w:color="auto" w:fill="auto"/>
            <w:vAlign w:val="bottom"/>
            <w:hideMark/>
          </w:tcPr>
          <w:p w14:paraId="559D5BA7" w14:textId="3867EB91" w:rsidR="00B72D0D" w:rsidRPr="00CE5B36" w:rsidRDefault="00B72D0D"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1</w:t>
            </w:r>
            <w:r w:rsidR="00C63FC2">
              <w:rPr>
                <w:rFonts w:cs="Open Sans Light"/>
                <w:color w:val="000000"/>
                <w:sz w:val="16"/>
                <w:szCs w:val="16"/>
              </w:rPr>
              <w:t>.4</w:t>
            </w:r>
          </w:p>
        </w:tc>
        <w:tc>
          <w:tcPr>
            <w:tcW w:w="780" w:type="dxa"/>
            <w:tcBorders>
              <w:top w:val="single" w:sz="4" w:space="0" w:color="ADD6EA"/>
              <w:left w:val="nil"/>
              <w:bottom w:val="single" w:sz="4" w:space="0" w:color="ADD6EA"/>
              <w:right w:val="nil"/>
            </w:tcBorders>
            <w:shd w:val="clear" w:color="auto" w:fill="auto"/>
            <w:vAlign w:val="bottom"/>
            <w:hideMark/>
          </w:tcPr>
          <w:p w14:paraId="10D205FE" w14:textId="6D6BDB65" w:rsidR="00B72D0D" w:rsidRPr="00CE5B36" w:rsidRDefault="00C63FC2"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5.3</w:t>
            </w:r>
          </w:p>
        </w:tc>
        <w:tc>
          <w:tcPr>
            <w:tcW w:w="780" w:type="dxa"/>
            <w:tcBorders>
              <w:top w:val="single" w:sz="4" w:space="0" w:color="ADD6EA"/>
              <w:left w:val="nil"/>
              <w:bottom w:val="single" w:sz="4" w:space="0" w:color="ADD6EA"/>
              <w:right w:val="nil"/>
            </w:tcBorders>
            <w:shd w:val="clear" w:color="auto" w:fill="auto"/>
            <w:vAlign w:val="bottom"/>
            <w:hideMark/>
          </w:tcPr>
          <w:p w14:paraId="643C901A" w14:textId="0C5C435C" w:rsidR="00B72D0D" w:rsidRPr="00CE5B36" w:rsidRDefault="00B72D0D" w:rsidP="00292046">
            <w:pPr>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2.</w:t>
            </w:r>
            <w:r w:rsidR="00C63FC2">
              <w:rPr>
                <w:rFonts w:cs="Open Sans Light"/>
                <w:color w:val="000000"/>
                <w:sz w:val="16"/>
                <w:szCs w:val="16"/>
              </w:rPr>
              <w:t>5</w:t>
            </w:r>
          </w:p>
        </w:tc>
        <w:tc>
          <w:tcPr>
            <w:tcW w:w="792" w:type="dxa"/>
            <w:tcBorders>
              <w:top w:val="single" w:sz="4" w:space="0" w:color="ADD6EA"/>
              <w:left w:val="nil"/>
              <w:bottom w:val="single" w:sz="4" w:space="0" w:color="ADD6EA"/>
              <w:right w:val="nil"/>
            </w:tcBorders>
            <w:shd w:val="clear" w:color="auto" w:fill="auto"/>
            <w:vAlign w:val="bottom"/>
            <w:hideMark/>
          </w:tcPr>
          <w:p w14:paraId="02712372" w14:textId="311B105B" w:rsidR="00B72D0D" w:rsidRPr="00CE5B36" w:rsidRDefault="00C63FC2" w:rsidP="00292046">
            <w:pPr>
              <w:keepNext/>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12</w:t>
            </w:r>
            <w:r w:rsidR="00B72D0D">
              <w:rPr>
                <w:rFonts w:cs="Open Sans Light"/>
                <w:color w:val="000000"/>
                <w:sz w:val="16"/>
                <w:szCs w:val="16"/>
              </w:rPr>
              <w:t>.4</w:t>
            </w:r>
          </w:p>
        </w:tc>
      </w:tr>
    </w:tbl>
    <w:p w14:paraId="1F5D7322" w14:textId="6235D2F0" w:rsidR="00CC7365" w:rsidRPr="00DE3E76" w:rsidRDefault="00E52DF1" w:rsidP="000323AF">
      <w:pPr>
        <w:pStyle w:val="CGCTablenote"/>
        <w:rPr>
          <w:rFonts w:ascii="Work Sans" w:hAnsi="Work Sans"/>
        </w:rPr>
      </w:pPr>
      <w:r w:rsidRPr="00DE3E76">
        <w:rPr>
          <w:rFonts w:ascii="Work Sans" w:hAnsi="Work Sans"/>
        </w:rPr>
        <w:t>Source:</w:t>
      </w:r>
      <w:r w:rsidRPr="00DE3E76">
        <w:rPr>
          <w:rFonts w:ascii="Work Sans" w:hAnsi="Work Sans"/>
          <w:b/>
        </w:rPr>
        <w:t xml:space="preserve"> </w:t>
      </w:r>
      <w:r w:rsidR="00C24152" w:rsidRPr="00DE3E76">
        <w:rPr>
          <w:rFonts w:ascii="Work Sans" w:hAnsi="Work Sans"/>
        </w:rPr>
        <w:t>Commission</w:t>
      </w:r>
      <w:r w:rsidRPr="00DE3E76">
        <w:rPr>
          <w:rFonts w:ascii="Work Sans" w:hAnsi="Work Sans"/>
        </w:rPr>
        <w:t xml:space="preserve"> calculation, 2023 Update.</w:t>
      </w:r>
    </w:p>
    <w:p w14:paraId="0F4349FD" w14:textId="29F6AA28" w:rsidR="00AF02A3" w:rsidRDefault="00E07E86" w:rsidP="00CF68FE">
      <w:pPr>
        <w:pStyle w:val="CGC2025ParaNumbers"/>
      </w:pPr>
      <w:r>
        <w:fldChar w:fldCharType="begin"/>
      </w:r>
      <w:r>
        <w:instrText xml:space="preserve"> REF _Ref138763214 \h </w:instrText>
      </w:r>
      <w:r>
        <w:fldChar w:fldCharType="separate"/>
      </w:r>
      <w:r w:rsidR="00282693" w:rsidRPr="00B56A25">
        <w:t xml:space="preserve">Table </w:t>
      </w:r>
      <w:r w:rsidR="00282693">
        <w:rPr>
          <w:noProof/>
        </w:rPr>
        <w:t>2</w:t>
      </w:r>
      <w:r>
        <w:fldChar w:fldCharType="end"/>
      </w:r>
      <w:r w:rsidR="00B56A25">
        <w:t xml:space="preserve"> </w:t>
      </w:r>
      <w:r w:rsidR="0062482F" w:rsidRPr="0062482F">
        <w:t>shows transport expenditure over time. It has been growing as a proportion of state spending.</w:t>
      </w:r>
    </w:p>
    <w:p w14:paraId="7BA732F3" w14:textId="0459A316" w:rsidR="007F6655" w:rsidRPr="00B56A25" w:rsidRDefault="00B56A25" w:rsidP="00E96A7D">
      <w:pPr>
        <w:pStyle w:val="CGC2025Caption"/>
        <w:tabs>
          <w:tab w:val="left" w:pos="1134"/>
        </w:tabs>
      </w:pPr>
      <w:bookmarkStart w:id="18" w:name="_Ref132915296"/>
      <w:bookmarkStart w:id="19" w:name="_Ref138763214"/>
      <w:r w:rsidRPr="00B56A25">
        <w:t xml:space="preserve">Table </w:t>
      </w:r>
      <w:r>
        <w:fldChar w:fldCharType="begin"/>
      </w:r>
      <w:r>
        <w:instrText>SEQ Table \* ARABIC</w:instrText>
      </w:r>
      <w:r>
        <w:fldChar w:fldCharType="separate"/>
      </w:r>
      <w:r w:rsidR="00282693">
        <w:rPr>
          <w:noProof/>
        </w:rPr>
        <w:t>2</w:t>
      </w:r>
      <w:r>
        <w:fldChar w:fldCharType="end"/>
      </w:r>
      <w:bookmarkEnd w:id="18"/>
      <w:bookmarkEnd w:id="19"/>
      <w:r w:rsidRPr="00B56A25">
        <w:tab/>
      </w:r>
      <w:r w:rsidR="00AF4DBF" w:rsidRPr="00B56A25">
        <w:t>Transport expenditure, 2018</w:t>
      </w:r>
      <w:r w:rsidR="00E55361">
        <w:t>–</w:t>
      </w:r>
      <w:r w:rsidR="00AF4DBF" w:rsidRPr="00B56A25">
        <w:t>19 to 2021</w:t>
      </w:r>
      <w:r w:rsidR="00E55361">
        <w:t>–</w:t>
      </w:r>
      <w:r w:rsidR="00AF4DBF" w:rsidRPr="00B56A25">
        <w:t>22</w:t>
      </w:r>
    </w:p>
    <w:tbl>
      <w:tblPr>
        <w:tblW w:w="8942" w:type="dxa"/>
        <w:tblLook w:val="04A0" w:firstRow="1" w:lastRow="0" w:firstColumn="1" w:lastColumn="0" w:noHBand="0" w:noVBand="1"/>
      </w:tblPr>
      <w:tblGrid>
        <w:gridCol w:w="2962"/>
        <w:gridCol w:w="1342"/>
        <w:gridCol w:w="1546"/>
        <w:gridCol w:w="1546"/>
        <w:gridCol w:w="1546"/>
      </w:tblGrid>
      <w:tr w:rsidR="00B82F72" w:rsidRPr="006A0702" w14:paraId="6AC9CC1B" w14:textId="77777777" w:rsidTr="00D41EB7">
        <w:trPr>
          <w:trHeight w:val="375"/>
        </w:trPr>
        <w:tc>
          <w:tcPr>
            <w:tcW w:w="2962" w:type="dxa"/>
            <w:tcBorders>
              <w:top w:val="single" w:sz="4" w:space="0" w:color="ADD6EA"/>
              <w:left w:val="nil"/>
              <w:bottom w:val="single" w:sz="4" w:space="0" w:color="ADD6EA"/>
              <w:right w:val="nil"/>
            </w:tcBorders>
            <w:shd w:val="clear" w:color="000000" w:fill="006991"/>
            <w:noWrap/>
            <w:vAlign w:val="center"/>
            <w:hideMark/>
          </w:tcPr>
          <w:p w14:paraId="5B1DF361" w14:textId="77777777" w:rsidR="00B82F72" w:rsidRPr="006A0702" w:rsidRDefault="00B82F72">
            <w:pPr>
              <w:keepNext/>
              <w:keepLines/>
              <w:tabs>
                <w:tab w:val="clear" w:pos="567"/>
              </w:tabs>
              <w:spacing w:before="0" w:line="240" w:lineRule="auto"/>
              <w:jc w:val="right"/>
              <w:rPr>
                <w:rFonts w:ascii="Work Sans" w:eastAsia="Times New Roman" w:hAnsi="Work Sans" w:cs="Times New Roman"/>
                <w:b/>
                <w:bCs/>
                <w:color w:val="FFFFFF"/>
                <w:sz w:val="16"/>
                <w:szCs w:val="16"/>
                <w:lang w:eastAsia="en-AU"/>
              </w:rPr>
            </w:pPr>
            <w:r w:rsidRPr="006A0702">
              <w:rPr>
                <w:rFonts w:ascii="Work Sans" w:eastAsia="Times New Roman" w:hAnsi="Work Sans" w:cs="Times New Roman"/>
                <w:b/>
                <w:bCs/>
                <w:color w:val="FFFFFF"/>
                <w:sz w:val="16"/>
                <w:szCs w:val="16"/>
                <w:lang w:eastAsia="en-AU"/>
              </w:rPr>
              <w:t> </w:t>
            </w:r>
          </w:p>
        </w:tc>
        <w:tc>
          <w:tcPr>
            <w:tcW w:w="1342" w:type="dxa"/>
            <w:tcBorders>
              <w:top w:val="single" w:sz="4" w:space="0" w:color="ADD6EA"/>
              <w:left w:val="nil"/>
              <w:bottom w:val="single" w:sz="4" w:space="0" w:color="ADD6EA"/>
              <w:right w:val="nil"/>
            </w:tcBorders>
            <w:shd w:val="clear" w:color="000000" w:fill="006991"/>
            <w:noWrap/>
            <w:vAlign w:val="center"/>
            <w:hideMark/>
          </w:tcPr>
          <w:p w14:paraId="270EB0D3" w14:textId="77777777" w:rsidR="00B82F72" w:rsidRPr="006A0702" w:rsidRDefault="00B82F72">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A0702">
              <w:rPr>
                <w:rFonts w:ascii="Open Sans Semibold" w:eastAsia="Times New Roman" w:hAnsi="Open Sans Semibold" w:cs="Open Sans Semibold"/>
                <w:color w:val="FFFFFF"/>
                <w:sz w:val="16"/>
                <w:szCs w:val="16"/>
                <w:lang w:eastAsia="en-AU"/>
              </w:rPr>
              <w:t>2018-19</w:t>
            </w:r>
          </w:p>
        </w:tc>
        <w:tc>
          <w:tcPr>
            <w:tcW w:w="1546" w:type="dxa"/>
            <w:tcBorders>
              <w:top w:val="single" w:sz="4" w:space="0" w:color="ADD6EA"/>
              <w:left w:val="nil"/>
              <w:bottom w:val="single" w:sz="4" w:space="0" w:color="ADD6EA"/>
              <w:right w:val="nil"/>
            </w:tcBorders>
            <w:shd w:val="clear" w:color="000000" w:fill="006991"/>
            <w:noWrap/>
            <w:vAlign w:val="center"/>
            <w:hideMark/>
          </w:tcPr>
          <w:p w14:paraId="79A2474C" w14:textId="77777777" w:rsidR="00B82F72" w:rsidRPr="006A0702" w:rsidRDefault="00B82F72">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A0702">
              <w:rPr>
                <w:rFonts w:ascii="Open Sans Semibold" w:eastAsia="Times New Roman" w:hAnsi="Open Sans Semibold" w:cs="Open Sans Semibold"/>
                <w:color w:val="FFFFFF"/>
                <w:sz w:val="16"/>
                <w:szCs w:val="16"/>
                <w:lang w:eastAsia="en-AU"/>
              </w:rPr>
              <w:t>2019-20</w:t>
            </w:r>
          </w:p>
        </w:tc>
        <w:tc>
          <w:tcPr>
            <w:tcW w:w="1546" w:type="dxa"/>
            <w:tcBorders>
              <w:top w:val="single" w:sz="4" w:space="0" w:color="ADD6EA"/>
              <w:left w:val="nil"/>
              <w:bottom w:val="single" w:sz="4" w:space="0" w:color="ADD6EA"/>
              <w:right w:val="nil"/>
            </w:tcBorders>
            <w:shd w:val="clear" w:color="000000" w:fill="006991"/>
            <w:noWrap/>
            <w:vAlign w:val="center"/>
            <w:hideMark/>
          </w:tcPr>
          <w:p w14:paraId="619614BC" w14:textId="77777777" w:rsidR="00B82F72" w:rsidRPr="006A0702" w:rsidRDefault="00B82F72">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A0702">
              <w:rPr>
                <w:rFonts w:ascii="Open Sans Semibold" w:eastAsia="Times New Roman" w:hAnsi="Open Sans Semibold" w:cs="Open Sans Semibold"/>
                <w:color w:val="FFFFFF"/>
                <w:sz w:val="16"/>
                <w:szCs w:val="16"/>
                <w:lang w:eastAsia="en-AU"/>
              </w:rPr>
              <w:t>2020-21</w:t>
            </w:r>
          </w:p>
        </w:tc>
        <w:tc>
          <w:tcPr>
            <w:tcW w:w="1546" w:type="dxa"/>
            <w:tcBorders>
              <w:top w:val="single" w:sz="4" w:space="0" w:color="ADD6EA"/>
              <w:left w:val="nil"/>
              <w:bottom w:val="single" w:sz="4" w:space="0" w:color="ADD6EA"/>
              <w:right w:val="nil"/>
            </w:tcBorders>
            <w:shd w:val="clear" w:color="000000" w:fill="006991"/>
            <w:noWrap/>
            <w:vAlign w:val="center"/>
            <w:hideMark/>
          </w:tcPr>
          <w:p w14:paraId="55A66050" w14:textId="77777777" w:rsidR="00B82F72" w:rsidRPr="006A0702" w:rsidRDefault="00B82F72">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6A0702">
              <w:rPr>
                <w:rFonts w:ascii="Open Sans Semibold" w:eastAsia="Times New Roman" w:hAnsi="Open Sans Semibold" w:cs="Open Sans Semibold"/>
                <w:color w:val="FFFFFF"/>
                <w:sz w:val="16"/>
                <w:szCs w:val="16"/>
                <w:lang w:eastAsia="en-AU"/>
              </w:rPr>
              <w:t>2021-22</w:t>
            </w:r>
          </w:p>
        </w:tc>
      </w:tr>
      <w:tr w:rsidR="00B82F72" w:rsidRPr="006A0702" w14:paraId="2EB5D7E3" w14:textId="77777777" w:rsidTr="00D41EB7">
        <w:trPr>
          <w:trHeight w:val="315"/>
        </w:trPr>
        <w:tc>
          <w:tcPr>
            <w:tcW w:w="2962" w:type="dxa"/>
            <w:tcBorders>
              <w:top w:val="nil"/>
              <w:left w:val="nil"/>
              <w:bottom w:val="single" w:sz="4" w:space="0" w:color="ADD6EA"/>
              <w:right w:val="nil"/>
            </w:tcBorders>
            <w:shd w:val="clear" w:color="000000" w:fill="FFFFFF"/>
            <w:noWrap/>
            <w:vAlign w:val="bottom"/>
            <w:hideMark/>
          </w:tcPr>
          <w:p w14:paraId="5AA808FD" w14:textId="77777777" w:rsidR="00B82F72" w:rsidRPr="006A0702" w:rsidRDefault="00B82F72">
            <w:pPr>
              <w:keepNext/>
              <w:keepLines/>
              <w:tabs>
                <w:tab w:val="clear" w:pos="567"/>
              </w:tabs>
              <w:spacing w:before="0" w:line="240" w:lineRule="auto"/>
              <w:rPr>
                <w:rFonts w:eastAsia="Times New Roman" w:cs="Open Sans Light"/>
                <w:sz w:val="16"/>
                <w:szCs w:val="16"/>
                <w:lang w:eastAsia="en-AU"/>
              </w:rPr>
            </w:pPr>
            <w:r w:rsidRPr="006A0702">
              <w:rPr>
                <w:rFonts w:eastAsia="Times New Roman" w:cs="Open Sans Light"/>
                <w:sz w:val="16"/>
                <w:szCs w:val="16"/>
                <w:lang w:eastAsia="en-AU"/>
              </w:rPr>
              <w:t>Total expenditure ($m)</w:t>
            </w:r>
          </w:p>
        </w:tc>
        <w:tc>
          <w:tcPr>
            <w:tcW w:w="1342" w:type="dxa"/>
            <w:tcBorders>
              <w:top w:val="nil"/>
              <w:left w:val="nil"/>
              <w:bottom w:val="single" w:sz="4" w:space="0" w:color="ADD6EA"/>
              <w:right w:val="nil"/>
            </w:tcBorders>
            <w:shd w:val="clear" w:color="000000" w:fill="FFFFFF"/>
            <w:noWrap/>
            <w:vAlign w:val="bottom"/>
            <w:hideMark/>
          </w:tcPr>
          <w:p w14:paraId="7B6DC260" w14:textId="77777777" w:rsidR="00B82F72" w:rsidRPr="006A0702" w:rsidRDefault="00B82F72">
            <w:pPr>
              <w:keepNext/>
              <w:keepLines/>
              <w:tabs>
                <w:tab w:val="clear" w:pos="567"/>
              </w:tabs>
              <w:spacing w:before="0" w:line="240" w:lineRule="auto"/>
              <w:jc w:val="right"/>
              <w:rPr>
                <w:rFonts w:eastAsia="Times New Roman" w:cs="Open Sans Light"/>
                <w:sz w:val="16"/>
                <w:szCs w:val="16"/>
                <w:lang w:eastAsia="en-AU"/>
              </w:rPr>
            </w:pPr>
            <w:r w:rsidRPr="006A0702">
              <w:rPr>
                <w:rFonts w:eastAsia="Times New Roman" w:cs="Open Sans Light"/>
                <w:sz w:val="16"/>
                <w:szCs w:val="16"/>
                <w:lang w:eastAsia="en-AU"/>
              </w:rPr>
              <w:t>22,219</w:t>
            </w:r>
          </w:p>
        </w:tc>
        <w:tc>
          <w:tcPr>
            <w:tcW w:w="1546" w:type="dxa"/>
            <w:tcBorders>
              <w:top w:val="nil"/>
              <w:left w:val="nil"/>
              <w:bottom w:val="single" w:sz="4" w:space="0" w:color="ADD6EA"/>
              <w:right w:val="nil"/>
            </w:tcBorders>
            <w:shd w:val="clear" w:color="000000" w:fill="FFFFFF"/>
            <w:noWrap/>
            <w:vAlign w:val="bottom"/>
            <w:hideMark/>
          </w:tcPr>
          <w:p w14:paraId="3CC6CF5E" w14:textId="77777777" w:rsidR="00B82F72" w:rsidRPr="006A0702" w:rsidRDefault="00B82F72">
            <w:pPr>
              <w:keepNext/>
              <w:keepLines/>
              <w:tabs>
                <w:tab w:val="clear" w:pos="567"/>
              </w:tabs>
              <w:spacing w:before="0" w:line="240" w:lineRule="auto"/>
              <w:jc w:val="right"/>
              <w:rPr>
                <w:rFonts w:eastAsia="Times New Roman" w:cs="Open Sans Light"/>
                <w:sz w:val="16"/>
                <w:szCs w:val="16"/>
                <w:lang w:eastAsia="en-AU"/>
              </w:rPr>
            </w:pPr>
            <w:r w:rsidRPr="006A0702">
              <w:rPr>
                <w:rFonts w:eastAsia="Times New Roman" w:cs="Open Sans Light"/>
                <w:sz w:val="16"/>
                <w:szCs w:val="16"/>
                <w:lang w:eastAsia="en-AU"/>
              </w:rPr>
              <w:t>24,627</w:t>
            </w:r>
          </w:p>
        </w:tc>
        <w:tc>
          <w:tcPr>
            <w:tcW w:w="1546" w:type="dxa"/>
            <w:tcBorders>
              <w:top w:val="nil"/>
              <w:left w:val="nil"/>
              <w:bottom w:val="single" w:sz="4" w:space="0" w:color="ADD6EA"/>
              <w:right w:val="nil"/>
            </w:tcBorders>
            <w:shd w:val="clear" w:color="000000" w:fill="FFFFFF"/>
            <w:noWrap/>
            <w:vAlign w:val="bottom"/>
            <w:hideMark/>
          </w:tcPr>
          <w:p w14:paraId="320E119B" w14:textId="77777777" w:rsidR="00B82F72" w:rsidRPr="006A0702" w:rsidRDefault="00B82F72">
            <w:pPr>
              <w:keepNext/>
              <w:keepLines/>
              <w:tabs>
                <w:tab w:val="clear" w:pos="567"/>
              </w:tabs>
              <w:spacing w:before="0" w:line="240" w:lineRule="auto"/>
              <w:jc w:val="right"/>
              <w:rPr>
                <w:rFonts w:eastAsia="Times New Roman" w:cs="Open Sans Light"/>
                <w:sz w:val="16"/>
                <w:szCs w:val="16"/>
                <w:lang w:eastAsia="en-AU"/>
              </w:rPr>
            </w:pPr>
            <w:r w:rsidRPr="006A0702">
              <w:rPr>
                <w:rFonts w:eastAsia="Times New Roman" w:cs="Open Sans Light"/>
                <w:sz w:val="16"/>
                <w:szCs w:val="16"/>
                <w:lang w:eastAsia="en-AU"/>
              </w:rPr>
              <w:t>27,950</w:t>
            </w:r>
          </w:p>
        </w:tc>
        <w:tc>
          <w:tcPr>
            <w:tcW w:w="1546" w:type="dxa"/>
            <w:tcBorders>
              <w:top w:val="nil"/>
              <w:left w:val="nil"/>
              <w:bottom w:val="single" w:sz="4" w:space="0" w:color="ADD6EA"/>
              <w:right w:val="nil"/>
            </w:tcBorders>
            <w:shd w:val="clear" w:color="000000" w:fill="FFFFFF"/>
            <w:noWrap/>
            <w:vAlign w:val="bottom"/>
            <w:hideMark/>
          </w:tcPr>
          <w:p w14:paraId="60C63395" w14:textId="77777777" w:rsidR="00B82F72" w:rsidRPr="006A0702" w:rsidRDefault="00B82F72">
            <w:pPr>
              <w:keepNext/>
              <w:keepLines/>
              <w:tabs>
                <w:tab w:val="clear" w:pos="567"/>
              </w:tabs>
              <w:spacing w:before="0" w:line="240" w:lineRule="auto"/>
              <w:jc w:val="right"/>
              <w:rPr>
                <w:rFonts w:eastAsia="Times New Roman" w:cs="Open Sans Light"/>
                <w:sz w:val="16"/>
                <w:szCs w:val="16"/>
                <w:lang w:eastAsia="en-AU"/>
              </w:rPr>
            </w:pPr>
            <w:r w:rsidRPr="006A0702">
              <w:rPr>
                <w:rFonts w:eastAsia="Times New Roman" w:cs="Open Sans Light"/>
                <w:sz w:val="16"/>
                <w:szCs w:val="16"/>
                <w:lang w:eastAsia="en-AU"/>
              </w:rPr>
              <w:t>35,590</w:t>
            </w:r>
          </w:p>
        </w:tc>
      </w:tr>
      <w:tr w:rsidR="00B82F72" w:rsidRPr="006A0702" w14:paraId="07E3AD1E" w14:textId="77777777">
        <w:trPr>
          <w:trHeight w:val="315"/>
        </w:trPr>
        <w:tc>
          <w:tcPr>
            <w:tcW w:w="2962" w:type="dxa"/>
            <w:tcBorders>
              <w:top w:val="nil"/>
              <w:left w:val="nil"/>
              <w:bottom w:val="single" w:sz="4" w:space="0" w:color="ADD6EA"/>
              <w:right w:val="nil"/>
            </w:tcBorders>
            <w:shd w:val="clear" w:color="000000" w:fill="FFFFFF"/>
            <w:vAlign w:val="bottom"/>
            <w:hideMark/>
          </w:tcPr>
          <w:p w14:paraId="067FBDCF" w14:textId="77777777" w:rsidR="00B82F72" w:rsidRPr="006A0702" w:rsidRDefault="00B82F72">
            <w:pPr>
              <w:keepNext/>
              <w:keepLines/>
              <w:tabs>
                <w:tab w:val="clear" w:pos="567"/>
              </w:tabs>
              <w:spacing w:before="0" w:line="240" w:lineRule="auto"/>
              <w:rPr>
                <w:rFonts w:eastAsia="Times New Roman" w:cs="Open Sans Light"/>
                <w:sz w:val="16"/>
                <w:szCs w:val="16"/>
                <w:lang w:eastAsia="en-AU"/>
              </w:rPr>
            </w:pPr>
            <w:r w:rsidRPr="006A0702">
              <w:rPr>
                <w:rFonts w:eastAsia="Times New Roman" w:cs="Open Sans Light"/>
                <w:sz w:val="16"/>
                <w:szCs w:val="16"/>
                <w:lang w:eastAsia="en-AU"/>
              </w:rPr>
              <w:t>Proportion of total expenditure (%)</w:t>
            </w:r>
          </w:p>
        </w:tc>
        <w:tc>
          <w:tcPr>
            <w:tcW w:w="1342" w:type="dxa"/>
            <w:tcBorders>
              <w:top w:val="single" w:sz="4" w:space="0" w:color="ADD6EA"/>
              <w:left w:val="nil"/>
              <w:bottom w:val="single" w:sz="4" w:space="0" w:color="ADD6EA"/>
              <w:right w:val="nil"/>
            </w:tcBorders>
            <w:shd w:val="clear" w:color="auto" w:fill="auto"/>
            <w:noWrap/>
            <w:vAlign w:val="bottom"/>
            <w:hideMark/>
          </w:tcPr>
          <w:p w14:paraId="6DA17262" w14:textId="3F3B1610" w:rsidR="00B82F72" w:rsidRPr="006A0702" w:rsidRDefault="00FB7BCE">
            <w:pPr>
              <w:keepNext/>
              <w:keepLines/>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9.3</w:t>
            </w:r>
          </w:p>
        </w:tc>
        <w:tc>
          <w:tcPr>
            <w:tcW w:w="1546" w:type="dxa"/>
            <w:tcBorders>
              <w:top w:val="single" w:sz="4" w:space="0" w:color="ADD6EA"/>
              <w:left w:val="nil"/>
              <w:bottom w:val="single" w:sz="4" w:space="0" w:color="ADD6EA"/>
              <w:right w:val="nil"/>
            </w:tcBorders>
            <w:shd w:val="clear" w:color="auto" w:fill="auto"/>
            <w:noWrap/>
            <w:vAlign w:val="bottom"/>
            <w:hideMark/>
          </w:tcPr>
          <w:p w14:paraId="65ADFEAE" w14:textId="5F3F1D46" w:rsidR="00B82F72" w:rsidRPr="006A0702" w:rsidRDefault="00FB7BCE">
            <w:pPr>
              <w:keepNext/>
              <w:keepLines/>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10.</w:t>
            </w:r>
            <w:r w:rsidR="00B82F72">
              <w:rPr>
                <w:rFonts w:cs="Open Sans Light"/>
                <w:color w:val="000000"/>
                <w:sz w:val="16"/>
                <w:szCs w:val="16"/>
              </w:rPr>
              <w:t>8</w:t>
            </w:r>
          </w:p>
        </w:tc>
        <w:tc>
          <w:tcPr>
            <w:tcW w:w="1546" w:type="dxa"/>
            <w:tcBorders>
              <w:top w:val="single" w:sz="4" w:space="0" w:color="ADD6EA"/>
              <w:left w:val="nil"/>
              <w:bottom w:val="single" w:sz="4" w:space="0" w:color="ADD6EA"/>
              <w:right w:val="nil"/>
            </w:tcBorders>
            <w:shd w:val="clear" w:color="auto" w:fill="auto"/>
            <w:noWrap/>
            <w:vAlign w:val="bottom"/>
            <w:hideMark/>
          </w:tcPr>
          <w:p w14:paraId="5F103466" w14:textId="6E8C3C10" w:rsidR="00B82F72" w:rsidRPr="006A0702" w:rsidRDefault="00FB7BCE">
            <w:pPr>
              <w:keepNext/>
              <w:keepLines/>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11.1</w:t>
            </w:r>
          </w:p>
        </w:tc>
        <w:tc>
          <w:tcPr>
            <w:tcW w:w="1546" w:type="dxa"/>
            <w:tcBorders>
              <w:top w:val="single" w:sz="4" w:space="0" w:color="ADD6EA"/>
              <w:left w:val="nil"/>
              <w:bottom w:val="single" w:sz="4" w:space="0" w:color="ADD6EA"/>
              <w:right w:val="nil"/>
            </w:tcBorders>
            <w:shd w:val="clear" w:color="auto" w:fill="auto"/>
            <w:noWrap/>
            <w:vAlign w:val="bottom"/>
            <w:hideMark/>
          </w:tcPr>
          <w:p w14:paraId="0BB70912" w14:textId="4E1738E5" w:rsidR="00B82F72" w:rsidRPr="006A0702" w:rsidRDefault="00FB7BCE">
            <w:pPr>
              <w:keepNext/>
              <w:keepLines/>
              <w:tabs>
                <w:tab w:val="clear" w:pos="567"/>
              </w:tabs>
              <w:spacing w:before="0" w:line="240" w:lineRule="auto"/>
              <w:jc w:val="right"/>
              <w:rPr>
                <w:rFonts w:eastAsia="Times New Roman" w:cs="Open Sans Light"/>
                <w:sz w:val="16"/>
                <w:szCs w:val="16"/>
                <w:lang w:eastAsia="en-AU"/>
              </w:rPr>
            </w:pPr>
            <w:r>
              <w:rPr>
                <w:rFonts w:cs="Open Sans Light"/>
                <w:color w:val="000000"/>
                <w:sz w:val="16"/>
                <w:szCs w:val="16"/>
              </w:rPr>
              <w:t>12.4</w:t>
            </w:r>
          </w:p>
        </w:tc>
      </w:tr>
    </w:tbl>
    <w:p w14:paraId="194DDCD7" w14:textId="45EA3E9E" w:rsidR="00B82F72" w:rsidRPr="00DE3E76" w:rsidRDefault="003138FE" w:rsidP="00CC7365">
      <w:pPr>
        <w:pStyle w:val="CGCTablenote"/>
        <w:rPr>
          <w:rFonts w:ascii="Work Sans" w:hAnsi="Work Sans"/>
        </w:rPr>
      </w:pPr>
      <w:r w:rsidRPr="00DE3E76">
        <w:rPr>
          <w:rFonts w:ascii="Work Sans" w:hAnsi="Work Sans"/>
        </w:rPr>
        <w:t xml:space="preserve">Source: </w:t>
      </w:r>
      <w:r w:rsidR="00C24152" w:rsidRPr="00DE3E76">
        <w:rPr>
          <w:rFonts w:ascii="Work Sans" w:hAnsi="Work Sans"/>
        </w:rPr>
        <w:t xml:space="preserve">Commission </w:t>
      </w:r>
      <w:r w:rsidRPr="00DE3E76">
        <w:rPr>
          <w:rFonts w:ascii="Work Sans" w:hAnsi="Work Sans"/>
        </w:rPr>
        <w:t>calculation, 2023 Update.</w:t>
      </w:r>
    </w:p>
    <w:p w14:paraId="62F6E2EE" w14:textId="3FCD1B71" w:rsidR="000323AF" w:rsidRDefault="00E07E86" w:rsidP="00CF68FE">
      <w:pPr>
        <w:pStyle w:val="CGC2025ParaNumbers"/>
      </w:pPr>
      <w:r>
        <w:fldChar w:fldCharType="begin"/>
      </w:r>
      <w:r>
        <w:instrText xml:space="preserve"> REF _Ref138763252 \h </w:instrText>
      </w:r>
      <w:r>
        <w:fldChar w:fldCharType="separate"/>
      </w:r>
      <w:r w:rsidR="00282693" w:rsidRPr="00B56A25">
        <w:t xml:space="preserve">Table </w:t>
      </w:r>
      <w:r w:rsidR="00282693">
        <w:rPr>
          <w:noProof/>
        </w:rPr>
        <w:t>3</w:t>
      </w:r>
      <w:r>
        <w:fldChar w:fldCharType="end"/>
      </w:r>
      <w:r w:rsidR="00B56A25">
        <w:t xml:space="preserve"> </w:t>
      </w:r>
      <w:r w:rsidR="00BD7064" w:rsidRPr="00BD7064">
        <w:t>shows the size and drivers of each component within the recurrent transport assessment.</w:t>
      </w:r>
    </w:p>
    <w:p w14:paraId="2DD5B55D" w14:textId="6907BE29" w:rsidR="00E52DF1" w:rsidRPr="00E127CC" w:rsidRDefault="00B56A25" w:rsidP="00E96A7D">
      <w:pPr>
        <w:pStyle w:val="CGC2025Caption"/>
        <w:tabs>
          <w:tab w:val="left" w:pos="1134"/>
        </w:tabs>
      </w:pPr>
      <w:bookmarkStart w:id="20" w:name="_Ref132915323"/>
      <w:bookmarkStart w:id="21" w:name="_Ref138763252"/>
      <w:bookmarkStart w:id="22" w:name="_Hlk132906136"/>
      <w:r w:rsidRPr="00B56A25">
        <w:t xml:space="preserve">Table </w:t>
      </w:r>
      <w:r>
        <w:fldChar w:fldCharType="begin"/>
      </w:r>
      <w:r>
        <w:instrText>SEQ Table \* ARABIC</w:instrText>
      </w:r>
      <w:r>
        <w:fldChar w:fldCharType="separate"/>
      </w:r>
      <w:r w:rsidR="00282693">
        <w:rPr>
          <w:noProof/>
        </w:rPr>
        <w:t>3</w:t>
      </w:r>
      <w:r>
        <w:fldChar w:fldCharType="end"/>
      </w:r>
      <w:bookmarkEnd w:id="20"/>
      <w:bookmarkEnd w:id="21"/>
      <w:r w:rsidRPr="00B56A25">
        <w:tab/>
      </w:r>
      <w:r w:rsidR="00EE5A91" w:rsidRPr="00B56A25">
        <w:t xml:space="preserve">Category structure, </w:t>
      </w:r>
      <w:r w:rsidR="00295B16">
        <w:t>t</w:t>
      </w:r>
      <w:r w:rsidR="00EE5A91" w:rsidRPr="00B56A25">
        <w:t>ransport</w:t>
      </w:r>
      <w:r w:rsidR="00162C75" w:rsidRPr="00282693">
        <w:rPr>
          <w:vertAlign w:val="superscript"/>
        </w:rPr>
        <w:t>(a)</w:t>
      </w:r>
      <w:r w:rsidR="00EE5A91" w:rsidRPr="00B56A25">
        <w:t>, 2021</w:t>
      </w:r>
      <w:r w:rsidR="00E55361">
        <w:t>–</w:t>
      </w:r>
      <w:r w:rsidR="00EE5A91" w:rsidRPr="00B56A25">
        <w:t>22</w:t>
      </w:r>
    </w:p>
    <w:tbl>
      <w:tblPr>
        <w:tblW w:w="8940" w:type="dxa"/>
        <w:tblLook w:val="04A0" w:firstRow="1" w:lastRow="0" w:firstColumn="1" w:lastColumn="0" w:noHBand="0" w:noVBand="1"/>
      </w:tblPr>
      <w:tblGrid>
        <w:gridCol w:w="1701"/>
        <w:gridCol w:w="1265"/>
        <w:gridCol w:w="460"/>
        <w:gridCol w:w="1760"/>
        <w:gridCol w:w="3754"/>
      </w:tblGrid>
      <w:tr w:rsidR="006C3E57" w:rsidRPr="00BD45FC" w14:paraId="5D022D24" w14:textId="77777777">
        <w:trPr>
          <w:trHeight w:val="555"/>
        </w:trPr>
        <w:tc>
          <w:tcPr>
            <w:tcW w:w="1701" w:type="dxa"/>
            <w:tcBorders>
              <w:top w:val="single" w:sz="4" w:space="0" w:color="ADD6EA"/>
              <w:left w:val="nil"/>
              <w:bottom w:val="single" w:sz="4" w:space="0" w:color="ADD6EA"/>
              <w:right w:val="nil"/>
            </w:tcBorders>
            <w:shd w:val="clear" w:color="auto" w:fill="006991"/>
            <w:vAlign w:val="center"/>
            <w:hideMark/>
          </w:tcPr>
          <w:p w14:paraId="784775C6" w14:textId="77777777" w:rsidR="006C3E57" w:rsidRPr="00E979B8" w:rsidRDefault="006C3E57">
            <w:pPr>
              <w:keepNext/>
              <w:keepLines/>
              <w:widowControl w:val="0"/>
              <w:tabs>
                <w:tab w:val="clear" w:pos="567"/>
              </w:tabs>
              <w:spacing w:before="0" w:line="240" w:lineRule="auto"/>
              <w:rPr>
                <w:rFonts w:ascii="Open Sans Semibold" w:eastAsia="Times New Roman" w:hAnsi="Open Sans Semibold" w:cs="Open Sans Semibold"/>
                <w:b/>
                <w:color w:val="FFFFFF"/>
                <w:sz w:val="16"/>
                <w:szCs w:val="16"/>
                <w:lang w:eastAsia="en-AU"/>
              </w:rPr>
            </w:pPr>
            <w:bookmarkStart w:id="23" w:name="RANGE!A4:E10"/>
            <w:r w:rsidRPr="00E979B8">
              <w:rPr>
                <w:rFonts w:ascii="Open Sans Semibold" w:eastAsia="Times New Roman" w:hAnsi="Open Sans Semibold" w:cs="Open Sans Semibold"/>
                <w:b/>
                <w:color w:val="FFFFFF"/>
                <w:sz w:val="16"/>
                <w:szCs w:val="16"/>
                <w:lang w:eastAsia="en-AU"/>
              </w:rPr>
              <w:t>Component</w:t>
            </w:r>
            <w:bookmarkEnd w:id="23"/>
          </w:p>
        </w:tc>
        <w:tc>
          <w:tcPr>
            <w:tcW w:w="1265" w:type="dxa"/>
            <w:tcBorders>
              <w:top w:val="single" w:sz="4" w:space="0" w:color="ADD6EA"/>
              <w:left w:val="nil"/>
              <w:bottom w:val="single" w:sz="4" w:space="0" w:color="ADD6EA"/>
              <w:right w:val="nil"/>
            </w:tcBorders>
            <w:shd w:val="clear" w:color="auto" w:fill="006991"/>
            <w:vAlign w:val="center"/>
            <w:hideMark/>
          </w:tcPr>
          <w:p w14:paraId="687E20D7" w14:textId="77777777" w:rsidR="006C3E57" w:rsidRPr="00E979B8" w:rsidRDefault="006C3E57">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E979B8">
              <w:rPr>
                <w:rFonts w:ascii="Open Sans Semibold" w:eastAsia="Times New Roman" w:hAnsi="Open Sans Semibold" w:cs="Open Sans Semibold"/>
                <w:b/>
                <w:color w:val="FFFFFF"/>
                <w:sz w:val="16"/>
                <w:szCs w:val="16"/>
                <w:lang w:eastAsia="en-AU"/>
              </w:rPr>
              <w:t>Component expense (a)</w:t>
            </w:r>
          </w:p>
        </w:tc>
        <w:tc>
          <w:tcPr>
            <w:tcW w:w="460" w:type="dxa"/>
            <w:tcBorders>
              <w:top w:val="single" w:sz="4" w:space="0" w:color="ADD6EA"/>
              <w:left w:val="nil"/>
              <w:bottom w:val="single" w:sz="4" w:space="0" w:color="ADD6EA"/>
              <w:right w:val="nil"/>
            </w:tcBorders>
            <w:shd w:val="clear" w:color="auto" w:fill="006991"/>
            <w:vAlign w:val="center"/>
            <w:hideMark/>
          </w:tcPr>
          <w:p w14:paraId="49BED84F" w14:textId="77777777" w:rsidR="006C3E57" w:rsidRPr="00E979B8" w:rsidRDefault="006C3E57">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E979B8">
              <w:rPr>
                <w:rFonts w:ascii="Open Sans Semibold" w:eastAsia="Times New Roman" w:hAnsi="Open Sans Semibold" w:cs="Open Sans Semibold"/>
                <w:b/>
                <w:color w:val="FFFFFF"/>
                <w:sz w:val="16"/>
                <w:szCs w:val="16"/>
                <w:lang w:eastAsia="en-AU"/>
              </w:rPr>
              <w:t> </w:t>
            </w:r>
          </w:p>
        </w:tc>
        <w:tc>
          <w:tcPr>
            <w:tcW w:w="1760" w:type="dxa"/>
            <w:tcBorders>
              <w:top w:val="single" w:sz="4" w:space="0" w:color="ADD6EA"/>
              <w:left w:val="nil"/>
              <w:bottom w:val="single" w:sz="4" w:space="0" w:color="ADD6EA"/>
              <w:right w:val="nil"/>
            </w:tcBorders>
            <w:shd w:val="clear" w:color="auto" w:fill="006991"/>
            <w:vAlign w:val="center"/>
            <w:hideMark/>
          </w:tcPr>
          <w:p w14:paraId="397D205F" w14:textId="77777777" w:rsidR="006C3E57" w:rsidRPr="00E979B8" w:rsidRDefault="006C3E57">
            <w:pPr>
              <w:keepNext/>
              <w:keepLines/>
              <w:widowControl w:val="0"/>
              <w:tabs>
                <w:tab w:val="clear" w:pos="567"/>
              </w:tabs>
              <w:spacing w:before="0" w:line="240" w:lineRule="auto"/>
              <w:rPr>
                <w:rFonts w:ascii="Open Sans Semibold" w:eastAsia="Times New Roman" w:hAnsi="Open Sans Semibold" w:cs="Open Sans Semibold"/>
                <w:b/>
                <w:color w:val="FFFFFF"/>
                <w:sz w:val="16"/>
                <w:szCs w:val="16"/>
                <w:lang w:eastAsia="en-AU"/>
              </w:rPr>
            </w:pPr>
            <w:r w:rsidRPr="00E979B8">
              <w:rPr>
                <w:rFonts w:ascii="Open Sans Semibold" w:eastAsia="Times New Roman" w:hAnsi="Open Sans Semibold" w:cs="Open Sans Semibold"/>
                <w:b/>
                <w:color w:val="FFFFFF"/>
                <w:sz w:val="16"/>
                <w:szCs w:val="16"/>
                <w:lang w:eastAsia="en-AU"/>
              </w:rPr>
              <w:t>Driver</w:t>
            </w:r>
          </w:p>
        </w:tc>
        <w:tc>
          <w:tcPr>
            <w:tcW w:w="3754" w:type="dxa"/>
            <w:tcBorders>
              <w:top w:val="single" w:sz="4" w:space="0" w:color="ADD6EA"/>
              <w:left w:val="nil"/>
              <w:bottom w:val="single" w:sz="4" w:space="0" w:color="ADD6EA"/>
              <w:right w:val="nil"/>
            </w:tcBorders>
            <w:shd w:val="clear" w:color="auto" w:fill="006991"/>
            <w:vAlign w:val="center"/>
            <w:hideMark/>
          </w:tcPr>
          <w:p w14:paraId="104FB5E8" w14:textId="25E4E984" w:rsidR="006C3E57" w:rsidRPr="00E979B8" w:rsidRDefault="006C3E57">
            <w:pPr>
              <w:keepNext/>
              <w:keepLines/>
              <w:widowControl w:val="0"/>
              <w:tabs>
                <w:tab w:val="clear" w:pos="567"/>
              </w:tabs>
              <w:spacing w:before="0" w:line="240" w:lineRule="auto"/>
              <w:rPr>
                <w:rFonts w:ascii="Open Sans Semibold" w:eastAsia="Times New Roman" w:hAnsi="Open Sans Semibold" w:cs="Open Sans Semibold"/>
                <w:b/>
                <w:color w:val="FFFFFF"/>
                <w:sz w:val="16"/>
                <w:szCs w:val="16"/>
                <w:lang w:eastAsia="en-AU"/>
              </w:rPr>
            </w:pPr>
            <w:r w:rsidRPr="00E979B8">
              <w:rPr>
                <w:rFonts w:ascii="Open Sans Semibold" w:eastAsia="Times New Roman" w:hAnsi="Open Sans Semibold" w:cs="Open Sans Semibold"/>
                <w:b/>
                <w:color w:val="FFFFFF"/>
                <w:sz w:val="16"/>
                <w:szCs w:val="16"/>
                <w:lang w:eastAsia="en-AU"/>
              </w:rPr>
              <w:t>Influence measured by driver</w:t>
            </w:r>
          </w:p>
        </w:tc>
      </w:tr>
      <w:tr w:rsidR="006C3E57" w:rsidRPr="00BD45FC" w14:paraId="1E61DB41" w14:textId="77777777">
        <w:trPr>
          <w:trHeight w:val="259"/>
        </w:trPr>
        <w:tc>
          <w:tcPr>
            <w:tcW w:w="1701" w:type="dxa"/>
            <w:tcBorders>
              <w:top w:val="nil"/>
              <w:left w:val="nil"/>
              <w:bottom w:val="nil"/>
              <w:right w:val="nil"/>
            </w:tcBorders>
            <w:shd w:val="clear" w:color="auto" w:fill="B6D5E4"/>
            <w:vAlign w:val="bottom"/>
            <w:hideMark/>
          </w:tcPr>
          <w:p w14:paraId="378AB032" w14:textId="77777777" w:rsidR="006C3E57" w:rsidRPr="00BD45FC" w:rsidRDefault="006C3E57">
            <w:pPr>
              <w:keepNext/>
              <w:keepLines/>
              <w:widowControl w:val="0"/>
              <w:tabs>
                <w:tab w:val="clear" w:pos="567"/>
              </w:tabs>
              <w:spacing w:before="0" w:line="240" w:lineRule="auto"/>
              <w:jc w:val="right"/>
              <w:rPr>
                <w:rFonts w:ascii="Work Sans" w:eastAsia="Times New Roman" w:hAnsi="Work Sans" w:cs="Open Sans Light"/>
                <w:b/>
                <w:bCs/>
                <w:sz w:val="16"/>
                <w:szCs w:val="16"/>
                <w:lang w:eastAsia="en-AU"/>
              </w:rPr>
            </w:pPr>
            <w:bookmarkStart w:id="24" w:name="_Hlk130309923"/>
            <w:r w:rsidRPr="00BD45FC">
              <w:rPr>
                <w:rFonts w:ascii="Work Sans" w:eastAsia="Times New Roman" w:hAnsi="Work Sans" w:cs="Open Sans Light"/>
                <w:b/>
                <w:bCs/>
                <w:sz w:val="16"/>
                <w:szCs w:val="16"/>
                <w:lang w:eastAsia="en-AU"/>
              </w:rPr>
              <w:t> </w:t>
            </w:r>
          </w:p>
        </w:tc>
        <w:tc>
          <w:tcPr>
            <w:tcW w:w="1265" w:type="dxa"/>
            <w:tcBorders>
              <w:top w:val="nil"/>
              <w:left w:val="nil"/>
              <w:bottom w:val="nil"/>
              <w:right w:val="nil"/>
            </w:tcBorders>
            <w:shd w:val="clear" w:color="auto" w:fill="B6D5E4"/>
            <w:vAlign w:val="bottom"/>
            <w:hideMark/>
          </w:tcPr>
          <w:p w14:paraId="5E963A24" w14:textId="77777777" w:rsidR="006C3E57" w:rsidRPr="00E979B8" w:rsidRDefault="006C3E57">
            <w:pPr>
              <w:keepNext/>
              <w:keepLines/>
              <w:widowControl w:val="0"/>
              <w:tabs>
                <w:tab w:val="clear" w:pos="567"/>
              </w:tabs>
              <w:spacing w:before="0" w:line="240" w:lineRule="auto"/>
              <w:jc w:val="right"/>
              <w:rPr>
                <w:rFonts w:ascii="Open Sans Semibold" w:eastAsia="Times New Roman" w:hAnsi="Open Sans Semibold" w:cs="Open Sans Semibold"/>
                <w:sz w:val="16"/>
                <w:szCs w:val="16"/>
                <w:lang w:eastAsia="en-AU"/>
              </w:rPr>
            </w:pPr>
            <w:r w:rsidRPr="00E979B8">
              <w:rPr>
                <w:rFonts w:ascii="Open Sans Semibold" w:eastAsia="Times New Roman" w:hAnsi="Open Sans Semibold" w:cs="Open Sans Semibold"/>
                <w:sz w:val="16"/>
                <w:szCs w:val="16"/>
                <w:lang w:eastAsia="en-AU"/>
              </w:rPr>
              <w:t>$m</w:t>
            </w:r>
          </w:p>
        </w:tc>
        <w:tc>
          <w:tcPr>
            <w:tcW w:w="460" w:type="dxa"/>
            <w:tcBorders>
              <w:top w:val="nil"/>
              <w:left w:val="nil"/>
              <w:bottom w:val="nil"/>
              <w:right w:val="nil"/>
            </w:tcBorders>
            <w:shd w:val="clear" w:color="auto" w:fill="B6D5E4"/>
            <w:vAlign w:val="bottom"/>
            <w:hideMark/>
          </w:tcPr>
          <w:p w14:paraId="444157F6" w14:textId="77777777" w:rsidR="006C3E57" w:rsidRPr="00BD45FC" w:rsidRDefault="006C3E57">
            <w:pPr>
              <w:keepNext/>
              <w:keepLines/>
              <w:widowControl w:val="0"/>
              <w:tabs>
                <w:tab w:val="clear" w:pos="567"/>
              </w:tabs>
              <w:spacing w:before="0" w:line="240" w:lineRule="auto"/>
              <w:jc w:val="right"/>
              <w:rPr>
                <w:rFonts w:ascii="Work Sans" w:eastAsia="Times New Roman" w:hAnsi="Work Sans" w:cs="Open Sans Semibold"/>
                <w:b/>
                <w:bCs/>
                <w:sz w:val="16"/>
                <w:szCs w:val="16"/>
                <w:lang w:eastAsia="en-AU"/>
              </w:rPr>
            </w:pPr>
            <w:r w:rsidRPr="00BD45FC">
              <w:rPr>
                <w:rFonts w:ascii="Work Sans" w:eastAsia="Times New Roman" w:hAnsi="Work Sans" w:cs="Open Sans Semibold"/>
                <w:b/>
                <w:bCs/>
                <w:sz w:val="16"/>
                <w:szCs w:val="16"/>
                <w:lang w:eastAsia="en-AU"/>
              </w:rPr>
              <w:t> </w:t>
            </w:r>
          </w:p>
        </w:tc>
        <w:tc>
          <w:tcPr>
            <w:tcW w:w="1760" w:type="dxa"/>
            <w:tcBorders>
              <w:top w:val="nil"/>
              <w:left w:val="nil"/>
              <w:bottom w:val="nil"/>
              <w:right w:val="nil"/>
            </w:tcBorders>
            <w:shd w:val="clear" w:color="auto" w:fill="B6D5E4"/>
            <w:vAlign w:val="bottom"/>
            <w:hideMark/>
          </w:tcPr>
          <w:p w14:paraId="19D84CE4" w14:textId="77777777" w:rsidR="006C3E57" w:rsidRPr="00BD45FC" w:rsidRDefault="006C3E57">
            <w:pPr>
              <w:keepNext/>
              <w:keepLines/>
              <w:widowControl w:val="0"/>
              <w:tabs>
                <w:tab w:val="clear" w:pos="567"/>
              </w:tabs>
              <w:spacing w:before="0" w:line="240" w:lineRule="auto"/>
              <w:jc w:val="right"/>
              <w:rPr>
                <w:rFonts w:ascii="Work Sans" w:eastAsia="Times New Roman" w:hAnsi="Work Sans" w:cs="Open Sans Light"/>
                <w:b/>
                <w:bCs/>
                <w:sz w:val="16"/>
                <w:szCs w:val="16"/>
                <w:lang w:eastAsia="en-AU"/>
              </w:rPr>
            </w:pPr>
            <w:r w:rsidRPr="00BD45FC">
              <w:rPr>
                <w:rFonts w:ascii="Work Sans" w:eastAsia="Times New Roman" w:hAnsi="Work Sans" w:cs="Open Sans Light"/>
                <w:b/>
                <w:bCs/>
                <w:sz w:val="16"/>
                <w:szCs w:val="16"/>
                <w:lang w:eastAsia="en-AU"/>
              </w:rPr>
              <w:t> </w:t>
            </w:r>
          </w:p>
        </w:tc>
        <w:tc>
          <w:tcPr>
            <w:tcW w:w="3754" w:type="dxa"/>
            <w:tcBorders>
              <w:top w:val="nil"/>
              <w:left w:val="nil"/>
              <w:bottom w:val="nil"/>
              <w:right w:val="nil"/>
            </w:tcBorders>
            <w:shd w:val="clear" w:color="auto" w:fill="B6D5E4"/>
            <w:vAlign w:val="bottom"/>
            <w:hideMark/>
          </w:tcPr>
          <w:p w14:paraId="1A0A761C" w14:textId="59DF309D" w:rsidR="006C3E57" w:rsidRPr="00BD45FC" w:rsidRDefault="006C3E57">
            <w:pPr>
              <w:keepNext/>
              <w:keepLines/>
              <w:widowControl w:val="0"/>
              <w:tabs>
                <w:tab w:val="clear" w:pos="567"/>
              </w:tabs>
              <w:spacing w:before="0" w:line="240" w:lineRule="auto"/>
              <w:jc w:val="right"/>
              <w:rPr>
                <w:rFonts w:ascii="Work Sans" w:eastAsia="Times New Roman" w:hAnsi="Work Sans" w:cs="Open Sans Light"/>
                <w:b/>
                <w:bCs/>
                <w:sz w:val="16"/>
                <w:szCs w:val="16"/>
                <w:lang w:eastAsia="en-AU"/>
              </w:rPr>
            </w:pPr>
            <w:r w:rsidRPr="00BD45FC">
              <w:rPr>
                <w:rFonts w:ascii="Work Sans" w:eastAsia="Times New Roman" w:hAnsi="Work Sans" w:cs="Open Sans Light"/>
                <w:b/>
                <w:bCs/>
                <w:sz w:val="16"/>
                <w:szCs w:val="16"/>
                <w:lang w:eastAsia="en-AU"/>
              </w:rPr>
              <w:t> </w:t>
            </w:r>
          </w:p>
        </w:tc>
      </w:tr>
      <w:bookmarkEnd w:id="24"/>
      <w:tr w:rsidR="006C3E57" w:rsidRPr="00BD45FC" w14:paraId="721C741C" w14:textId="77777777">
        <w:trPr>
          <w:trHeight w:val="1064"/>
        </w:trPr>
        <w:tc>
          <w:tcPr>
            <w:tcW w:w="1701" w:type="dxa"/>
            <w:tcBorders>
              <w:top w:val="single" w:sz="4" w:space="0" w:color="ADD6EA"/>
              <w:left w:val="nil"/>
              <w:bottom w:val="nil"/>
              <w:right w:val="nil"/>
            </w:tcBorders>
            <w:shd w:val="clear" w:color="auto" w:fill="auto"/>
            <w:hideMark/>
          </w:tcPr>
          <w:p w14:paraId="2B25003E"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Urban transport</w:t>
            </w:r>
          </w:p>
        </w:tc>
        <w:tc>
          <w:tcPr>
            <w:tcW w:w="1265" w:type="dxa"/>
            <w:tcBorders>
              <w:top w:val="single" w:sz="4" w:space="0" w:color="ADD6EA"/>
              <w:left w:val="nil"/>
              <w:bottom w:val="nil"/>
              <w:right w:val="nil"/>
            </w:tcBorders>
            <w:shd w:val="clear" w:color="auto" w:fill="auto"/>
            <w:hideMark/>
          </w:tcPr>
          <w:p w14:paraId="458703C5" w14:textId="77777777" w:rsidR="006C3E57" w:rsidRPr="00E979B8" w:rsidRDefault="006C3E57">
            <w:pPr>
              <w:keepNext/>
              <w:keepLines/>
              <w:widowControl w:val="0"/>
              <w:tabs>
                <w:tab w:val="clear" w:pos="567"/>
              </w:tabs>
              <w:spacing w:before="0" w:line="240" w:lineRule="auto"/>
              <w:jc w:val="right"/>
              <w:rPr>
                <w:rFonts w:eastAsia="Times New Roman" w:cs="Open Sans Light"/>
                <w:sz w:val="16"/>
                <w:szCs w:val="16"/>
                <w:lang w:eastAsia="en-AU"/>
              </w:rPr>
            </w:pPr>
            <w:r w:rsidRPr="00E979B8">
              <w:rPr>
                <w:rFonts w:eastAsia="Times New Roman" w:cs="Open Sans Light"/>
                <w:sz w:val="16"/>
                <w:szCs w:val="16"/>
                <w:lang w:eastAsia="en-AU"/>
              </w:rPr>
              <w:t>15,168</w:t>
            </w:r>
          </w:p>
        </w:tc>
        <w:tc>
          <w:tcPr>
            <w:tcW w:w="460" w:type="dxa"/>
            <w:tcBorders>
              <w:top w:val="single" w:sz="4" w:space="0" w:color="ADD6EA"/>
              <w:left w:val="nil"/>
              <w:bottom w:val="nil"/>
              <w:right w:val="nil"/>
            </w:tcBorders>
            <w:shd w:val="clear" w:color="auto" w:fill="auto"/>
            <w:hideMark/>
          </w:tcPr>
          <w:p w14:paraId="67A86DB6"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 </w:t>
            </w:r>
          </w:p>
        </w:tc>
        <w:tc>
          <w:tcPr>
            <w:tcW w:w="1760" w:type="dxa"/>
            <w:tcBorders>
              <w:top w:val="single" w:sz="4" w:space="0" w:color="ADD6EA"/>
              <w:left w:val="nil"/>
              <w:bottom w:val="single" w:sz="4" w:space="0" w:color="ADD6EA"/>
              <w:right w:val="nil"/>
            </w:tcBorders>
            <w:shd w:val="clear" w:color="auto" w:fill="auto"/>
            <w:hideMark/>
          </w:tcPr>
          <w:p w14:paraId="4385D474"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 xml:space="preserve">Urban centre characteristics </w:t>
            </w:r>
          </w:p>
        </w:tc>
        <w:tc>
          <w:tcPr>
            <w:tcW w:w="3754" w:type="dxa"/>
            <w:tcBorders>
              <w:top w:val="single" w:sz="4" w:space="0" w:color="ADD6EA"/>
              <w:left w:val="nil"/>
              <w:bottom w:val="single" w:sz="4" w:space="0" w:color="ADD6EA"/>
              <w:right w:val="nil"/>
            </w:tcBorders>
            <w:shd w:val="clear" w:color="auto" w:fill="auto"/>
            <w:hideMark/>
          </w:tcPr>
          <w:p w14:paraId="00345138" w14:textId="143EB18F"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Demand for and cost of provi</w:t>
            </w:r>
            <w:r w:rsidR="007E1BD0" w:rsidRPr="00E979B8">
              <w:rPr>
                <w:rFonts w:eastAsia="Times New Roman" w:cs="Open Sans Light"/>
                <w:sz w:val="16"/>
                <w:szCs w:val="16"/>
                <w:lang w:eastAsia="en-AU"/>
              </w:rPr>
              <w:t>di</w:t>
            </w:r>
            <w:r w:rsidRPr="00E979B8">
              <w:rPr>
                <w:rFonts w:eastAsia="Times New Roman" w:cs="Open Sans Light"/>
                <w:sz w:val="16"/>
                <w:szCs w:val="16"/>
                <w:lang w:eastAsia="en-AU"/>
              </w:rPr>
              <w:t>ng urban transport, and city specific characteristics, using population-weighted density, the use and presence of a public transport mode, distance to work and topography (weighted 75%)</w:t>
            </w:r>
          </w:p>
        </w:tc>
      </w:tr>
      <w:tr w:rsidR="006C3E57" w:rsidRPr="00BD45FC" w14:paraId="1DCF9C87" w14:textId="77777777">
        <w:trPr>
          <w:trHeight w:val="466"/>
        </w:trPr>
        <w:tc>
          <w:tcPr>
            <w:tcW w:w="1701" w:type="dxa"/>
            <w:tcBorders>
              <w:top w:val="nil"/>
              <w:left w:val="nil"/>
              <w:bottom w:val="nil"/>
              <w:right w:val="nil"/>
            </w:tcBorders>
            <w:shd w:val="clear" w:color="auto" w:fill="auto"/>
            <w:hideMark/>
          </w:tcPr>
          <w:p w14:paraId="489F3ACD"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p>
        </w:tc>
        <w:tc>
          <w:tcPr>
            <w:tcW w:w="1265" w:type="dxa"/>
            <w:tcBorders>
              <w:top w:val="nil"/>
              <w:left w:val="nil"/>
              <w:bottom w:val="nil"/>
              <w:right w:val="nil"/>
            </w:tcBorders>
            <w:shd w:val="clear" w:color="auto" w:fill="auto"/>
            <w:vAlign w:val="center"/>
            <w:hideMark/>
          </w:tcPr>
          <w:p w14:paraId="1F9FB09A" w14:textId="77777777" w:rsidR="006C3E57" w:rsidRPr="00E979B8" w:rsidRDefault="006C3E57">
            <w:pPr>
              <w:keepNext/>
              <w:keepLines/>
              <w:widowControl w:val="0"/>
              <w:tabs>
                <w:tab w:val="clear" w:pos="567"/>
              </w:tabs>
              <w:spacing w:before="0" w:line="240" w:lineRule="auto"/>
              <w:jc w:val="right"/>
              <w:rPr>
                <w:rFonts w:eastAsia="Times New Roman" w:cs="Open Sans Light"/>
                <w:szCs w:val="20"/>
                <w:lang w:eastAsia="en-AU"/>
              </w:rPr>
            </w:pPr>
          </w:p>
        </w:tc>
        <w:tc>
          <w:tcPr>
            <w:tcW w:w="460" w:type="dxa"/>
            <w:tcBorders>
              <w:top w:val="nil"/>
              <w:left w:val="nil"/>
              <w:bottom w:val="nil"/>
              <w:right w:val="nil"/>
            </w:tcBorders>
            <w:shd w:val="clear" w:color="auto" w:fill="auto"/>
            <w:hideMark/>
          </w:tcPr>
          <w:p w14:paraId="4C46CD86" w14:textId="77777777" w:rsidR="006C3E57" w:rsidRPr="00E979B8" w:rsidRDefault="006C3E57">
            <w:pPr>
              <w:keepNext/>
              <w:keepLines/>
              <w:widowControl w:val="0"/>
              <w:tabs>
                <w:tab w:val="clear" w:pos="567"/>
              </w:tabs>
              <w:spacing w:before="0" w:line="240" w:lineRule="auto"/>
              <w:jc w:val="right"/>
              <w:rPr>
                <w:rFonts w:eastAsia="Times New Roman" w:cs="Open Sans Light"/>
                <w:szCs w:val="20"/>
                <w:lang w:eastAsia="en-AU"/>
              </w:rPr>
            </w:pPr>
          </w:p>
        </w:tc>
        <w:tc>
          <w:tcPr>
            <w:tcW w:w="1760" w:type="dxa"/>
            <w:tcBorders>
              <w:top w:val="nil"/>
              <w:left w:val="nil"/>
              <w:bottom w:val="single" w:sz="4" w:space="0" w:color="ADD6EA"/>
              <w:right w:val="nil"/>
            </w:tcBorders>
            <w:shd w:val="clear" w:color="auto" w:fill="auto"/>
            <w:hideMark/>
          </w:tcPr>
          <w:p w14:paraId="534775C1"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 xml:space="preserve">Urban population </w:t>
            </w:r>
          </w:p>
        </w:tc>
        <w:tc>
          <w:tcPr>
            <w:tcW w:w="3754" w:type="dxa"/>
            <w:tcBorders>
              <w:top w:val="nil"/>
              <w:left w:val="nil"/>
              <w:bottom w:val="single" w:sz="4" w:space="0" w:color="ADD6EA"/>
              <w:right w:val="nil"/>
            </w:tcBorders>
            <w:shd w:val="clear" w:color="auto" w:fill="auto"/>
            <w:hideMark/>
          </w:tcPr>
          <w:p w14:paraId="777D526A" w14:textId="1659BB1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The proportion of the state population living in urban centres (weighted 25%)</w:t>
            </w:r>
          </w:p>
        </w:tc>
      </w:tr>
      <w:tr w:rsidR="006C3E57" w:rsidRPr="00BD45FC" w14:paraId="71275173" w14:textId="77777777">
        <w:trPr>
          <w:trHeight w:val="510"/>
        </w:trPr>
        <w:tc>
          <w:tcPr>
            <w:tcW w:w="1701" w:type="dxa"/>
            <w:tcBorders>
              <w:top w:val="nil"/>
              <w:left w:val="nil"/>
              <w:bottom w:val="nil"/>
              <w:right w:val="nil"/>
            </w:tcBorders>
            <w:shd w:val="clear" w:color="auto" w:fill="auto"/>
            <w:hideMark/>
          </w:tcPr>
          <w:p w14:paraId="40B4AFCC"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p>
        </w:tc>
        <w:tc>
          <w:tcPr>
            <w:tcW w:w="1265" w:type="dxa"/>
            <w:tcBorders>
              <w:top w:val="nil"/>
              <w:left w:val="nil"/>
              <w:bottom w:val="nil"/>
              <w:right w:val="nil"/>
            </w:tcBorders>
            <w:shd w:val="clear" w:color="auto" w:fill="auto"/>
            <w:vAlign w:val="center"/>
            <w:hideMark/>
          </w:tcPr>
          <w:p w14:paraId="6EC90D42" w14:textId="77777777" w:rsidR="006C3E57" w:rsidRPr="00E979B8" w:rsidRDefault="006C3E57">
            <w:pPr>
              <w:keepNext/>
              <w:keepLines/>
              <w:widowControl w:val="0"/>
              <w:tabs>
                <w:tab w:val="clear" w:pos="567"/>
              </w:tabs>
              <w:spacing w:before="0" w:line="240" w:lineRule="auto"/>
              <w:jc w:val="right"/>
              <w:rPr>
                <w:rFonts w:eastAsia="Times New Roman" w:cs="Open Sans Light"/>
                <w:szCs w:val="20"/>
                <w:lang w:eastAsia="en-AU"/>
              </w:rPr>
            </w:pPr>
          </w:p>
        </w:tc>
        <w:tc>
          <w:tcPr>
            <w:tcW w:w="460" w:type="dxa"/>
            <w:tcBorders>
              <w:top w:val="nil"/>
              <w:left w:val="nil"/>
              <w:bottom w:val="nil"/>
              <w:right w:val="nil"/>
            </w:tcBorders>
            <w:shd w:val="clear" w:color="auto" w:fill="auto"/>
            <w:hideMark/>
          </w:tcPr>
          <w:p w14:paraId="320E8940" w14:textId="77777777" w:rsidR="006C3E57" w:rsidRPr="00E979B8" w:rsidRDefault="006C3E57">
            <w:pPr>
              <w:keepNext/>
              <w:keepLines/>
              <w:widowControl w:val="0"/>
              <w:tabs>
                <w:tab w:val="clear" w:pos="567"/>
              </w:tabs>
              <w:spacing w:before="0" w:line="240" w:lineRule="auto"/>
              <w:jc w:val="right"/>
              <w:rPr>
                <w:rFonts w:eastAsia="Times New Roman" w:cs="Open Sans Light"/>
                <w:szCs w:val="20"/>
                <w:lang w:eastAsia="en-AU"/>
              </w:rPr>
            </w:pPr>
          </w:p>
        </w:tc>
        <w:tc>
          <w:tcPr>
            <w:tcW w:w="1760" w:type="dxa"/>
            <w:tcBorders>
              <w:top w:val="nil"/>
              <w:left w:val="nil"/>
              <w:bottom w:val="nil"/>
              <w:right w:val="nil"/>
            </w:tcBorders>
            <w:shd w:val="clear" w:color="auto" w:fill="auto"/>
            <w:hideMark/>
          </w:tcPr>
          <w:p w14:paraId="72B421DB"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Wage costs</w:t>
            </w:r>
          </w:p>
        </w:tc>
        <w:tc>
          <w:tcPr>
            <w:tcW w:w="3754" w:type="dxa"/>
            <w:tcBorders>
              <w:top w:val="nil"/>
              <w:left w:val="nil"/>
              <w:bottom w:val="nil"/>
              <w:right w:val="nil"/>
            </w:tcBorders>
            <w:shd w:val="clear" w:color="auto" w:fill="auto"/>
            <w:hideMark/>
          </w:tcPr>
          <w:p w14:paraId="0383C4F3"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Recognises the differences in wage costs between states</w:t>
            </w:r>
          </w:p>
        </w:tc>
      </w:tr>
      <w:tr w:rsidR="006C3E57" w:rsidRPr="00BD45FC" w14:paraId="114A8237" w14:textId="77777777">
        <w:trPr>
          <w:trHeight w:val="255"/>
        </w:trPr>
        <w:tc>
          <w:tcPr>
            <w:tcW w:w="1701" w:type="dxa"/>
            <w:tcBorders>
              <w:top w:val="single" w:sz="4" w:space="0" w:color="ADD6EA"/>
              <w:left w:val="nil"/>
              <w:bottom w:val="nil"/>
              <w:right w:val="nil"/>
            </w:tcBorders>
            <w:shd w:val="clear" w:color="auto" w:fill="auto"/>
            <w:hideMark/>
          </w:tcPr>
          <w:p w14:paraId="0C6CAB4E"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Non-urban transport</w:t>
            </w:r>
          </w:p>
        </w:tc>
        <w:tc>
          <w:tcPr>
            <w:tcW w:w="1265" w:type="dxa"/>
            <w:tcBorders>
              <w:top w:val="single" w:sz="4" w:space="0" w:color="ADD6EA"/>
              <w:left w:val="nil"/>
              <w:bottom w:val="nil"/>
              <w:right w:val="nil"/>
            </w:tcBorders>
            <w:shd w:val="clear" w:color="auto" w:fill="auto"/>
            <w:vAlign w:val="center"/>
            <w:hideMark/>
          </w:tcPr>
          <w:p w14:paraId="3FF492FF" w14:textId="77777777" w:rsidR="006C3E57" w:rsidRPr="00E979B8" w:rsidRDefault="006C3E57">
            <w:pPr>
              <w:keepNext/>
              <w:keepLines/>
              <w:widowControl w:val="0"/>
              <w:tabs>
                <w:tab w:val="clear" w:pos="567"/>
              </w:tabs>
              <w:spacing w:before="0" w:line="240" w:lineRule="auto"/>
              <w:jc w:val="right"/>
              <w:rPr>
                <w:rFonts w:eastAsia="Times New Roman" w:cs="Open Sans Light"/>
                <w:sz w:val="16"/>
                <w:szCs w:val="16"/>
                <w:lang w:eastAsia="en-AU"/>
              </w:rPr>
            </w:pPr>
            <w:r w:rsidRPr="00E979B8">
              <w:rPr>
                <w:rFonts w:eastAsia="Times New Roman" w:cs="Open Sans Light"/>
                <w:sz w:val="16"/>
                <w:szCs w:val="16"/>
                <w:lang w:eastAsia="en-AU"/>
              </w:rPr>
              <w:t>1,752</w:t>
            </w:r>
          </w:p>
        </w:tc>
        <w:tc>
          <w:tcPr>
            <w:tcW w:w="460" w:type="dxa"/>
            <w:tcBorders>
              <w:top w:val="single" w:sz="4" w:space="0" w:color="ADD6EA"/>
              <w:left w:val="nil"/>
              <w:bottom w:val="nil"/>
              <w:right w:val="nil"/>
            </w:tcBorders>
            <w:shd w:val="clear" w:color="auto" w:fill="auto"/>
            <w:hideMark/>
          </w:tcPr>
          <w:p w14:paraId="24B81B4D"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 </w:t>
            </w:r>
          </w:p>
        </w:tc>
        <w:tc>
          <w:tcPr>
            <w:tcW w:w="1760" w:type="dxa"/>
            <w:tcBorders>
              <w:top w:val="single" w:sz="4" w:space="0" w:color="ADD6EA"/>
              <w:left w:val="nil"/>
              <w:bottom w:val="single" w:sz="4" w:space="0" w:color="ADD6EA"/>
              <w:right w:val="nil"/>
            </w:tcBorders>
            <w:shd w:val="clear" w:color="auto" w:fill="auto"/>
            <w:hideMark/>
          </w:tcPr>
          <w:p w14:paraId="45FC2A92"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Population</w:t>
            </w:r>
          </w:p>
        </w:tc>
        <w:tc>
          <w:tcPr>
            <w:tcW w:w="3754" w:type="dxa"/>
            <w:tcBorders>
              <w:top w:val="single" w:sz="4" w:space="0" w:color="ADD6EA"/>
              <w:left w:val="nil"/>
              <w:bottom w:val="single" w:sz="4" w:space="0" w:color="ADD6EA"/>
              <w:right w:val="nil"/>
            </w:tcBorders>
            <w:shd w:val="clear" w:color="auto" w:fill="auto"/>
            <w:hideMark/>
          </w:tcPr>
          <w:p w14:paraId="75F9F575"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This is an equal per capita assessment</w:t>
            </w:r>
          </w:p>
        </w:tc>
      </w:tr>
      <w:tr w:rsidR="006C3E57" w:rsidRPr="00BD45FC" w14:paraId="6DEA5EC9" w14:textId="77777777">
        <w:trPr>
          <w:trHeight w:val="636"/>
        </w:trPr>
        <w:tc>
          <w:tcPr>
            <w:tcW w:w="1701" w:type="dxa"/>
            <w:tcBorders>
              <w:top w:val="nil"/>
              <w:left w:val="nil"/>
              <w:bottom w:val="nil"/>
              <w:right w:val="nil"/>
            </w:tcBorders>
            <w:shd w:val="clear" w:color="auto" w:fill="auto"/>
            <w:hideMark/>
          </w:tcPr>
          <w:p w14:paraId="7272436E" w14:textId="77777777" w:rsidR="006C3E57" w:rsidRPr="00E979B8" w:rsidRDefault="006C3E57">
            <w:pPr>
              <w:keepNext/>
              <w:keepLines/>
              <w:widowControl w:val="0"/>
              <w:tabs>
                <w:tab w:val="clear" w:pos="567"/>
              </w:tabs>
              <w:spacing w:before="0" w:line="240" w:lineRule="auto"/>
              <w:rPr>
                <w:rFonts w:eastAsia="Times New Roman" w:cs="Open Sans Light"/>
                <w:color w:val="FFFFFF"/>
                <w:sz w:val="16"/>
                <w:szCs w:val="16"/>
                <w:lang w:eastAsia="en-AU"/>
              </w:rPr>
            </w:pPr>
            <w:r w:rsidRPr="00E979B8">
              <w:rPr>
                <w:rFonts w:eastAsia="Times New Roman" w:cs="Open Sans Light"/>
                <w:color w:val="FFFFFF"/>
                <w:sz w:val="16"/>
                <w:szCs w:val="16"/>
                <w:lang w:eastAsia="en-AU"/>
              </w:rPr>
              <w:t> </w:t>
            </w:r>
          </w:p>
        </w:tc>
        <w:tc>
          <w:tcPr>
            <w:tcW w:w="1265" w:type="dxa"/>
            <w:tcBorders>
              <w:top w:val="nil"/>
              <w:left w:val="nil"/>
              <w:bottom w:val="nil"/>
              <w:right w:val="nil"/>
            </w:tcBorders>
            <w:shd w:val="clear" w:color="auto" w:fill="auto"/>
            <w:vAlign w:val="center"/>
            <w:hideMark/>
          </w:tcPr>
          <w:p w14:paraId="2491CFCB" w14:textId="77777777" w:rsidR="006C3E57" w:rsidRPr="00E979B8" w:rsidRDefault="006C3E57">
            <w:pPr>
              <w:keepNext/>
              <w:keepLines/>
              <w:widowControl w:val="0"/>
              <w:tabs>
                <w:tab w:val="clear" w:pos="567"/>
              </w:tabs>
              <w:spacing w:before="0" w:line="240" w:lineRule="auto"/>
              <w:jc w:val="right"/>
              <w:rPr>
                <w:rFonts w:eastAsia="Times New Roman" w:cs="Open Sans Light"/>
                <w:color w:val="FFFFFF"/>
                <w:sz w:val="16"/>
                <w:szCs w:val="16"/>
                <w:lang w:eastAsia="en-AU"/>
              </w:rPr>
            </w:pPr>
            <w:r w:rsidRPr="00E979B8">
              <w:rPr>
                <w:rFonts w:eastAsia="Times New Roman" w:cs="Open Sans Light"/>
                <w:color w:val="FFFFFF"/>
                <w:sz w:val="16"/>
                <w:szCs w:val="16"/>
                <w:lang w:eastAsia="en-AU"/>
              </w:rPr>
              <w:t> </w:t>
            </w:r>
          </w:p>
        </w:tc>
        <w:tc>
          <w:tcPr>
            <w:tcW w:w="460" w:type="dxa"/>
            <w:tcBorders>
              <w:top w:val="nil"/>
              <w:left w:val="nil"/>
              <w:bottom w:val="nil"/>
              <w:right w:val="nil"/>
            </w:tcBorders>
            <w:shd w:val="clear" w:color="auto" w:fill="auto"/>
            <w:hideMark/>
          </w:tcPr>
          <w:p w14:paraId="08DD69E7" w14:textId="77777777" w:rsidR="006C3E57" w:rsidRPr="00E979B8" w:rsidRDefault="006C3E57">
            <w:pPr>
              <w:keepNext/>
              <w:keepLines/>
              <w:widowControl w:val="0"/>
              <w:tabs>
                <w:tab w:val="clear" w:pos="567"/>
              </w:tabs>
              <w:spacing w:before="0" w:line="240" w:lineRule="auto"/>
              <w:rPr>
                <w:rFonts w:eastAsia="Times New Roman" w:cs="Open Sans Light"/>
                <w:color w:val="FFFFFF"/>
                <w:sz w:val="16"/>
                <w:szCs w:val="16"/>
                <w:lang w:eastAsia="en-AU"/>
              </w:rPr>
            </w:pPr>
            <w:r w:rsidRPr="00E979B8">
              <w:rPr>
                <w:rFonts w:eastAsia="Times New Roman" w:cs="Open Sans Light"/>
                <w:color w:val="FFFFFF"/>
                <w:sz w:val="16"/>
                <w:szCs w:val="16"/>
                <w:lang w:eastAsia="en-AU"/>
              </w:rPr>
              <w:t> </w:t>
            </w:r>
          </w:p>
        </w:tc>
        <w:tc>
          <w:tcPr>
            <w:tcW w:w="1760" w:type="dxa"/>
            <w:tcBorders>
              <w:top w:val="nil"/>
              <w:left w:val="nil"/>
              <w:bottom w:val="single" w:sz="4" w:space="0" w:color="C6D9F1" w:themeColor="text2" w:themeTint="33"/>
              <w:right w:val="nil"/>
            </w:tcBorders>
            <w:shd w:val="clear" w:color="auto" w:fill="auto"/>
            <w:hideMark/>
          </w:tcPr>
          <w:p w14:paraId="31347D83"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Regional costs</w:t>
            </w:r>
          </w:p>
        </w:tc>
        <w:tc>
          <w:tcPr>
            <w:tcW w:w="3754" w:type="dxa"/>
            <w:tcBorders>
              <w:top w:val="nil"/>
              <w:left w:val="nil"/>
              <w:bottom w:val="single" w:sz="4" w:space="0" w:color="C6D9F1" w:themeColor="text2" w:themeTint="33"/>
              <w:right w:val="nil"/>
            </w:tcBorders>
            <w:shd w:val="clear" w:color="auto" w:fill="auto"/>
            <w:hideMark/>
          </w:tcPr>
          <w:p w14:paraId="45BFE614"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Recognises the differences in the cost of providing services to different areas within a state</w:t>
            </w:r>
          </w:p>
        </w:tc>
      </w:tr>
      <w:tr w:rsidR="006C3E57" w:rsidRPr="00BD45FC" w14:paraId="19286FFB" w14:textId="77777777">
        <w:trPr>
          <w:trHeight w:val="397"/>
        </w:trPr>
        <w:tc>
          <w:tcPr>
            <w:tcW w:w="1701" w:type="dxa"/>
            <w:tcBorders>
              <w:top w:val="nil"/>
              <w:left w:val="nil"/>
              <w:bottom w:val="single" w:sz="4" w:space="0" w:color="ADD6EA"/>
              <w:right w:val="nil"/>
            </w:tcBorders>
            <w:shd w:val="clear" w:color="auto" w:fill="auto"/>
          </w:tcPr>
          <w:p w14:paraId="534336D6" w14:textId="77777777" w:rsidR="006C3E57" w:rsidRPr="00E979B8" w:rsidRDefault="006C3E57">
            <w:pPr>
              <w:keepNext/>
              <w:keepLines/>
              <w:widowControl w:val="0"/>
              <w:tabs>
                <w:tab w:val="clear" w:pos="567"/>
              </w:tabs>
              <w:spacing w:before="0" w:line="240" w:lineRule="auto"/>
              <w:rPr>
                <w:rFonts w:eastAsia="Times New Roman" w:cs="Open Sans Light"/>
                <w:color w:val="FFFFFF"/>
                <w:sz w:val="16"/>
                <w:szCs w:val="16"/>
                <w:lang w:eastAsia="en-AU"/>
              </w:rPr>
            </w:pPr>
          </w:p>
        </w:tc>
        <w:tc>
          <w:tcPr>
            <w:tcW w:w="1265" w:type="dxa"/>
            <w:tcBorders>
              <w:top w:val="nil"/>
              <w:left w:val="nil"/>
              <w:bottom w:val="single" w:sz="4" w:space="0" w:color="ADD6EA"/>
              <w:right w:val="nil"/>
            </w:tcBorders>
            <w:shd w:val="clear" w:color="auto" w:fill="auto"/>
            <w:vAlign w:val="center"/>
          </w:tcPr>
          <w:p w14:paraId="549B8649" w14:textId="77777777" w:rsidR="006C3E57" w:rsidRPr="00E979B8" w:rsidRDefault="006C3E57">
            <w:pPr>
              <w:keepNext/>
              <w:keepLines/>
              <w:widowControl w:val="0"/>
              <w:tabs>
                <w:tab w:val="clear" w:pos="567"/>
              </w:tabs>
              <w:spacing w:before="0" w:line="240" w:lineRule="auto"/>
              <w:jc w:val="right"/>
              <w:rPr>
                <w:rFonts w:eastAsia="Times New Roman" w:cs="Open Sans Light"/>
                <w:color w:val="FFFFFF"/>
                <w:sz w:val="16"/>
                <w:szCs w:val="16"/>
                <w:lang w:eastAsia="en-AU"/>
              </w:rPr>
            </w:pPr>
          </w:p>
        </w:tc>
        <w:tc>
          <w:tcPr>
            <w:tcW w:w="460" w:type="dxa"/>
            <w:tcBorders>
              <w:top w:val="nil"/>
              <w:left w:val="nil"/>
              <w:bottom w:val="single" w:sz="4" w:space="0" w:color="ADD6EA"/>
              <w:right w:val="nil"/>
            </w:tcBorders>
            <w:shd w:val="clear" w:color="auto" w:fill="auto"/>
          </w:tcPr>
          <w:p w14:paraId="6D7B707D" w14:textId="77777777" w:rsidR="006C3E57" w:rsidRPr="00E979B8" w:rsidRDefault="006C3E57">
            <w:pPr>
              <w:keepNext/>
              <w:keepLines/>
              <w:widowControl w:val="0"/>
              <w:tabs>
                <w:tab w:val="clear" w:pos="567"/>
              </w:tabs>
              <w:spacing w:before="0" w:line="240" w:lineRule="auto"/>
              <w:rPr>
                <w:rFonts w:eastAsia="Times New Roman" w:cs="Open Sans Light"/>
                <w:color w:val="FFFFFF"/>
                <w:sz w:val="16"/>
                <w:szCs w:val="16"/>
                <w:lang w:eastAsia="en-AU"/>
              </w:rPr>
            </w:pPr>
          </w:p>
        </w:tc>
        <w:tc>
          <w:tcPr>
            <w:tcW w:w="1760" w:type="dxa"/>
            <w:tcBorders>
              <w:top w:val="single" w:sz="4" w:space="0" w:color="C6D9F1" w:themeColor="text2" w:themeTint="33"/>
              <w:left w:val="nil"/>
              <w:bottom w:val="single" w:sz="4" w:space="0" w:color="ADD6EA"/>
              <w:right w:val="nil"/>
            </w:tcBorders>
            <w:shd w:val="clear" w:color="auto" w:fill="auto"/>
          </w:tcPr>
          <w:p w14:paraId="339760AD"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Wage costs</w:t>
            </w:r>
          </w:p>
        </w:tc>
        <w:tc>
          <w:tcPr>
            <w:tcW w:w="3754" w:type="dxa"/>
            <w:tcBorders>
              <w:top w:val="single" w:sz="4" w:space="0" w:color="C6D9F1" w:themeColor="text2" w:themeTint="33"/>
              <w:left w:val="nil"/>
              <w:bottom w:val="single" w:sz="4" w:space="0" w:color="ADD6EA"/>
              <w:right w:val="nil"/>
            </w:tcBorders>
            <w:shd w:val="clear" w:color="auto" w:fill="auto"/>
          </w:tcPr>
          <w:p w14:paraId="51648AAA" w14:textId="77777777" w:rsidR="006C3E57" w:rsidRPr="00E979B8" w:rsidRDefault="006C3E57">
            <w:pPr>
              <w:keepNext/>
              <w:keepLines/>
              <w:widowControl w:val="0"/>
              <w:tabs>
                <w:tab w:val="clear" w:pos="567"/>
              </w:tabs>
              <w:spacing w:before="0" w:line="240" w:lineRule="auto"/>
              <w:rPr>
                <w:rFonts w:eastAsia="Times New Roman" w:cs="Open Sans Light"/>
                <w:sz w:val="16"/>
                <w:szCs w:val="16"/>
                <w:lang w:eastAsia="en-AU"/>
              </w:rPr>
            </w:pPr>
            <w:r w:rsidRPr="00E979B8">
              <w:rPr>
                <w:rFonts w:eastAsia="Times New Roman" w:cs="Open Sans Light"/>
                <w:sz w:val="16"/>
                <w:szCs w:val="16"/>
                <w:lang w:eastAsia="en-AU"/>
              </w:rPr>
              <w:t>Recognises the differences in wage costs between states</w:t>
            </w:r>
          </w:p>
        </w:tc>
      </w:tr>
    </w:tbl>
    <w:p w14:paraId="725D3456" w14:textId="7748493C" w:rsidR="00E42B44" w:rsidRPr="00DE3E76" w:rsidRDefault="00E42B44" w:rsidP="00CC7365">
      <w:pPr>
        <w:pStyle w:val="CGCTablenote"/>
        <w:rPr>
          <w:rFonts w:ascii="Work Sans" w:hAnsi="Work Sans"/>
        </w:rPr>
      </w:pPr>
      <w:r w:rsidRPr="00DE3E76">
        <w:rPr>
          <w:rFonts w:ascii="Work Sans" w:hAnsi="Work Sans"/>
        </w:rPr>
        <w:t>(a)</w:t>
      </w:r>
      <w:r w:rsidRPr="00DE3E76">
        <w:rPr>
          <w:rFonts w:ascii="Work Sans" w:hAnsi="Work Sans"/>
        </w:rPr>
        <w:tab/>
        <w:t>Component expenses relate to state recurrent expenses (including depreciation)</w:t>
      </w:r>
      <w:r w:rsidR="0052422A" w:rsidRPr="00DE3E76">
        <w:rPr>
          <w:rFonts w:ascii="Work Sans" w:hAnsi="Work Sans"/>
        </w:rPr>
        <w:t>.</w:t>
      </w:r>
      <w:r w:rsidRPr="00DE3E76">
        <w:rPr>
          <w:rFonts w:ascii="Work Sans" w:hAnsi="Work Sans"/>
        </w:rPr>
        <w:t xml:space="preserve"> </w:t>
      </w:r>
    </w:p>
    <w:p w14:paraId="3EA76432" w14:textId="46710FC9" w:rsidR="003138FE" w:rsidRDefault="00E42B44" w:rsidP="00CC7365">
      <w:pPr>
        <w:pStyle w:val="CGCTablenote"/>
      </w:pPr>
      <w:r w:rsidRPr="00DE3E76">
        <w:rPr>
          <w:rFonts w:ascii="Work Sans" w:hAnsi="Work Sans"/>
        </w:rPr>
        <w:t>Source:</w:t>
      </w:r>
      <w:r w:rsidR="00726862" w:rsidRPr="00DE3E76">
        <w:rPr>
          <w:rFonts w:ascii="Work Sans" w:hAnsi="Work Sans"/>
        </w:rPr>
        <w:t xml:space="preserve"> </w:t>
      </w:r>
      <w:r w:rsidR="00C24152" w:rsidRPr="00DE3E76">
        <w:rPr>
          <w:rFonts w:ascii="Work Sans" w:hAnsi="Work Sans"/>
        </w:rPr>
        <w:t xml:space="preserve">Commission </w:t>
      </w:r>
      <w:r w:rsidRPr="00DE3E76">
        <w:rPr>
          <w:rFonts w:ascii="Work Sans" w:hAnsi="Work Sans"/>
        </w:rPr>
        <w:t>calculation, 2023 Update.</w:t>
      </w:r>
    </w:p>
    <w:p w14:paraId="0190A573" w14:textId="1626E91F" w:rsidR="0033322B" w:rsidRDefault="0033322B" w:rsidP="0033322B">
      <w:pPr>
        <w:pStyle w:val="Heading3"/>
      </w:pPr>
      <w:bookmarkStart w:id="25" w:name="_Toc138691895"/>
      <w:bookmarkEnd w:id="22"/>
      <w:r>
        <w:lastRenderedPageBreak/>
        <w:t>GST</w:t>
      </w:r>
      <w:r w:rsidR="000D0FB5">
        <w:t xml:space="preserve"> distribution</w:t>
      </w:r>
      <w:r w:rsidR="00AB3A43">
        <w:t xml:space="preserve"> in the 2023 Update</w:t>
      </w:r>
      <w:bookmarkEnd w:id="25"/>
    </w:p>
    <w:p w14:paraId="647F4CD3" w14:textId="65108884" w:rsidR="00E937B6" w:rsidRPr="00E937B6" w:rsidRDefault="00E07E86" w:rsidP="00CF68FE">
      <w:pPr>
        <w:pStyle w:val="CGC2025ParaNumbers"/>
      </w:pPr>
      <w:r>
        <w:fldChar w:fldCharType="begin"/>
      </w:r>
      <w:r>
        <w:instrText xml:space="preserve"> REF _Ref138763285 \h </w:instrText>
      </w:r>
      <w:r>
        <w:fldChar w:fldCharType="separate"/>
      </w:r>
      <w:r w:rsidR="00282693" w:rsidRPr="00B56A25">
        <w:t xml:space="preserve">Table </w:t>
      </w:r>
      <w:r w:rsidR="00282693">
        <w:rPr>
          <w:noProof/>
        </w:rPr>
        <w:t>4</w:t>
      </w:r>
      <w:r>
        <w:fldChar w:fldCharType="end"/>
      </w:r>
      <w:r w:rsidR="00B56A25">
        <w:t xml:space="preserve"> </w:t>
      </w:r>
      <w:r w:rsidR="00E937B6" w:rsidRPr="00E937B6">
        <w:t>shows the GST impact of the transport recurrent and investment assessments. The combined impact of the transport assessments distributed $3,</w:t>
      </w:r>
      <w:r w:rsidR="00000EB5" w:rsidRPr="00E937B6">
        <w:t>4</w:t>
      </w:r>
      <w:r w:rsidR="00000EB5">
        <w:t>85</w:t>
      </w:r>
      <w:r w:rsidR="00353119">
        <w:t> </w:t>
      </w:r>
      <w:r w:rsidR="00E937B6" w:rsidRPr="00E937B6">
        <w:t>million ($</w:t>
      </w:r>
      <w:r w:rsidR="00000EB5" w:rsidRPr="00E937B6">
        <w:t>13</w:t>
      </w:r>
      <w:r w:rsidR="00000EB5">
        <w:t>2</w:t>
      </w:r>
      <w:r w:rsidR="00E937B6" w:rsidRPr="00E937B6">
        <w:t xml:space="preserve"> per capita) away from an equal per capita distribution in the 2023 Update.</w:t>
      </w:r>
    </w:p>
    <w:p w14:paraId="02B322E2" w14:textId="1241CED2" w:rsidR="00E937B6" w:rsidRPr="00E937B6" w:rsidRDefault="00E937B6" w:rsidP="00CF68FE">
      <w:pPr>
        <w:pStyle w:val="CGC2025ParaNumbers"/>
      </w:pPr>
      <w:r w:rsidRPr="00E937B6">
        <w:t xml:space="preserve">In the 2023 Update, the assessment of recurrent transport expenses was the third largest expenditure category in terms of moving GST away from an </w:t>
      </w:r>
      <w:r w:rsidR="005B020E" w:rsidRPr="00E937B6">
        <w:t xml:space="preserve">equal per </w:t>
      </w:r>
      <w:r w:rsidR="00F76938" w:rsidRPr="00E937B6">
        <w:t>capita share</w:t>
      </w:r>
      <w:r w:rsidRPr="00E937B6">
        <w:t xml:space="preserve">. It was the seventh largest category overall (after mining, stamp duty, health, investment, land tax and Commonwealth payments). Investment in urban transport was the second largest component in terms of moving GST away from an </w:t>
      </w:r>
      <w:r w:rsidR="005B020E" w:rsidRPr="00E937B6">
        <w:t xml:space="preserve">equal per </w:t>
      </w:r>
      <w:r w:rsidR="00F76938" w:rsidRPr="00E937B6">
        <w:t>capita share</w:t>
      </w:r>
      <w:r w:rsidRPr="00E937B6">
        <w:t xml:space="preserve"> in the </w:t>
      </w:r>
      <w:r w:rsidR="009E124A">
        <w:t>i</w:t>
      </w:r>
      <w:r w:rsidRPr="00E937B6">
        <w:t xml:space="preserve">nvestment category (after investment in rural roads). </w:t>
      </w:r>
    </w:p>
    <w:p w14:paraId="414A6485" w14:textId="0FD2BBD5" w:rsidR="005D47DC" w:rsidRPr="00B56A25" w:rsidRDefault="00B56A25" w:rsidP="00E96A7D">
      <w:pPr>
        <w:pStyle w:val="CGC2025Caption"/>
        <w:tabs>
          <w:tab w:val="left" w:pos="1134"/>
        </w:tabs>
      </w:pPr>
      <w:bookmarkStart w:id="26" w:name="_Ref132915352"/>
      <w:bookmarkStart w:id="27" w:name="_Ref138763285"/>
      <w:bookmarkStart w:id="28" w:name="_Hlk132906377"/>
      <w:r w:rsidRPr="00B56A25">
        <w:t xml:space="preserve">Table </w:t>
      </w:r>
      <w:r>
        <w:fldChar w:fldCharType="begin"/>
      </w:r>
      <w:r>
        <w:instrText>SEQ Table \* ARABIC</w:instrText>
      </w:r>
      <w:r>
        <w:fldChar w:fldCharType="separate"/>
      </w:r>
      <w:r w:rsidR="00282693">
        <w:rPr>
          <w:noProof/>
        </w:rPr>
        <w:t>4</w:t>
      </w:r>
      <w:r>
        <w:fldChar w:fldCharType="end"/>
      </w:r>
      <w:bookmarkEnd w:id="26"/>
      <w:bookmarkEnd w:id="27"/>
      <w:r>
        <w:tab/>
      </w:r>
      <w:r w:rsidR="00112B28" w:rsidRPr="00B56A25">
        <w:t xml:space="preserve">GST impact of the transport assessments, </w:t>
      </w:r>
      <w:bookmarkEnd w:id="28"/>
      <w:r w:rsidR="0063670C" w:rsidRPr="00B56A25">
        <w:t>202</w:t>
      </w:r>
      <w:r w:rsidR="0063670C">
        <w:t>3</w:t>
      </w:r>
      <w:r w:rsidR="00505688">
        <w:t>–</w:t>
      </w:r>
      <w:r w:rsidR="0063670C" w:rsidRPr="00B56A25">
        <w:t>2</w:t>
      </w:r>
      <w:r w:rsidR="0063670C">
        <w:t>4</w:t>
      </w:r>
    </w:p>
    <w:tbl>
      <w:tblPr>
        <w:tblW w:w="8942" w:type="dxa"/>
        <w:tblLayout w:type="fixed"/>
        <w:tblLook w:val="04A0" w:firstRow="1" w:lastRow="0" w:firstColumn="1" w:lastColumn="0" w:noHBand="0" w:noVBand="1"/>
      </w:tblPr>
      <w:tblGrid>
        <w:gridCol w:w="2111"/>
        <w:gridCol w:w="758"/>
        <w:gridCol w:w="759"/>
        <w:gridCol w:w="759"/>
        <w:gridCol w:w="759"/>
        <w:gridCol w:w="759"/>
        <w:gridCol w:w="759"/>
        <w:gridCol w:w="759"/>
        <w:gridCol w:w="716"/>
        <w:gridCol w:w="803"/>
      </w:tblGrid>
      <w:tr w:rsidR="00F63D67" w:rsidRPr="00D40515" w14:paraId="4A15C617" w14:textId="77777777" w:rsidTr="003525C9">
        <w:trPr>
          <w:trHeight w:val="375"/>
        </w:trPr>
        <w:tc>
          <w:tcPr>
            <w:tcW w:w="1985" w:type="dxa"/>
            <w:tcBorders>
              <w:top w:val="nil"/>
              <w:left w:val="nil"/>
              <w:bottom w:val="single" w:sz="4" w:space="0" w:color="B6D5E4"/>
              <w:right w:val="nil"/>
            </w:tcBorders>
            <w:shd w:val="clear" w:color="000000" w:fill="006991"/>
            <w:noWrap/>
            <w:vAlign w:val="center"/>
            <w:hideMark/>
          </w:tcPr>
          <w:p w14:paraId="57C8DD1B" w14:textId="77777777" w:rsidR="00F63D67" w:rsidRPr="00D40515" w:rsidRDefault="00F63D67">
            <w:pPr>
              <w:keepNext/>
              <w:keepLines/>
              <w:widowControl w:val="0"/>
              <w:tabs>
                <w:tab w:val="clear" w:pos="567"/>
              </w:tabs>
              <w:spacing w:before="0" w:line="240" w:lineRule="auto"/>
              <w:jc w:val="right"/>
              <w:rPr>
                <w:rFonts w:ascii="Work Sans" w:eastAsia="Times New Roman" w:hAnsi="Work Sans" w:cs="Times New Roman"/>
                <w:b/>
                <w:bCs/>
                <w:color w:val="FFFFFF"/>
                <w:sz w:val="16"/>
                <w:szCs w:val="16"/>
                <w:lang w:eastAsia="en-AU"/>
              </w:rPr>
            </w:pPr>
            <w:r w:rsidRPr="00D40515">
              <w:rPr>
                <w:rFonts w:ascii="Work Sans" w:eastAsia="Times New Roman" w:hAnsi="Work Sans" w:cs="Times New Roman"/>
                <w:b/>
                <w:bCs/>
                <w:color w:val="FFFFFF"/>
                <w:sz w:val="16"/>
                <w:szCs w:val="16"/>
                <w:lang w:eastAsia="en-AU"/>
              </w:rPr>
              <w:t> </w:t>
            </w:r>
          </w:p>
        </w:tc>
        <w:tc>
          <w:tcPr>
            <w:tcW w:w="713" w:type="dxa"/>
            <w:tcBorders>
              <w:top w:val="nil"/>
              <w:left w:val="nil"/>
              <w:bottom w:val="single" w:sz="4" w:space="0" w:color="B6D5E4"/>
              <w:right w:val="nil"/>
            </w:tcBorders>
            <w:shd w:val="clear" w:color="000000" w:fill="006991"/>
            <w:noWrap/>
            <w:vAlign w:val="center"/>
            <w:hideMark/>
          </w:tcPr>
          <w:p w14:paraId="4FD74C05" w14:textId="77777777" w:rsidR="00F63D67" w:rsidRPr="00514DDD" w:rsidRDefault="00F63D67">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14DDD">
              <w:rPr>
                <w:rFonts w:ascii="Open Sans Semibold" w:eastAsia="Times New Roman" w:hAnsi="Open Sans Semibold" w:cs="Open Sans Semibold"/>
                <w:color w:val="FFFFFF"/>
                <w:sz w:val="16"/>
                <w:szCs w:val="16"/>
                <w:lang w:eastAsia="en-AU"/>
              </w:rPr>
              <w:t>NSW</w:t>
            </w:r>
          </w:p>
        </w:tc>
        <w:tc>
          <w:tcPr>
            <w:tcW w:w="714" w:type="dxa"/>
            <w:tcBorders>
              <w:top w:val="nil"/>
              <w:left w:val="nil"/>
              <w:bottom w:val="single" w:sz="4" w:space="0" w:color="B6D5E4"/>
              <w:right w:val="nil"/>
            </w:tcBorders>
            <w:shd w:val="clear" w:color="000000" w:fill="006991"/>
            <w:noWrap/>
            <w:vAlign w:val="center"/>
            <w:hideMark/>
          </w:tcPr>
          <w:p w14:paraId="118C3549" w14:textId="77777777" w:rsidR="00F63D67" w:rsidRPr="00514DDD" w:rsidRDefault="00F63D67">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14DDD">
              <w:rPr>
                <w:rFonts w:ascii="Open Sans Semibold" w:eastAsia="Times New Roman" w:hAnsi="Open Sans Semibold" w:cs="Open Sans Semibold"/>
                <w:color w:val="FFFFFF"/>
                <w:sz w:val="16"/>
                <w:szCs w:val="16"/>
                <w:lang w:eastAsia="en-AU"/>
              </w:rPr>
              <w:t>Vic</w:t>
            </w:r>
          </w:p>
        </w:tc>
        <w:tc>
          <w:tcPr>
            <w:tcW w:w="714" w:type="dxa"/>
            <w:tcBorders>
              <w:top w:val="nil"/>
              <w:left w:val="nil"/>
              <w:bottom w:val="single" w:sz="4" w:space="0" w:color="B6D5E4"/>
              <w:right w:val="nil"/>
            </w:tcBorders>
            <w:shd w:val="clear" w:color="000000" w:fill="006991"/>
            <w:noWrap/>
            <w:vAlign w:val="center"/>
            <w:hideMark/>
          </w:tcPr>
          <w:p w14:paraId="4AE4E059" w14:textId="77777777" w:rsidR="00F63D67" w:rsidRPr="00514DDD" w:rsidRDefault="00F63D67">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14DDD">
              <w:rPr>
                <w:rFonts w:ascii="Open Sans Semibold" w:eastAsia="Times New Roman" w:hAnsi="Open Sans Semibold" w:cs="Open Sans Semibold"/>
                <w:color w:val="FFFFFF"/>
                <w:sz w:val="16"/>
                <w:szCs w:val="16"/>
                <w:lang w:eastAsia="en-AU"/>
              </w:rPr>
              <w:t>Qld</w:t>
            </w:r>
          </w:p>
        </w:tc>
        <w:tc>
          <w:tcPr>
            <w:tcW w:w="714" w:type="dxa"/>
            <w:tcBorders>
              <w:top w:val="nil"/>
              <w:left w:val="nil"/>
              <w:bottom w:val="single" w:sz="4" w:space="0" w:color="B6D5E4"/>
              <w:right w:val="nil"/>
            </w:tcBorders>
            <w:shd w:val="clear" w:color="000000" w:fill="006991"/>
            <w:noWrap/>
            <w:vAlign w:val="center"/>
            <w:hideMark/>
          </w:tcPr>
          <w:p w14:paraId="497FA454" w14:textId="77777777" w:rsidR="00F63D67" w:rsidRPr="00514DDD" w:rsidRDefault="00F63D67">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14DDD">
              <w:rPr>
                <w:rFonts w:ascii="Open Sans Semibold" w:eastAsia="Times New Roman" w:hAnsi="Open Sans Semibold" w:cs="Open Sans Semibold"/>
                <w:color w:val="FFFFFF"/>
                <w:sz w:val="16"/>
                <w:szCs w:val="16"/>
                <w:lang w:eastAsia="en-AU"/>
              </w:rPr>
              <w:t>WA</w:t>
            </w:r>
          </w:p>
        </w:tc>
        <w:tc>
          <w:tcPr>
            <w:tcW w:w="714" w:type="dxa"/>
            <w:tcBorders>
              <w:top w:val="nil"/>
              <w:left w:val="nil"/>
              <w:bottom w:val="single" w:sz="4" w:space="0" w:color="B6D5E4"/>
              <w:right w:val="nil"/>
            </w:tcBorders>
            <w:shd w:val="clear" w:color="000000" w:fill="006991"/>
            <w:noWrap/>
            <w:vAlign w:val="center"/>
            <w:hideMark/>
          </w:tcPr>
          <w:p w14:paraId="40CFF6DE" w14:textId="77777777" w:rsidR="00F63D67" w:rsidRPr="00514DDD" w:rsidRDefault="00F63D67">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14DDD">
              <w:rPr>
                <w:rFonts w:ascii="Open Sans Semibold" w:eastAsia="Times New Roman" w:hAnsi="Open Sans Semibold" w:cs="Open Sans Semibold"/>
                <w:color w:val="FFFFFF"/>
                <w:sz w:val="16"/>
                <w:szCs w:val="16"/>
                <w:lang w:eastAsia="en-AU"/>
              </w:rPr>
              <w:t>SA</w:t>
            </w:r>
          </w:p>
        </w:tc>
        <w:tc>
          <w:tcPr>
            <w:tcW w:w="714" w:type="dxa"/>
            <w:tcBorders>
              <w:top w:val="nil"/>
              <w:left w:val="nil"/>
              <w:bottom w:val="single" w:sz="4" w:space="0" w:color="B6D5E4"/>
              <w:right w:val="nil"/>
            </w:tcBorders>
            <w:shd w:val="clear" w:color="000000" w:fill="006991"/>
            <w:noWrap/>
            <w:vAlign w:val="center"/>
            <w:hideMark/>
          </w:tcPr>
          <w:p w14:paraId="053E8003" w14:textId="77777777" w:rsidR="00F63D67" w:rsidRPr="00514DDD" w:rsidRDefault="00F63D67">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14DDD">
              <w:rPr>
                <w:rFonts w:ascii="Open Sans Semibold" w:eastAsia="Times New Roman" w:hAnsi="Open Sans Semibold" w:cs="Open Sans Semibold"/>
                <w:color w:val="FFFFFF"/>
                <w:sz w:val="16"/>
                <w:szCs w:val="16"/>
                <w:lang w:eastAsia="en-AU"/>
              </w:rPr>
              <w:t>Tas</w:t>
            </w:r>
          </w:p>
        </w:tc>
        <w:tc>
          <w:tcPr>
            <w:tcW w:w="714" w:type="dxa"/>
            <w:tcBorders>
              <w:top w:val="nil"/>
              <w:left w:val="nil"/>
              <w:bottom w:val="single" w:sz="4" w:space="0" w:color="B6D5E4"/>
              <w:right w:val="nil"/>
            </w:tcBorders>
            <w:shd w:val="clear" w:color="000000" w:fill="006991"/>
            <w:noWrap/>
            <w:vAlign w:val="center"/>
            <w:hideMark/>
          </w:tcPr>
          <w:p w14:paraId="49C1B301" w14:textId="77777777" w:rsidR="00F63D67" w:rsidRPr="00514DDD" w:rsidRDefault="00F63D67">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14DDD">
              <w:rPr>
                <w:rFonts w:ascii="Open Sans Semibold" w:eastAsia="Times New Roman" w:hAnsi="Open Sans Semibold" w:cs="Open Sans Semibold"/>
                <w:color w:val="FFFFFF"/>
                <w:sz w:val="16"/>
                <w:szCs w:val="16"/>
                <w:lang w:eastAsia="en-AU"/>
              </w:rPr>
              <w:t>ACT</w:t>
            </w:r>
          </w:p>
        </w:tc>
        <w:tc>
          <w:tcPr>
            <w:tcW w:w="673" w:type="dxa"/>
            <w:tcBorders>
              <w:top w:val="nil"/>
              <w:left w:val="nil"/>
              <w:bottom w:val="single" w:sz="4" w:space="0" w:color="B6D5E4"/>
              <w:right w:val="nil"/>
            </w:tcBorders>
            <w:shd w:val="clear" w:color="000000" w:fill="006991"/>
            <w:noWrap/>
            <w:vAlign w:val="center"/>
            <w:hideMark/>
          </w:tcPr>
          <w:p w14:paraId="26FD04E2" w14:textId="77777777" w:rsidR="00F63D67" w:rsidRPr="00514DDD" w:rsidRDefault="00F63D67">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14DDD">
              <w:rPr>
                <w:rFonts w:ascii="Open Sans Semibold" w:eastAsia="Times New Roman" w:hAnsi="Open Sans Semibold" w:cs="Open Sans Semibold"/>
                <w:color w:val="FFFFFF"/>
                <w:sz w:val="16"/>
                <w:szCs w:val="16"/>
                <w:lang w:eastAsia="en-AU"/>
              </w:rPr>
              <w:t>NT</w:t>
            </w:r>
          </w:p>
        </w:tc>
        <w:tc>
          <w:tcPr>
            <w:tcW w:w="755" w:type="dxa"/>
            <w:tcBorders>
              <w:top w:val="nil"/>
              <w:left w:val="nil"/>
              <w:bottom w:val="single" w:sz="4" w:space="0" w:color="B6D5E4"/>
              <w:right w:val="nil"/>
            </w:tcBorders>
            <w:shd w:val="clear" w:color="000000" w:fill="006991"/>
            <w:noWrap/>
            <w:vAlign w:val="center"/>
            <w:hideMark/>
          </w:tcPr>
          <w:p w14:paraId="53B10B92" w14:textId="30FAF4CF" w:rsidR="00F63D67" w:rsidRPr="00514DDD" w:rsidRDefault="00F21116">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514DDD">
              <w:rPr>
                <w:rFonts w:ascii="Open Sans Semibold" w:eastAsia="Times New Roman" w:hAnsi="Open Sans Semibold" w:cs="Open Sans Semibold"/>
                <w:color w:val="FFFFFF"/>
                <w:sz w:val="16"/>
                <w:szCs w:val="16"/>
                <w:lang w:eastAsia="en-AU"/>
              </w:rPr>
              <w:t>Total effect</w:t>
            </w:r>
          </w:p>
        </w:tc>
      </w:tr>
      <w:tr w:rsidR="00F63D67" w:rsidRPr="00D40515" w14:paraId="7B51DA95" w14:textId="77777777" w:rsidTr="00514DDD">
        <w:trPr>
          <w:trHeight w:val="315"/>
        </w:trPr>
        <w:tc>
          <w:tcPr>
            <w:tcW w:w="1985" w:type="dxa"/>
            <w:tcBorders>
              <w:top w:val="nil"/>
              <w:left w:val="nil"/>
              <w:bottom w:val="single" w:sz="4" w:space="0" w:color="B6D5E4"/>
              <w:right w:val="nil"/>
            </w:tcBorders>
            <w:shd w:val="clear" w:color="auto" w:fill="auto"/>
            <w:vAlign w:val="bottom"/>
            <w:hideMark/>
          </w:tcPr>
          <w:p w14:paraId="405D4955" w14:textId="77777777" w:rsidR="00F63D67" w:rsidRPr="009E2CEC" w:rsidRDefault="00F63D67" w:rsidP="005E774D">
            <w:pPr>
              <w:keepNext/>
              <w:keepLines/>
              <w:widowControl w:val="0"/>
              <w:tabs>
                <w:tab w:val="clear" w:pos="567"/>
              </w:tabs>
              <w:spacing w:before="0" w:line="240" w:lineRule="auto"/>
              <w:rPr>
                <w:rFonts w:eastAsia="Times New Roman" w:cs="Open Sans Light"/>
                <w:sz w:val="16"/>
                <w:szCs w:val="16"/>
                <w:lang w:eastAsia="en-AU"/>
              </w:rPr>
            </w:pPr>
            <w:r w:rsidRPr="009E2CEC">
              <w:rPr>
                <w:rFonts w:eastAsia="Symbol" w:cs="Open Sans Light"/>
                <w:sz w:val="16"/>
                <w:szCs w:val="16"/>
                <w:lang w:eastAsia="en-AU"/>
              </w:rPr>
              <w:t>Urban transport ($m)</w:t>
            </w:r>
          </w:p>
        </w:tc>
        <w:tc>
          <w:tcPr>
            <w:tcW w:w="713" w:type="dxa"/>
            <w:tcBorders>
              <w:top w:val="single" w:sz="4" w:space="0" w:color="ADD6EA"/>
              <w:left w:val="nil"/>
              <w:bottom w:val="nil"/>
              <w:right w:val="nil"/>
            </w:tcBorders>
            <w:shd w:val="clear" w:color="auto" w:fill="auto"/>
            <w:vAlign w:val="bottom"/>
            <w:hideMark/>
          </w:tcPr>
          <w:p w14:paraId="55D307B6"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1,473</w:t>
            </w:r>
          </w:p>
        </w:tc>
        <w:tc>
          <w:tcPr>
            <w:tcW w:w="714" w:type="dxa"/>
            <w:tcBorders>
              <w:top w:val="single" w:sz="4" w:space="0" w:color="ADD6EA"/>
              <w:left w:val="nil"/>
              <w:bottom w:val="nil"/>
              <w:right w:val="nil"/>
            </w:tcBorders>
            <w:shd w:val="clear" w:color="auto" w:fill="auto"/>
            <w:vAlign w:val="bottom"/>
            <w:hideMark/>
          </w:tcPr>
          <w:p w14:paraId="1BDBB60C"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469</w:t>
            </w:r>
          </w:p>
        </w:tc>
        <w:tc>
          <w:tcPr>
            <w:tcW w:w="714" w:type="dxa"/>
            <w:tcBorders>
              <w:top w:val="single" w:sz="4" w:space="0" w:color="ADD6EA"/>
              <w:left w:val="nil"/>
              <w:bottom w:val="nil"/>
              <w:right w:val="nil"/>
            </w:tcBorders>
            <w:shd w:val="clear" w:color="auto" w:fill="auto"/>
            <w:vAlign w:val="bottom"/>
            <w:hideMark/>
          </w:tcPr>
          <w:p w14:paraId="56E3B789"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-897</w:t>
            </w:r>
          </w:p>
        </w:tc>
        <w:tc>
          <w:tcPr>
            <w:tcW w:w="714" w:type="dxa"/>
            <w:tcBorders>
              <w:top w:val="single" w:sz="4" w:space="0" w:color="ADD6EA"/>
              <w:left w:val="nil"/>
              <w:bottom w:val="nil"/>
              <w:right w:val="nil"/>
            </w:tcBorders>
            <w:shd w:val="clear" w:color="auto" w:fill="auto"/>
            <w:vAlign w:val="bottom"/>
            <w:hideMark/>
          </w:tcPr>
          <w:p w14:paraId="7904E00D"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-280</w:t>
            </w:r>
          </w:p>
        </w:tc>
        <w:tc>
          <w:tcPr>
            <w:tcW w:w="714" w:type="dxa"/>
            <w:tcBorders>
              <w:top w:val="single" w:sz="4" w:space="0" w:color="ADD6EA"/>
              <w:left w:val="nil"/>
              <w:bottom w:val="nil"/>
              <w:right w:val="nil"/>
            </w:tcBorders>
            <w:shd w:val="clear" w:color="auto" w:fill="auto"/>
            <w:vAlign w:val="bottom"/>
            <w:hideMark/>
          </w:tcPr>
          <w:p w14:paraId="4B145865"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-330</w:t>
            </w:r>
          </w:p>
        </w:tc>
        <w:tc>
          <w:tcPr>
            <w:tcW w:w="714" w:type="dxa"/>
            <w:tcBorders>
              <w:top w:val="single" w:sz="4" w:space="0" w:color="ADD6EA"/>
              <w:left w:val="nil"/>
              <w:bottom w:val="nil"/>
              <w:right w:val="nil"/>
            </w:tcBorders>
            <w:shd w:val="clear" w:color="auto" w:fill="auto"/>
            <w:vAlign w:val="bottom"/>
            <w:hideMark/>
          </w:tcPr>
          <w:p w14:paraId="668FF654"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-261</w:t>
            </w:r>
          </w:p>
        </w:tc>
        <w:tc>
          <w:tcPr>
            <w:tcW w:w="714" w:type="dxa"/>
            <w:tcBorders>
              <w:top w:val="single" w:sz="4" w:space="0" w:color="ADD6EA"/>
              <w:left w:val="nil"/>
              <w:bottom w:val="nil"/>
              <w:right w:val="nil"/>
            </w:tcBorders>
            <w:shd w:val="clear" w:color="auto" w:fill="auto"/>
            <w:vAlign w:val="bottom"/>
            <w:hideMark/>
          </w:tcPr>
          <w:p w14:paraId="3BE9D3FA"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-66</w:t>
            </w:r>
          </w:p>
        </w:tc>
        <w:tc>
          <w:tcPr>
            <w:tcW w:w="673" w:type="dxa"/>
            <w:tcBorders>
              <w:top w:val="single" w:sz="4" w:space="0" w:color="ADD6EA"/>
              <w:left w:val="nil"/>
              <w:bottom w:val="nil"/>
              <w:right w:val="nil"/>
            </w:tcBorders>
            <w:shd w:val="clear" w:color="auto" w:fill="auto"/>
            <w:vAlign w:val="bottom"/>
            <w:hideMark/>
          </w:tcPr>
          <w:p w14:paraId="1475E109"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-107</w:t>
            </w:r>
          </w:p>
        </w:tc>
        <w:tc>
          <w:tcPr>
            <w:tcW w:w="755" w:type="dxa"/>
            <w:tcBorders>
              <w:top w:val="single" w:sz="4" w:space="0" w:color="ADD6EA"/>
              <w:left w:val="nil"/>
              <w:bottom w:val="nil"/>
              <w:right w:val="nil"/>
            </w:tcBorders>
            <w:shd w:val="clear" w:color="auto" w:fill="auto"/>
            <w:vAlign w:val="bottom"/>
            <w:hideMark/>
          </w:tcPr>
          <w:p w14:paraId="0946C720"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1,942</w:t>
            </w:r>
          </w:p>
        </w:tc>
      </w:tr>
      <w:tr w:rsidR="00F63D67" w:rsidRPr="00D40515" w14:paraId="2E263BC0" w14:textId="77777777" w:rsidTr="00514DDD">
        <w:trPr>
          <w:trHeight w:val="555"/>
        </w:trPr>
        <w:tc>
          <w:tcPr>
            <w:tcW w:w="1985" w:type="dxa"/>
            <w:tcBorders>
              <w:top w:val="nil"/>
              <w:left w:val="nil"/>
              <w:bottom w:val="single" w:sz="4" w:space="0" w:color="B6D5E4"/>
              <w:right w:val="nil"/>
            </w:tcBorders>
            <w:shd w:val="clear" w:color="auto" w:fill="auto"/>
            <w:vAlign w:val="bottom"/>
            <w:hideMark/>
          </w:tcPr>
          <w:p w14:paraId="0E3B7CAB" w14:textId="77777777" w:rsidR="00F63D67" w:rsidRPr="009E2CEC" w:rsidRDefault="00F63D67" w:rsidP="005E774D">
            <w:pPr>
              <w:keepNext/>
              <w:keepLines/>
              <w:widowControl w:val="0"/>
              <w:tabs>
                <w:tab w:val="clear" w:pos="567"/>
              </w:tabs>
              <w:spacing w:before="0" w:line="240" w:lineRule="auto"/>
              <w:rPr>
                <w:rFonts w:eastAsia="Times New Roman" w:cs="Open Sans Light"/>
                <w:sz w:val="16"/>
                <w:szCs w:val="16"/>
                <w:lang w:eastAsia="en-AU"/>
              </w:rPr>
            </w:pPr>
            <w:r w:rsidRPr="009E2CEC">
              <w:rPr>
                <w:rFonts w:eastAsia="Symbol" w:cs="Open Sans Light"/>
                <w:sz w:val="16"/>
                <w:szCs w:val="16"/>
                <w:lang w:eastAsia="en-AU"/>
              </w:rPr>
              <w:t>Urban transport investment ($m)</w:t>
            </w:r>
          </w:p>
        </w:tc>
        <w:tc>
          <w:tcPr>
            <w:tcW w:w="713" w:type="dxa"/>
            <w:tcBorders>
              <w:top w:val="single" w:sz="4" w:space="0" w:color="B6D5E4"/>
              <w:left w:val="nil"/>
              <w:bottom w:val="single" w:sz="4" w:space="0" w:color="B6D5E4"/>
              <w:right w:val="nil"/>
            </w:tcBorders>
            <w:shd w:val="clear" w:color="auto" w:fill="auto"/>
            <w:vAlign w:val="bottom"/>
            <w:hideMark/>
          </w:tcPr>
          <w:p w14:paraId="1B2A6D63" w14:textId="77777777" w:rsidR="00F63D67" w:rsidRPr="009E2CEC" w:rsidRDefault="00F63D67" w:rsidP="009176F9">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eastAsia="Times New Roman" w:cs="Open Sans Light"/>
                <w:sz w:val="16"/>
                <w:szCs w:val="16"/>
                <w:lang w:eastAsia="en-AU"/>
              </w:rPr>
              <w:t>1,280</w:t>
            </w:r>
          </w:p>
        </w:tc>
        <w:tc>
          <w:tcPr>
            <w:tcW w:w="714" w:type="dxa"/>
            <w:tcBorders>
              <w:top w:val="single" w:sz="4" w:space="0" w:color="B6D5E4"/>
              <w:left w:val="nil"/>
              <w:bottom w:val="single" w:sz="4" w:space="0" w:color="B6D5E4"/>
              <w:right w:val="nil"/>
            </w:tcBorders>
            <w:shd w:val="clear" w:color="auto" w:fill="auto"/>
            <w:vAlign w:val="bottom"/>
            <w:hideMark/>
          </w:tcPr>
          <w:p w14:paraId="45B32A75" w14:textId="77777777" w:rsidR="00F63D67" w:rsidRPr="009E2CEC" w:rsidRDefault="00F63D67" w:rsidP="009176F9">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eastAsia="Times New Roman" w:cs="Open Sans Light"/>
                <w:sz w:val="16"/>
                <w:szCs w:val="16"/>
                <w:lang w:eastAsia="en-AU"/>
              </w:rPr>
              <w:t>248</w:t>
            </w:r>
          </w:p>
        </w:tc>
        <w:tc>
          <w:tcPr>
            <w:tcW w:w="714" w:type="dxa"/>
            <w:tcBorders>
              <w:top w:val="single" w:sz="4" w:space="0" w:color="B6D5E4"/>
              <w:left w:val="nil"/>
              <w:bottom w:val="single" w:sz="4" w:space="0" w:color="B6D5E4"/>
              <w:right w:val="nil"/>
            </w:tcBorders>
            <w:shd w:val="clear" w:color="auto" w:fill="auto"/>
            <w:vAlign w:val="bottom"/>
            <w:hideMark/>
          </w:tcPr>
          <w:p w14:paraId="0570ACE3" w14:textId="77777777" w:rsidR="00F63D67" w:rsidRPr="009E2CEC" w:rsidRDefault="00F63D67" w:rsidP="009176F9">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eastAsia="Times New Roman" w:cs="Open Sans Light"/>
                <w:sz w:val="16"/>
                <w:szCs w:val="16"/>
                <w:lang w:eastAsia="en-AU"/>
              </w:rPr>
              <w:t>-696</w:t>
            </w:r>
          </w:p>
        </w:tc>
        <w:tc>
          <w:tcPr>
            <w:tcW w:w="714" w:type="dxa"/>
            <w:tcBorders>
              <w:top w:val="single" w:sz="4" w:space="0" w:color="B6D5E4"/>
              <w:left w:val="nil"/>
              <w:bottom w:val="single" w:sz="4" w:space="0" w:color="B6D5E4"/>
              <w:right w:val="nil"/>
            </w:tcBorders>
            <w:shd w:val="clear" w:color="auto" w:fill="auto"/>
            <w:vAlign w:val="bottom"/>
            <w:hideMark/>
          </w:tcPr>
          <w:p w14:paraId="4EA546E6" w14:textId="77777777" w:rsidR="00F63D67" w:rsidRPr="009E2CEC" w:rsidRDefault="00F63D67" w:rsidP="009176F9">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eastAsia="Times New Roman" w:cs="Open Sans Light"/>
                <w:sz w:val="16"/>
                <w:szCs w:val="16"/>
                <w:lang w:eastAsia="en-AU"/>
              </w:rPr>
              <w:t>-31</w:t>
            </w:r>
          </w:p>
        </w:tc>
        <w:tc>
          <w:tcPr>
            <w:tcW w:w="714" w:type="dxa"/>
            <w:tcBorders>
              <w:top w:val="single" w:sz="4" w:space="0" w:color="B6D5E4"/>
              <w:left w:val="nil"/>
              <w:bottom w:val="single" w:sz="4" w:space="0" w:color="B6D5E4"/>
              <w:right w:val="nil"/>
            </w:tcBorders>
            <w:shd w:val="clear" w:color="auto" w:fill="auto"/>
            <w:vAlign w:val="bottom"/>
            <w:hideMark/>
          </w:tcPr>
          <w:p w14:paraId="359DB581" w14:textId="77777777" w:rsidR="00F63D67" w:rsidRPr="009E2CEC" w:rsidRDefault="00F63D67" w:rsidP="009176F9">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eastAsia="Times New Roman" w:cs="Open Sans Light"/>
                <w:sz w:val="16"/>
                <w:szCs w:val="16"/>
                <w:lang w:eastAsia="en-AU"/>
              </w:rPr>
              <w:t>-309</w:t>
            </w:r>
          </w:p>
        </w:tc>
        <w:tc>
          <w:tcPr>
            <w:tcW w:w="714" w:type="dxa"/>
            <w:tcBorders>
              <w:top w:val="single" w:sz="4" w:space="0" w:color="B6D5E4"/>
              <w:left w:val="nil"/>
              <w:bottom w:val="single" w:sz="4" w:space="0" w:color="B6D5E4"/>
              <w:right w:val="nil"/>
            </w:tcBorders>
            <w:shd w:val="clear" w:color="auto" w:fill="auto"/>
            <w:vAlign w:val="bottom"/>
            <w:hideMark/>
          </w:tcPr>
          <w:p w14:paraId="7E48E86E" w14:textId="77777777" w:rsidR="00F63D67" w:rsidRPr="009E2CEC" w:rsidRDefault="00F63D67" w:rsidP="009176F9">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eastAsia="Times New Roman" w:cs="Open Sans Light"/>
                <w:sz w:val="16"/>
                <w:szCs w:val="16"/>
                <w:lang w:eastAsia="en-AU"/>
              </w:rPr>
              <w:t>-275</w:t>
            </w:r>
          </w:p>
        </w:tc>
        <w:tc>
          <w:tcPr>
            <w:tcW w:w="714" w:type="dxa"/>
            <w:tcBorders>
              <w:top w:val="single" w:sz="4" w:space="0" w:color="B6D5E4"/>
              <w:left w:val="nil"/>
              <w:bottom w:val="single" w:sz="4" w:space="0" w:color="B6D5E4"/>
              <w:right w:val="nil"/>
            </w:tcBorders>
            <w:shd w:val="clear" w:color="auto" w:fill="auto"/>
            <w:vAlign w:val="bottom"/>
            <w:hideMark/>
          </w:tcPr>
          <w:p w14:paraId="4E09CA9B" w14:textId="77777777" w:rsidR="00F63D67" w:rsidRPr="009E2CEC" w:rsidRDefault="00F63D67" w:rsidP="009176F9">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eastAsia="Times New Roman" w:cs="Open Sans Light"/>
                <w:sz w:val="16"/>
                <w:szCs w:val="16"/>
                <w:lang w:eastAsia="en-AU"/>
              </w:rPr>
              <w:t>-97</w:t>
            </w:r>
          </w:p>
        </w:tc>
        <w:tc>
          <w:tcPr>
            <w:tcW w:w="673" w:type="dxa"/>
            <w:tcBorders>
              <w:top w:val="single" w:sz="4" w:space="0" w:color="B6D5E4"/>
              <w:left w:val="nil"/>
              <w:bottom w:val="single" w:sz="4" w:space="0" w:color="B6D5E4"/>
              <w:right w:val="nil"/>
            </w:tcBorders>
            <w:shd w:val="clear" w:color="auto" w:fill="auto"/>
            <w:vAlign w:val="bottom"/>
            <w:hideMark/>
          </w:tcPr>
          <w:p w14:paraId="68AE85E1" w14:textId="77777777" w:rsidR="00F63D67" w:rsidRPr="009E2CEC" w:rsidRDefault="00F63D67" w:rsidP="009176F9">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eastAsia="Times New Roman" w:cs="Open Sans Light"/>
                <w:sz w:val="16"/>
                <w:szCs w:val="16"/>
                <w:lang w:eastAsia="en-AU"/>
              </w:rPr>
              <w:t>-120</w:t>
            </w:r>
          </w:p>
        </w:tc>
        <w:tc>
          <w:tcPr>
            <w:tcW w:w="755" w:type="dxa"/>
            <w:tcBorders>
              <w:top w:val="single" w:sz="4" w:space="0" w:color="B6D5E4"/>
              <w:left w:val="nil"/>
              <w:bottom w:val="single" w:sz="4" w:space="0" w:color="B6D5E4"/>
              <w:right w:val="nil"/>
            </w:tcBorders>
            <w:shd w:val="clear" w:color="auto" w:fill="auto"/>
            <w:vAlign w:val="bottom"/>
            <w:hideMark/>
          </w:tcPr>
          <w:p w14:paraId="0A530652" w14:textId="77777777" w:rsidR="00F63D67" w:rsidRPr="009E2CEC" w:rsidRDefault="00F63D67" w:rsidP="009176F9">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eastAsia="Times New Roman" w:cs="Open Sans Light"/>
                <w:sz w:val="16"/>
                <w:szCs w:val="16"/>
                <w:lang w:eastAsia="en-AU"/>
              </w:rPr>
              <w:t>1,528</w:t>
            </w:r>
          </w:p>
        </w:tc>
      </w:tr>
      <w:tr w:rsidR="00F63D67" w:rsidRPr="00D40515" w14:paraId="1E6660F0" w14:textId="77777777" w:rsidTr="00514DDD">
        <w:trPr>
          <w:trHeight w:val="555"/>
        </w:trPr>
        <w:tc>
          <w:tcPr>
            <w:tcW w:w="1985" w:type="dxa"/>
            <w:tcBorders>
              <w:top w:val="nil"/>
              <w:left w:val="nil"/>
              <w:bottom w:val="single" w:sz="4" w:space="0" w:color="B6D5E4"/>
              <w:right w:val="nil"/>
            </w:tcBorders>
            <w:shd w:val="clear" w:color="auto" w:fill="auto"/>
            <w:vAlign w:val="bottom"/>
            <w:hideMark/>
          </w:tcPr>
          <w:p w14:paraId="0BCF04ED" w14:textId="77777777" w:rsidR="00F63D67" w:rsidRPr="009E2CEC" w:rsidRDefault="00F63D67" w:rsidP="005E774D">
            <w:pPr>
              <w:keepNext/>
              <w:keepLines/>
              <w:widowControl w:val="0"/>
              <w:tabs>
                <w:tab w:val="clear" w:pos="567"/>
              </w:tabs>
              <w:spacing w:before="0" w:line="240" w:lineRule="auto"/>
              <w:rPr>
                <w:rFonts w:eastAsia="Symbol" w:cs="Open Sans Light"/>
                <w:sz w:val="16"/>
                <w:szCs w:val="16"/>
                <w:lang w:eastAsia="en-AU"/>
              </w:rPr>
            </w:pPr>
            <w:r w:rsidRPr="009E2CEC">
              <w:rPr>
                <w:rFonts w:eastAsia="Symbol" w:cs="Open Sans Light"/>
                <w:sz w:val="16"/>
                <w:szCs w:val="16"/>
                <w:lang w:eastAsia="en-AU"/>
              </w:rPr>
              <w:t xml:space="preserve">Non-urban </w:t>
            </w:r>
          </w:p>
          <w:p w14:paraId="1FFCB936" w14:textId="77777777" w:rsidR="00F63D67" w:rsidRPr="009E2CEC" w:rsidRDefault="00F63D67" w:rsidP="005E774D">
            <w:pPr>
              <w:keepNext/>
              <w:keepLines/>
              <w:widowControl w:val="0"/>
              <w:tabs>
                <w:tab w:val="clear" w:pos="567"/>
              </w:tabs>
              <w:spacing w:before="0" w:line="240" w:lineRule="auto"/>
              <w:rPr>
                <w:rFonts w:eastAsia="Times New Roman" w:cs="Open Sans Light"/>
                <w:sz w:val="16"/>
                <w:szCs w:val="16"/>
                <w:lang w:eastAsia="en-AU"/>
              </w:rPr>
            </w:pPr>
            <w:r w:rsidRPr="009E2CEC">
              <w:rPr>
                <w:rFonts w:eastAsia="Symbol" w:cs="Open Sans Light"/>
                <w:sz w:val="16"/>
                <w:szCs w:val="16"/>
                <w:lang w:eastAsia="en-AU"/>
              </w:rPr>
              <w:t>transport ($m) (a)</w:t>
            </w:r>
          </w:p>
        </w:tc>
        <w:tc>
          <w:tcPr>
            <w:tcW w:w="713" w:type="dxa"/>
            <w:tcBorders>
              <w:top w:val="single" w:sz="4" w:space="0" w:color="ADD6EA"/>
              <w:left w:val="nil"/>
              <w:bottom w:val="nil"/>
              <w:right w:val="nil"/>
            </w:tcBorders>
            <w:shd w:val="clear" w:color="auto" w:fill="auto"/>
            <w:vAlign w:val="bottom"/>
            <w:hideMark/>
          </w:tcPr>
          <w:p w14:paraId="3D5A208A"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2</w:t>
            </w:r>
          </w:p>
        </w:tc>
        <w:tc>
          <w:tcPr>
            <w:tcW w:w="714" w:type="dxa"/>
            <w:tcBorders>
              <w:top w:val="single" w:sz="4" w:space="0" w:color="ADD6EA"/>
              <w:left w:val="nil"/>
              <w:bottom w:val="nil"/>
              <w:right w:val="nil"/>
            </w:tcBorders>
            <w:shd w:val="clear" w:color="auto" w:fill="auto"/>
            <w:vAlign w:val="bottom"/>
            <w:hideMark/>
          </w:tcPr>
          <w:p w14:paraId="459F1264"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-4</w:t>
            </w:r>
          </w:p>
        </w:tc>
        <w:tc>
          <w:tcPr>
            <w:tcW w:w="714" w:type="dxa"/>
            <w:tcBorders>
              <w:top w:val="single" w:sz="4" w:space="0" w:color="ADD6EA"/>
              <w:left w:val="nil"/>
              <w:bottom w:val="nil"/>
              <w:right w:val="nil"/>
            </w:tcBorders>
            <w:shd w:val="clear" w:color="auto" w:fill="auto"/>
            <w:vAlign w:val="bottom"/>
            <w:hideMark/>
          </w:tcPr>
          <w:p w14:paraId="02917261"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-3</w:t>
            </w:r>
          </w:p>
        </w:tc>
        <w:tc>
          <w:tcPr>
            <w:tcW w:w="714" w:type="dxa"/>
            <w:tcBorders>
              <w:top w:val="single" w:sz="4" w:space="0" w:color="ADD6EA"/>
              <w:left w:val="nil"/>
              <w:bottom w:val="nil"/>
              <w:right w:val="nil"/>
            </w:tcBorders>
            <w:shd w:val="clear" w:color="auto" w:fill="auto"/>
            <w:vAlign w:val="bottom"/>
            <w:hideMark/>
          </w:tcPr>
          <w:p w14:paraId="20DDA3DE"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6</w:t>
            </w:r>
          </w:p>
        </w:tc>
        <w:tc>
          <w:tcPr>
            <w:tcW w:w="714" w:type="dxa"/>
            <w:tcBorders>
              <w:top w:val="single" w:sz="4" w:space="0" w:color="ADD6EA"/>
              <w:left w:val="nil"/>
              <w:bottom w:val="nil"/>
              <w:right w:val="nil"/>
            </w:tcBorders>
            <w:shd w:val="clear" w:color="auto" w:fill="auto"/>
            <w:vAlign w:val="bottom"/>
            <w:hideMark/>
          </w:tcPr>
          <w:p w14:paraId="71E45111"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-3</w:t>
            </w:r>
          </w:p>
        </w:tc>
        <w:tc>
          <w:tcPr>
            <w:tcW w:w="714" w:type="dxa"/>
            <w:tcBorders>
              <w:top w:val="single" w:sz="4" w:space="0" w:color="ADD6EA"/>
              <w:left w:val="nil"/>
              <w:bottom w:val="nil"/>
              <w:right w:val="nil"/>
            </w:tcBorders>
            <w:shd w:val="clear" w:color="auto" w:fill="auto"/>
            <w:vAlign w:val="bottom"/>
            <w:hideMark/>
          </w:tcPr>
          <w:p w14:paraId="5F06ECB7"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-1</w:t>
            </w:r>
          </w:p>
        </w:tc>
        <w:tc>
          <w:tcPr>
            <w:tcW w:w="714" w:type="dxa"/>
            <w:tcBorders>
              <w:top w:val="single" w:sz="4" w:space="0" w:color="ADD6EA"/>
              <w:left w:val="nil"/>
              <w:bottom w:val="nil"/>
              <w:right w:val="nil"/>
            </w:tcBorders>
            <w:shd w:val="clear" w:color="auto" w:fill="auto"/>
            <w:vAlign w:val="bottom"/>
            <w:hideMark/>
          </w:tcPr>
          <w:p w14:paraId="27B405EB"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1</w:t>
            </w:r>
          </w:p>
        </w:tc>
        <w:tc>
          <w:tcPr>
            <w:tcW w:w="673" w:type="dxa"/>
            <w:tcBorders>
              <w:top w:val="single" w:sz="4" w:space="0" w:color="ADD6EA"/>
              <w:left w:val="nil"/>
              <w:bottom w:val="nil"/>
              <w:right w:val="nil"/>
            </w:tcBorders>
            <w:shd w:val="clear" w:color="auto" w:fill="auto"/>
            <w:vAlign w:val="bottom"/>
            <w:hideMark/>
          </w:tcPr>
          <w:p w14:paraId="4053CF41"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2</w:t>
            </w:r>
          </w:p>
        </w:tc>
        <w:tc>
          <w:tcPr>
            <w:tcW w:w="755" w:type="dxa"/>
            <w:tcBorders>
              <w:top w:val="single" w:sz="4" w:space="0" w:color="ADD6EA"/>
              <w:left w:val="nil"/>
              <w:bottom w:val="nil"/>
              <w:right w:val="nil"/>
            </w:tcBorders>
            <w:shd w:val="clear" w:color="auto" w:fill="auto"/>
            <w:vAlign w:val="bottom"/>
            <w:hideMark/>
          </w:tcPr>
          <w:p w14:paraId="6A42C402"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11</w:t>
            </w:r>
          </w:p>
        </w:tc>
      </w:tr>
      <w:tr w:rsidR="00F63D67" w:rsidRPr="00D40515" w14:paraId="2BB8DD47" w14:textId="77777777" w:rsidTr="00514DDD">
        <w:trPr>
          <w:trHeight w:val="555"/>
        </w:trPr>
        <w:tc>
          <w:tcPr>
            <w:tcW w:w="1985" w:type="dxa"/>
            <w:tcBorders>
              <w:top w:val="nil"/>
              <w:left w:val="nil"/>
              <w:bottom w:val="single" w:sz="4" w:space="0" w:color="B6D5E4"/>
              <w:right w:val="nil"/>
            </w:tcBorders>
            <w:shd w:val="clear" w:color="auto" w:fill="auto"/>
            <w:vAlign w:val="bottom"/>
            <w:hideMark/>
          </w:tcPr>
          <w:p w14:paraId="58A1935B" w14:textId="77777777" w:rsidR="00F63D67" w:rsidRPr="009E2CEC" w:rsidRDefault="00F63D67" w:rsidP="005E774D">
            <w:pPr>
              <w:keepNext/>
              <w:keepLines/>
              <w:widowControl w:val="0"/>
              <w:tabs>
                <w:tab w:val="clear" w:pos="567"/>
              </w:tabs>
              <w:spacing w:before="0" w:line="240" w:lineRule="auto"/>
              <w:rPr>
                <w:rFonts w:eastAsia="Times New Roman" w:cs="Open Sans Light"/>
                <w:sz w:val="16"/>
                <w:szCs w:val="16"/>
                <w:lang w:eastAsia="en-AU"/>
              </w:rPr>
            </w:pPr>
            <w:r w:rsidRPr="009E2CEC">
              <w:rPr>
                <w:rFonts w:eastAsia="Symbol" w:cs="Open Sans Light"/>
                <w:sz w:val="16"/>
                <w:szCs w:val="16"/>
                <w:lang w:eastAsia="en-AU"/>
              </w:rPr>
              <w:t>Non-urban transport investment ($m)</w:t>
            </w:r>
          </w:p>
        </w:tc>
        <w:tc>
          <w:tcPr>
            <w:tcW w:w="713" w:type="dxa"/>
            <w:tcBorders>
              <w:top w:val="single" w:sz="4" w:space="0" w:color="ADD6EA"/>
              <w:left w:val="nil"/>
              <w:bottom w:val="nil"/>
              <w:right w:val="nil"/>
            </w:tcBorders>
            <w:shd w:val="clear" w:color="auto" w:fill="auto"/>
            <w:vAlign w:val="bottom"/>
            <w:hideMark/>
          </w:tcPr>
          <w:p w14:paraId="499EDE6D"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-2</w:t>
            </w:r>
          </w:p>
        </w:tc>
        <w:tc>
          <w:tcPr>
            <w:tcW w:w="714" w:type="dxa"/>
            <w:tcBorders>
              <w:top w:val="single" w:sz="4" w:space="0" w:color="ADD6EA"/>
              <w:left w:val="nil"/>
              <w:bottom w:val="nil"/>
              <w:right w:val="nil"/>
            </w:tcBorders>
            <w:shd w:val="clear" w:color="auto" w:fill="auto"/>
            <w:vAlign w:val="bottom"/>
            <w:hideMark/>
          </w:tcPr>
          <w:p w14:paraId="6EC7E9AA"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-2</w:t>
            </w:r>
          </w:p>
        </w:tc>
        <w:tc>
          <w:tcPr>
            <w:tcW w:w="714" w:type="dxa"/>
            <w:tcBorders>
              <w:top w:val="single" w:sz="4" w:space="0" w:color="ADD6EA"/>
              <w:left w:val="nil"/>
              <w:bottom w:val="nil"/>
              <w:right w:val="nil"/>
            </w:tcBorders>
            <w:shd w:val="clear" w:color="auto" w:fill="auto"/>
            <w:vAlign w:val="bottom"/>
            <w:hideMark/>
          </w:tcPr>
          <w:p w14:paraId="065C1872"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2</w:t>
            </w:r>
          </w:p>
        </w:tc>
        <w:tc>
          <w:tcPr>
            <w:tcW w:w="714" w:type="dxa"/>
            <w:tcBorders>
              <w:top w:val="single" w:sz="4" w:space="0" w:color="ADD6EA"/>
              <w:left w:val="nil"/>
              <w:bottom w:val="nil"/>
              <w:right w:val="nil"/>
            </w:tcBorders>
            <w:shd w:val="clear" w:color="auto" w:fill="auto"/>
            <w:vAlign w:val="bottom"/>
            <w:hideMark/>
          </w:tcPr>
          <w:p w14:paraId="1622804B"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2</w:t>
            </w:r>
          </w:p>
        </w:tc>
        <w:tc>
          <w:tcPr>
            <w:tcW w:w="714" w:type="dxa"/>
            <w:tcBorders>
              <w:top w:val="single" w:sz="4" w:space="0" w:color="ADD6EA"/>
              <w:left w:val="nil"/>
              <w:bottom w:val="nil"/>
              <w:right w:val="nil"/>
            </w:tcBorders>
            <w:shd w:val="clear" w:color="auto" w:fill="auto"/>
            <w:vAlign w:val="bottom"/>
            <w:hideMark/>
          </w:tcPr>
          <w:p w14:paraId="44A07D89"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0</w:t>
            </w:r>
          </w:p>
        </w:tc>
        <w:tc>
          <w:tcPr>
            <w:tcW w:w="714" w:type="dxa"/>
            <w:tcBorders>
              <w:top w:val="single" w:sz="4" w:space="0" w:color="ADD6EA"/>
              <w:left w:val="nil"/>
              <w:bottom w:val="nil"/>
              <w:right w:val="nil"/>
            </w:tcBorders>
            <w:shd w:val="clear" w:color="auto" w:fill="auto"/>
            <w:vAlign w:val="bottom"/>
            <w:hideMark/>
          </w:tcPr>
          <w:p w14:paraId="5BFCC4C3"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0</w:t>
            </w:r>
          </w:p>
        </w:tc>
        <w:tc>
          <w:tcPr>
            <w:tcW w:w="714" w:type="dxa"/>
            <w:tcBorders>
              <w:top w:val="single" w:sz="4" w:space="0" w:color="ADD6EA"/>
              <w:left w:val="nil"/>
              <w:bottom w:val="nil"/>
              <w:right w:val="nil"/>
            </w:tcBorders>
            <w:shd w:val="clear" w:color="auto" w:fill="auto"/>
            <w:vAlign w:val="bottom"/>
            <w:hideMark/>
          </w:tcPr>
          <w:p w14:paraId="0B155E6F"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0</w:t>
            </w:r>
          </w:p>
        </w:tc>
        <w:tc>
          <w:tcPr>
            <w:tcW w:w="673" w:type="dxa"/>
            <w:tcBorders>
              <w:top w:val="single" w:sz="4" w:space="0" w:color="ADD6EA"/>
              <w:left w:val="nil"/>
              <w:bottom w:val="nil"/>
              <w:right w:val="nil"/>
            </w:tcBorders>
            <w:shd w:val="clear" w:color="auto" w:fill="auto"/>
            <w:vAlign w:val="bottom"/>
            <w:hideMark/>
          </w:tcPr>
          <w:p w14:paraId="4DD489E3"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0</w:t>
            </w:r>
          </w:p>
        </w:tc>
        <w:tc>
          <w:tcPr>
            <w:tcW w:w="755" w:type="dxa"/>
            <w:tcBorders>
              <w:top w:val="single" w:sz="4" w:space="0" w:color="ADD6EA"/>
              <w:left w:val="nil"/>
              <w:bottom w:val="nil"/>
              <w:right w:val="nil"/>
            </w:tcBorders>
            <w:shd w:val="clear" w:color="auto" w:fill="auto"/>
            <w:vAlign w:val="bottom"/>
            <w:hideMark/>
          </w:tcPr>
          <w:p w14:paraId="6DBAA0D4" w14:textId="77777777" w:rsidR="00F63D67" w:rsidRPr="009E2CEC" w:rsidRDefault="00F63D67">
            <w:pPr>
              <w:keepNext/>
              <w:keepLines/>
              <w:widowControl w:val="0"/>
              <w:tabs>
                <w:tab w:val="clear" w:pos="567"/>
              </w:tabs>
              <w:spacing w:before="0" w:line="240" w:lineRule="auto"/>
              <w:jc w:val="right"/>
              <w:rPr>
                <w:rFonts w:eastAsia="Times New Roman" w:cs="Open Sans Light"/>
                <w:sz w:val="16"/>
                <w:szCs w:val="16"/>
                <w:lang w:eastAsia="en-AU"/>
              </w:rPr>
            </w:pPr>
            <w:r w:rsidRPr="009E2CEC">
              <w:rPr>
                <w:rFonts w:cs="Open Sans Light"/>
                <w:color w:val="000000"/>
                <w:sz w:val="16"/>
                <w:szCs w:val="16"/>
              </w:rPr>
              <w:t>4</w:t>
            </w:r>
          </w:p>
        </w:tc>
      </w:tr>
      <w:tr w:rsidR="00F63D67" w:rsidRPr="00D40515" w14:paraId="16F5769F" w14:textId="77777777" w:rsidTr="00514DDD">
        <w:trPr>
          <w:trHeight w:val="315"/>
        </w:trPr>
        <w:tc>
          <w:tcPr>
            <w:tcW w:w="1985" w:type="dxa"/>
            <w:tcBorders>
              <w:top w:val="single" w:sz="4" w:space="0" w:color="ADD6EA"/>
              <w:left w:val="nil"/>
              <w:bottom w:val="single" w:sz="4" w:space="0" w:color="ADD6EA"/>
              <w:right w:val="nil"/>
            </w:tcBorders>
            <w:shd w:val="clear" w:color="auto" w:fill="D6E7F0"/>
            <w:vAlign w:val="bottom"/>
            <w:hideMark/>
          </w:tcPr>
          <w:p w14:paraId="6E0DB4CC" w14:textId="77777777" w:rsidR="00F63D67" w:rsidRPr="00D40515" w:rsidRDefault="00F63D67" w:rsidP="005E774D">
            <w:pPr>
              <w:keepNext/>
              <w:keepLines/>
              <w:widowControl w:val="0"/>
              <w:tabs>
                <w:tab w:val="clear" w:pos="567"/>
              </w:tabs>
              <w:spacing w:before="0" w:line="240" w:lineRule="auto"/>
              <w:rPr>
                <w:rFonts w:ascii="Work Sans" w:eastAsia="Times New Roman" w:hAnsi="Work Sans" w:cs="Times New Roman"/>
                <w:b/>
                <w:bCs/>
                <w:sz w:val="16"/>
                <w:szCs w:val="16"/>
                <w:lang w:eastAsia="en-AU"/>
              </w:rPr>
            </w:pPr>
            <w:r w:rsidRPr="009E2CEC">
              <w:rPr>
                <w:rFonts w:ascii="Open Sans Semibold" w:hAnsi="Open Sans Semibold" w:cs="Open Sans Semibold"/>
                <w:color w:val="000000"/>
                <w:sz w:val="16"/>
                <w:szCs w:val="16"/>
              </w:rPr>
              <w:t>Transport ($m)</w:t>
            </w:r>
          </w:p>
        </w:tc>
        <w:tc>
          <w:tcPr>
            <w:tcW w:w="713" w:type="dxa"/>
            <w:tcBorders>
              <w:top w:val="single" w:sz="4" w:space="0" w:color="ADD6EA"/>
              <w:left w:val="nil"/>
              <w:bottom w:val="nil"/>
              <w:right w:val="nil"/>
            </w:tcBorders>
            <w:shd w:val="clear" w:color="000000" w:fill="D6E7F0"/>
            <w:vAlign w:val="bottom"/>
            <w:hideMark/>
          </w:tcPr>
          <w:p w14:paraId="1EDDE54E"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Pr>
                <w:rFonts w:ascii="Open Sans Semibold" w:hAnsi="Open Sans Semibold" w:cs="Open Sans Semibold"/>
                <w:color w:val="000000"/>
                <w:sz w:val="16"/>
                <w:szCs w:val="16"/>
              </w:rPr>
              <w:t>2,752</w:t>
            </w:r>
          </w:p>
        </w:tc>
        <w:tc>
          <w:tcPr>
            <w:tcW w:w="714" w:type="dxa"/>
            <w:tcBorders>
              <w:top w:val="single" w:sz="4" w:space="0" w:color="ADD6EA"/>
              <w:left w:val="nil"/>
              <w:bottom w:val="nil"/>
              <w:right w:val="nil"/>
            </w:tcBorders>
            <w:shd w:val="clear" w:color="000000" w:fill="D6E7F0"/>
            <w:vAlign w:val="bottom"/>
            <w:hideMark/>
          </w:tcPr>
          <w:p w14:paraId="41B2AA17"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Pr>
                <w:rFonts w:ascii="Open Sans Semibold" w:hAnsi="Open Sans Semibold" w:cs="Open Sans Semibold"/>
                <w:color w:val="000000"/>
                <w:sz w:val="16"/>
                <w:szCs w:val="16"/>
              </w:rPr>
              <w:t>711</w:t>
            </w:r>
          </w:p>
        </w:tc>
        <w:tc>
          <w:tcPr>
            <w:tcW w:w="714" w:type="dxa"/>
            <w:tcBorders>
              <w:top w:val="single" w:sz="4" w:space="0" w:color="ADD6EA"/>
              <w:left w:val="nil"/>
              <w:bottom w:val="nil"/>
              <w:right w:val="nil"/>
            </w:tcBorders>
            <w:shd w:val="clear" w:color="000000" w:fill="D6E7F0"/>
            <w:vAlign w:val="bottom"/>
            <w:hideMark/>
          </w:tcPr>
          <w:p w14:paraId="7E341C81"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1,595</w:t>
            </w:r>
          </w:p>
        </w:tc>
        <w:tc>
          <w:tcPr>
            <w:tcW w:w="714" w:type="dxa"/>
            <w:tcBorders>
              <w:top w:val="single" w:sz="4" w:space="0" w:color="ADD6EA"/>
              <w:left w:val="nil"/>
              <w:bottom w:val="nil"/>
              <w:right w:val="nil"/>
            </w:tcBorders>
            <w:shd w:val="clear" w:color="000000" w:fill="D6E7F0"/>
            <w:vAlign w:val="bottom"/>
            <w:hideMark/>
          </w:tcPr>
          <w:p w14:paraId="30366D23"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303</w:t>
            </w:r>
          </w:p>
        </w:tc>
        <w:tc>
          <w:tcPr>
            <w:tcW w:w="714" w:type="dxa"/>
            <w:tcBorders>
              <w:top w:val="single" w:sz="4" w:space="0" w:color="ADD6EA"/>
              <w:left w:val="nil"/>
              <w:bottom w:val="nil"/>
              <w:right w:val="nil"/>
            </w:tcBorders>
            <w:shd w:val="clear" w:color="000000" w:fill="D6E7F0"/>
            <w:vAlign w:val="bottom"/>
            <w:hideMark/>
          </w:tcPr>
          <w:p w14:paraId="33059D53"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641</w:t>
            </w:r>
          </w:p>
        </w:tc>
        <w:tc>
          <w:tcPr>
            <w:tcW w:w="714" w:type="dxa"/>
            <w:tcBorders>
              <w:top w:val="single" w:sz="4" w:space="0" w:color="ADD6EA"/>
              <w:left w:val="nil"/>
              <w:bottom w:val="nil"/>
              <w:right w:val="nil"/>
            </w:tcBorders>
            <w:shd w:val="clear" w:color="000000" w:fill="D6E7F0"/>
            <w:vAlign w:val="bottom"/>
            <w:hideMark/>
          </w:tcPr>
          <w:p w14:paraId="7971492C"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537</w:t>
            </w:r>
          </w:p>
        </w:tc>
        <w:tc>
          <w:tcPr>
            <w:tcW w:w="714" w:type="dxa"/>
            <w:tcBorders>
              <w:top w:val="single" w:sz="4" w:space="0" w:color="ADD6EA"/>
              <w:left w:val="nil"/>
              <w:bottom w:val="nil"/>
              <w:right w:val="nil"/>
            </w:tcBorders>
            <w:shd w:val="clear" w:color="000000" w:fill="D6E7F0"/>
            <w:vAlign w:val="bottom"/>
            <w:hideMark/>
          </w:tcPr>
          <w:p w14:paraId="0A111CE4"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162</w:t>
            </w:r>
          </w:p>
        </w:tc>
        <w:tc>
          <w:tcPr>
            <w:tcW w:w="673" w:type="dxa"/>
            <w:tcBorders>
              <w:top w:val="single" w:sz="4" w:space="0" w:color="ADD6EA"/>
              <w:left w:val="nil"/>
              <w:bottom w:val="nil"/>
              <w:right w:val="nil"/>
            </w:tcBorders>
            <w:shd w:val="clear" w:color="000000" w:fill="D6E7F0"/>
            <w:vAlign w:val="bottom"/>
            <w:hideMark/>
          </w:tcPr>
          <w:p w14:paraId="4D8E0CB3"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226</w:t>
            </w:r>
          </w:p>
        </w:tc>
        <w:tc>
          <w:tcPr>
            <w:tcW w:w="755" w:type="dxa"/>
            <w:tcBorders>
              <w:top w:val="single" w:sz="4" w:space="0" w:color="ADD6EA"/>
              <w:left w:val="nil"/>
              <w:bottom w:val="nil"/>
              <w:right w:val="nil"/>
            </w:tcBorders>
            <w:shd w:val="clear" w:color="000000" w:fill="D6E7F0"/>
            <w:vAlign w:val="bottom"/>
            <w:hideMark/>
          </w:tcPr>
          <w:p w14:paraId="5D8A1FDE" w14:textId="7735F8C8"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Pr>
                <w:rFonts w:ascii="Open Sans Semibold" w:hAnsi="Open Sans Semibold" w:cs="Open Sans Semibold"/>
                <w:color w:val="000000"/>
                <w:sz w:val="16"/>
                <w:szCs w:val="16"/>
              </w:rPr>
              <w:t>3,</w:t>
            </w:r>
            <w:r w:rsidR="00000EB5" w:rsidRPr="00000EB5">
              <w:rPr>
                <w:rFonts w:ascii="Open Sans Semibold" w:hAnsi="Open Sans Semibold" w:cs="Open Sans Semibold"/>
                <w:color w:val="000000"/>
                <w:sz w:val="16"/>
                <w:szCs w:val="16"/>
              </w:rPr>
              <w:t>485</w:t>
            </w:r>
          </w:p>
        </w:tc>
      </w:tr>
      <w:tr w:rsidR="00F63D67" w:rsidRPr="00D40515" w14:paraId="141274E4" w14:textId="77777777" w:rsidTr="00514DDD">
        <w:trPr>
          <w:trHeight w:val="315"/>
        </w:trPr>
        <w:tc>
          <w:tcPr>
            <w:tcW w:w="1985" w:type="dxa"/>
            <w:tcBorders>
              <w:top w:val="nil"/>
              <w:left w:val="nil"/>
              <w:bottom w:val="single" w:sz="4" w:space="0" w:color="ADD6EA"/>
              <w:right w:val="nil"/>
            </w:tcBorders>
            <w:shd w:val="clear" w:color="auto" w:fill="B6D5E4"/>
            <w:vAlign w:val="bottom"/>
            <w:hideMark/>
          </w:tcPr>
          <w:p w14:paraId="61D4659C" w14:textId="77777777" w:rsidR="00F63D67" w:rsidRPr="00D40515" w:rsidRDefault="00F63D67" w:rsidP="005E774D">
            <w:pPr>
              <w:keepNext/>
              <w:keepLines/>
              <w:widowControl w:val="0"/>
              <w:tabs>
                <w:tab w:val="clear" w:pos="567"/>
              </w:tabs>
              <w:spacing w:before="0" w:line="240" w:lineRule="auto"/>
              <w:rPr>
                <w:rFonts w:ascii="Work Sans" w:eastAsia="Times New Roman" w:hAnsi="Work Sans" w:cs="Times New Roman"/>
                <w:b/>
                <w:bCs/>
                <w:sz w:val="16"/>
                <w:szCs w:val="16"/>
                <w:lang w:eastAsia="en-AU"/>
              </w:rPr>
            </w:pPr>
            <w:r w:rsidRPr="009E2CEC">
              <w:rPr>
                <w:rFonts w:ascii="Open Sans Semibold" w:hAnsi="Open Sans Semibold" w:cs="Open Sans Semibold"/>
                <w:color w:val="000000"/>
                <w:sz w:val="16"/>
                <w:szCs w:val="16"/>
              </w:rPr>
              <w:t>Transport ($pc)</w:t>
            </w:r>
          </w:p>
        </w:tc>
        <w:tc>
          <w:tcPr>
            <w:tcW w:w="713" w:type="dxa"/>
            <w:tcBorders>
              <w:top w:val="single" w:sz="4" w:space="0" w:color="ADD6EA"/>
              <w:left w:val="nil"/>
              <w:bottom w:val="single" w:sz="4" w:space="0" w:color="ADD6EA"/>
              <w:right w:val="nil"/>
            </w:tcBorders>
            <w:shd w:val="clear" w:color="000000" w:fill="B6D5E4"/>
            <w:vAlign w:val="bottom"/>
            <w:hideMark/>
          </w:tcPr>
          <w:p w14:paraId="2C4B0630"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Pr>
                <w:rFonts w:ascii="Open Sans Semibold" w:hAnsi="Open Sans Semibold" w:cs="Open Sans Semibold"/>
                <w:color w:val="000000"/>
                <w:sz w:val="16"/>
                <w:szCs w:val="16"/>
              </w:rPr>
              <w:t>333</w:t>
            </w:r>
          </w:p>
        </w:tc>
        <w:tc>
          <w:tcPr>
            <w:tcW w:w="714" w:type="dxa"/>
            <w:tcBorders>
              <w:top w:val="single" w:sz="4" w:space="0" w:color="ADD6EA"/>
              <w:left w:val="nil"/>
              <w:bottom w:val="single" w:sz="4" w:space="0" w:color="ADD6EA"/>
              <w:right w:val="nil"/>
            </w:tcBorders>
            <w:shd w:val="clear" w:color="000000" w:fill="B6D5E4"/>
            <w:vAlign w:val="bottom"/>
            <w:hideMark/>
          </w:tcPr>
          <w:p w14:paraId="55392439"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Pr>
                <w:rFonts w:ascii="Open Sans Semibold" w:hAnsi="Open Sans Semibold" w:cs="Open Sans Semibold"/>
                <w:color w:val="000000"/>
                <w:sz w:val="16"/>
                <w:szCs w:val="16"/>
              </w:rPr>
              <w:t>105</w:t>
            </w:r>
          </w:p>
        </w:tc>
        <w:tc>
          <w:tcPr>
            <w:tcW w:w="714" w:type="dxa"/>
            <w:tcBorders>
              <w:top w:val="single" w:sz="4" w:space="0" w:color="ADD6EA"/>
              <w:left w:val="nil"/>
              <w:bottom w:val="single" w:sz="4" w:space="0" w:color="ADD6EA"/>
              <w:right w:val="nil"/>
            </w:tcBorders>
            <w:shd w:val="clear" w:color="000000" w:fill="B6D5E4"/>
            <w:vAlign w:val="bottom"/>
            <w:hideMark/>
          </w:tcPr>
          <w:p w14:paraId="0C2F6ECF"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294</w:t>
            </w:r>
          </w:p>
        </w:tc>
        <w:tc>
          <w:tcPr>
            <w:tcW w:w="714" w:type="dxa"/>
            <w:tcBorders>
              <w:top w:val="single" w:sz="4" w:space="0" w:color="ADD6EA"/>
              <w:left w:val="nil"/>
              <w:bottom w:val="single" w:sz="4" w:space="0" w:color="ADD6EA"/>
              <w:right w:val="nil"/>
            </w:tcBorders>
            <w:shd w:val="clear" w:color="000000" w:fill="B6D5E4"/>
            <w:vAlign w:val="bottom"/>
            <w:hideMark/>
          </w:tcPr>
          <w:p w14:paraId="12BAB559"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107</w:t>
            </w:r>
          </w:p>
        </w:tc>
        <w:tc>
          <w:tcPr>
            <w:tcW w:w="714" w:type="dxa"/>
            <w:tcBorders>
              <w:top w:val="single" w:sz="4" w:space="0" w:color="ADD6EA"/>
              <w:left w:val="nil"/>
              <w:bottom w:val="single" w:sz="4" w:space="0" w:color="ADD6EA"/>
              <w:right w:val="nil"/>
            </w:tcBorders>
            <w:shd w:val="clear" w:color="000000" w:fill="B6D5E4"/>
            <w:vAlign w:val="bottom"/>
            <w:hideMark/>
          </w:tcPr>
          <w:p w14:paraId="1FCBC903"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346</w:t>
            </w:r>
          </w:p>
        </w:tc>
        <w:tc>
          <w:tcPr>
            <w:tcW w:w="714" w:type="dxa"/>
            <w:tcBorders>
              <w:top w:val="single" w:sz="4" w:space="0" w:color="ADD6EA"/>
              <w:left w:val="nil"/>
              <w:bottom w:val="single" w:sz="4" w:space="0" w:color="ADD6EA"/>
              <w:right w:val="nil"/>
            </w:tcBorders>
            <w:shd w:val="clear" w:color="000000" w:fill="B6D5E4"/>
            <w:vAlign w:val="bottom"/>
            <w:hideMark/>
          </w:tcPr>
          <w:p w14:paraId="67EB3BF9"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918</w:t>
            </w:r>
          </w:p>
        </w:tc>
        <w:tc>
          <w:tcPr>
            <w:tcW w:w="714" w:type="dxa"/>
            <w:tcBorders>
              <w:top w:val="single" w:sz="4" w:space="0" w:color="ADD6EA"/>
              <w:left w:val="nil"/>
              <w:bottom w:val="single" w:sz="4" w:space="0" w:color="ADD6EA"/>
              <w:right w:val="nil"/>
            </w:tcBorders>
            <w:shd w:val="clear" w:color="000000" w:fill="B6D5E4"/>
            <w:vAlign w:val="bottom"/>
            <w:hideMark/>
          </w:tcPr>
          <w:p w14:paraId="4668AF06"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344</w:t>
            </w:r>
          </w:p>
        </w:tc>
        <w:tc>
          <w:tcPr>
            <w:tcW w:w="673" w:type="dxa"/>
            <w:tcBorders>
              <w:top w:val="single" w:sz="4" w:space="0" w:color="ADD6EA"/>
              <w:left w:val="nil"/>
              <w:bottom w:val="single" w:sz="4" w:space="0" w:color="ADD6EA"/>
              <w:right w:val="nil"/>
            </w:tcBorders>
            <w:shd w:val="clear" w:color="000000" w:fill="B6D5E4"/>
            <w:vAlign w:val="bottom"/>
            <w:hideMark/>
          </w:tcPr>
          <w:p w14:paraId="390F64C7" w14:textId="77777777" w:rsidR="00F63D67" w:rsidRPr="008A5521" w:rsidRDefault="00F63D67">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sidRPr="008A5521">
              <w:rPr>
                <w:rFonts w:ascii="Open Sans Semibold" w:hAnsi="Open Sans Semibold" w:cs="Open Sans Semibold"/>
                <w:color w:val="000000"/>
                <w:sz w:val="16"/>
                <w:szCs w:val="16"/>
              </w:rPr>
              <w:t>-</w:t>
            </w:r>
            <w:r>
              <w:rPr>
                <w:rFonts w:ascii="Open Sans Semibold" w:hAnsi="Open Sans Semibold" w:cs="Open Sans Semibold"/>
                <w:color w:val="000000"/>
                <w:sz w:val="16"/>
                <w:szCs w:val="16"/>
              </w:rPr>
              <w:t>868</w:t>
            </w:r>
          </w:p>
        </w:tc>
        <w:tc>
          <w:tcPr>
            <w:tcW w:w="755" w:type="dxa"/>
            <w:tcBorders>
              <w:top w:val="single" w:sz="4" w:space="0" w:color="ADD6EA"/>
              <w:left w:val="nil"/>
              <w:bottom w:val="single" w:sz="4" w:space="0" w:color="ADD6EA"/>
              <w:right w:val="nil"/>
            </w:tcBorders>
            <w:shd w:val="clear" w:color="000000" w:fill="B6D5E4"/>
            <w:vAlign w:val="bottom"/>
            <w:hideMark/>
          </w:tcPr>
          <w:p w14:paraId="1E99F9D7" w14:textId="5A819C71" w:rsidR="00F63D67" w:rsidRPr="008A5521" w:rsidRDefault="00000EB5">
            <w:pPr>
              <w:keepNext/>
              <w:keepLines/>
              <w:widowControl w:val="0"/>
              <w:tabs>
                <w:tab w:val="clear" w:pos="567"/>
              </w:tabs>
              <w:spacing w:before="0" w:line="240" w:lineRule="auto"/>
              <w:jc w:val="right"/>
              <w:rPr>
                <w:rFonts w:ascii="Open Sans Semibold" w:eastAsia="Times New Roman" w:hAnsi="Open Sans Semibold" w:cs="Open Sans Semibold"/>
                <w:b/>
                <w:bCs/>
                <w:sz w:val="16"/>
                <w:szCs w:val="16"/>
                <w:lang w:eastAsia="en-AU"/>
              </w:rPr>
            </w:pPr>
            <w:r>
              <w:rPr>
                <w:rFonts w:ascii="Open Sans Semibold" w:hAnsi="Open Sans Semibold" w:cs="Open Sans Semibold"/>
                <w:color w:val="000000"/>
                <w:sz w:val="16"/>
                <w:szCs w:val="16"/>
              </w:rPr>
              <w:t>132</w:t>
            </w:r>
          </w:p>
        </w:tc>
      </w:tr>
    </w:tbl>
    <w:p w14:paraId="3ECEF562" w14:textId="3DB25995" w:rsidR="001E3558" w:rsidRPr="00DE3E76" w:rsidRDefault="001E3558" w:rsidP="00CC7365">
      <w:pPr>
        <w:pStyle w:val="CGCTablenote"/>
        <w:rPr>
          <w:rFonts w:ascii="Work Sans" w:hAnsi="Work Sans"/>
        </w:rPr>
      </w:pPr>
      <w:r w:rsidRPr="00DE3E76">
        <w:rPr>
          <w:rFonts w:ascii="Work Sans" w:hAnsi="Work Sans"/>
        </w:rPr>
        <w:t>(a)</w:t>
      </w:r>
      <w:r w:rsidRPr="00DE3E76">
        <w:rPr>
          <w:rFonts w:ascii="Work Sans" w:hAnsi="Work Sans"/>
        </w:rPr>
        <w:tab/>
        <w:t xml:space="preserve">Non-urban transport is assessed on an EPC </w:t>
      </w:r>
      <w:r w:rsidR="00997F1B" w:rsidRPr="00DE3E76">
        <w:rPr>
          <w:rFonts w:ascii="Work Sans" w:hAnsi="Work Sans"/>
        </w:rPr>
        <w:t>basis,</w:t>
      </w:r>
      <w:r w:rsidRPr="00DE3E76">
        <w:rPr>
          <w:rFonts w:ascii="Work Sans" w:hAnsi="Work Sans"/>
        </w:rPr>
        <w:t xml:space="preserve"> but the </w:t>
      </w:r>
      <w:r w:rsidR="00C22710" w:rsidRPr="00DE3E76">
        <w:rPr>
          <w:rFonts w:ascii="Work Sans" w:hAnsi="Work Sans"/>
        </w:rPr>
        <w:t>w</w:t>
      </w:r>
      <w:r w:rsidRPr="00DE3E76">
        <w:rPr>
          <w:rFonts w:ascii="Work Sans" w:hAnsi="Work Sans"/>
        </w:rPr>
        <w:t xml:space="preserve">ages and </w:t>
      </w:r>
      <w:r w:rsidR="00C22710" w:rsidRPr="00DE3E76">
        <w:rPr>
          <w:rFonts w:ascii="Work Sans" w:hAnsi="Work Sans"/>
        </w:rPr>
        <w:t>r</w:t>
      </w:r>
      <w:r w:rsidRPr="00DE3E76">
        <w:rPr>
          <w:rFonts w:ascii="Work Sans" w:hAnsi="Work Sans"/>
        </w:rPr>
        <w:t xml:space="preserve">emoteness common factors cause a small redistribution. </w:t>
      </w:r>
    </w:p>
    <w:p w14:paraId="375B87AC" w14:textId="3EFD1A8D" w:rsidR="00E937B6" w:rsidRPr="00DE3E76" w:rsidRDefault="001E3558" w:rsidP="00CC7365">
      <w:pPr>
        <w:pStyle w:val="CGCTablenote"/>
        <w:rPr>
          <w:rFonts w:ascii="Work Sans" w:hAnsi="Work Sans"/>
        </w:rPr>
      </w:pPr>
      <w:r w:rsidRPr="00DE3E76">
        <w:rPr>
          <w:rFonts w:ascii="Work Sans" w:hAnsi="Work Sans"/>
        </w:rPr>
        <w:t>Source: Commission calculation, 2023 Update.</w:t>
      </w:r>
    </w:p>
    <w:p w14:paraId="4CC20CB8" w14:textId="025BCE7B" w:rsidR="000E4B90" w:rsidRDefault="000E4B90" w:rsidP="009E2CEC">
      <w:pPr>
        <w:pStyle w:val="CGC2025ParaNumbers"/>
      </w:pPr>
      <w:r>
        <w:t xml:space="preserve">Further detail on service provision arrangements, the scope of the adjusted budget and the underlying conceptual cases for the assessment methods are explained in </w:t>
      </w:r>
      <w:r w:rsidR="3B173873">
        <w:t>v</w:t>
      </w:r>
      <w:r w:rsidR="0062183B">
        <w:t>olume 2</w:t>
      </w:r>
      <w:r w:rsidR="7DE8E682">
        <w:t>,</w:t>
      </w:r>
      <w:r w:rsidR="0062183B">
        <w:t xml:space="preserve"> </w:t>
      </w:r>
      <w:r w:rsidR="11157083" w:rsidRPr="782E73E6">
        <w:t>c</w:t>
      </w:r>
      <w:r w:rsidRPr="782E73E6">
        <w:t>hapter 21</w:t>
      </w:r>
      <w:r w:rsidR="0426E2FE" w:rsidRPr="782E73E6">
        <w:t>,</w:t>
      </w:r>
      <w:r w:rsidRPr="782E73E6">
        <w:rPr>
          <w:i/>
        </w:rPr>
        <w:t xml:space="preserve"> </w:t>
      </w:r>
      <w:hyperlink r:id="rId20">
        <w:r w:rsidRPr="093C86E3">
          <w:rPr>
            <w:rStyle w:val="Hyperlink"/>
          </w:rPr>
          <w:t>Report on GST Revenue Sharing Relativities, 2020 Review.</w:t>
        </w:r>
      </w:hyperlink>
      <w:r>
        <w:t xml:space="preserve"> </w:t>
      </w:r>
    </w:p>
    <w:p w14:paraId="1ADB189B" w14:textId="2086DABB" w:rsidR="00E94FC9" w:rsidRDefault="006A6C1E" w:rsidP="00E442E5">
      <w:pPr>
        <w:pStyle w:val="Heading2"/>
      </w:pPr>
      <w:bookmarkStart w:id="29" w:name="_Toc138691896"/>
      <w:r>
        <w:t xml:space="preserve">What has changed since </w:t>
      </w:r>
      <w:r w:rsidR="00A124B5">
        <w:t xml:space="preserve">the </w:t>
      </w:r>
      <w:r>
        <w:t>2020 Review</w:t>
      </w:r>
      <w:r w:rsidR="00353D8F">
        <w:t>?</w:t>
      </w:r>
      <w:bookmarkEnd w:id="29"/>
    </w:p>
    <w:p w14:paraId="7081ED6E" w14:textId="38BED244" w:rsidR="007B51B5" w:rsidRPr="007B51B5" w:rsidRDefault="007B51B5" w:rsidP="007B51B5">
      <w:pPr>
        <w:pStyle w:val="Heading3"/>
      </w:pPr>
      <w:bookmarkStart w:id="30" w:name="_Toc138691897"/>
      <w:r w:rsidRPr="007B51B5">
        <w:t>COVID-19 affected urban transport service provision and use</w:t>
      </w:r>
      <w:bookmarkEnd w:id="30"/>
    </w:p>
    <w:p w14:paraId="5C6A3D2B" w14:textId="4900E013" w:rsidR="009E0D18" w:rsidRDefault="009E0D18" w:rsidP="00CF68FE">
      <w:pPr>
        <w:pStyle w:val="CGC2025ParaNumbers"/>
      </w:pPr>
      <w:r>
        <w:t>Lockdowns and working from home arrangements resulted in a sharp decline in public transport use. To minimise transmission</w:t>
      </w:r>
      <w:r w:rsidR="00CC43EB">
        <w:t xml:space="preserve"> of COVID</w:t>
      </w:r>
      <w:r w:rsidR="1EF6F82C">
        <w:t>-19</w:t>
      </w:r>
      <w:r>
        <w:t xml:space="preserve">, states </w:t>
      </w:r>
      <w:r w:rsidR="008316E8">
        <w:t>largely</w:t>
      </w:r>
      <w:r w:rsidR="003943A4">
        <w:t xml:space="preserve"> </w:t>
      </w:r>
      <w:r>
        <w:t xml:space="preserve">maintained public transport frequency. States’ net expenses increased as a </w:t>
      </w:r>
      <w:r w:rsidR="00575176">
        <w:t>result.</w:t>
      </w:r>
      <w:r>
        <w:t xml:space="preserve"> </w:t>
      </w:r>
    </w:p>
    <w:p w14:paraId="4F53FFF0" w14:textId="3977227E" w:rsidR="009E0D18" w:rsidRDefault="009E0D18" w:rsidP="00CF68FE">
      <w:pPr>
        <w:pStyle w:val="CGC2025ParaNumbers"/>
      </w:pPr>
      <w:r>
        <w:t>Despite pandemic restrictions being removed, public transport use has not returned to pre</w:t>
      </w:r>
      <w:r w:rsidR="00E86561">
        <w:t>–</w:t>
      </w:r>
      <w:r>
        <w:t>COVID-19 levels. This is likely due to a rise in working from home and an increase in commuters using private transport.</w:t>
      </w:r>
      <w:r w:rsidR="00F667D9">
        <w:t xml:space="preserve"> </w:t>
      </w:r>
      <w:r w:rsidR="001D538D" w:rsidRPr="005C18B2">
        <w:t xml:space="preserve">A </w:t>
      </w:r>
      <w:r w:rsidR="005A3FFB" w:rsidRPr="005C18B2">
        <w:t>fall</w:t>
      </w:r>
      <w:r w:rsidR="001D538D" w:rsidRPr="005C18B2">
        <w:t xml:space="preserve"> in </w:t>
      </w:r>
      <w:r w:rsidR="00F8241C" w:rsidRPr="005C18B2">
        <w:t>net internal migration</w:t>
      </w:r>
      <w:r w:rsidR="004150E5" w:rsidRPr="005C18B2">
        <w:t xml:space="preserve"> </w:t>
      </w:r>
      <w:r w:rsidR="00BB2542" w:rsidRPr="005C18B2">
        <w:t xml:space="preserve">to </w:t>
      </w:r>
      <w:r w:rsidR="000101A7" w:rsidRPr="005C18B2">
        <w:t>urban</w:t>
      </w:r>
      <w:r w:rsidRPr="005C18B2">
        <w:t xml:space="preserve"> areas,</w:t>
      </w:r>
      <w:r>
        <w:t xml:space="preserve"> particularly in </w:t>
      </w:r>
      <w:r w:rsidR="004A61CA">
        <w:t xml:space="preserve">cities </w:t>
      </w:r>
      <w:r>
        <w:t xml:space="preserve">with extended or frequent lockdowns, </w:t>
      </w:r>
      <w:r w:rsidR="00705FF9">
        <w:t>has</w:t>
      </w:r>
      <w:r>
        <w:t xml:space="preserve"> likely resulted in a further fall in the number of </w:t>
      </w:r>
      <w:r w:rsidR="00464411">
        <w:t xml:space="preserve">urban </w:t>
      </w:r>
      <w:r>
        <w:t xml:space="preserve">public transport commuters.  </w:t>
      </w:r>
    </w:p>
    <w:p w14:paraId="5E8591CD" w14:textId="093E76B5" w:rsidR="00016230" w:rsidRDefault="009E0D18" w:rsidP="00CF68FE">
      <w:pPr>
        <w:pStyle w:val="CGC2025ParaNumbers"/>
      </w:pPr>
      <w:r>
        <w:lastRenderedPageBreak/>
        <w:t xml:space="preserve">It is too </w:t>
      </w:r>
      <w:r w:rsidR="66D154AE">
        <w:t xml:space="preserve">soon </w:t>
      </w:r>
      <w:r>
        <w:t xml:space="preserve">to say whether these changes </w:t>
      </w:r>
      <w:r w:rsidR="005C18B2">
        <w:t>will result in</w:t>
      </w:r>
      <w:r>
        <w:t xml:space="preserve"> a structural change to commuter behaviour.  </w:t>
      </w:r>
    </w:p>
    <w:p w14:paraId="0E56758A" w14:textId="0D452C68" w:rsidR="00C72E51" w:rsidRDefault="004D4DA8" w:rsidP="009E2CEC">
      <w:pPr>
        <w:pStyle w:val="Heading3"/>
        <w:keepNext/>
      </w:pPr>
      <w:bookmarkStart w:id="31" w:name="_Toc138691898"/>
      <w:r w:rsidRPr="004D4DA8">
        <w:t>2021 Census data do not reflect normal circumstances</w:t>
      </w:r>
      <w:bookmarkEnd w:id="31"/>
    </w:p>
    <w:p w14:paraId="4B95C831" w14:textId="3BA560B5" w:rsidR="000707F5" w:rsidRDefault="000707F5" w:rsidP="00CF68FE">
      <w:pPr>
        <w:pStyle w:val="CGC2025ParaNumbers"/>
      </w:pPr>
      <w:r>
        <w:t>In June 2022, the ABS released the first stage of data collected from the 2021</w:t>
      </w:r>
      <w:r w:rsidR="005C18B2">
        <w:t> </w:t>
      </w:r>
      <w:r>
        <w:t xml:space="preserve">Census. </w:t>
      </w:r>
      <w:r w:rsidR="00997C5D">
        <w:t xml:space="preserve">This </w:t>
      </w:r>
      <w:r w:rsidR="00DD399E">
        <w:t>included</w:t>
      </w:r>
      <w:r w:rsidR="00575176">
        <w:t xml:space="preserve"> data</w:t>
      </w:r>
      <w:r>
        <w:t xml:space="preserve"> on the method</w:t>
      </w:r>
      <w:r w:rsidR="00AA4727">
        <w:t xml:space="preserve"> of</w:t>
      </w:r>
      <w:r>
        <w:t xml:space="preserve"> travel to work by mode. In April 2023, the ABS released census distance to work data.</w:t>
      </w:r>
    </w:p>
    <w:p w14:paraId="7840E3AC" w14:textId="25346A0C" w:rsidR="004D4DA8" w:rsidRPr="004D4DA8" w:rsidRDefault="000707F5" w:rsidP="00CF68FE">
      <w:pPr>
        <w:pStyle w:val="CGC2025ParaNumbers"/>
      </w:pPr>
      <w:r>
        <w:t>The 2021 Census was conducted during a period of COVID-19 lockdowns in New</w:t>
      </w:r>
      <w:r w:rsidRPr="004F2872">
        <w:t> </w:t>
      </w:r>
      <w:r>
        <w:t>South</w:t>
      </w:r>
      <w:r w:rsidRPr="004F2872">
        <w:t> </w:t>
      </w:r>
      <w:r>
        <w:t xml:space="preserve">Wales, Victoria, Queensland and the ACT. This means data collected on the method and distance travelled to work reflect </w:t>
      </w:r>
      <w:r w:rsidR="004F0958">
        <w:t>a time</w:t>
      </w:r>
      <w:r>
        <w:t xml:space="preserve"> when demand for public </w:t>
      </w:r>
      <w:r w:rsidR="00D60524">
        <w:t>transport was low</w:t>
      </w:r>
      <w:r>
        <w:t>.</w:t>
      </w:r>
    </w:p>
    <w:p w14:paraId="50AFFA48" w14:textId="3E06389E" w:rsidR="000707F5" w:rsidRPr="004D4DA8" w:rsidRDefault="00343CF2" w:rsidP="000707F5">
      <w:pPr>
        <w:pStyle w:val="Heading3"/>
      </w:pPr>
      <w:bookmarkStart w:id="32" w:name="_Toc138691899"/>
      <w:r w:rsidRPr="00343CF2">
        <w:t>Urban centre boundaries and populations have changed</w:t>
      </w:r>
      <w:bookmarkEnd w:id="32"/>
    </w:p>
    <w:p w14:paraId="7E28D805" w14:textId="5F0B2C9B" w:rsidR="00A05531" w:rsidRDefault="00A05531" w:rsidP="00CF68FE">
      <w:pPr>
        <w:pStyle w:val="CGC2025ParaNumbers"/>
      </w:pPr>
      <w:r>
        <w:t>Since 2020 there have been changes to the populations within urban centres. For example, Sydney has grown from 4.5 million in 2016 to 4.8 million in 2021, Melbourne from 4.4 million to 4.7 million and Brisbane from 2.2 million to 2.</w:t>
      </w:r>
      <w:r w:rsidRPr="004F2872">
        <w:t>4</w:t>
      </w:r>
      <w:r w:rsidR="004F2872" w:rsidRPr="004F2872">
        <w:t xml:space="preserve"> </w:t>
      </w:r>
      <w:r w:rsidRPr="004F2872">
        <w:t>million.</w:t>
      </w:r>
      <w:r>
        <w:t xml:space="preserve"> The geographical size of urban areas has also changed, including the extension of the Melbourne urban area to include Melton (increasing the size of Melbourne from 6,189 to </w:t>
      </w:r>
      <w:r w:rsidR="008670E3">
        <w:t>6,455</w:t>
      </w:r>
      <w:r>
        <w:t xml:space="preserve"> square kilometres). </w:t>
      </w:r>
    </w:p>
    <w:p w14:paraId="5073E84D" w14:textId="467ECD70" w:rsidR="0092419F" w:rsidRPr="00EF3D0D" w:rsidRDefault="00A05531" w:rsidP="00CF68FE">
      <w:pPr>
        <w:pStyle w:val="CGC2025ParaNumbers"/>
      </w:pPr>
      <w:r>
        <w:t xml:space="preserve">The ABS updated the classification of significant urban areas following the </w:t>
      </w:r>
      <w:r w:rsidR="00565254">
        <w:t>2021</w:t>
      </w:r>
      <w:r w:rsidR="00872163">
        <w:t> </w:t>
      </w:r>
      <w:r>
        <w:t>Census. Updated estimated resident population in</w:t>
      </w:r>
      <w:r w:rsidR="007035DC" w:rsidRPr="00E937B6">
        <w:rPr>
          <w:rFonts w:eastAsia="Calibri" w:cs="Arial"/>
        </w:rPr>
        <w:t xml:space="preserve"> </w:t>
      </w:r>
      <w:r w:rsidR="00856801">
        <w:t xml:space="preserve">significant urban </w:t>
      </w:r>
      <w:r w:rsidR="00130DC7">
        <w:t>areas</w:t>
      </w:r>
      <w:r w:rsidR="00130DC7" w:rsidDel="007035DC">
        <w:t xml:space="preserve"> </w:t>
      </w:r>
      <w:r w:rsidR="00130DC7">
        <w:t>is</w:t>
      </w:r>
      <w:r>
        <w:t xml:space="preserve"> also available.  </w:t>
      </w:r>
    </w:p>
    <w:p w14:paraId="74C76287" w14:textId="3EA2CC64" w:rsidR="00343CF2" w:rsidRPr="00343CF2" w:rsidRDefault="00EF3D0D" w:rsidP="00EF3D0D">
      <w:pPr>
        <w:pStyle w:val="Heading3"/>
      </w:pPr>
      <w:bookmarkStart w:id="33" w:name="_Toc138691900"/>
      <w:r w:rsidRPr="00EF3D0D">
        <w:t>Urban transport networks have changed</w:t>
      </w:r>
      <w:bookmarkEnd w:id="33"/>
    </w:p>
    <w:p w14:paraId="0CD9DC76" w14:textId="3C882250" w:rsidR="00B067B9" w:rsidRDefault="00B067B9" w:rsidP="00CF68FE">
      <w:pPr>
        <w:pStyle w:val="CGC2025ParaNumbers"/>
      </w:pPr>
      <w:r w:rsidRPr="00B067B9">
        <w:t xml:space="preserve">Since 2020 there have been changes to state transport networks, including:  </w:t>
      </w:r>
    </w:p>
    <w:p w14:paraId="6080005D" w14:textId="6A50B3E3" w:rsidR="00E35C31" w:rsidRDefault="00E35C31" w:rsidP="005C18B2">
      <w:pPr>
        <w:pStyle w:val="CGC2025Bullet1"/>
      </w:pPr>
      <w:r>
        <w:t xml:space="preserve">expansions to existing networks, including the Sydney Metro Network and Western Australia Morley-Ellenbrook Line </w:t>
      </w:r>
    </w:p>
    <w:p w14:paraId="09A257D5" w14:textId="299ACCD9" w:rsidR="00B067B9" w:rsidRDefault="00E35C31" w:rsidP="005C18B2">
      <w:pPr>
        <w:pStyle w:val="CGC2025Bullet1"/>
      </w:pPr>
      <w:r>
        <w:t xml:space="preserve">the addition of new modes, such as light rail in the ACT and Newcastle and the new ferry in Hobart.  </w:t>
      </w:r>
    </w:p>
    <w:p w14:paraId="0BF45BF3" w14:textId="6E1400BF" w:rsidR="0092419F" w:rsidRPr="00C37926" w:rsidRDefault="0092419F" w:rsidP="00DC611E">
      <w:pPr>
        <w:pStyle w:val="Heading3"/>
      </w:pPr>
      <w:bookmarkStart w:id="34" w:name="_Toc138691901"/>
      <w:r w:rsidRPr="00157C2A">
        <w:t xml:space="preserve">Non-urban </w:t>
      </w:r>
      <w:r w:rsidR="00DC611E" w:rsidRPr="00157C2A">
        <w:t>populations have changed</w:t>
      </w:r>
      <w:bookmarkEnd w:id="34"/>
    </w:p>
    <w:p w14:paraId="54FE1EBA" w14:textId="6CF223B5" w:rsidR="00DC611E" w:rsidRPr="00451D00" w:rsidRDefault="00E11EDC" w:rsidP="00CF68FE">
      <w:pPr>
        <w:pStyle w:val="CGC2025ParaNumbers"/>
      </w:pPr>
      <w:r w:rsidRPr="00451D00">
        <w:t xml:space="preserve">Since the 2020 Review, </w:t>
      </w:r>
      <w:r w:rsidR="0019480C" w:rsidRPr="00451D00">
        <w:t>populations</w:t>
      </w:r>
      <w:r w:rsidR="005F6D7A" w:rsidRPr="00451D00">
        <w:t xml:space="preserve"> in non-urban areas have increased at a</w:t>
      </w:r>
      <w:r w:rsidR="0019480C" w:rsidRPr="00451D00">
        <w:t xml:space="preserve"> </w:t>
      </w:r>
      <w:r w:rsidR="005F6D7A" w:rsidRPr="00451D00">
        <w:t xml:space="preserve">faster rate than in </w:t>
      </w:r>
      <w:r w:rsidR="0019480C" w:rsidRPr="00451D00">
        <w:t xml:space="preserve">urban </w:t>
      </w:r>
      <w:r w:rsidR="005C18B2">
        <w:t>area</w:t>
      </w:r>
      <w:r w:rsidR="0019480C" w:rsidRPr="00451D00">
        <w:t xml:space="preserve">s. </w:t>
      </w:r>
      <w:r w:rsidR="00F0598D" w:rsidRPr="00451D00">
        <w:t>In particular, t</w:t>
      </w:r>
      <w:r w:rsidR="004701DF" w:rsidRPr="00451D00">
        <w:t xml:space="preserve">here has been a significant net internal migration out of Sydney and Melbourne. </w:t>
      </w:r>
      <w:r w:rsidR="008D4D3A" w:rsidRPr="00451D00">
        <w:t>Typically,</w:t>
      </w:r>
      <w:r w:rsidR="004701DF" w:rsidRPr="00451D00">
        <w:t xml:space="preserve"> </w:t>
      </w:r>
      <w:r w:rsidR="00DA3607" w:rsidRPr="00451D00">
        <w:t>this</w:t>
      </w:r>
      <w:r w:rsidR="50036E1C" w:rsidRPr="00451D00">
        <w:t xml:space="preserve"> </w:t>
      </w:r>
      <w:r w:rsidR="44C38EA4" w:rsidRPr="00451D00">
        <w:t>is</w:t>
      </w:r>
      <w:r w:rsidR="00DA3607" w:rsidRPr="00451D00">
        <w:t xml:space="preserve"> </w:t>
      </w:r>
      <w:r w:rsidR="002733B9" w:rsidRPr="00451D00">
        <w:t>somewhat offset</w:t>
      </w:r>
      <w:r w:rsidR="00DA3607" w:rsidRPr="00451D00">
        <w:t xml:space="preserve"> by natural population growth and overseas migration. However, during the pandemic </w:t>
      </w:r>
      <w:r w:rsidR="0052016F" w:rsidRPr="00451D00">
        <w:t xml:space="preserve">there was a significant decrease in the number of arrivals both from overseas and internally to these cities. As a </w:t>
      </w:r>
      <w:r w:rsidR="008D4D3A" w:rsidRPr="00451D00">
        <w:t>result,</w:t>
      </w:r>
      <w:r w:rsidR="0052016F" w:rsidRPr="00451D00">
        <w:t xml:space="preserve"> Melbourne experienced</w:t>
      </w:r>
      <w:r w:rsidR="0052016F" w:rsidRPr="00451D00" w:rsidDel="00FD3215">
        <w:t xml:space="preserve"> </w:t>
      </w:r>
      <w:r w:rsidR="00FD3215">
        <w:t xml:space="preserve">a </w:t>
      </w:r>
      <w:r w:rsidR="0052016F" w:rsidRPr="00451D00">
        <w:t xml:space="preserve">population decline </w:t>
      </w:r>
      <w:r w:rsidR="00C52341">
        <w:t xml:space="preserve">from 2020 to 2021 </w:t>
      </w:r>
      <w:r w:rsidR="0052016F" w:rsidRPr="00451D00">
        <w:t xml:space="preserve">and non-urban populations became </w:t>
      </w:r>
      <w:r w:rsidR="008D4D3A" w:rsidRPr="00451D00">
        <w:t>proportionally</w:t>
      </w:r>
      <w:r w:rsidR="0052016F" w:rsidRPr="00451D00">
        <w:t xml:space="preserve"> larger.</w:t>
      </w:r>
    </w:p>
    <w:p w14:paraId="37C0FC4E" w14:textId="77777777" w:rsidR="00716547" w:rsidRDefault="00716547">
      <w:pPr>
        <w:tabs>
          <w:tab w:val="clear" w:pos="567"/>
        </w:tabs>
        <w:spacing w:before="0" w:after="200" w:line="276" w:lineRule="auto"/>
        <w:rPr>
          <w:rFonts w:ascii="Work Sans" w:hAnsi="Work Sans"/>
          <w:sz w:val="20"/>
          <w:szCs w:val="24"/>
        </w:rPr>
      </w:pPr>
      <w:r>
        <w:br w:type="page"/>
      </w:r>
    </w:p>
    <w:p w14:paraId="53B2BE6B" w14:textId="1D2BE370" w:rsidR="0052016F" w:rsidRPr="005C18B2" w:rsidRDefault="0052016F" w:rsidP="00CF68FE">
      <w:pPr>
        <w:pStyle w:val="CGC2025ParaNumbers"/>
      </w:pPr>
      <w:r w:rsidRPr="00C37926">
        <w:lastRenderedPageBreak/>
        <w:t>According</w:t>
      </w:r>
      <w:r>
        <w:t xml:space="preserve"> to the Australian </w:t>
      </w:r>
      <w:r w:rsidR="008D4D3A">
        <w:t>Centre for Population</w:t>
      </w:r>
      <w:r>
        <w:t xml:space="preserve">, this is likely to be a temporary shift in internal migration, with numbers </w:t>
      </w:r>
      <w:r w:rsidR="002407DE">
        <w:t xml:space="preserve">expected to </w:t>
      </w:r>
      <w:r>
        <w:t xml:space="preserve">return to the baseline trend </w:t>
      </w:r>
      <w:r w:rsidR="009F12F7">
        <w:t>in 2023 and 2024.</w:t>
      </w:r>
      <w:r w:rsidR="00704080">
        <w:rPr>
          <w:rStyle w:val="FootnoteReference"/>
        </w:rPr>
        <w:footnoteReference w:id="6"/>
      </w:r>
      <w:r w:rsidR="009C7A9B">
        <w:t xml:space="preserve"> In the long term, </w:t>
      </w:r>
      <w:r w:rsidR="004B6A70">
        <w:t>some</w:t>
      </w:r>
      <w:r w:rsidR="009C7A9B">
        <w:t xml:space="preserve"> experts argue the </w:t>
      </w:r>
      <w:r w:rsidR="00D273EA">
        <w:t>increase in people working from home will result in a slight shift in migration towards rural areas but there is no consensus on this issue.</w:t>
      </w:r>
    </w:p>
    <w:p w14:paraId="6833A30F" w14:textId="28C25C20" w:rsidR="006315D8" w:rsidDel="00E14B3C" w:rsidRDefault="006315D8" w:rsidP="009B1F66">
      <w:pPr>
        <w:pStyle w:val="Heading2"/>
      </w:pPr>
      <w:bookmarkStart w:id="35" w:name="_Toc138691902"/>
      <w:r w:rsidDel="00E14B3C">
        <w:t xml:space="preserve">Implications </w:t>
      </w:r>
      <w:r w:rsidR="00EB2BA1" w:rsidDel="00E14B3C">
        <w:t>for assessment</w:t>
      </w:r>
      <w:bookmarkEnd w:id="35"/>
      <w:r w:rsidR="00EB2BA1" w:rsidDel="00E14B3C">
        <w:t xml:space="preserve"> </w:t>
      </w:r>
    </w:p>
    <w:p w14:paraId="418A38C3" w14:textId="238D712C" w:rsidR="00532A9B" w:rsidRPr="00532A9B" w:rsidRDefault="00240FF3" w:rsidP="00AC59B1">
      <w:pPr>
        <w:pStyle w:val="CGC2025ParaNumbers"/>
      </w:pPr>
      <w:r>
        <w:t>The Commission has identified several issues for consideration</w:t>
      </w:r>
      <w:r w:rsidR="662880DD">
        <w:t xml:space="preserve">, primarily </w:t>
      </w:r>
      <w:r w:rsidR="004B6A70">
        <w:t>a</w:t>
      </w:r>
      <w:r w:rsidR="662880DD">
        <w:t>ffecting urban transport.</w:t>
      </w:r>
    </w:p>
    <w:p w14:paraId="73F2601B" w14:textId="356D15A4" w:rsidR="0023766D" w:rsidRDefault="0023766D" w:rsidP="00AC59B1">
      <w:pPr>
        <w:pStyle w:val="CGC2025Bullet1"/>
      </w:pPr>
      <w:r>
        <w:t xml:space="preserve">To what extent has the experience of COVID-19 challenged the underlying assumptions of </w:t>
      </w:r>
      <w:r w:rsidR="007F3564">
        <w:t xml:space="preserve">the </w:t>
      </w:r>
      <w:r>
        <w:t xml:space="preserve">urban transport assessment? </w:t>
      </w:r>
    </w:p>
    <w:p w14:paraId="1239C095" w14:textId="37BA2AC6" w:rsidR="0023766D" w:rsidRDefault="0023766D" w:rsidP="00AC59B1">
      <w:pPr>
        <w:pStyle w:val="CGC2025Bullet1"/>
      </w:pPr>
      <w:r>
        <w:t xml:space="preserve">Are reliable data available to update the assessment of urban transport needs? </w:t>
      </w:r>
    </w:p>
    <w:p w14:paraId="5BBD39F4" w14:textId="3CA1EF94" w:rsidR="0023766D" w:rsidRDefault="0023766D" w:rsidP="00AC59B1">
      <w:pPr>
        <w:pStyle w:val="CGC2025Bullet1"/>
      </w:pPr>
      <w:r>
        <w:t xml:space="preserve">What are the implications of changes to urban centre size and populations? </w:t>
      </w:r>
    </w:p>
    <w:p w14:paraId="65A15BA9" w14:textId="05653117" w:rsidR="00240FF3" w:rsidRPr="00532A9B" w:rsidRDefault="0023766D" w:rsidP="00AC59B1">
      <w:pPr>
        <w:pStyle w:val="CGC2025Bullet1"/>
      </w:pPr>
      <w:r>
        <w:t xml:space="preserve">What are the implications of additions to networks and new modes of transport?  </w:t>
      </w:r>
    </w:p>
    <w:p w14:paraId="608F239F" w14:textId="4A070F79" w:rsidR="00E634D5" w:rsidRPr="00532A9B" w:rsidRDefault="00E634D5" w:rsidP="00AC59B1">
      <w:pPr>
        <w:pStyle w:val="CGC2025Bullet1"/>
      </w:pPr>
      <w:r>
        <w:t xml:space="preserve">What are the implications of </w:t>
      </w:r>
      <w:r w:rsidR="00CF69A4">
        <w:t>chang</w:t>
      </w:r>
      <w:r w:rsidR="00E305CE">
        <w:t>ing</w:t>
      </w:r>
      <w:r w:rsidR="00CF69A4">
        <w:t xml:space="preserve"> non-urban </w:t>
      </w:r>
      <w:r w:rsidR="00E305CE">
        <w:t>populations</w:t>
      </w:r>
      <w:r w:rsidR="00CF69A4">
        <w:t>?</w:t>
      </w:r>
    </w:p>
    <w:p w14:paraId="3827B1E9" w14:textId="78BF7AB7" w:rsidR="00EC3FFA" w:rsidRDefault="00532A9B" w:rsidP="00EC3FFA">
      <w:pPr>
        <w:pStyle w:val="Heading3"/>
      </w:pPr>
      <w:bookmarkStart w:id="36" w:name="_Toc138691903"/>
      <w:r w:rsidRPr="00532A9B">
        <w:t>To what extent has the experience of COVID-19 challenged the underlying assumptions of the urban transport assessment?</w:t>
      </w:r>
      <w:bookmarkEnd w:id="36"/>
      <w:r w:rsidRPr="00532A9B">
        <w:t xml:space="preserve"> </w:t>
      </w:r>
    </w:p>
    <w:p w14:paraId="0B697294" w14:textId="63F7F705" w:rsidR="001B4709" w:rsidRDefault="006601B6" w:rsidP="00CA0F7E">
      <w:pPr>
        <w:pStyle w:val="Heading4"/>
      </w:pPr>
      <w:r w:rsidRPr="006601B6">
        <w:t>Impact of COVID-19 on demand, supply and state expenditure</w:t>
      </w:r>
    </w:p>
    <w:p w14:paraId="6BD09C36" w14:textId="23126729" w:rsidR="000966CF" w:rsidRDefault="000966CF" w:rsidP="00CF68FE">
      <w:pPr>
        <w:pStyle w:val="CGC2025ParaNumbers"/>
      </w:pPr>
      <w:r>
        <w:t xml:space="preserve">The experience of COVID-19 changed the way people interact with urban transport services. </w:t>
      </w:r>
      <w:r w:rsidR="00EA350A">
        <w:t>Consistent with</w:t>
      </w:r>
      <w:r w:rsidR="00D97C39">
        <w:t xml:space="preserve"> international trends</w:t>
      </w:r>
      <w:r w:rsidR="00464411">
        <w:t>,</w:t>
      </w:r>
      <w:r w:rsidR="00D97C39">
        <w:t xml:space="preserve"> th</w:t>
      </w:r>
      <w:r>
        <w:t xml:space="preserve">e increase in remote working in cities subject to lockdowns has increased the propensity </w:t>
      </w:r>
      <w:r w:rsidR="0AF3AEB4">
        <w:t xml:space="preserve">for </w:t>
      </w:r>
      <w:r>
        <w:t>employees to work from home.</w:t>
      </w:r>
      <w:r w:rsidR="00D13997" w:rsidRPr="78958DD1">
        <w:rPr>
          <w:rStyle w:val="FootnoteReference"/>
        </w:rPr>
        <w:footnoteReference w:id="7"/>
      </w:r>
      <w:r>
        <w:t xml:space="preserve"> Likewise, a greater awareness of social distancing increased the proportion of commuters choosing private travel methods. This was highlighted in a research paper by the Productivity </w:t>
      </w:r>
      <w:r w:rsidR="005F4CDD">
        <w:t>Commission</w:t>
      </w:r>
      <w:r w:rsidR="00D53912">
        <w:t>,</w:t>
      </w:r>
      <w:r>
        <w:t xml:space="preserve"> which identified a decline in the use of public transport in favour of private modes of transport and a decline in fare revenue received as a proportion of operating expenses.</w:t>
      </w:r>
      <w:r w:rsidR="003E1170">
        <w:rPr>
          <w:rStyle w:val="FootnoteReference"/>
        </w:rPr>
        <w:footnoteReference w:id="8"/>
      </w:r>
    </w:p>
    <w:p w14:paraId="6A4FB517" w14:textId="69A4B958" w:rsidR="00E160FB" w:rsidRDefault="000966CF" w:rsidP="00CF68FE">
      <w:pPr>
        <w:pStyle w:val="CGC2025ParaNumbers"/>
      </w:pPr>
      <w:r>
        <w:t>The change in the use and provision of public transport systems can be seen through the available data on public transport use, working from home arrangements and public transport supply.</w:t>
      </w:r>
    </w:p>
    <w:p w14:paraId="2208617D" w14:textId="0C030126" w:rsidR="00DE330E" w:rsidRPr="00DE330E" w:rsidRDefault="00E160FB" w:rsidP="00962178">
      <w:pPr>
        <w:pStyle w:val="Heading5"/>
      </w:pPr>
      <w:r w:rsidRPr="00E160FB">
        <w:lastRenderedPageBreak/>
        <w:t>Supply and demand</w:t>
      </w:r>
    </w:p>
    <w:p w14:paraId="246E3909" w14:textId="1941D7F1" w:rsidR="00716547" w:rsidRPr="00716547" w:rsidRDefault="0087144D" w:rsidP="00716547">
      <w:pPr>
        <w:pStyle w:val="CGC2025ParaNumbers"/>
      </w:pPr>
      <w:r>
        <w:t xml:space="preserve">Data on the total passenger kilometres travelled on public transport were obtained from the Bureau of Infrastructure and Transport Research </w:t>
      </w:r>
      <w:r w:rsidR="006C0134" w:rsidRPr="00EE2C22">
        <w:t>E</w:t>
      </w:r>
      <w:r w:rsidR="006C0134">
        <w:t>conomics</w:t>
      </w:r>
      <w:r w:rsidR="007269A5">
        <w:t>.</w:t>
      </w:r>
      <w:r w:rsidR="00F70F39">
        <w:rPr>
          <w:rStyle w:val="FootnoteReference"/>
        </w:rPr>
        <w:footnoteReference w:id="9"/>
      </w:r>
      <w:r>
        <w:t xml:space="preserve"> The annual changes in passenger kilometres travelled are presented in</w:t>
      </w:r>
      <w:r w:rsidR="008B6917">
        <w:t xml:space="preserve"> </w:t>
      </w:r>
      <w:r w:rsidR="00CA2EAE">
        <w:fldChar w:fldCharType="begin"/>
      </w:r>
      <w:r w:rsidR="00CA2EAE">
        <w:instrText xml:space="preserve"> REF _Ref138774212 \h </w:instrText>
      </w:r>
      <w:r w:rsidR="00CA2EAE">
        <w:fldChar w:fldCharType="separate"/>
      </w:r>
      <w:r w:rsidR="00282693" w:rsidRPr="008767F7">
        <w:t>Figure</w:t>
      </w:r>
      <w:r w:rsidR="00282693">
        <w:t xml:space="preserve"> </w:t>
      </w:r>
      <w:r w:rsidR="00282693">
        <w:rPr>
          <w:noProof/>
        </w:rPr>
        <w:t>3</w:t>
      </w:r>
      <w:r w:rsidR="00CA2EAE">
        <w:fldChar w:fldCharType="end"/>
      </w:r>
      <w:r>
        <w:t xml:space="preserve">. </w:t>
      </w:r>
      <w:bookmarkStart w:id="37" w:name="_Ref138763332"/>
    </w:p>
    <w:p w14:paraId="52139BEB" w14:textId="32892A4C" w:rsidR="00EB5E7B" w:rsidRPr="008B6917" w:rsidRDefault="008B6917" w:rsidP="00E96A7D">
      <w:pPr>
        <w:pStyle w:val="CGC2025Caption"/>
        <w:tabs>
          <w:tab w:val="left" w:pos="1134"/>
        </w:tabs>
      </w:pPr>
      <w:bookmarkStart w:id="38" w:name="_Ref138774212"/>
      <w:r w:rsidRPr="008767F7">
        <w:t>Figure</w:t>
      </w:r>
      <w:r w:rsidR="00E07E86">
        <w:t xml:space="preserve"> </w:t>
      </w:r>
      <w:fldSimple w:instr=" SEQ Figure \* ARABIC ">
        <w:r w:rsidR="00282693">
          <w:rPr>
            <w:noProof/>
          </w:rPr>
          <w:t>3</w:t>
        </w:r>
      </w:fldSimple>
      <w:bookmarkEnd w:id="37"/>
      <w:bookmarkEnd w:id="38"/>
      <w:r w:rsidRPr="008B6917">
        <w:tab/>
      </w:r>
      <w:r w:rsidR="00974C02" w:rsidRPr="008B6917">
        <w:t xml:space="preserve">Public transport use in kilometres travelled compared </w:t>
      </w:r>
      <w:r w:rsidR="005A2934">
        <w:t>with</w:t>
      </w:r>
      <w:r w:rsidR="00974C02" w:rsidRPr="008B6917">
        <w:t xml:space="preserve"> 2016</w:t>
      </w:r>
      <w:r w:rsidR="00FE3E9C">
        <w:t>–</w:t>
      </w:r>
      <w:r w:rsidR="00974C02" w:rsidRPr="008B6917">
        <w:t>17 levels</w:t>
      </w:r>
    </w:p>
    <w:p w14:paraId="5C434793" w14:textId="06BE23EB" w:rsidR="00974C02" w:rsidRDefault="00242C03" w:rsidP="00925ED9">
      <w:pPr>
        <w:pStyle w:val="CGCParaNumber"/>
        <w:ind w:left="0" w:firstLine="0"/>
      </w:pPr>
      <w:r>
        <w:rPr>
          <w:noProof/>
        </w:rPr>
        <w:drawing>
          <wp:inline distT="0" distB="0" distL="0" distR="0" wp14:anchorId="4774A2DC" wp14:editId="35D60FBD">
            <wp:extent cx="5688965" cy="3894455"/>
            <wp:effectExtent l="0" t="0" r="17780" b="10160"/>
            <wp:docPr id="18" name="Chart 18">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BAC0218" w14:textId="76A6C7B4" w:rsidR="00242C03" w:rsidRPr="00DE3E76" w:rsidRDefault="002231F0" w:rsidP="00242C03">
      <w:pPr>
        <w:pStyle w:val="CGCTablenote"/>
        <w:rPr>
          <w:rFonts w:ascii="Work Sans" w:hAnsi="Work Sans"/>
        </w:rPr>
      </w:pPr>
      <w:r w:rsidRPr="00DE3E76">
        <w:rPr>
          <w:rFonts w:ascii="Work Sans" w:hAnsi="Work Sans"/>
        </w:rPr>
        <w:t>Source: Commission calculations based on Bureau of Infrastructure and Transport Research Economics data</w:t>
      </w:r>
      <w:r w:rsidR="0052422A" w:rsidRPr="00DE3E76">
        <w:rPr>
          <w:rFonts w:ascii="Work Sans" w:hAnsi="Work Sans"/>
        </w:rPr>
        <w:t>.</w:t>
      </w:r>
    </w:p>
    <w:p w14:paraId="68B1C5D0" w14:textId="7CBAC0FF" w:rsidR="00355123" w:rsidRPr="00355123" w:rsidRDefault="00355123" w:rsidP="00925ED9">
      <w:pPr>
        <w:pStyle w:val="CGCParaNumber"/>
        <w:ind w:left="0" w:firstLine="0"/>
      </w:pPr>
    </w:p>
    <w:p w14:paraId="6AA6CA9A" w14:textId="77777777" w:rsidR="00716547" w:rsidRDefault="00716547" w:rsidP="00716547">
      <w:pPr>
        <w:pStyle w:val="CGC2025ParaNumbers"/>
      </w:pPr>
      <w:bookmarkStart w:id="39" w:name="_Ref132917209"/>
      <w:bookmarkStart w:id="40" w:name="_Hlk132906539"/>
      <w:r>
        <w:t>According to the data, the capital cities in all states have experienced decreases in demand for public transport since the beginning of the pandemic. This decrease in demand was not evenly distributed among the states.</w:t>
      </w:r>
    </w:p>
    <w:p w14:paraId="7DF2F68B" w14:textId="237F022E" w:rsidR="008B7624" w:rsidRPr="00716547" w:rsidRDefault="00716547" w:rsidP="00716547">
      <w:pPr>
        <w:pStyle w:val="CGC2025ParaNumbers"/>
      </w:pPr>
      <w:r>
        <w:t>The fall in demand coincided with the increased prevalence of working from home arrangements. Data from the Household, Income and Labour Dynamics in Australia survey indicate that working from home has become more common since the onset of the pandemic (</w:t>
      </w:r>
      <w:r w:rsidR="00CA725F">
        <w:fldChar w:fldCharType="begin"/>
      </w:r>
      <w:r w:rsidR="00CA725F">
        <w:instrText xml:space="preserve"> REF _Ref138774248 \h </w:instrText>
      </w:r>
      <w:r w:rsidR="00CA725F">
        <w:fldChar w:fldCharType="separate"/>
      </w:r>
      <w:r w:rsidR="00282693" w:rsidRPr="008767F7">
        <w:t>Figure</w:t>
      </w:r>
      <w:r w:rsidR="00282693">
        <w:t xml:space="preserve"> </w:t>
      </w:r>
      <w:r w:rsidR="00282693">
        <w:rPr>
          <w:noProof/>
        </w:rPr>
        <w:t>4</w:t>
      </w:r>
      <w:r w:rsidR="00CA725F">
        <w:fldChar w:fldCharType="end"/>
      </w:r>
      <w:r>
        <w:t>).</w:t>
      </w:r>
    </w:p>
    <w:p w14:paraId="06A2EE73" w14:textId="77777777" w:rsidR="00716547" w:rsidRDefault="00716547">
      <w:pPr>
        <w:tabs>
          <w:tab w:val="clear" w:pos="567"/>
        </w:tabs>
        <w:spacing w:before="0" w:after="200" w:line="276" w:lineRule="auto"/>
        <w:rPr>
          <w:rFonts w:ascii="Work Sans" w:hAnsi="Work Sans"/>
          <w:b/>
          <w:sz w:val="20"/>
        </w:rPr>
      </w:pPr>
      <w:bookmarkStart w:id="41" w:name="_Ref138763397"/>
      <w:r>
        <w:br w:type="page"/>
      </w:r>
    </w:p>
    <w:p w14:paraId="29671642" w14:textId="2D19E2FB" w:rsidR="00827BCA" w:rsidRPr="00BC628E" w:rsidRDefault="00BC628E" w:rsidP="008B7624">
      <w:pPr>
        <w:pStyle w:val="CGC2025Caption"/>
        <w:tabs>
          <w:tab w:val="left" w:pos="1134"/>
        </w:tabs>
      </w:pPr>
      <w:bookmarkStart w:id="42" w:name="_Ref138774248"/>
      <w:bookmarkEnd w:id="39"/>
      <w:r w:rsidRPr="008767F7">
        <w:lastRenderedPageBreak/>
        <w:t>Figure</w:t>
      </w:r>
      <w:r w:rsidR="008B7624">
        <w:t xml:space="preserve"> </w:t>
      </w:r>
      <w:fldSimple w:instr=" SEQ Figure \* ARABIC ">
        <w:r w:rsidR="00282693">
          <w:rPr>
            <w:noProof/>
          </w:rPr>
          <w:t>4</w:t>
        </w:r>
      </w:fldSimple>
      <w:bookmarkEnd w:id="41"/>
      <w:bookmarkEnd w:id="42"/>
      <w:r w:rsidRPr="00BC628E">
        <w:tab/>
      </w:r>
      <w:r w:rsidR="004D5281" w:rsidRPr="00BC628E">
        <w:t xml:space="preserve">People working from home for at least </w:t>
      </w:r>
      <w:r w:rsidR="00427D67">
        <w:t>1</w:t>
      </w:r>
      <w:r w:rsidR="004D5281" w:rsidRPr="00BC628E">
        <w:t xml:space="preserve"> hour per week</w:t>
      </w:r>
    </w:p>
    <w:bookmarkEnd w:id="40"/>
    <w:p w14:paraId="6FDFF530" w14:textId="015DF8B0" w:rsidR="004D5281" w:rsidRDefault="00B028E8" w:rsidP="00925ED9">
      <w:pPr>
        <w:pStyle w:val="CGCParaNumber"/>
        <w:ind w:left="0" w:firstLine="0"/>
      </w:pPr>
      <w:r>
        <w:rPr>
          <w:noProof/>
        </w:rPr>
        <w:drawing>
          <wp:inline distT="0" distB="0" distL="0" distR="0" wp14:anchorId="0D1A34B5" wp14:editId="718B85DD">
            <wp:extent cx="5688965" cy="3375025"/>
            <wp:effectExtent l="0" t="0" r="6985" b="15875"/>
            <wp:docPr id="17" name="Chart 17">
              <a:extLst xmlns:a="http://schemas.openxmlformats.org/drawingml/2006/main">
                <a:ext uri="{FF2B5EF4-FFF2-40B4-BE49-F238E27FC236}">
                  <a16:creationId xmlns:a16="http://schemas.microsoft.com/office/drawing/2014/main" id="{035F2942-654A-261D-0CF2-85714403CD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C813311" w14:textId="531B265F" w:rsidR="00355123" w:rsidRPr="00DE3E76" w:rsidRDefault="00C1653E" w:rsidP="006A3912">
      <w:pPr>
        <w:pStyle w:val="CGCTablenote"/>
        <w:rPr>
          <w:rFonts w:ascii="Work Sans" w:hAnsi="Work Sans"/>
        </w:rPr>
      </w:pPr>
      <w:r w:rsidRPr="00DE3E76">
        <w:rPr>
          <w:rFonts w:ascii="Work Sans" w:hAnsi="Work Sans"/>
        </w:rPr>
        <w:t>Source: Household, Income and Labour Dynamics in Australia data</w:t>
      </w:r>
      <w:r w:rsidR="0052422A" w:rsidRPr="00DE3E76">
        <w:rPr>
          <w:rFonts w:ascii="Work Sans" w:hAnsi="Work Sans"/>
        </w:rPr>
        <w:t>.</w:t>
      </w:r>
    </w:p>
    <w:p w14:paraId="5F564840" w14:textId="0C4A2E9E" w:rsidR="00827BCA" w:rsidRDefault="00827BCA" w:rsidP="00CF68FE">
      <w:pPr>
        <w:pStyle w:val="CGC2025ParaNumbers"/>
      </w:pPr>
      <w:r>
        <w:t>Working from home arrangements are also likely to have changed the use patterns of commuters within urban areas. For example, there has been reduced demand for main commuter services into and out of city centres. The long-term pattern of working from home and the implication</w:t>
      </w:r>
      <w:r w:rsidR="00C73149">
        <w:t>s</w:t>
      </w:r>
      <w:r>
        <w:t xml:space="preserve"> for demand are not yet known.  </w:t>
      </w:r>
    </w:p>
    <w:p w14:paraId="0E314A07" w14:textId="2C6EACA8" w:rsidR="00827BCA" w:rsidRDefault="00827BCA" w:rsidP="00CF68FE">
      <w:pPr>
        <w:pStyle w:val="CGC2025ParaNumbers"/>
      </w:pPr>
      <w:r>
        <w:t xml:space="preserve">To identify trends in the supply of public transport services, </w:t>
      </w:r>
      <w:r w:rsidR="00BB2386">
        <w:t>the</w:t>
      </w:r>
      <w:r>
        <w:t xml:space="preserve"> G</w:t>
      </w:r>
      <w:r w:rsidR="002C6414">
        <w:t>eneral</w:t>
      </w:r>
      <w:r>
        <w:t xml:space="preserve"> Transit Feed Specification data for several capital </w:t>
      </w:r>
      <w:r w:rsidR="001359C8">
        <w:t>cities</w:t>
      </w:r>
      <w:r w:rsidR="00BB2386">
        <w:t xml:space="preserve"> can be used</w:t>
      </w:r>
      <w:r>
        <w:t>.</w:t>
      </w:r>
      <w:r w:rsidR="0038534E">
        <w:rPr>
          <w:rStyle w:val="FootnoteReference"/>
        </w:rPr>
        <w:footnoteReference w:id="10"/>
      </w:r>
      <w:r>
        <w:t xml:space="preserve"> </w:t>
      </w:r>
      <w:r w:rsidR="00AC38F3">
        <w:fldChar w:fldCharType="begin"/>
      </w:r>
      <w:r w:rsidR="00AC38F3">
        <w:instrText xml:space="preserve"> REF _Ref138763494 \h </w:instrText>
      </w:r>
      <w:r w:rsidR="00AC38F3">
        <w:fldChar w:fldCharType="separate"/>
      </w:r>
      <w:r w:rsidR="00282693" w:rsidRPr="008767F7">
        <w:t>Table</w:t>
      </w:r>
      <w:r w:rsidR="00282693">
        <w:t xml:space="preserve"> </w:t>
      </w:r>
      <w:r w:rsidR="00282693">
        <w:rPr>
          <w:noProof/>
        </w:rPr>
        <w:t>5</w:t>
      </w:r>
      <w:r w:rsidR="00AC38F3">
        <w:fldChar w:fldCharType="end"/>
      </w:r>
      <w:r w:rsidR="00D45404">
        <w:t xml:space="preserve"> </w:t>
      </w:r>
      <w:r>
        <w:t xml:space="preserve">shows that between 2016 to 2019, public transport services grew by 8% across capital cities. In 2020, service levels fell below 2019 levels and had not recovered by August 2022.  </w:t>
      </w:r>
    </w:p>
    <w:p w14:paraId="66FC867B" w14:textId="2A3A3046" w:rsidR="00827BCA" w:rsidRDefault="00827BCA" w:rsidP="00CF68FE">
      <w:pPr>
        <w:pStyle w:val="CGC2025ParaNumbers"/>
      </w:pPr>
      <w:r>
        <w:t>At a national level, service provision decreased slightly during the years most impacted by COVID-19 (2020 to 2022). The decline in services was not equivalent to the decline in demand, indicating that service levels were maintained to allow for COVID-19 safe travel</w:t>
      </w:r>
      <w:r w:rsidR="2E4C247B">
        <w:t>, especially for essential workers who could not work from home</w:t>
      </w:r>
      <w:r>
        <w:t>.</w:t>
      </w:r>
    </w:p>
    <w:p w14:paraId="32D561B0" w14:textId="77777777" w:rsidR="00B82109" w:rsidRDefault="00B82109">
      <w:pPr>
        <w:tabs>
          <w:tab w:val="clear" w:pos="567"/>
        </w:tabs>
        <w:spacing w:before="0" w:after="200" w:line="276" w:lineRule="auto"/>
        <w:rPr>
          <w:rFonts w:ascii="Work Sans" w:hAnsi="Work Sans"/>
          <w:b/>
          <w:sz w:val="20"/>
        </w:rPr>
      </w:pPr>
      <w:bookmarkStart w:id="43" w:name="_Ref132917235"/>
      <w:bookmarkStart w:id="44" w:name="_Hlk132906602"/>
      <w:r>
        <w:br w:type="page"/>
      </w:r>
    </w:p>
    <w:p w14:paraId="65AC0C99" w14:textId="76BDEC06" w:rsidR="00C1653E" w:rsidRPr="00BB7D0A" w:rsidRDefault="00306336" w:rsidP="00B82109">
      <w:pPr>
        <w:pStyle w:val="CGC2025Caption"/>
        <w:tabs>
          <w:tab w:val="left" w:pos="1134"/>
        </w:tabs>
      </w:pPr>
      <w:bookmarkStart w:id="45" w:name="_Ref138763494"/>
      <w:r w:rsidRPr="008767F7">
        <w:lastRenderedPageBreak/>
        <w:t>Table</w:t>
      </w:r>
      <w:r>
        <w:t xml:space="preserve"> </w:t>
      </w:r>
      <w:fldSimple w:instr=" SEQ Table \* ARABIC ">
        <w:r w:rsidR="00282693">
          <w:rPr>
            <w:noProof/>
          </w:rPr>
          <w:t>5</w:t>
        </w:r>
      </w:fldSimple>
      <w:bookmarkEnd w:id="43"/>
      <w:bookmarkEnd w:id="45"/>
      <w:r w:rsidR="00FE3E9C" w:rsidRPr="008767F7">
        <w:tab/>
      </w:r>
      <w:r w:rsidR="00CB2974" w:rsidRPr="008767F7">
        <w:t>Change in public transport services available by capital city, 2016 to 2022</w:t>
      </w:r>
      <w:r w:rsidR="00CB2974" w:rsidRPr="00B82109">
        <w:rPr>
          <w:vertAlign w:val="superscript"/>
        </w:rPr>
        <w:t>(a)</w:t>
      </w:r>
    </w:p>
    <w:tbl>
      <w:tblPr>
        <w:tblW w:w="8740" w:type="dxa"/>
        <w:tblLook w:val="04A0" w:firstRow="1" w:lastRow="0" w:firstColumn="1" w:lastColumn="0" w:noHBand="0" w:noVBand="1"/>
      </w:tblPr>
      <w:tblGrid>
        <w:gridCol w:w="1537"/>
        <w:gridCol w:w="1005"/>
        <w:gridCol w:w="1104"/>
        <w:gridCol w:w="1012"/>
        <w:gridCol w:w="1005"/>
        <w:gridCol w:w="1011"/>
        <w:gridCol w:w="976"/>
        <w:gridCol w:w="1090"/>
      </w:tblGrid>
      <w:tr w:rsidR="00E05873" w:rsidRPr="00A212F0" w14:paraId="23EDC3B2" w14:textId="77777777">
        <w:trPr>
          <w:trHeight w:val="315"/>
        </w:trPr>
        <w:tc>
          <w:tcPr>
            <w:tcW w:w="1584" w:type="dxa"/>
            <w:tcBorders>
              <w:top w:val="nil"/>
              <w:left w:val="nil"/>
              <w:bottom w:val="nil"/>
              <w:right w:val="nil"/>
            </w:tcBorders>
            <w:shd w:val="clear" w:color="000000" w:fill="006991"/>
            <w:vAlign w:val="center"/>
            <w:hideMark/>
          </w:tcPr>
          <w:p w14:paraId="52D61439" w14:textId="5C3E09CE" w:rsidR="00C24E60" w:rsidRPr="00A212F0" w:rsidRDefault="00C24E60">
            <w:pPr>
              <w:keepNext/>
              <w:keepLines/>
              <w:tabs>
                <w:tab w:val="clear" w:pos="567"/>
              </w:tabs>
              <w:spacing w:before="0" w:line="240" w:lineRule="auto"/>
              <w:rPr>
                <w:rFonts w:ascii="Open Sans Semibold" w:eastAsia="Times New Roman" w:hAnsi="Open Sans Semibold" w:cs="Open Sans Semibold"/>
                <w:color w:val="FFFFFF"/>
                <w:sz w:val="16"/>
                <w:szCs w:val="16"/>
                <w:lang w:eastAsia="en-AU"/>
              </w:rPr>
            </w:pPr>
            <w:bookmarkStart w:id="46" w:name="RANGE!N23:U31"/>
            <w:bookmarkEnd w:id="44"/>
            <w:r w:rsidRPr="00A212F0">
              <w:rPr>
                <w:rFonts w:ascii="Arial" w:eastAsia="Times New Roman" w:hAnsi="Arial" w:cs="Arial"/>
                <w:color w:val="FFFFFF"/>
                <w:sz w:val="16"/>
                <w:szCs w:val="16"/>
                <w:lang w:eastAsia="en-AU"/>
              </w:rPr>
              <w:t> </w:t>
            </w:r>
            <w:r w:rsidRPr="00A212F0">
              <w:rPr>
                <w:rFonts w:ascii="Open Sans Semibold" w:eastAsia="Times New Roman" w:hAnsi="Open Sans Semibold" w:cs="Open Sans Semibold"/>
                <w:color w:val="FFFFFF"/>
                <w:sz w:val="16"/>
                <w:szCs w:val="16"/>
                <w:lang w:eastAsia="en-AU"/>
              </w:rPr>
              <w:t> </w:t>
            </w:r>
            <w:bookmarkEnd w:id="46"/>
          </w:p>
        </w:tc>
        <w:tc>
          <w:tcPr>
            <w:tcW w:w="1016" w:type="dxa"/>
            <w:tcBorders>
              <w:top w:val="nil"/>
              <w:left w:val="nil"/>
              <w:bottom w:val="nil"/>
              <w:right w:val="nil"/>
            </w:tcBorders>
            <w:shd w:val="clear" w:color="000000" w:fill="006991"/>
            <w:vAlign w:val="center"/>
            <w:hideMark/>
          </w:tcPr>
          <w:p w14:paraId="79D2C10B" w14:textId="77777777" w:rsidR="00C24E60" w:rsidRPr="00232434" w:rsidRDefault="00C24E60">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32434">
              <w:rPr>
                <w:rFonts w:ascii="Open Sans Semibold" w:eastAsia="Times New Roman" w:hAnsi="Open Sans Semibold" w:cs="Open Sans Semibold"/>
                <w:color w:val="FFFFFF"/>
                <w:sz w:val="16"/>
                <w:szCs w:val="16"/>
                <w:lang w:eastAsia="en-AU"/>
              </w:rPr>
              <w:t>Sydney </w:t>
            </w:r>
          </w:p>
        </w:tc>
        <w:tc>
          <w:tcPr>
            <w:tcW w:w="1016" w:type="dxa"/>
            <w:tcBorders>
              <w:top w:val="nil"/>
              <w:left w:val="nil"/>
              <w:bottom w:val="nil"/>
              <w:right w:val="nil"/>
            </w:tcBorders>
            <w:shd w:val="clear" w:color="000000" w:fill="006991"/>
            <w:vAlign w:val="center"/>
            <w:hideMark/>
          </w:tcPr>
          <w:p w14:paraId="2544CA3E" w14:textId="77777777" w:rsidR="00C24E60" w:rsidRPr="00232434" w:rsidRDefault="00C24E60">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32434">
              <w:rPr>
                <w:rFonts w:ascii="Open Sans Semibold" w:eastAsia="Times New Roman" w:hAnsi="Open Sans Semibold" w:cs="Open Sans Semibold"/>
                <w:color w:val="FFFFFF"/>
                <w:sz w:val="16"/>
                <w:szCs w:val="16"/>
                <w:lang w:eastAsia="en-AU"/>
              </w:rPr>
              <w:t>Melbourne </w:t>
            </w:r>
          </w:p>
        </w:tc>
        <w:tc>
          <w:tcPr>
            <w:tcW w:w="1016" w:type="dxa"/>
            <w:tcBorders>
              <w:top w:val="nil"/>
              <w:left w:val="nil"/>
              <w:bottom w:val="nil"/>
              <w:right w:val="nil"/>
            </w:tcBorders>
            <w:shd w:val="clear" w:color="000000" w:fill="006991"/>
            <w:vAlign w:val="center"/>
            <w:hideMark/>
          </w:tcPr>
          <w:p w14:paraId="5B0F811E" w14:textId="77777777" w:rsidR="00C24E60" w:rsidRPr="00232434" w:rsidRDefault="00C24E60">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32434">
              <w:rPr>
                <w:rFonts w:ascii="Open Sans Semibold" w:eastAsia="Times New Roman" w:hAnsi="Open Sans Semibold" w:cs="Open Sans Semibold"/>
                <w:color w:val="FFFFFF"/>
                <w:sz w:val="16"/>
                <w:szCs w:val="16"/>
                <w:lang w:eastAsia="en-AU"/>
              </w:rPr>
              <w:t>Brisbane </w:t>
            </w:r>
          </w:p>
        </w:tc>
        <w:tc>
          <w:tcPr>
            <w:tcW w:w="1016" w:type="dxa"/>
            <w:tcBorders>
              <w:top w:val="nil"/>
              <w:left w:val="nil"/>
              <w:bottom w:val="nil"/>
              <w:right w:val="nil"/>
            </w:tcBorders>
            <w:shd w:val="clear" w:color="000000" w:fill="006991"/>
            <w:vAlign w:val="center"/>
            <w:hideMark/>
          </w:tcPr>
          <w:p w14:paraId="7CD93882" w14:textId="77777777" w:rsidR="00C24E60" w:rsidRPr="00232434" w:rsidRDefault="00C24E60">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32434">
              <w:rPr>
                <w:rFonts w:ascii="Open Sans Semibold" w:eastAsia="Times New Roman" w:hAnsi="Open Sans Semibold" w:cs="Open Sans Semibold"/>
                <w:color w:val="FFFFFF"/>
                <w:sz w:val="16"/>
                <w:szCs w:val="16"/>
                <w:lang w:eastAsia="en-AU"/>
              </w:rPr>
              <w:t>Perth </w:t>
            </w:r>
          </w:p>
        </w:tc>
        <w:tc>
          <w:tcPr>
            <w:tcW w:w="1016" w:type="dxa"/>
            <w:tcBorders>
              <w:top w:val="nil"/>
              <w:left w:val="nil"/>
              <w:bottom w:val="nil"/>
              <w:right w:val="nil"/>
            </w:tcBorders>
            <w:shd w:val="clear" w:color="000000" w:fill="006991"/>
            <w:vAlign w:val="center"/>
            <w:hideMark/>
          </w:tcPr>
          <w:p w14:paraId="3459C08C" w14:textId="77777777" w:rsidR="00C24E60" w:rsidRPr="00232434" w:rsidRDefault="00C24E60">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32434">
              <w:rPr>
                <w:rFonts w:ascii="Open Sans Semibold" w:eastAsia="Times New Roman" w:hAnsi="Open Sans Semibold" w:cs="Open Sans Semibold"/>
                <w:color w:val="FFFFFF"/>
                <w:sz w:val="16"/>
                <w:szCs w:val="16"/>
                <w:lang w:eastAsia="en-AU"/>
              </w:rPr>
              <w:t>Adelaide </w:t>
            </w:r>
          </w:p>
        </w:tc>
        <w:tc>
          <w:tcPr>
            <w:tcW w:w="969" w:type="dxa"/>
            <w:tcBorders>
              <w:top w:val="nil"/>
              <w:left w:val="nil"/>
              <w:bottom w:val="nil"/>
              <w:right w:val="nil"/>
            </w:tcBorders>
            <w:shd w:val="clear" w:color="000000" w:fill="006991"/>
            <w:vAlign w:val="center"/>
            <w:hideMark/>
          </w:tcPr>
          <w:p w14:paraId="723C954C" w14:textId="77777777" w:rsidR="00C24E60" w:rsidRPr="00232434" w:rsidRDefault="00C24E60">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32434">
              <w:rPr>
                <w:rFonts w:ascii="Open Sans Semibold" w:eastAsia="Times New Roman" w:hAnsi="Open Sans Semibold" w:cs="Open Sans Semibold"/>
                <w:color w:val="FFFFFF"/>
                <w:sz w:val="16"/>
                <w:szCs w:val="16"/>
                <w:lang w:eastAsia="en-AU"/>
              </w:rPr>
              <w:t>Canberra </w:t>
            </w:r>
          </w:p>
        </w:tc>
        <w:tc>
          <w:tcPr>
            <w:tcW w:w="1107" w:type="dxa"/>
            <w:tcBorders>
              <w:top w:val="nil"/>
              <w:left w:val="nil"/>
              <w:bottom w:val="nil"/>
              <w:right w:val="nil"/>
            </w:tcBorders>
            <w:shd w:val="clear" w:color="000000" w:fill="006991"/>
            <w:vAlign w:val="center"/>
            <w:hideMark/>
          </w:tcPr>
          <w:p w14:paraId="193867AB" w14:textId="77777777" w:rsidR="00C24E60" w:rsidRPr="00232434" w:rsidRDefault="00C24E60">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32434">
              <w:rPr>
                <w:rFonts w:ascii="Open Sans Semibold" w:eastAsia="Times New Roman" w:hAnsi="Open Sans Semibold" w:cs="Open Sans Semibold"/>
                <w:color w:val="FFFFFF"/>
                <w:sz w:val="16"/>
                <w:szCs w:val="16"/>
                <w:lang w:eastAsia="en-AU"/>
              </w:rPr>
              <w:t>Total </w:t>
            </w:r>
          </w:p>
        </w:tc>
      </w:tr>
      <w:tr w:rsidR="00E05873" w:rsidRPr="00A212F0" w14:paraId="182C2DD0" w14:textId="77777777" w:rsidTr="00232434">
        <w:trPr>
          <w:trHeight w:val="255"/>
        </w:trPr>
        <w:tc>
          <w:tcPr>
            <w:tcW w:w="1584" w:type="dxa"/>
            <w:tcBorders>
              <w:top w:val="nil"/>
              <w:left w:val="nil"/>
              <w:bottom w:val="nil"/>
              <w:right w:val="nil"/>
            </w:tcBorders>
            <w:shd w:val="clear" w:color="000000" w:fill="B6D5E4"/>
            <w:vAlign w:val="center"/>
            <w:hideMark/>
          </w:tcPr>
          <w:p w14:paraId="73793C75" w14:textId="51E7D57A" w:rsidR="00C24E60" w:rsidRPr="00A212F0" w:rsidRDefault="00C24E60">
            <w:pPr>
              <w:keepNext/>
              <w:keepLines/>
              <w:tabs>
                <w:tab w:val="clear" w:pos="567"/>
              </w:tabs>
              <w:spacing w:before="0" w:line="240" w:lineRule="auto"/>
              <w:rPr>
                <w:rFonts w:ascii="Open Sans Semibold" w:eastAsia="Times New Roman" w:hAnsi="Open Sans Semibold" w:cs="Open Sans Semibold"/>
                <w:color w:val="000000"/>
                <w:sz w:val="16"/>
                <w:szCs w:val="16"/>
                <w:lang w:eastAsia="en-AU"/>
              </w:rPr>
            </w:pPr>
            <w:r w:rsidRPr="00A212F0">
              <w:rPr>
                <w:rFonts w:ascii="Arial" w:eastAsia="Times New Roman" w:hAnsi="Arial" w:cs="Arial"/>
                <w:color w:val="000000"/>
                <w:sz w:val="16"/>
                <w:szCs w:val="16"/>
                <w:lang w:eastAsia="en-AU"/>
              </w:rPr>
              <w:t> </w:t>
            </w:r>
            <w:r w:rsidRPr="00A212F0">
              <w:rPr>
                <w:rFonts w:ascii="Open Sans Semibold" w:eastAsia="Times New Roman" w:hAnsi="Open Sans Semibold" w:cs="Open Sans Semibold"/>
                <w:color w:val="000000"/>
                <w:sz w:val="16"/>
                <w:szCs w:val="16"/>
                <w:lang w:eastAsia="en-AU"/>
              </w:rPr>
              <w:t> </w:t>
            </w:r>
          </w:p>
        </w:tc>
        <w:tc>
          <w:tcPr>
            <w:tcW w:w="1016" w:type="dxa"/>
            <w:tcBorders>
              <w:top w:val="nil"/>
              <w:left w:val="nil"/>
              <w:bottom w:val="nil"/>
              <w:right w:val="nil"/>
            </w:tcBorders>
            <w:shd w:val="clear" w:color="000000" w:fill="B6D5E4"/>
            <w:vAlign w:val="center"/>
            <w:hideMark/>
          </w:tcPr>
          <w:p w14:paraId="0D114892" w14:textId="7CE2A83A" w:rsidR="00C24E60" w:rsidRPr="00A212F0" w:rsidRDefault="007A336C">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A336C">
              <w:rPr>
                <w:rFonts w:ascii="Arial" w:eastAsia="Times New Roman" w:hAnsi="Arial" w:cs="Arial"/>
                <w:color w:val="000000"/>
                <w:sz w:val="16"/>
                <w:szCs w:val="16"/>
                <w:lang w:eastAsia="en-AU"/>
              </w:rPr>
              <w:t> </w:t>
            </w:r>
            <w:r w:rsidRPr="007A336C">
              <w:rPr>
                <w:rFonts w:ascii="Open Sans Semibold" w:eastAsia="Times New Roman" w:hAnsi="Open Sans Semibold" w:cs="Open Sans Semibold"/>
                <w:color w:val="000000"/>
                <w:sz w:val="16"/>
                <w:szCs w:val="16"/>
                <w:lang w:eastAsia="en-AU"/>
              </w:rPr>
              <w:t xml:space="preserve"> millions</w:t>
            </w:r>
          </w:p>
        </w:tc>
        <w:tc>
          <w:tcPr>
            <w:tcW w:w="1016" w:type="dxa"/>
            <w:tcBorders>
              <w:top w:val="nil"/>
              <w:left w:val="nil"/>
              <w:bottom w:val="nil"/>
              <w:right w:val="nil"/>
            </w:tcBorders>
            <w:shd w:val="clear" w:color="000000" w:fill="B6D5E4"/>
            <w:vAlign w:val="center"/>
            <w:hideMark/>
          </w:tcPr>
          <w:p w14:paraId="6B19CA73" w14:textId="01D62805" w:rsidR="00C24E60" w:rsidRPr="00A212F0" w:rsidRDefault="007A336C">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A336C">
              <w:rPr>
                <w:rFonts w:ascii="Arial" w:eastAsia="Times New Roman" w:hAnsi="Arial" w:cs="Arial"/>
                <w:color w:val="000000"/>
                <w:sz w:val="16"/>
                <w:szCs w:val="16"/>
                <w:lang w:eastAsia="en-AU"/>
              </w:rPr>
              <w:t> </w:t>
            </w:r>
            <w:r w:rsidRPr="007A336C">
              <w:rPr>
                <w:rFonts w:ascii="Open Sans Semibold" w:eastAsia="Times New Roman" w:hAnsi="Open Sans Semibold" w:cs="Open Sans Semibold"/>
                <w:color w:val="000000"/>
                <w:sz w:val="16"/>
                <w:szCs w:val="16"/>
                <w:lang w:eastAsia="en-AU"/>
              </w:rPr>
              <w:t xml:space="preserve"> millions</w:t>
            </w:r>
          </w:p>
        </w:tc>
        <w:tc>
          <w:tcPr>
            <w:tcW w:w="1016" w:type="dxa"/>
            <w:tcBorders>
              <w:top w:val="nil"/>
              <w:left w:val="nil"/>
              <w:bottom w:val="nil"/>
              <w:right w:val="nil"/>
            </w:tcBorders>
            <w:shd w:val="clear" w:color="000000" w:fill="B6D5E4"/>
            <w:vAlign w:val="center"/>
            <w:hideMark/>
          </w:tcPr>
          <w:p w14:paraId="57788D92" w14:textId="64A8F83A" w:rsidR="00C24E60" w:rsidRPr="00A212F0" w:rsidRDefault="007A336C">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A336C">
              <w:rPr>
                <w:rFonts w:ascii="Arial" w:eastAsia="Times New Roman" w:hAnsi="Arial" w:cs="Arial"/>
                <w:color w:val="000000"/>
                <w:sz w:val="16"/>
                <w:szCs w:val="16"/>
                <w:lang w:eastAsia="en-AU"/>
              </w:rPr>
              <w:t> </w:t>
            </w:r>
            <w:r w:rsidRPr="007A336C">
              <w:rPr>
                <w:rFonts w:ascii="Open Sans Semibold" w:eastAsia="Times New Roman" w:hAnsi="Open Sans Semibold" w:cs="Open Sans Semibold"/>
                <w:color w:val="000000"/>
                <w:sz w:val="16"/>
                <w:szCs w:val="16"/>
                <w:lang w:eastAsia="en-AU"/>
              </w:rPr>
              <w:t xml:space="preserve"> millions</w:t>
            </w:r>
          </w:p>
        </w:tc>
        <w:tc>
          <w:tcPr>
            <w:tcW w:w="1016" w:type="dxa"/>
            <w:tcBorders>
              <w:top w:val="nil"/>
              <w:left w:val="nil"/>
              <w:bottom w:val="nil"/>
              <w:right w:val="nil"/>
            </w:tcBorders>
            <w:shd w:val="clear" w:color="000000" w:fill="B6D5E4"/>
            <w:vAlign w:val="center"/>
            <w:hideMark/>
          </w:tcPr>
          <w:p w14:paraId="46DBF42D" w14:textId="699E7BFB" w:rsidR="00C24E60" w:rsidRPr="00A212F0" w:rsidRDefault="007A336C">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A336C">
              <w:rPr>
                <w:rFonts w:ascii="Arial" w:eastAsia="Times New Roman" w:hAnsi="Arial" w:cs="Arial"/>
                <w:color w:val="000000"/>
                <w:sz w:val="16"/>
                <w:szCs w:val="16"/>
                <w:lang w:eastAsia="en-AU"/>
              </w:rPr>
              <w:t> </w:t>
            </w:r>
            <w:r w:rsidRPr="007A336C">
              <w:rPr>
                <w:rFonts w:ascii="Open Sans Semibold" w:eastAsia="Times New Roman" w:hAnsi="Open Sans Semibold" w:cs="Open Sans Semibold"/>
                <w:color w:val="000000"/>
                <w:sz w:val="16"/>
                <w:szCs w:val="16"/>
                <w:lang w:eastAsia="en-AU"/>
              </w:rPr>
              <w:t xml:space="preserve"> millions</w:t>
            </w:r>
          </w:p>
        </w:tc>
        <w:tc>
          <w:tcPr>
            <w:tcW w:w="1016" w:type="dxa"/>
            <w:tcBorders>
              <w:top w:val="nil"/>
              <w:left w:val="nil"/>
              <w:bottom w:val="nil"/>
              <w:right w:val="nil"/>
            </w:tcBorders>
            <w:shd w:val="clear" w:color="000000" w:fill="B6D5E4"/>
            <w:vAlign w:val="center"/>
            <w:hideMark/>
          </w:tcPr>
          <w:p w14:paraId="7F334FE4" w14:textId="40F18793" w:rsidR="00C24E60" w:rsidRPr="00A212F0" w:rsidRDefault="007A336C">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A336C">
              <w:rPr>
                <w:rFonts w:ascii="Arial" w:eastAsia="Times New Roman" w:hAnsi="Arial" w:cs="Arial"/>
                <w:color w:val="000000"/>
                <w:sz w:val="16"/>
                <w:szCs w:val="16"/>
                <w:lang w:eastAsia="en-AU"/>
              </w:rPr>
              <w:t> </w:t>
            </w:r>
            <w:r w:rsidRPr="007A336C">
              <w:rPr>
                <w:rFonts w:ascii="Open Sans Semibold" w:eastAsia="Times New Roman" w:hAnsi="Open Sans Semibold" w:cs="Open Sans Semibold"/>
                <w:color w:val="000000"/>
                <w:sz w:val="16"/>
                <w:szCs w:val="16"/>
                <w:lang w:eastAsia="en-AU"/>
              </w:rPr>
              <w:t xml:space="preserve"> millions</w:t>
            </w:r>
          </w:p>
        </w:tc>
        <w:tc>
          <w:tcPr>
            <w:tcW w:w="969" w:type="dxa"/>
            <w:tcBorders>
              <w:top w:val="nil"/>
              <w:left w:val="nil"/>
              <w:bottom w:val="nil"/>
              <w:right w:val="nil"/>
            </w:tcBorders>
            <w:shd w:val="clear" w:color="000000" w:fill="B6D5E4"/>
            <w:vAlign w:val="center"/>
            <w:hideMark/>
          </w:tcPr>
          <w:p w14:paraId="6E8CCD18" w14:textId="5D8DA540" w:rsidR="00C24E60" w:rsidRPr="00A212F0" w:rsidRDefault="007A336C">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A336C">
              <w:rPr>
                <w:rFonts w:ascii="Arial" w:eastAsia="Times New Roman" w:hAnsi="Arial" w:cs="Arial"/>
                <w:color w:val="000000"/>
                <w:sz w:val="16"/>
                <w:szCs w:val="16"/>
                <w:lang w:eastAsia="en-AU"/>
              </w:rPr>
              <w:t> </w:t>
            </w:r>
            <w:r w:rsidRPr="007A336C">
              <w:rPr>
                <w:rFonts w:ascii="Open Sans Semibold" w:eastAsia="Times New Roman" w:hAnsi="Open Sans Semibold" w:cs="Open Sans Semibold"/>
                <w:color w:val="000000"/>
                <w:sz w:val="16"/>
                <w:szCs w:val="16"/>
                <w:lang w:eastAsia="en-AU"/>
              </w:rPr>
              <w:t xml:space="preserve"> million</w:t>
            </w:r>
            <w:r w:rsidR="007740FE">
              <w:rPr>
                <w:rFonts w:ascii="Open Sans Semibold" w:eastAsia="Times New Roman" w:hAnsi="Open Sans Semibold" w:cs="Open Sans Semibold"/>
                <w:color w:val="000000"/>
                <w:sz w:val="16"/>
                <w:szCs w:val="16"/>
                <w:lang w:eastAsia="en-AU"/>
              </w:rPr>
              <w:t>s</w:t>
            </w:r>
          </w:p>
        </w:tc>
        <w:tc>
          <w:tcPr>
            <w:tcW w:w="1107" w:type="dxa"/>
            <w:tcBorders>
              <w:top w:val="nil"/>
              <w:left w:val="nil"/>
              <w:bottom w:val="nil"/>
              <w:right w:val="nil"/>
            </w:tcBorders>
            <w:shd w:val="clear" w:color="000000" w:fill="B6D5E4"/>
            <w:vAlign w:val="center"/>
            <w:hideMark/>
          </w:tcPr>
          <w:p w14:paraId="2AA507E2" w14:textId="05AE1052" w:rsidR="00C24E60" w:rsidRPr="00A212F0" w:rsidRDefault="007A336C">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7A336C">
              <w:rPr>
                <w:rFonts w:ascii="Arial" w:eastAsia="Times New Roman" w:hAnsi="Arial" w:cs="Arial"/>
                <w:color w:val="000000"/>
                <w:sz w:val="16"/>
                <w:szCs w:val="16"/>
                <w:lang w:eastAsia="en-AU"/>
              </w:rPr>
              <w:t> </w:t>
            </w:r>
            <w:r w:rsidRPr="007A336C">
              <w:rPr>
                <w:rFonts w:ascii="Open Sans Semibold" w:eastAsia="Times New Roman" w:hAnsi="Open Sans Semibold" w:cs="Open Sans Semibold"/>
                <w:color w:val="000000"/>
                <w:sz w:val="16"/>
                <w:szCs w:val="16"/>
                <w:lang w:eastAsia="en-AU"/>
              </w:rPr>
              <w:t xml:space="preserve"> millions</w:t>
            </w:r>
          </w:p>
        </w:tc>
      </w:tr>
      <w:tr w:rsidR="00E05873" w:rsidRPr="00A212F0" w14:paraId="7C8A9E70" w14:textId="77777777">
        <w:trPr>
          <w:trHeight w:val="315"/>
        </w:trPr>
        <w:tc>
          <w:tcPr>
            <w:tcW w:w="1584" w:type="dxa"/>
            <w:tcBorders>
              <w:top w:val="single" w:sz="4" w:space="0" w:color="B6D5E4"/>
              <w:left w:val="nil"/>
              <w:bottom w:val="single" w:sz="4" w:space="0" w:color="B6D5E4"/>
              <w:right w:val="nil"/>
            </w:tcBorders>
            <w:shd w:val="clear" w:color="auto" w:fill="auto"/>
            <w:vAlign w:val="center"/>
            <w:hideMark/>
          </w:tcPr>
          <w:p w14:paraId="71E64DB1" w14:textId="77777777" w:rsidR="00C24E60" w:rsidRPr="00A212F0" w:rsidRDefault="00C24E60">
            <w:pPr>
              <w:keepNext/>
              <w:keepLines/>
              <w:tabs>
                <w:tab w:val="clear" w:pos="567"/>
              </w:tabs>
              <w:spacing w:before="0" w:line="240" w:lineRule="auto"/>
              <w:rPr>
                <w:rFonts w:eastAsia="Times New Roman" w:cs="Open Sans Light"/>
                <w:color w:val="000000"/>
                <w:sz w:val="16"/>
                <w:szCs w:val="16"/>
                <w:lang w:eastAsia="en-AU"/>
              </w:rPr>
            </w:pPr>
            <w:bookmarkStart w:id="47" w:name="OLE_LINK1" w:colFirst="0" w:colLast="0"/>
            <w:bookmarkStart w:id="48" w:name="OLE_LINK2" w:colFirst="0" w:colLast="0"/>
            <w:r w:rsidRPr="00A212F0">
              <w:rPr>
                <w:rFonts w:eastAsia="Times New Roman" w:cs="Open Sans Light"/>
                <w:color w:val="000000"/>
                <w:sz w:val="16"/>
                <w:szCs w:val="16"/>
                <w:lang w:eastAsia="en-AU"/>
              </w:rPr>
              <w:t>August 2016</w:t>
            </w:r>
          </w:p>
        </w:tc>
        <w:tc>
          <w:tcPr>
            <w:tcW w:w="1016" w:type="dxa"/>
            <w:tcBorders>
              <w:top w:val="single" w:sz="4" w:space="0" w:color="B6D5E4"/>
              <w:left w:val="nil"/>
              <w:bottom w:val="single" w:sz="4" w:space="0" w:color="B6D5E4"/>
              <w:right w:val="nil"/>
            </w:tcBorders>
            <w:shd w:val="clear" w:color="auto" w:fill="auto"/>
            <w:vAlign w:val="center"/>
            <w:hideMark/>
          </w:tcPr>
          <w:p w14:paraId="2B3F63EE" w14:textId="46E18994"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44.4</w:t>
            </w:r>
          </w:p>
        </w:tc>
        <w:tc>
          <w:tcPr>
            <w:tcW w:w="1016" w:type="dxa"/>
            <w:tcBorders>
              <w:top w:val="single" w:sz="4" w:space="0" w:color="B6D5E4"/>
              <w:left w:val="nil"/>
              <w:bottom w:val="single" w:sz="4" w:space="0" w:color="B6D5E4"/>
              <w:right w:val="nil"/>
            </w:tcBorders>
            <w:shd w:val="clear" w:color="auto" w:fill="auto"/>
            <w:vAlign w:val="center"/>
            <w:hideMark/>
          </w:tcPr>
          <w:p w14:paraId="39E97934" w14:textId="1BB5CDE3"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32.5</w:t>
            </w:r>
          </w:p>
        </w:tc>
        <w:tc>
          <w:tcPr>
            <w:tcW w:w="1016" w:type="dxa"/>
            <w:tcBorders>
              <w:top w:val="single" w:sz="4" w:space="0" w:color="B6D5E4"/>
              <w:left w:val="nil"/>
              <w:bottom w:val="single" w:sz="4" w:space="0" w:color="B6D5E4"/>
              <w:right w:val="nil"/>
            </w:tcBorders>
            <w:shd w:val="clear" w:color="auto" w:fill="auto"/>
            <w:vAlign w:val="center"/>
            <w:hideMark/>
          </w:tcPr>
          <w:p w14:paraId="4CDB8E44" w14:textId="6111A058"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11.2</w:t>
            </w:r>
          </w:p>
        </w:tc>
        <w:tc>
          <w:tcPr>
            <w:tcW w:w="1016" w:type="dxa"/>
            <w:tcBorders>
              <w:top w:val="single" w:sz="4" w:space="0" w:color="B6D5E4"/>
              <w:left w:val="nil"/>
              <w:bottom w:val="single" w:sz="4" w:space="0" w:color="B6D5E4"/>
              <w:right w:val="single" w:sz="4" w:space="0" w:color="FFFFFF"/>
            </w:tcBorders>
            <w:shd w:val="clear" w:color="auto" w:fill="auto"/>
            <w:vAlign w:val="center"/>
            <w:hideMark/>
          </w:tcPr>
          <w:p w14:paraId="1DEDA065" w14:textId="14C9D1EA"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15.4</w:t>
            </w:r>
          </w:p>
        </w:tc>
        <w:tc>
          <w:tcPr>
            <w:tcW w:w="1016" w:type="dxa"/>
            <w:tcBorders>
              <w:top w:val="single" w:sz="4" w:space="0" w:color="B6D5E4"/>
              <w:left w:val="nil"/>
              <w:bottom w:val="single" w:sz="4" w:space="0" w:color="B6D5E4"/>
              <w:right w:val="nil"/>
            </w:tcBorders>
            <w:shd w:val="clear" w:color="auto" w:fill="auto"/>
            <w:vAlign w:val="center"/>
            <w:hideMark/>
          </w:tcPr>
          <w:p w14:paraId="402F066D" w14:textId="0CAB5844"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11.0</w:t>
            </w:r>
          </w:p>
        </w:tc>
        <w:tc>
          <w:tcPr>
            <w:tcW w:w="969" w:type="dxa"/>
            <w:tcBorders>
              <w:top w:val="single" w:sz="4" w:space="0" w:color="B6D5E4"/>
              <w:left w:val="nil"/>
              <w:bottom w:val="single" w:sz="4" w:space="0" w:color="B6D5E4"/>
              <w:right w:val="nil"/>
            </w:tcBorders>
            <w:shd w:val="clear" w:color="auto" w:fill="auto"/>
            <w:vAlign w:val="center"/>
            <w:hideMark/>
          </w:tcPr>
          <w:p w14:paraId="6716653A" w14:textId="21C4F20B"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3.2</w:t>
            </w:r>
          </w:p>
        </w:tc>
        <w:tc>
          <w:tcPr>
            <w:tcW w:w="1107" w:type="dxa"/>
            <w:tcBorders>
              <w:top w:val="single" w:sz="4" w:space="0" w:color="B6D5E4"/>
              <w:left w:val="nil"/>
              <w:bottom w:val="single" w:sz="4" w:space="0" w:color="B6D5E4"/>
              <w:right w:val="nil"/>
            </w:tcBorders>
            <w:shd w:val="clear" w:color="auto" w:fill="auto"/>
            <w:vAlign w:val="center"/>
            <w:hideMark/>
          </w:tcPr>
          <w:p w14:paraId="613655E8" w14:textId="2FF9625E"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117.8</w:t>
            </w:r>
          </w:p>
        </w:tc>
      </w:tr>
      <w:tr w:rsidR="00E05873" w:rsidRPr="00A212F0" w14:paraId="75C66DD6" w14:textId="77777777">
        <w:trPr>
          <w:trHeight w:val="315"/>
        </w:trPr>
        <w:tc>
          <w:tcPr>
            <w:tcW w:w="1584" w:type="dxa"/>
            <w:tcBorders>
              <w:top w:val="nil"/>
              <w:left w:val="nil"/>
              <w:bottom w:val="nil"/>
              <w:right w:val="nil"/>
            </w:tcBorders>
            <w:shd w:val="clear" w:color="auto" w:fill="auto"/>
            <w:vAlign w:val="center"/>
            <w:hideMark/>
          </w:tcPr>
          <w:p w14:paraId="6CED23DF" w14:textId="77777777" w:rsidR="00C24E60" w:rsidRPr="00A212F0" w:rsidRDefault="00C24E60">
            <w:pPr>
              <w:keepNext/>
              <w:keepLines/>
              <w:tabs>
                <w:tab w:val="clear" w:pos="567"/>
              </w:tabs>
              <w:spacing w:before="0" w:line="240" w:lineRule="auto"/>
              <w:rPr>
                <w:rFonts w:eastAsia="Times New Roman" w:cs="Open Sans Light"/>
                <w:color w:val="000000"/>
                <w:sz w:val="16"/>
                <w:szCs w:val="16"/>
                <w:lang w:eastAsia="en-AU"/>
              </w:rPr>
            </w:pPr>
            <w:r w:rsidRPr="00A212F0">
              <w:rPr>
                <w:rFonts w:eastAsia="Times New Roman" w:cs="Open Sans Light"/>
                <w:color w:val="000000"/>
                <w:sz w:val="16"/>
                <w:szCs w:val="16"/>
                <w:lang w:eastAsia="en-AU"/>
              </w:rPr>
              <w:t>August 2019</w:t>
            </w:r>
          </w:p>
        </w:tc>
        <w:tc>
          <w:tcPr>
            <w:tcW w:w="1016" w:type="dxa"/>
            <w:tcBorders>
              <w:top w:val="nil"/>
              <w:left w:val="nil"/>
              <w:bottom w:val="nil"/>
              <w:right w:val="nil"/>
            </w:tcBorders>
            <w:shd w:val="clear" w:color="auto" w:fill="auto"/>
            <w:vAlign w:val="center"/>
            <w:hideMark/>
          </w:tcPr>
          <w:p w14:paraId="60862582" w14:textId="5BF752EC"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51.9</w:t>
            </w:r>
          </w:p>
        </w:tc>
        <w:tc>
          <w:tcPr>
            <w:tcW w:w="1016" w:type="dxa"/>
            <w:tcBorders>
              <w:top w:val="nil"/>
              <w:left w:val="nil"/>
              <w:bottom w:val="nil"/>
              <w:right w:val="nil"/>
            </w:tcBorders>
            <w:shd w:val="clear" w:color="auto" w:fill="auto"/>
            <w:vAlign w:val="center"/>
            <w:hideMark/>
          </w:tcPr>
          <w:p w14:paraId="1559E40A" w14:textId="75CF0F1E"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33.4</w:t>
            </w:r>
          </w:p>
        </w:tc>
        <w:tc>
          <w:tcPr>
            <w:tcW w:w="1016" w:type="dxa"/>
            <w:tcBorders>
              <w:top w:val="nil"/>
              <w:left w:val="nil"/>
              <w:bottom w:val="nil"/>
              <w:right w:val="nil"/>
            </w:tcBorders>
            <w:shd w:val="clear" w:color="auto" w:fill="auto"/>
            <w:vAlign w:val="center"/>
            <w:hideMark/>
          </w:tcPr>
          <w:p w14:paraId="348E181E" w14:textId="05FB1A22"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11.7</w:t>
            </w:r>
          </w:p>
        </w:tc>
        <w:tc>
          <w:tcPr>
            <w:tcW w:w="1016" w:type="dxa"/>
            <w:tcBorders>
              <w:top w:val="nil"/>
              <w:left w:val="nil"/>
              <w:bottom w:val="nil"/>
              <w:right w:val="single" w:sz="4" w:space="0" w:color="FFFFFF"/>
            </w:tcBorders>
            <w:shd w:val="clear" w:color="auto" w:fill="auto"/>
            <w:vAlign w:val="center"/>
            <w:hideMark/>
          </w:tcPr>
          <w:p w14:paraId="4A40117D" w14:textId="41800C34"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16.2</w:t>
            </w:r>
          </w:p>
        </w:tc>
        <w:tc>
          <w:tcPr>
            <w:tcW w:w="1016" w:type="dxa"/>
            <w:tcBorders>
              <w:top w:val="nil"/>
              <w:left w:val="nil"/>
              <w:bottom w:val="nil"/>
              <w:right w:val="nil"/>
            </w:tcBorders>
            <w:shd w:val="clear" w:color="auto" w:fill="auto"/>
            <w:vAlign w:val="center"/>
            <w:hideMark/>
          </w:tcPr>
          <w:p w14:paraId="16EBB30B" w14:textId="1A5B87DA"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10.5</w:t>
            </w:r>
          </w:p>
        </w:tc>
        <w:tc>
          <w:tcPr>
            <w:tcW w:w="969" w:type="dxa"/>
            <w:tcBorders>
              <w:top w:val="nil"/>
              <w:left w:val="nil"/>
              <w:bottom w:val="nil"/>
              <w:right w:val="nil"/>
            </w:tcBorders>
            <w:shd w:val="clear" w:color="auto" w:fill="auto"/>
            <w:vAlign w:val="center"/>
            <w:hideMark/>
          </w:tcPr>
          <w:p w14:paraId="6B405D2C" w14:textId="5C8CE3DE"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3.5</w:t>
            </w:r>
          </w:p>
        </w:tc>
        <w:tc>
          <w:tcPr>
            <w:tcW w:w="1107" w:type="dxa"/>
            <w:tcBorders>
              <w:top w:val="nil"/>
              <w:left w:val="nil"/>
              <w:bottom w:val="nil"/>
              <w:right w:val="nil"/>
            </w:tcBorders>
            <w:shd w:val="clear" w:color="auto" w:fill="auto"/>
            <w:vAlign w:val="center"/>
            <w:hideMark/>
          </w:tcPr>
          <w:p w14:paraId="1F435952" w14:textId="0A66D967"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127.2</w:t>
            </w:r>
          </w:p>
        </w:tc>
      </w:tr>
      <w:tr w:rsidR="00E05873" w:rsidRPr="00A212F0" w14:paraId="039AAE7E" w14:textId="77777777">
        <w:trPr>
          <w:trHeight w:val="315"/>
        </w:trPr>
        <w:tc>
          <w:tcPr>
            <w:tcW w:w="1584" w:type="dxa"/>
            <w:tcBorders>
              <w:top w:val="single" w:sz="4" w:space="0" w:color="B6D5E4"/>
              <w:left w:val="nil"/>
              <w:bottom w:val="nil"/>
              <w:right w:val="nil"/>
            </w:tcBorders>
            <w:shd w:val="clear" w:color="auto" w:fill="auto"/>
            <w:vAlign w:val="center"/>
            <w:hideMark/>
          </w:tcPr>
          <w:p w14:paraId="58709CC8" w14:textId="77777777" w:rsidR="00C24E60" w:rsidRPr="00A212F0" w:rsidRDefault="00C24E60">
            <w:pPr>
              <w:keepNext/>
              <w:keepLines/>
              <w:tabs>
                <w:tab w:val="clear" w:pos="567"/>
              </w:tabs>
              <w:spacing w:before="0" w:line="240" w:lineRule="auto"/>
              <w:rPr>
                <w:rFonts w:eastAsia="Times New Roman" w:cs="Open Sans Light"/>
                <w:color w:val="000000"/>
                <w:sz w:val="16"/>
                <w:szCs w:val="16"/>
                <w:lang w:eastAsia="en-AU"/>
              </w:rPr>
            </w:pPr>
            <w:r w:rsidRPr="00A212F0">
              <w:rPr>
                <w:rFonts w:eastAsia="Times New Roman" w:cs="Open Sans Light"/>
                <w:color w:val="000000"/>
                <w:sz w:val="16"/>
                <w:szCs w:val="16"/>
                <w:lang w:eastAsia="en-AU"/>
              </w:rPr>
              <w:t>August 2020</w:t>
            </w:r>
          </w:p>
        </w:tc>
        <w:tc>
          <w:tcPr>
            <w:tcW w:w="1016" w:type="dxa"/>
            <w:tcBorders>
              <w:top w:val="single" w:sz="4" w:space="0" w:color="B6D5E4"/>
              <w:left w:val="nil"/>
              <w:bottom w:val="nil"/>
              <w:right w:val="nil"/>
            </w:tcBorders>
            <w:shd w:val="clear" w:color="auto" w:fill="auto"/>
            <w:vAlign w:val="center"/>
            <w:hideMark/>
          </w:tcPr>
          <w:p w14:paraId="733B902D" w14:textId="705D5842"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48.9</w:t>
            </w:r>
          </w:p>
        </w:tc>
        <w:tc>
          <w:tcPr>
            <w:tcW w:w="1016" w:type="dxa"/>
            <w:tcBorders>
              <w:top w:val="single" w:sz="4" w:space="0" w:color="B6D5E4"/>
              <w:left w:val="nil"/>
              <w:bottom w:val="nil"/>
              <w:right w:val="nil"/>
            </w:tcBorders>
            <w:shd w:val="clear" w:color="auto" w:fill="auto"/>
            <w:vAlign w:val="center"/>
            <w:hideMark/>
          </w:tcPr>
          <w:p w14:paraId="4F170149" w14:textId="413AE828"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32.5</w:t>
            </w:r>
          </w:p>
        </w:tc>
        <w:tc>
          <w:tcPr>
            <w:tcW w:w="1016" w:type="dxa"/>
            <w:tcBorders>
              <w:top w:val="single" w:sz="4" w:space="0" w:color="B6D5E4"/>
              <w:left w:val="nil"/>
              <w:bottom w:val="nil"/>
              <w:right w:val="nil"/>
            </w:tcBorders>
            <w:shd w:val="clear" w:color="auto" w:fill="auto"/>
            <w:vAlign w:val="center"/>
            <w:hideMark/>
          </w:tcPr>
          <w:p w14:paraId="40993FEF" w14:textId="5421B1EC"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10.8</w:t>
            </w:r>
          </w:p>
        </w:tc>
        <w:tc>
          <w:tcPr>
            <w:tcW w:w="1016" w:type="dxa"/>
            <w:tcBorders>
              <w:top w:val="single" w:sz="4" w:space="0" w:color="B6D5E4"/>
              <w:left w:val="nil"/>
              <w:bottom w:val="nil"/>
              <w:right w:val="single" w:sz="4" w:space="0" w:color="FFFFFF"/>
            </w:tcBorders>
            <w:shd w:val="clear" w:color="auto" w:fill="auto"/>
            <w:vAlign w:val="center"/>
            <w:hideMark/>
          </w:tcPr>
          <w:p w14:paraId="52369BAD" w14:textId="51669716"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15.3</w:t>
            </w:r>
          </w:p>
        </w:tc>
        <w:tc>
          <w:tcPr>
            <w:tcW w:w="1016" w:type="dxa"/>
            <w:tcBorders>
              <w:top w:val="single" w:sz="4" w:space="0" w:color="B6D5E4"/>
              <w:left w:val="nil"/>
              <w:bottom w:val="nil"/>
              <w:right w:val="nil"/>
            </w:tcBorders>
            <w:shd w:val="clear" w:color="auto" w:fill="auto"/>
            <w:vAlign w:val="center"/>
            <w:hideMark/>
          </w:tcPr>
          <w:p w14:paraId="13FF0C40" w14:textId="16B81AFC"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10.1</w:t>
            </w:r>
          </w:p>
        </w:tc>
        <w:tc>
          <w:tcPr>
            <w:tcW w:w="969" w:type="dxa"/>
            <w:tcBorders>
              <w:top w:val="single" w:sz="4" w:space="0" w:color="B6D5E4"/>
              <w:left w:val="nil"/>
              <w:bottom w:val="nil"/>
              <w:right w:val="nil"/>
            </w:tcBorders>
            <w:shd w:val="clear" w:color="auto" w:fill="auto"/>
            <w:vAlign w:val="center"/>
            <w:hideMark/>
          </w:tcPr>
          <w:p w14:paraId="3A85A2E8" w14:textId="0E12D57F"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3.7</w:t>
            </w:r>
          </w:p>
        </w:tc>
        <w:tc>
          <w:tcPr>
            <w:tcW w:w="1107" w:type="dxa"/>
            <w:tcBorders>
              <w:top w:val="single" w:sz="4" w:space="0" w:color="B6D5E4"/>
              <w:left w:val="nil"/>
              <w:bottom w:val="nil"/>
              <w:right w:val="nil"/>
            </w:tcBorders>
            <w:shd w:val="clear" w:color="auto" w:fill="auto"/>
            <w:vAlign w:val="center"/>
            <w:hideMark/>
          </w:tcPr>
          <w:p w14:paraId="33C765D7" w14:textId="36245877"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121.5</w:t>
            </w:r>
          </w:p>
        </w:tc>
      </w:tr>
      <w:tr w:rsidR="00E05873" w:rsidRPr="00A212F0" w14:paraId="575669F5" w14:textId="77777777">
        <w:trPr>
          <w:trHeight w:val="315"/>
        </w:trPr>
        <w:tc>
          <w:tcPr>
            <w:tcW w:w="1584" w:type="dxa"/>
            <w:tcBorders>
              <w:top w:val="single" w:sz="4" w:space="0" w:color="B6D5E4"/>
              <w:left w:val="nil"/>
              <w:bottom w:val="nil"/>
              <w:right w:val="nil"/>
            </w:tcBorders>
            <w:shd w:val="clear" w:color="auto" w:fill="auto"/>
            <w:vAlign w:val="center"/>
            <w:hideMark/>
          </w:tcPr>
          <w:p w14:paraId="6024D2E4" w14:textId="77777777" w:rsidR="00C24E60" w:rsidRPr="00A212F0" w:rsidRDefault="00C24E60">
            <w:pPr>
              <w:keepNext/>
              <w:keepLines/>
              <w:tabs>
                <w:tab w:val="clear" w:pos="567"/>
              </w:tabs>
              <w:spacing w:before="0" w:line="240" w:lineRule="auto"/>
              <w:rPr>
                <w:rFonts w:eastAsia="Times New Roman" w:cs="Open Sans Light"/>
                <w:color w:val="000000"/>
                <w:sz w:val="16"/>
                <w:szCs w:val="16"/>
                <w:lang w:eastAsia="en-AU"/>
              </w:rPr>
            </w:pPr>
            <w:r w:rsidRPr="00A212F0">
              <w:rPr>
                <w:rFonts w:eastAsia="Times New Roman" w:cs="Open Sans Light"/>
                <w:color w:val="000000"/>
                <w:sz w:val="16"/>
                <w:szCs w:val="16"/>
                <w:lang w:eastAsia="en-AU"/>
              </w:rPr>
              <w:t>August 2021</w:t>
            </w:r>
          </w:p>
        </w:tc>
        <w:tc>
          <w:tcPr>
            <w:tcW w:w="1016" w:type="dxa"/>
            <w:tcBorders>
              <w:top w:val="single" w:sz="4" w:space="0" w:color="B6D5E4"/>
              <w:left w:val="nil"/>
              <w:bottom w:val="nil"/>
              <w:right w:val="nil"/>
            </w:tcBorders>
            <w:shd w:val="clear" w:color="auto" w:fill="auto"/>
            <w:vAlign w:val="center"/>
            <w:hideMark/>
          </w:tcPr>
          <w:p w14:paraId="7FBB5ABA" w14:textId="33CA7033"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52.5</w:t>
            </w:r>
          </w:p>
        </w:tc>
        <w:tc>
          <w:tcPr>
            <w:tcW w:w="1016" w:type="dxa"/>
            <w:tcBorders>
              <w:top w:val="single" w:sz="4" w:space="0" w:color="B6D5E4"/>
              <w:left w:val="nil"/>
              <w:bottom w:val="nil"/>
              <w:right w:val="nil"/>
            </w:tcBorders>
            <w:shd w:val="clear" w:color="auto" w:fill="auto"/>
            <w:vAlign w:val="center"/>
            <w:hideMark/>
          </w:tcPr>
          <w:p w14:paraId="519492F9" w14:textId="7117EBB6"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32.7</w:t>
            </w:r>
          </w:p>
        </w:tc>
        <w:tc>
          <w:tcPr>
            <w:tcW w:w="1016" w:type="dxa"/>
            <w:tcBorders>
              <w:top w:val="single" w:sz="4" w:space="0" w:color="B6D5E4"/>
              <w:left w:val="nil"/>
              <w:bottom w:val="nil"/>
              <w:right w:val="nil"/>
            </w:tcBorders>
            <w:shd w:val="clear" w:color="auto" w:fill="auto"/>
            <w:vAlign w:val="center"/>
            <w:hideMark/>
          </w:tcPr>
          <w:p w14:paraId="4BD7289B" w14:textId="13E95498"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11.6</w:t>
            </w:r>
          </w:p>
        </w:tc>
        <w:tc>
          <w:tcPr>
            <w:tcW w:w="1016" w:type="dxa"/>
            <w:tcBorders>
              <w:top w:val="single" w:sz="4" w:space="0" w:color="B6D5E4"/>
              <w:left w:val="nil"/>
              <w:bottom w:val="nil"/>
              <w:right w:val="single" w:sz="4" w:space="0" w:color="FFFFFF"/>
            </w:tcBorders>
            <w:shd w:val="clear" w:color="auto" w:fill="auto"/>
            <w:vAlign w:val="center"/>
            <w:hideMark/>
          </w:tcPr>
          <w:p w14:paraId="183DAD75" w14:textId="40BFAB41"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15.7</w:t>
            </w:r>
          </w:p>
        </w:tc>
        <w:tc>
          <w:tcPr>
            <w:tcW w:w="1016" w:type="dxa"/>
            <w:tcBorders>
              <w:top w:val="single" w:sz="4" w:space="0" w:color="B6D5E4"/>
              <w:left w:val="nil"/>
              <w:bottom w:val="nil"/>
              <w:right w:val="nil"/>
            </w:tcBorders>
            <w:shd w:val="clear" w:color="auto" w:fill="auto"/>
            <w:vAlign w:val="center"/>
            <w:hideMark/>
          </w:tcPr>
          <w:p w14:paraId="1134319B" w14:textId="2507624A"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10.</w:t>
            </w:r>
            <w:r w:rsidR="00E05873">
              <w:rPr>
                <w:rFonts w:eastAsia="Times New Roman" w:cs="Open Sans Light"/>
                <w:color w:val="000000"/>
                <w:sz w:val="16"/>
                <w:szCs w:val="16"/>
                <w:lang w:eastAsia="en-AU"/>
              </w:rPr>
              <w:t>4</w:t>
            </w:r>
          </w:p>
        </w:tc>
        <w:tc>
          <w:tcPr>
            <w:tcW w:w="969" w:type="dxa"/>
            <w:tcBorders>
              <w:top w:val="single" w:sz="4" w:space="0" w:color="B6D5E4"/>
              <w:left w:val="nil"/>
              <w:bottom w:val="nil"/>
              <w:right w:val="nil"/>
            </w:tcBorders>
            <w:shd w:val="clear" w:color="auto" w:fill="auto"/>
            <w:vAlign w:val="center"/>
            <w:hideMark/>
          </w:tcPr>
          <w:p w14:paraId="1A5FC175" w14:textId="576D72EB"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3.8</w:t>
            </w:r>
          </w:p>
        </w:tc>
        <w:tc>
          <w:tcPr>
            <w:tcW w:w="1107" w:type="dxa"/>
            <w:tcBorders>
              <w:top w:val="single" w:sz="4" w:space="0" w:color="B6D5E4"/>
              <w:left w:val="nil"/>
              <w:bottom w:val="nil"/>
              <w:right w:val="nil"/>
            </w:tcBorders>
            <w:shd w:val="clear" w:color="auto" w:fill="auto"/>
            <w:vAlign w:val="center"/>
            <w:hideMark/>
          </w:tcPr>
          <w:p w14:paraId="668D572E" w14:textId="4B7EF5F6"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126.7</w:t>
            </w:r>
          </w:p>
        </w:tc>
      </w:tr>
      <w:tr w:rsidR="00E05873" w:rsidRPr="00A212F0" w14:paraId="2D4AB2A4" w14:textId="77777777" w:rsidTr="00170D1E">
        <w:trPr>
          <w:trHeight w:val="315"/>
        </w:trPr>
        <w:tc>
          <w:tcPr>
            <w:tcW w:w="1584" w:type="dxa"/>
            <w:tcBorders>
              <w:top w:val="single" w:sz="4" w:space="0" w:color="B6D5E4"/>
              <w:left w:val="nil"/>
              <w:right w:val="nil"/>
            </w:tcBorders>
            <w:shd w:val="clear" w:color="auto" w:fill="auto"/>
            <w:vAlign w:val="center"/>
            <w:hideMark/>
          </w:tcPr>
          <w:p w14:paraId="292BCB93" w14:textId="77777777" w:rsidR="00C24E60" w:rsidRPr="00A212F0" w:rsidRDefault="00C24E60">
            <w:pPr>
              <w:keepNext/>
              <w:keepLines/>
              <w:tabs>
                <w:tab w:val="clear" w:pos="567"/>
              </w:tabs>
              <w:spacing w:before="0" w:line="240" w:lineRule="auto"/>
              <w:rPr>
                <w:rFonts w:eastAsia="Times New Roman" w:cs="Open Sans Light"/>
                <w:color w:val="000000"/>
                <w:sz w:val="16"/>
                <w:szCs w:val="16"/>
                <w:lang w:eastAsia="en-AU"/>
              </w:rPr>
            </w:pPr>
            <w:r w:rsidRPr="00A212F0">
              <w:rPr>
                <w:rFonts w:eastAsia="Times New Roman" w:cs="Open Sans Light"/>
                <w:color w:val="000000"/>
                <w:sz w:val="16"/>
                <w:szCs w:val="16"/>
                <w:lang w:eastAsia="en-AU"/>
              </w:rPr>
              <w:t>August 2022</w:t>
            </w:r>
          </w:p>
        </w:tc>
        <w:tc>
          <w:tcPr>
            <w:tcW w:w="1016" w:type="dxa"/>
            <w:tcBorders>
              <w:top w:val="single" w:sz="4" w:space="0" w:color="B6D5E4"/>
              <w:left w:val="nil"/>
              <w:right w:val="nil"/>
            </w:tcBorders>
            <w:shd w:val="clear" w:color="auto" w:fill="auto"/>
            <w:vAlign w:val="center"/>
            <w:hideMark/>
          </w:tcPr>
          <w:p w14:paraId="102D8BA4" w14:textId="14933A5C"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51.2</w:t>
            </w:r>
          </w:p>
        </w:tc>
        <w:tc>
          <w:tcPr>
            <w:tcW w:w="1016" w:type="dxa"/>
            <w:tcBorders>
              <w:top w:val="single" w:sz="4" w:space="0" w:color="B6D5E4"/>
              <w:left w:val="nil"/>
              <w:right w:val="nil"/>
            </w:tcBorders>
            <w:shd w:val="clear" w:color="auto" w:fill="auto"/>
            <w:vAlign w:val="center"/>
            <w:hideMark/>
          </w:tcPr>
          <w:p w14:paraId="3E52BFC3" w14:textId="090F60E0"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31.9</w:t>
            </w:r>
          </w:p>
        </w:tc>
        <w:tc>
          <w:tcPr>
            <w:tcW w:w="1016" w:type="dxa"/>
            <w:tcBorders>
              <w:top w:val="single" w:sz="4" w:space="0" w:color="B6D5E4"/>
              <w:left w:val="nil"/>
              <w:right w:val="nil"/>
            </w:tcBorders>
            <w:shd w:val="clear" w:color="auto" w:fill="auto"/>
            <w:vAlign w:val="center"/>
            <w:hideMark/>
          </w:tcPr>
          <w:p w14:paraId="079363A0" w14:textId="43C631B2"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11.0</w:t>
            </w:r>
          </w:p>
        </w:tc>
        <w:tc>
          <w:tcPr>
            <w:tcW w:w="1016" w:type="dxa"/>
            <w:tcBorders>
              <w:top w:val="single" w:sz="4" w:space="0" w:color="B6D5E4"/>
              <w:left w:val="nil"/>
              <w:right w:val="nil"/>
            </w:tcBorders>
            <w:shd w:val="clear" w:color="auto" w:fill="auto"/>
            <w:vAlign w:val="center"/>
            <w:hideMark/>
          </w:tcPr>
          <w:p w14:paraId="3C61A50D" w14:textId="658D7EF5" w:rsidR="00C24E60" w:rsidRPr="00A212F0" w:rsidRDefault="005B741D">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16.3</w:t>
            </w:r>
          </w:p>
        </w:tc>
        <w:tc>
          <w:tcPr>
            <w:tcW w:w="1016" w:type="dxa"/>
            <w:tcBorders>
              <w:top w:val="single" w:sz="4" w:space="0" w:color="B6D5E4"/>
              <w:left w:val="nil"/>
              <w:right w:val="nil"/>
            </w:tcBorders>
            <w:shd w:val="clear" w:color="auto" w:fill="auto"/>
            <w:vAlign w:val="center"/>
            <w:hideMark/>
          </w:tcPr>
          <w:p w14:paraId="0905B8D8" w14:textId="515CD017"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10.4</w:t>
            </w:r>
          </w:p>
        </w:tc>
        <w:tc>
          <w:tcPr>
            <w:tcW w:w="969" w:type="dxa"/>
            <w:tcBorders>
              <w:top w:val="single" w:sz="4" w:space="0" w:color="B6D5E4"/>
              <w:left w:val="nil"/>
              <w:right w:val="nil"/>
            </w:tcBorders>
            <w:shd w:val="clear" w:color="auto" w:fill="auto"/>
            <w:vAlign w:val="center"/>
            <w:hideMark/>
          </w:tcPr>
          <w:p w14:paraId="3B90F722" w14:textId="04A1391C"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3.7</w:t>
            </w:r>
          </w:p>
        </w:tc>
        <w:tc>
          <w:tcPr>
            <w:tcW w:w="1107" w:type="dxa"/>
            <w:tcBorders>
              <w:top w:val="single" w:sz="4" w:space="0" w:color="B6D5E4"/>
              <w:left w:val="nil"/>
              <w:right w:val="nil"/>
            </w:tcBorders>
            <w:shd w:val="clear" w:color="auto" w:fill="auto"/>
            <w:vAlign w:val="center"/>
            <w:hideMark/>
          </w:tcPr>
          <w:p w14:paraId="4365A3D3" w14:textId="11537E30" w:rsidR="00C24E60" w:rsidRPr="00A212F0" w:rsidRDefault="00E05873">
            <w:pPr>
              <w:keepNext/>
              <w:keepLines/>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124.6</w:t>
            </w:r>
          </w:p>
        </w:tc>
      </w:tr>
      <w:bookmarkEnd w:id="47"/>
      <w:bookmarkEnd w:id="48"/>
      <w:tr w:rsidR="00E05873" w:rsidRPr="00A212F0" w14:paraId="3CC2612B" w14:textId="77777777" w:rsidTr="00170D1E">
        <w:trPr>
          <w:trHeight w:val="315"/>
        </w:trPr>
        <w:tc>
          <w:tcPr>
            <w:tcW w:w="1584" w:type="dxa"/>
            <w:tcBorders>
              <w:top w:val="nil"/>
              <w:left w:val="nil"/>
              <w:bottom w:val="nil"/>
              <w:right w:val="nil"/>
            </w:tcBorders>
            <w:shd w:val="clear" w:color="auto" w:fill="D6E7F0"/>
            <w:vAlign w:val="center"/>
            <w:hideMark/>
          </w:tcPr>
          <w:p w14:paraId="25B40104" w14:textId="5DAD2136" w:rsidR="00C24E60" w:rsidRPr="00A212F0" w:rsidRDefault="00C24E60">
            <w:pPr>
              <w:keepNext/>
              <w:keepLines/>
              <w:tabs>
                <w:tab w:val="clear" w:pos="567"/>
              </w:tabs>
              <w:spacing w:before="0" w:line="240" w:lineRule="auto"/>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Change 2016 to 2019</w:t>
            </w:r>
            <w:r w:rsidR="006B55F4">
              <w:rPr>
                <w:rFonts w:ascii="Open Sans Semibold" w:eastAsia="Times New Roman" w:hAnsi="Open Sans Semibold" w:cs="Open Sans Semibold"/>
                <w:color w:val="000000"/>
                <w:sz w:val="16"/>
                <w:szCs w:val="16"/>
                <w:lang w:eastAsia="en-AU"/>
              </w:rPr>
              <w:t xml:space="preserve"> </w:t>
            </w:r>
            <w:r w:rsidR="00FE6E3E">
              <w:rPr>
                <w:rFonts w:ascii="Open Sans Semibold" w:eastAsia="Times New Roman" w:hAnsi="Open Sans Semibold" w:cs="Open Sans Semibold"/>
                <w:color w:val="000000"/>
                <w:sz w:val="16"/>
                <w:szCs w:val="16"/>
                <w:lang w:eastAsia="en-AU"/>
              </w:rPr>
              <w:t>(%)</w:t>
            </w:r>
          </w:p>
        </w:tc>
        <w:tc>
          <w:tcPr>
            <w:tcW w:w="1016" w:type="dxa"/>
            <w:tcBorders>
              <w:top w:val="nil"/>
              <w:left w:val="nil"/>
              <w:bottom w:val="nil"/>
              <w:right w:val="nil"/>
            </w:tcBorders>
            <w:shd w:val="clear" w:color="auto" w:fill="D6E7F0"/>
            <w:vAlign w:val="center"/>
            <w:hideMark/>
          </w:tcPr>
          <w:p w14:paraId="0597BC37"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16.9</w:t>
            </w:r>
          </w:p>
        </w:tc>
        <w:tc>
          <w:tcPr>
            <w:tcW w:w="1016" w:type="dxa"/>
            <w:tcBorders>
              <w:top w:val="nil"/>
              <w:left w:val="nil"/>
              <w:bottom w:val="nil"/>
              <w:right w:val="nil"/>
            </w:tcBorders>
            <w:shd w:val="clear" w:color="auto" w:fill="D6E7F0"/>
            <w:vAlign w:val="center"/>
            <w:hideMark/>
          </w:tcPr>
          <w:p w14:paraId="291C4194"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2.7</w:t>
            </w:r>
          </w:p>
        </w:tc>
        <w:tc>
          <w:tcPr>
            <w:tcW w:w="1016" w:type="dxa"/>
            <w:tcBorders>
              <w:top w:val="nil"/>
              <w:left w:val="nil"/>
              <w:bottom w:val="nil"/>
              <w:right w:val="nil"/>
            </w:tcBorders>
            <w:shd w:val="clear" w:color="auto" w:fill="D6E7F0"/>
            <w:vAlign w:val="center"/>
            <w:hideMark/>
          </w:tcPr>
          <w:p w14:paraId="3C0C9C10"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4.2</w:t>
            </w:r>
          </w:p>
        </w:tc>
        <w:tc>
          <w:tcPr>
            <w:tcW w:w="1016" w:type="dxa"/>
            <w:tcBorders>
              <w:top w:val="nil"/>
              <w:left w:val="nil"/>
              <w:bottom w:val="nil"/>
              <w:right w:val="nil"/>
            </w:tcBorders>
            <w:shd w:val="clear" w:color="auto" w:fill="D6E7F0"/>
            <w:vAlign w:val="center"/>
            <w:hideMark/>
          </w:tcPr>
          <w:p w14:paraId="4ACBEEB9"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5.0</w:t>
            </w:r>
          </w:p>
        </w:tc>
        <w:tc>
          <w:tcPr>
            <w:tcW w:w="1016" w:type="dxa"/>
            <w:tcBorders>
              <w:top w:val="nil"/>
              <w:left w:val="nil"/>
              <w:bottom w:val="nil"/>
              <w:right w:val="nil"/>
            </w:tcBorders>
            <w:shd w:val="clear" w:color="auto" w:fill="D6E7F0"/>
            <w:vAlign w:val="center"/>
            <w:hideMark/>
          </w:tcPr>
          <w:p w14:paraId="0C92120A"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-5.2</w:t>
            </w:r>
          </w:p>
        </w:tc>
        <w:tc>
          <w:tcPr>
            <w:tcW w:w="969" w:type="dxa"/>
            <w:tcBorders>
              <w:top w:val="nil"/>
              <w:left w:val="nil"/>
              <w:bottom w:val="nil"/>
              <w:right w:val="nil"/>
            </w:tcBorders>
            <w:shd w:val="clear" w:color="auto" w:fill="D6E7F0"/>
            <w:vAlign w:val="center"/>
            <w:hideMark/>
          </w:tcPr>
          <w:p w14:paraId="5ACAD383"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11.9</w:t>
            </w:r>
          </w:p>
        </w:tc>
        <w:tc>
          <w:tcPr>
            <w:tcW w:w="1107" w:type="dxa"/>
            <w:tcBorders>
              <w:top w:val="nil"/>
              <w:left w:val="nil"/>
              <w:bottom w:val="nil"/>
              <w:right w:val="nil"/>
            </w:tcBorders>
            <w:shd w:val="clear" w:color="auto" w:fill="D6E7F0"/>
            <w:vAlign w:val="center"/>
            <w:hideMark/>
          </w:tcPr>
          <w:p w14:paraId="3221262D"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8.0</w:t>
            </w:r>
          </w:p>
        </w:tc>
      </w:tr>
      <w:tr w:rsidR="00E05873" w:rsidRPr="00A212F0" w14:paraId="0FC46497" w14:textId="77777777" w:rsidTr="00170D1E">
        <w:trPr>
          <w:trHeight w:val="315"/>
        </w:trPr>
        <w:tc>
          <w:tcPr>
            <w:tcW w:w="1584" w:type="dxa"/>
            <w:tcBorders>
              <w:top w:val="nil"/>
              <w:left w:val="nil"/>
              <w:bottom w:val="nil"/>
              <w:right w:val="nil"/>
            </w:tcBorders>
            <w:shd w:val="clear" w:color="auto" w:fill="D6E7F0"/>
            <w:vAlign w:val="center"/>
            <w:hideMark/>
          </w:tcPr>
          <w:p w14:paraId="081679C7" w14:textId="6CEE68CC" w:rsidR="00C24E60" w:rsidRPr="00A212F0" w:rsidRDefault="00C24E60">
            <w:pPr>
              <w:keepNext/>
              <w:keepLines/>
              <w:tabs>
                <w:tab w:val="clear" w:pos="567"/>
              </w:tabs>
              <w:spacing w:before="0" w:line="240" w:lineRule="auto"/>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Change 2019 to 2022</w:t>
            </w:r>
            <w:r w:rsidR="006B55F4">
              <w:rPr>
                <w:rFonts w:ascii="Open Sans Semibold" w:eastAsia="Times New Roman" w:hAnsi="Open Sans Semibold" w:cs="Open Sans Semibold"/>
                <w:color w:val="000000"/>
                <w:sz w:val="16"/>
                <w:szCs w:val="16"/>
                <w:lang w:eastAsia="en-AU"/>
              </w:rPr>
              <w:t xml:space="preserve"> </w:t>
            </w:r>
            <w:r w:rsidR="00FE6E3E">
              <w:rPr>
                <w:rFonts w:ascii="Open Sans Semibold" w:eastAsia="Times New Roman" w:hAnsi="Open Sans Semibold" w:cs="Open Sans Semibold"/>
                <w:color w:val="000000"/>
                <w:sz w:val="16"/>
                <w:szCs w:val="16"/>
                <w:lang w:eastAsia="en-AU"/>
              </w:rPr>
              <w:t>(%)</w:t>
            </w:r>
          </w:p>
        </w:tc>
        <w:tc>
          <w:tcPr>
            <w:tcW w:w="1016" w:type="dxa"/>
            <w:tcBorders>
              <w:top w:val="nil"/>
              <w:left w:val="nil"/>
              <w:bottom w:val="nil"/>
              <w:right w:val="nil"/>
            </w:tcBorders>
            <w:shd w:val="clear" w:color="auto" w:fill="D6E7F0"/>
            <w:vAlign w:val="center"/>
            <w:hideMark/>
          </w:tcPr>
          <w:p w14:paraId="614A81E3"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-1.4</w:t>
            </w:r>
          </w:p>
        </w:tc>
        <w:tc>
          <w:tcPr>
            <w:tcW w:w="1016" w:type="dxa"/>
            <w:tcBorders>
              <w:top w:val="nil"/>
              <w:left w:val="nil"/>
              <w:bottom w:val="nil"/>
              <w:right w:val="nil"/>
            </w:tcBorders>
            <w:shd w:val="clear" w:color="auto" w:fill="D6E7F0"/>
            <w:vAlign w:val="center"/>
            <w:hideMark/>
          </w:tcPr>
          <w:p w14:paraId="0265BCF5"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-4.3</w:t>
            </w:r>
          </w:p>
        </w:tc>
        <w:tc>
          <w:tcPr>
            <w:tcW w:w="1016" w:type="dxa"/>
            <w:tcBorders>
              <w:top w:val="nil"/>
              <w:left w:val="nil"/>
              <w:bottom w:val="nil"/>
              <w:right w:val="nil"/>
            </w:tcBorders>
            <w:shd w:val="clear" w:color="auto" w:fill="D6E7F0"/>
            <w:vAlign w:val="center"/>
            <w:hideMark/>
          </w:tcPr>
          <w:p w14:paraId="140EAE2A"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-6.0</w:t>
            </w:r>
          </w:p>
        </w:tc>
        <w:tc>
          <w:tcPr>
            <w:tcW w:w="1016" w:type="dxa"/>
            <w:tcBorders>
              <w:top w:val="nil"/>
              <w:left w:val="nil"/>
              <w:bottom w:val="nil"/>
              <w:right w:val="nil"/>
            </w:tcBorders>
            <w:shd w:val="clear" w:color="auto" w:fill="D6E7F0"/>
            <w:vAlign w:val="center"/>
            <w:hideMark/>
          </w:tcPr>
          <w:p w14:paraId="123C4CB7"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0.8</w:t>
            </w:r>
          </w:p>
        </w:tc>
        <w:tc>
          <w:tcPr>
            <w:tcW w:w="1016" w:type="dxa"/>
            <w:tcBorders>
              <w:top w:val="nil"/>
              <w:left w:val="nil"/>
              <w:bottom w:val="nil"/>
              <w:right w:val="nil"/>
            </w:tcBorders>
            <w:shd w:val="clear" w:color="auto" w:fill="D6E7F0"/>
            <w:vAlign w:val="center"/>
            <w:hideMark/>
          </w:tcPr>
          <w:p w14:paraId="2E57CF97"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-0.3</w:t>
            </w:r>
          </w:p>
        </w:tc>
        <w:tc>
          <w:tcPr>
            <w:tcW w:w="969" w:type="dxa"/>
            <w:tcBorders>
              <w:top w:val="nil"/>
              <w:left w:val="nil"/>
              <w:bottom w:val="nil"/>
              <w:right w:val="nil"/>
            </w:tcBorders>
            <w:shd w:val="clear" w:color="auto" w:fill="D6E7F0"/>
            <w:vAlign w:val="center"/>
            <w:hideMark/>
          </w:tcPr>
          <w:p w14:paraId="79C395CA"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4.9</w:t>
            </w:r>
          </w:p>
        </w:tc>
        <w:tc>
          <w:tcPr>
            <w:tcW w:w="1107" w:type="dxa"/>
            <w:tcBorders>
              <w:top w:val="nil"/>
              <w:left w:val="nil"/>
              <w:bottom w:val="nil"/>
              <w:right w:val="nil"/>
            </w:tcBorders>
            <w:shd w:val="clear" w:color="auto" w:fill="D6E7F0"/>
            <w:vAlign w:val="center"/>
            <w:hideMark/>
          </w:tcPr>
          <w:p w14:paraId="5F566097" w14:textId="77777777" w:rsidR="00C24E60" w:rsidRPr="00A212F0" w:rsidRDefault="00C24E60">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A212F0">
              <w:rPr>
                <w:rFonts w:ascii="Open Sans Semibold" w:eastAsia="Times New Roman" w:hAnsi="Open Sans Semibold" w:cs="Open Sans Semibold"/>
                <w:color w:val="000000"/>
                <w:sz w:val="16"/>
                <w:szCs w:val="16"/>
                <w:lang w:eastAsia="en-AU"/>
              </w:rPr>
              <w:t>-2.0</w:t>
            </w:r>
          </w:p>
        </w:tc>
      </w:tr>
    </w:tbl>
    <w:p w14:paraId="1DAAD480" w14:textId="77777777" w:rsidR="007A54CC" w:rsidRPr="00DE3E76" w:rsidRDefault="007A54CC" w:rsidP="007A54CC">
      <w:pPr>
        <w:pStyle w:val="CGCTablenote"/>
        <w:rPr>
          <w:rFonts w:ascii="Work Sans" w:hAnsi="Work Sans"/>
        </w:rPr>
      </w:pPr>
      <w:r w:rsidRPr="00DE3E76">
        <w:rPr>
          <w:rFonts w:ascii="Work Sans" w:hAnsi="Work Sans"/>
        </w:rPr>
        <w:t>(a)</w:t>
      </w:r>
      <w:r w:rsidRPr="00DE3E76">
        <w:rPr>
          <w:rFonts w:ascii="Work Sans" w:hAnsi="Work Sans"/>
        </w:rPr>
        <w:tab/>
        <w:t>Calculation based on stops per service multiplied by the number of days a service runs.</w:t>
      </w:r>
    </w:p>
    <w:p w14:paraId="68D9AA04" w14:textId="7914372D" w:rsidR="00CB2974" w:rsidRPr="00DE3E76" w:rsidRDefault="007A54CC" w:rsidP="007A54CC">
      <w:pPr>
        <w:pStyle w:val="CGCTablenote"/>
        <w:rPr>
          <w:rFonts w:ascii="Work Sans" w:hAnsi="Work Sans"/>
        </w:rPr>
      </w:pPr>
      <w:r w:rsidRPr="00DE3E76">
        <w:rPr>
          <w:rFonts w:ascii="Work Sans" w:hAnsi="Work Sans"/>
        </w:rPr>
        <w:t xml:space="preserve">Source: Commission calculation based on </w:t>
      </w:r>
      <w:r w:rsidR="00A5227C" w:rsidRPr="00DE3E76">
        <w:rPr>
          <w:rFonts w:ascii="Work Sans" w:hAnsi="Work Sans"/>
        </w:rPr>
        <w:t>G</w:t>
      </w:r>
      <w:r w:rsidR="00A5227C">
        <w:rPr>
          <w:rFonts w:ascii="Work Sans" w:hAnsi="Work Sans"/>
        </w:rPr>
        <w:t>eneral</w:t>
      </w:r>
      <w:r w:rsidRPr="00DE3E76">
        <w:rPr>
          <w:rFonts w:ascii="Work Sans" w:hAnsi="Work Sans"/>
        </w:rPr>
        <w:t xml:space="preserve"> Transit Feed Specification data (accessed </w:t>
      </w:r>
      <w:r w:rsidR="00DE3E76">
        <w:rPr>
          <w:rFonts w:ascii="Work Sans" w:hAnsi="Work Sans"/>
        </w:rPr>
        <w:t xml:space="preserve">9 March </w:t>
      </w:r>
      <w:r w:rsidRPr="00DE3E76">
        <w:rPr>
          <w:rFonts w:ascii="Work Sans" w:hAnsi="Work Sans"/>
        </w:rPr>
        <w:t>2023)</w:t>
      </w:r>
      <w:r w:rsidR="0052422A" w:rsidRPr="00DE3E76">
        <w:rPr>
          <w:rFonts w:ascii="Work Sans" w:hAnsi="Work Sans"/>
        </w:rPr>
        <w:t>.</w:t>
      </w:r>
    </w:p>
    <w:p w14:paraId="13FF7642" w14:textId="7B66A380" w:rsidR="00D9640D" w:rsidRPr="0087144D" w:rsidRDefault="000D65D1" w:rsidP="00962178">
      <w:pPr>
        <w:pStyle w:val="Heading5"/>
      </w:pPr>
      <w:r>
        <w:t>Net expenditure</w:t>
      </w:r>
    </w:p>
    <w:p w14:paraId="14D518FB" w14:textId="71061D9D" w:rsidR="002F2F21" w:rsidRPr="002F2F21" w:rsidRDefault="002F2F21" w:rsidP="00CF68FE">
      <w:pPr>
        <w:pStyle w:val="CGC2025ParaNumbers"/>
      </w:pPr>
      <w:r w:rsidRPr="002F2F21">
        <w:t>In the 2023 Update, the Commission noted that net recurrent spending on urban transport increased by 39% between 2017–18 and 2021–22</w:t>
      </w:r>
      <w:r w:rsidR="00A1798A">
        <w:t xml:space="preserve"> (</w:t>
      </w:r>
      <w:r w:rsidR="00A1798A">
        <w:fldChar w:fldCharType="begin"/>
      </w:r>
      <w:r w:rsidR="00A1798A">
        <w:instrText xml:space="preserve"> REF _Ref138766903 \h </w:instrText>
      </w:r>
      <w:r w:rsidR="00A1798A">
        <w:fldChar w:fldCharType="separate"/>
      </w:r>
      <w:r w:rsidR="00282693" w:rsidRPr="00306336">
        <w:t xml:space="preserve">Figure </w:t>
      </w:r>
      <w:r w:rsidR="00282693">
        <w:rPr>
          <w:noProof/>
        </w:rPr>
        <w:t>5</w:t>
      </w:r>
      <w:r w:rsidR="00A1798A">
        <w:fldChar w:fldCharType="end"/>
      </w:r>
      <w:r w:rsidR="00A1798A">
        <w:t>)</w:t>
      </w:r>
      <w:r w:rsidRPr="002F2F21">
        <w:t xml:space="preserve">. Part of this increase reflected a decrease in public transport use, and hence in fare revenues collected, during the pandemic. </w:t>
      </w:r>
    </w:p>
    <w:p w14:paraId="37C037B4" w14:textId="44F6B622" w:rsidR="00426131" w:rsidRPr="00306336" w:rsidRDefault="00306336" w:rsidP="00E96A7D">
      <w:pPr>
        <w:pStyle w:val="CGC2025Caption"/>
        <w:tabs>
          <w:tab w:val="left" w:pos="1134"/>
        </w:tabs>
      </w:pPr>
      <w:bookmarkStart w:id="49" w:name="_Ref138766903"/>
      <w:r w:rsidRPr="00306336">
        <w:t xml:space="preserve">Figure </w:t>
      </w:r>
      <w:r>
        <w:fldChar w:fldCharType="begin"/>
      </w:r>
      <w:r>
        <w:instrText>SEQ Figure \* ARABIC</w:instrText>
      </w:r>
      <w:r>
        <w:fldChar w:fldCharType="separate"/>
      </w:r>
      <w:r w:rsidR="00282693">
        <w:rPr>
          <w:noProof/>
        </w:rPr>
        <w:t>5</w:t>
      </w:r>
      <w:r>
        <w:fldChar w:fldCharType="end"/>
      </w:r>
      <w:bookmarkEnd w:id="49"/>
      <w:r w:rsidRPr="00306336">
        <w:tab/>
      </w:r>
      <w:r w:rsidR="009C69B7" w:rsidRPr="00306336">
        <w:t xml:space="preserve">Changes in </w:t>
      </w:r>
      <w:r w:rsidR="0058725F">
        <w:t>n</w:t>
      </w:r>
      <w:r w:rsidR="009C69B7" w:rsidRPr="00306336">
        <w:t xml:space="preserve">et </w:t>
      </w:r>
      <w:r w:rsidR="0058725F">
        <w:t>e</w:t>
      </w:r>
      <w:r w:rsidR="009C69B7" w:rsidRPr="00306336">
        <w:t xml:space="preserve">xpenses and </w:t>
      </w:r>
      <w:r w:rsidR="0058725F">
        <w:t>u</w:t>
      </w:r>
      <w:r w:rsidR="009C69B7" w:rsidRPr="00306336">
        <w:t xml:space="preserve">ser </w:t>
      </w:r>
      <w:r w:rsidR="0058725F">
        <w:t>c</w:t>
      </w:r>
      <w:r w:rsidR="009C69B7" w:rsidRPr="00306336">
        <w:t xml:space="preserve">harges, </w:t>
      </w:r>
      <w:r w:rsidR="0058725F">
        <w:t>u</w:t>
      </w:r>
      <w:r w:rsidR="009C69B7" w:rsidRPr="00306336">
        <w:t xml:space="preserve">rban </w:t>
      </w:r>
      <w:r w:rsidR="0058725F">
        <w:t>t</w:t>
      </w:r>
      <w:r w:rsidR="009C69B7" w:rsidRPr="00306336">
        <w:t>ransport</w:t>
      </w:r>
    </w:p>
    <w:p w14:paraId="3254C538" w14:textId="4FB3BE65" w:rsidR="00CE1C34" w:rsidRDefault="00CE1C34" w:rsidP="00925ED9">
      <w:pPr>
        <w:pStyle w:val="CGCParaNumber"/>
        <w:ind w:left="0" w:firstLine="0"/>
      </w:pPr>
      <w:r>
        <w:rPr>
          <w:noProof/>
        </w:rPr>
        <w:drawing>
          <wp:inline distT="0" distB="0" distL="0" distR="0" wp14:anchorId="7FD2BC0A" wp14:editId="5284C6BD">
            <wp:extent cx="5652000" cy="3564000"/>
            <wp:effectExtent l="0" t="0" r="6350" b="17780"/>
            <wp:docPr id="11" name="Chart 11">
              <a:extLst xmlns:a="http://schemas.openxmlformats.org/drawingml/2006/main">
                <a:ext uri="{FF2B5EF4-FFF2-40B4-BE49-F238E27FC236}">
                  <a16:creationId xmlns:a16="http://schemas.microsoft.com/office/drawing/2014/main" id="{70D65529-1F96-14D9-3343-39E94A182C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21A32CB" w14:textId="7B67535F" w:rsidR="00AC775C" w:rsidRPr="00DE3E76" w:rsidRDefault="00AC775C" w:rsidP="00365CD9">
      <w:pPr>
        <w:pStyle w:val="CGCTablenote"/>
        <w:ind w:left="113" w:firstLine="0"/>
        <w:rPr>
          <w:rFonts w:ascii="Work Sans" w:hAnsi="Work Sans"/>
        </w:rPr>
      </w:pPr>
      <w:r w:rsidRPr="00DE3E76">
        <w:rPr>
          <w:rFonts w:ascii="Work Sans" w:hAnsi="Work Sans"/>
        </w:rPr>
        <w:t xml:space="preserve">Source: Commission </w:t>
      </w:r>
      <w:r w:rsidR="00C24152" w:rsidRPr="00DE3E76">
        <w:rPr>
          <w:rFonts w:ascii="Work Sans" w:hAnsi="Work Sans"/>
        </w:rPr>
        <w:t>c</w:t>
      </w:r>
      <w:r w:rsidRPr="00DE3E76">
        <w:rPr>
          <w:rFonts w:ascii="Work Sans" w:hAnsi="Work Sans"/>
        </w:rPr>
        <w:t xml:space="preserve">alculation using ABS </w:t>
      </w:r>
      <w:r w:rsidR="00923D2E">
        <w:rPr>
          <w:rFonts w:ascii="Work Sans" w:hAnsi="Work Sans"/>
        </w:rPr>
        <w:t>Government Finance Statistics</w:t>
      </w:r>
      <w:r w:rsidRPr="00DE3E76">
        <w:rPr>
          <w:rFonts w:ascii="Work Sans" w:hAnsi="Work Sans"/>
        </w:rPr>
        <w:t xml:space="preserve"> data and state provided data</w:t>
      </w:r>
      <w:r w:rsidR="0052422A" w:rsidRPr="00DE3E76">
        <w:rPr>
          <w:rFonts w:ascii="Work Sans" w:hAnsi="Work Sans"/>
        </w:rPr>
        <w:t>.</w:t>
      </w:r>
    </w:p>
    <w:p w14:paraId="0473F250" w14:textId="0ADFAFF0" w:rsidR="000D65D1" w:rsidRPr="000D65D1" w:rsidRDefault="000D65D1" w:rsidP="000D65D1">
      <w:pPr>
        <w:pStyle w:val="Heading4"/>
      </w:pPr>
      <w:r>
        <w:t xml:space="preserve">To what extent has the experience of COVID-19 challenged the </w:t>
      </w:r>
      <w:r w:rsidR="006A3912">
        <w:t xml:space="preserve">urban transport </w:t>
      </w:r>
      <w:r>
        <w:t>model?</w:t>
      </w:r>
    </w:p>
    <w:p w14:paraId="7AF9AAE4" w14:textId="29F1D1A2" w:rsidR="00EC0F60" w:rsidRDefault="00EC0F60" w:rsidP="00531534">
      <w:pPr>
        <w:pStyle w:val="CGC2025ParaNumbers"/>
      </w:pPr>
      <w:r>
        <w:t xml:space="preserve">The Commission's urban transport model assumes that, in a stable transport system, the supply of public transport is equal to the level of demand. COVID-19 and associated lockdowns resulted in </w:t>
      </w:r>
      <w:r w:rsidR="1B57F02A">
        <w:t xml:space="preserve">a </w:t>
      </w:r>
      <w:r>
        <w:t xml:space="preserve">temporary break in this relationship. </w:t>
      </w:r>
      <w:r>
        <w:lastRenderedPageBreak/>
        <w:t>However, because states maintain</w:t>
      </w:r>
      <w:r w:rsidR="00860505">
        <w:t>ed</w:t>
      </w:r>
      <w:r>
        <w:t xml:space="preserve"> services for essential workers, services were likely sustained at rates similar to those captured by the regression.  </w:t>
      </w:r>
    </w:p>
    <w:p w14:paraId="33AD8B8C" w14:textId="40DD31DE" w:rsidR="00EC0F60" w:rsidRDefault="00EC0F60" w:rsidP="00531534">
      <w:pPr>
        <w:pStyle w:val="CGC2025ParaNumbers"/>
      </w:pPr>
      <w:r>
        <w:t xml:space="preserve">Despite challenges to the validity of the supply proxy (passenger numbers by mode), a measure of supply is still needed to estimate transport expenditure. Models that capture demand but not supply are unable to accommodate the effects of congestion </w:t>
      </w:r>
      <w:r w:rsidR="009321DC">
        <w:t>on</w:t>
      </w:r>
      <w:r>
        <w:t xml:space="preserve"> operating costs.  </w:t>
      </w:r>
    </w:p>
    <w:p w14:paraId="648B6308" w14:textId="5166296D" w:rsidR="00EC0F60" w:rsidRDefault="00EC0F60" w:rsidP="00531534">
      <w:pPr>
        <w:pStyle w:val="CGC2025ParaNumbers"/>
      </w:pPr>
      <w:r>
        <w:t>The consultant’s report</w:t>
      </w:r>
      <w:r w:rsidR="005F19E6">
        <w:t xml:space="preserve"> for the 2020 Review</w:t>
      </w:r>
      <w:r>
        <w:t xml:space="preserve"> identified that congestion was a significant driver of operating costs due to the impact of service disruptions and increased maintenance requirements. The report also noted that demand measures, including population density, did not capture the full costs associated with congestion.  </w:t>
      </w:r>
    </w:p>
    <w:p w14:paraId="401FB3AF" w14:textId="49536C8A" w:rsidR="00EC0F60" w:rsidRDefault="00EC0F60" w:rsidP="00531534">
      <w:pPr>
        <w:pStyle w:val="CGC2025ParaNumbers"/>
      </w:pPr>
      <w:r>
        <w:t>While the available 2021</w:t>
      </w:r>
      <w:r w:rsidR="00A67AC2">
        <w:t>–</w:t>
      </w:r>
      <w:r>
        <w:t>22 transport data suggest that public transport demand is still recovering, the Commission expects that demand will eventually reach a post</w:t>
      </w:r>
      <w:r w:rsidR="007F1649">
        <w:t>–</w:t>
      </w:r>
      <w:r>
        <w:t>COVID-19 equilibrium</w:t>
      </w:r>
      <w:r w:rsidR="00865B28">
        <w:t>,</w:t>
      </w:r>
      <w:r>
        <w:t xml:space="preserve"> with states adjusting their supply to match.  </w:t>
      </w:r>
    </w:p>
    <w:p w14:paraId="0F316874" w14:textId="67BFF3AB" w:rsidR="00EC0F60" w:rsidRDefault="00EC0F60" w:rsidP="00531534">
      <w:pPr>
        <w:pStyle w:val="CGC2025ParaNumbers"/>
      </w:pPr>
      <w:r>
        <w:t xml:space="preserve">Furthermore, the link between costs and the other factors captured by the model such as network complexity, topography and unique jurisdictional characteristics was not affected by the lockdowns.  </w:t>
      </w:r>
    </w:p>
    <w:p w14:paraId="642EFE80" w14:textId="7ACB473F" w:rsidR="00D62459" w:rsidRPr="006A196B" w:rsidRDefault="00C01DD0" w:rsidP="00531534">
      <w:pPr>
        <w:pStyle w:val="CGC2025ParaNumbers"/>
      </w:pPr>
      <w:r>
        <w:t>T</w:t>
      </w:r>
      <w:r w:rsidR="00EC0F60" w:rsidRPr="006A196B">
        <w:t xml:space="preserve">he Commission’s preliminary view is that the 2020 Review model for assessing urban transport needs remains appropriate. </w:t>
      </w:r>
      <w:r w:rsidR="007C61BE" w:rsidRPr="006A196B">
        <w:t>Whil</w:t>
      </w:r>
      <w:r w:rsidR="00492489" w:rsidRPr="006A196B">
        <w:t>e</w:t>
      </w:r>
      <w:r w:rsidR="007C61BE" w:rsidRPr="006A196B">
        <w:t xml:space="preserve"> the assum</w:t>
      </w:r>
      <w:r w:rsidR="00D2290C" w:rsidRPr="006A196B">
        <w:t>ption that supply equals</w:t>
      </w:r>
      <w:r w:rsidR="00492489" w:rsidRPr="006A196B">
        <w:t xml:space="preserve"> </w:t>
      </w:r>
      <w:r w:rsidR="00E809E3" w:rsidRPr="006A196B">
        <w:t>demand</w:t>
      </w:r>
      <w:r w:rsidR="00492489" w:rsidRPr="006A196B">
        <w:t xml:space="preserve"> was </w:t>
      </w:r>
      <w:r w:rsidR="000E5FDC" w:rsidRPr="006A196B">
        <w:t>challenged</w:t>
      </w:r>
      <w:r w:rsidR="00492489" w:rsidRPr="006A196B">
        <w:t xml:space="preserve"> during the COVID-19 affected years</w:t>
      </w:r>
      <w:r w:rsidR="002D710C" w:rsidRPr="006A196B">
        <w:t>, the Commission consider</w:t>
      </w:r>
      <w:r w:rsidR="005213E7" w:rsidRPr="006A196B">
        <w:t>s</w:t>
      </w:r>
      <w:r w:rsidR="002D710C" w:rsidRPr="006A196B">
        <w:t xml:space="preserve"> that this </w:t>
      </w:r>
      <w:r w:rsidR="00960E8B" w:rsidRPr="006A196B">
        <w:t xml:space="preserve">effect </w:t>
      </w:r>
      <w:r w:rsidR="002D710C" w:rsidRPr="006A196B">
        <w:t>was temporary</w:t>
      </w:r>
      <w:r w:rsidR="002F7DC8" w:rsidRPr="006A196B">
        <w:t xml:space="preserve">. </w:t>
      </w:r>
    </w:p>
    <w:p w14:paraId="7E1FA048" w14:textId="258A0DBB" w:rsidR="00EC0F60" w:rsidRPr="006A196B" w:rsidRDefault="0025019A" w:rsidP="00531534">
      <w:pPr>
        <w:pStyle w:val="CGC2025ParaNumbers"/>
      </w:pPr>
      <w:r w:rsidRPr="006A196B">
        <w:t>I</w:t>
      </w:r>
      <w:r w:rsidR="00492489" w:rsidRPr="006A196B">
        <w:t xml:space="preserve">n the absence of </w:t>
      </w:r>
      <w:r w:rsidR="00773950" w:rsidRPr="006A196B">
        <w:t>COVID-19 lockdown</w:t>
      </w:r>
      <w:r w:rsidR="003E7D75" w:rsidRPr="006A196B">
        <w:t>s</w:t>
      </w:r>
      <w:r w:rsidR="00773950" w:rsidRPr="006A196B">
        <w:t xml:space="preserve"> and restriction</w:t>
      </w:r>
      <w:r w:rsidR="00726F7A" w:rsidRPr="006A196B">
        <w:t>s</w:t>
      </w:r>
      <w:r w:rsidR="006A3E0E" w:rsidRPr="006A196B">
        <w:t>,</w:t>
      </w:r>
      <w:r w:rsidR="00773950" w:rsidRPr="006A196B">
        <w:t xml:space="preserve"> </w:t>
      </w:r>
      <w:r w:rsidRPr="006A196B">
        <w:t>the Commission consider</w:t>
      </w:r>
      <w:r w:rsidR="005213E7" w:rsidRPr="006A196B">
        <w:t>s</w:t>
      </w:r>
      <w:r w:rsidRPr="006A196B">
        <w:t xml:space="preserve"> </w:t>
      </w:r>
      <w:r w:rsidR="00773950" w:rsidRPr="006A196B">
        <w:t>that</w:t>
      </w:r>
      <w:r w:rsidR="00A45A80" w:rsidRPr="006A196B">
        <w:t xml:space="preserve"> </w:t>
      </w:r>
      <w:r w:rsidRPr="006A196B">
        <w:t>the</w:t>
      </w:r>
      <w:r w:rsidR="00A45A80" w:rsidRPr="006A196B">
        <w:t xml:space="preserve"> supply </w:t>
      </w:r>
      <w:r w:rsidR="00535327" w:rsidRPr="006A196B">
        <w:t xml:space="preserve">of urban transport </w:t>
      </w:r>
      <w:r w:rsidR="00A45A80" w:rsidRPr="006A196B">
        <w:t>will</w:t>
      </w:r>
      <w:r w:rsidR="00D072ED" w:rsidRPr="006A196B">
        <w:t xml:space="preserve"> adjust to meet the new levels of ongoing demand.</w:t>
      </w:r>
      <w:r w:rsidR="00E910FF" w:rsidRPr="006A196B">
        <w:t xml:space="preserve"> Therefore, the </w:t>
      </w:r>
      <w:r w:rsidR="006F5C35" w:rsidRPr="006A196B">
        <w:t xml:space="preserve">urban transport </w:t>
      </w:r>
      <w:r w:rsidR="00E910FF" w:rsidRPr="006A196B">
        <w:t xml:space="preserve">model </w:t>
      </w:r>
      <w:r w:rsidR="006F5C35" w:rsidRPr="006A196B">
        <w:t>remains robust and conceptually sound if used with fit for purpose data.</w:t>
      </w:r>
    </w:p>
    <w:p w14:paraId="5F5CD5E2" w14:textId="519C8458" w:rsidR="0000475A" w:rsidRPr="0012051E" w:rsidRDefault="0000475A" w:rsidP="0000475A">
      <w:pPr>
        <w:pStyle w:val="Heading4"/>
      </w:pPr>
      <w:r>
        <w:t>Consultation question</w:t>
      </w:r>
    </w:p>
    <w:p w14:paraId="5331943A" w14:textId="5F320C8B" w:rsidR="00306336" w:rsidRDefault="0000475A" w:rsidP="00925ED9">
      <w:pPr>
        <w:pStyle w:val="CGCParaNumber"/>
        <w:ind w:left="0" w:firstLine="0"/>
      </w:pPr>
      <w:r w:rsidRPr="001C4DF3">
        <w:rPr>
          <w:noProof/>
        </w:rPr>
        <mc:AlternateContent>
          <mc:Choice Requires="wps">
            <w:drawing>
              <wp:inline distT="0" distB="0" distL="0" distR="0" wp14:anchorId="3ED0C337" wp14:editId="2E1C9535">
                <wp:extent cx="5780405" cy="562708"/>
                <wp:effectExtent l="0" t="0" r="0" b="8890"/>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80405" cy="562708"/>
                        </a:xfrm>
                        <a:prstGeom prst="rect">
                          <a:avLst/>
                        </a:prstGeom>
                        <a:solidFill>
                          <a:srgbClr val="EBF3F5"/>
                        </a:solidFill>
                        <a:ln w="25400" cap="flat" cmpd="sng" algn="ctr">
                          <a:noFill/>
                          <a:prstDash val="solid"/>
                        </a:ln>
                        <a:effectLst/>
                      </wps:spPr>
                      <wps:txbx>
                        <w:txbxContent>
                          <w:p w14:paraId="305B9FC7" w14:textId="5645EF70" w:rsidR="00806472" w:rsidRPr="009A413F" w:rsidRDefault="001625E6" w:rsidP="00C15B42">
                            <w:pPr>
                              <w:pStyle w:val="CGC2025QuestionNumbers"/>
                            </w:pPr>
                            <w:bookmarkStart w:id="50" w:name="_Hlk135216652"/>
                            <w:bookmarkStart w:id="51" w:name="_Hlk135216653"/>
                            <w:bookmarkStart w:id="52" w:name="_Hlk135399045"/>
                            <w:bookmarkStart w:id="53" w:name="_Hlk135399046"/>
                            <w:r w:rsidRPr="009A413F">
                              <w:t>Do</w:t>
                            </w:r>
                            <w:r w:rsidR="0009425F" w:rsidRPr="009A413F">
                              <w:t xml:space="preserve"> states agree</w:t>
                            </w:r>
                            <w:r w:rsidR="00326F9F" w:rsidRPr="009A413F">
                              <w:t xml:space="preserve"> that</w:t>
                            </w:r>
                            <w:r w:rsidR="00ED74EA" w:rsidRPr="009A413F">
                              <w:t xml:space="preserve"> </w:t>
                            </w:r>
                            <w:r w:rsidR="00124281" w:rsidRPr="009A413F">
                              <w:t xml:space="preserve">the </w:t>
                            </w:r>
                            <w:r w:rsidRPr="009A413F">
                              <w:t>2020 Review model for assessing urban transport needs remain</w:t>
                            </w:r>
                            <w:r w:rsidR="00F07556" w:rsidRPr="009A413F">
                              <w:t>s</w:t>
                            </w:r>
                            <w:r w:rsidRPr="009A413F">
                              <w:t xml:space="preserve"> </w:t>
                            </w:r>
                            <w:r w:rsidR="0050084E" w:rsidRPr="009A413F">
                              <w:t>approp</w:t>
                            </w:r>
                            <w:r w:rsidR="00F763D4" w:rsidRPr="009A413F">
                              <w:t>riate</w:t>
                            </w:r>
                            <w:r w:rsidRPr="009A413F">
                              <w:t>?</w:t>
                            </w:r>
                            <w:bookmarkEnd w:id="50"/>
                            <w:bookmarkEnd w:id="51"/>
                            <w:bookmarkEnd w:id="52"/>
                            <w:bookmarkEnd w:id="5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ED0C337" id="Rectangle 2" o:spid="_x0000_s1029" alt="&quot;&quot;" style="width:455.15pt;height:44.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" fillcolor="#ebf3f5" stroked="f" strokeweight="2pt">
                <v:textbox>
                  <w:txbxContent>
                    <w:p w14:paraId="305B9FC7" w14:textId="5645EF70" w:rsidR="00806472" w:rsidRPr="009A413F" w:rsidRDefault="001625E6" w:rsidP="00C15B42">
                      <w:pPr>
                        <w:pStyle w:val="CGC2025QuestionNumbers"/>
                      </w:pPr>
                      <w:bookmarkStart w:id="54" w:name="_Hlk135216652"/>
                      <w:bookmarkStart w:id="55" w:name="_Hlk135216653"/>
                      <w:bookmarkStart w:id="56" w:name="_Hlk135399045"/>
                      <w:bookmarkStart w:id="57" w:name="_Hlk135399046"/>
                      <w:r w:rsidRPr="009A413F">
                        <w:t>Do</w:t>
                      </w:r>
                      <w:r w:rsidR="0009425F" w:rsidRPr="009A413F">
                        <w:t xml:space="preserve"> states agree</w:t>
                      </w:r>
                      <w:r w:rsidR="00326F9F" w:rsidRPr="009A413F">
                        <w:t xml:space="preserve"> that</w:t>
                      </w:r>
                      <w:r w:rsidR="00ED74EA" w:rsidRPr="009A413F">
                        <w:t xml:space="preserve"> </w:t>
                      </w:r>
                      <w:r w:rsidR="00124281" w:rsidRPr="009A413F">
                        <w:t xml:space="preserve">the </w:t>
                      </w:r>
                      <w:r w:rsidRPr="009A413F">
                        <w:t>2020 Review model for assessing urban transport needs remain</w:t>
                      </w:r>
                      <w:r w:rsidR="00F07556" w:rsidRPr="009A413F">
                        <w:t>s</w:t>
                      </w:r>
                      <w:r w:rsidRPr="009A413F">
                        <w:t xml:space="preserve"> </w:t>
                      </w:r>
                      <w:r w:rsidR="0050084E" w:rsidRPr="009A413F">
                        <w:t>approp</w:t>
                      </w:r>
                      <w:r w:rsidR="00F763D4" w:rsidRPr="009A413F">
                        <w:t>riate</w:t>
                      </w:r>
                      <w:r w:rsidRPr="009A413F">
                        <w:t>?</w:t>
                      </w:r>
                      <w:bookmarkEnd w:id="54"/>
                      <w:bookmarkEnd w:id="55"/>
                      <w:bookmarkEnd w:id="56"/>
                      <w:bookmarkEnd w:id="57"/>
                    </w:p>
                  </w:txbxContent>
                </v:textbox>
                <w10:anchorlock/>
              </v:rect>
            </w:pict>
          </mc:Fallback>
        </mc:AlternateContent>
      </w:r>
    </w:p>
    <w:p w14:paraId="77386705" w14:textId="0B3C4326" w:rsidR="00306336" w:rsidRDefault="00306336" w:rsidP="00306336">
      <w:pPr>
        <w:pStyle w:val="Heading3"/>
      </w:pPr>
      <w:bookmarkStart w:id="58" w:name="_Toc138691904"/>
      <w:r w:rsidRPr="00306336">
        <w:t>Are reliable data available to update the assessment of urban transport needs?</w:t>
      </w:r>
      <w:bookmarkEnd w:id="58"/>
      <w:r w:rsidRPr="00306336">
        <w:t xml:space="preserve">  </w:t>
      </w:r>
    </w:p>
    <w:p w14:paraId="739D132E" w14:textId="6248C51D" w:rsidR="00081E9A" w:rsidRPr="00A01371" w:rsidRDefault="00081E9A" w:rsidP="00603F08">
      <w:pPr>
        <w:pStyle w:val="CGC2025ParaNumbers"/>
      </w:pPr>
      <w:bookmarkStart w:id="59" w:name="_Ref137199808"/>
      <w:r>
        <w:t>COVID-19 has created a number of practical constraints for updating the model. This is because the data needed to update urban transport net expenses</w:t>
      </w:r>
      <w:r w:rsidR="00DF66A8">
        <w:t xml:space="preserve"> and</w:t>
      </w:r>
      <w:r>
        <w:t xml:space="preserve"> passenger </w:t>
      </w:r>
      <w:r w:rsidRPr="00A01371">
        <w:t>numbers were affected by the pandemic.</w:t>
      </w:r>
      <w:bookmarkEnd w:id="59"/>
      <w:r w:rsidRPr="00A01371">
        <w:t xml:space="preserve">  </w:t>
      </w:r>
    </w:p>
    <w:p w14:paraId="517927A3" w14:textId="0702BC96" w:rsidR="00914820" w:rsidRPr="00D1633A" w:rsidRDefault="00081E9A" w:rsidP="00603F08">
      <w:pPr>
        <w:pStyle w:val="CGC2025ParaNumbers"/>
      </w:pPr>
      <w:r w:rsidRPr="00A01371">
        <w:t xml:space="preserve">If </w:t>
      </w:r>
      <w:r w:rsidR="00D367FD" w:rsidRPr="00A01371">
        <w:t xml:space="preserve">available </w:t>
      </w:r>
      <w:r w:rsidRPr="00A01371">
        <w:t xml:space="preserve">data are not fit for purpose, it may be necessary to delay updating the data used in the transport regression model. However, it may be possible to update the variables to which the regression coefficients apply if a reliable method can be </w:t>
      </w:r>
      <w:r w:rsidRPr="00A01371">
        <w:lastRenderedPageBreak/>
        <w:t>developed.</w:t>
      </w:r>
      <w:r w:rsidR="00B859BB" w:rsidRPr="00A01371">
        <w:t xml:space="preserve"> </w:t>
      </w:r>
      <w:r w:rsidR="00B859BB" w:rsidRPr="006A196B">
        <w:t xml:space="preserve">A table showing </w:t>
      </w:r>
      <w:r w:rsidR="003A25E6" w:rsidRPr="006A196B">
        <w:t xml:space="preserve">data </w:t>
      </w:r>
      <w:r w:rsidR="00137718" w:rsidRPr="006A196B">
        <w:t>requirements</w:t>
      </w:r>
      <w:r w:rsidR="00D13C6B" w:rsidRPr="006A196B">
        <w:t xml:space="preserve"> for the model and the expected availability </w:t>
      </w:r>
      <w:r w:rsidR="0025019A" w:rsidRPr="006A196B">
        <w:t xml:space="preserve">of fit-for-purpose data </w:t>
      </w:r>
      <w:r w:rsidR="00BA2A82" w:rsidRPr="006A196B">
        <w:t xml:space="preserve">is included in </w:t>
      </w:r>
      <w:hyperlink w:anchor="_Attachment_A:_Technical" w:history="1">
        <w:r w:rsidR="002E0806" w:rsidRPr="002E0806">
          <w:rPr>
            <w:rStyle w:val="Hyperlink"/>
            <w:color w:val="auto"/>
            <w:szCs w:val="20"/>
            <w:u w:val="none"/>
          </w:rPr>
          <w:t>Attachment A</w:t>
        </w:r>
      </w:hyperlink>
      <w:r w:rsidR="001D069F" w:rsidRPr="00D1633A">
        <w:rPr>
          <w:rStyle w:val="CaptionChar"/>
          <w:rFonts w:ascii="Work Sans" w:hAnsi="Work Sans"/>
          <w:b w:val="0"/>
        </w:rPr>
        <w:t>.</w:t>
      </w:r>
      <w:r w:rsidR="00137718" w:rsidRPr="00D1633A">
        <w:t xml:space="preserve"> </w:t>
      </w:r>
    </w:p>
    <w:p w14:paraId="1B859CF1" w14:textId="7AE753A6" w:rsidR="007D081E" w:rsidRDefault="003A26E4" w:rsidP="007D081E">
      <w:pPr>
        <w:pStyle w:val="Heading4"/>
      </w:pPr>
      <w:r w:rsidRPr="003A26E4">
        <w:t xml:space="preserve">Updating data </w:t>
      </w:r>
      <w:r w:rsidR="00B40FDA">
        <w:t>—</w:t>
      </w:r>
      <w:r w:rsidRPr="003A26E4">
        <w:t xml:space="preserve"> regression  </w:t>
      </w:r>
    </w:p>
    <w:p w14:paraId="55AACB03" w14:textId="06D13855" w:rsidR="003A26E4" w:rsidRPr="003A26E4" w:rsidRDefault="0046575F" w:rsidP="004212DF">
      <w:pPr>
        <w:pStyle w:val="Heading5"/>
      </w:pPr>
      <w:r w:rsidRPr="0046575F">
        <w:t xml:space="preserve">Dependent variable – net expense data   </w:t>
      </w:r>
    </w:p>
    <w:p w14:paraId="49D02126" w14:textId="455E2E91" w:rsidR="00972A03" w:rsidRDefault="00972A03" w:rsidP="00603F08">
      <w:pPr>
        <w:pStyle w:val="CGC2025ParaNumbers"/>
      </w:pPr>
      <w:r>
        <w:t>The 2020 Review regression model incorporates 3 years (2013</w:t>
      </w:r>
      <w:r w:rsidR="008206B5">
        <w:t>–</w:t>
      </w:r>
      <w:r>
        <w:t>14 to 2015</w:t>
      </w:r>
      <w:r w:rsidR="008206B5">
        <w:t>–</w:t>
      </w:r>
      <w:r>
        <w:t xml:space="preserve">16) of state-provided net urban transport expense data. Ordinarily, the Commission would request updated expense data in a review to ensure the assessment continues to reflect the </w:t>
      </w:r>
      <w:r w:rsidR="2BE567EC">
        <w:t>most recently available data on</w:t>
      </w:r>
      <w:r>
        <w:t xml:space="preserve"> state</w:t>
      </w:r>
      <w:r w:rsidR="00C90028">
        <w:t xml:space="preserve"> activities</w:t>
      </w:r>
      <w:r>
        <w:t xml:space="preserve">. However, the Commission is concerned that the available data might not reflect typical </w:t>
      </w:r>
      <w:r w:rsidR="00F0283A">
        <w:t>urban</w:t>
      </w:r>
      <w:r>
        <w:t xml:space="preserve"> transport expenses.  </w:t>
      </w:r>
    </w:p>
    <w:p w14:paraId="7013D38A" w14:textId="6A1A3AAC" w:rsidR="00972A03" w:rsidRDefault="00972A03" w:rsidP="00915777">
      <w:pPr>
        <w:pStyle w:val="CGC2025ParaNumbers"/>
        <w:tabs>
          <w:tab w:val="left" w:pos="4395"/>
        </w:tabs>
      </w:pPr>
      <w:r>
        <w:t>Expense data from 2019</w:t>
      </w:r>
      <w:r w:rsidR="00F20779">
        <w:t>–</w:t>
      </w:r>
      <w:r>
        <w:t>20 to 2021</w:t>
      </w:r>
      <w:r w:rsidR="00F20779">
        <w:t>–</w:t>
      </w:r>
      <w:r>
        <w:t>22 are from a period when public transport use was lower than pre</w:t>
      </w:r>
      <w:r w:rsidR="00F20779">
        <w:t>–</w:t>
      </w:r>
      <w:r>
        <w:t xml:space="preserve">COVID-19 levels. Lower fare collection means that the net expense data are likely to be overstated.  </w:t>
      </w:r>
    </w:p>
    <w:p w14:paraId="01C18130" w14:textId="58E12E07" w:rsidR="00972A03" w:rsidRDefault="00972A03" w:rsidP="00603F08">
      <w:pPr>
        <w:pStyle w:val="CGC2025ParaNumbers"/>
      </w:pPr>
      <w:r>
        <w:t>Data from 2022</w:t>
      </w:r>
      <w:r w:rsidR="00B134ED">
        <w:t>–</w:t>
      </w:r>
      <w:r>
        <w:t>23 are likely to be more reliable than data collected during the pandemic years. However, it is possible that public transport use and service provision are not yet in a new equilibrium following the COVID-19 experience. The 2023</w:t>
      </w:r>
      <w:r w:rsidR="00DC3B8A">
        <w:t>–</w:t>
      </w:r>
      <w:r>
        <w:t>24 financial year is likely to be the first full year of reliable data for all states. However, data for 2022</w:t>
      </w:r>
      <w:r w:rsidR="00DC3B8A">
        <w:t>–</w:t>
      </w:r>
      <w:r>
        <w:t>23 and 2023</w:t>
      </w:r>
      <w:r w:rsidR="00DC3B8A">
        <w:t>–</w:t>
      </w:r>
      <w:r>
        <w:t xml:space="preserve">24 are not likely to be available before the 2025 Review is finalised.  </w:t>
      </w:r>
    </w:p>
    <w:p w14:paraId="53B76FAB" w14:textId="71FE3E77" w:rsidR="0046575F" w:rsidRPr="003A26E4" w:rsidRDefault="00972A03" w:rsidP="00603F08">
      <w:pPr>
        <w:pStyle w:val="CGC2025ParaNumbers"/>
      </w:pPr>
      <w:r>
        <w:t xml:space="preserve">The Commission’s preliminary view is to retain the 2020 Review net expense data and associated regression coefficients until reliable expense data become available following the </w:t>
      </w:r>
      <w:r w:rsidRPr="009545F9">
        <w:t>2025</w:t>
      </w:r>
      <w:r w:rsidR="009545F9" w:rsidRPr="009545F9">
        <w:t xml:space="preserve"> </w:t>
      </w:r>
      <w:r w:rsidRPr="009545F9">
        <w:t>Review</w:t>
      </w:r>
      <w:r>
        <w:t>.</w:t>
      </w:r>
    </w:p>
    <w:p w14:paraId="4BE65979" w14:textId="091C83B8" w:rsidR="00015467" w:rsidRPr="0012051E" w:rsidRDefault="00015467" w:rsidP="00015467">
      <w:pPr>
        <w:pStyle w:val="Heading4"/>
      </w:pPr>
      <w:r>
        <w:t>Consultation question</w:t>
      </w:r>
      <w:r w:rsidR="0073797A">
        <w:t>s</w:t>
      </w:r>
    </w:p>
    <w:p w14:paraId="5F03622E" w14:textId="77777777" w:rsidR="00015467" w:rsidRDefault="00015467" w:rsidP="00925ED9">
      <w:pPr>
        <w:pStyle w:val="CGCParaNumber"/>
        <w:ind w:left="0" w:firstLine="0"/>
      </w:pPr>
      <w:r w:rsidRPr="001C4DF3">
        <w:rPr>
          <w:noProof/>
        </w:rPr>
        <mc:AlternateContent>
          <mc:Choice Requires="wps">
            <w:drawing>
              <wp:inline distT="0" distB="0" distL="0" distR="0" wp14:anchorId="1FDA55C8" wp14:editId="681B2A9A">
                <wp:extent cx="5780405" cy="2313353"/>
                <wp:effectExtent l="0" t="0" r="0" b="0"/>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80405" cy="2313353"/>
                        </a:xfrm>
                        <a:prstGeom prst="rect">
                          <a:avLst/>
                        </a:prstGeom>
                        <a:solidFill>
                          <a:srgbClr val="EBF3F5"/>
                        </a:solidFill>
                        <a:ln w="25400" cap="flat" cmpd="sng" algn="ctr">
                          <a:noFill/>
                          <a:prstDash val="solid"/>
                        </a:ln>
                        <a:effectLst/>
                      </wps:spPr>
                      <wps:txbx>
                        <w:txbxContent>
                          <w:p w14:paraId="4162E4E9" w14:textId="43CC4F98" w:rsidR="001F6739" w:rsidRPr="00225B3A" w:rsidRDefault="001F6739" w:rsidP="00C24152">
                            <w:pPr>
                              <w:pStyle w:val="CGC2025QuestionNumbers"/>
                            </w:pPr>
                            <w:bookmarkStart w:id="60" w:name="_Hlk132905676"/>
                            <w:bookmarkStart w:id="61" w:name="_Hlk136602364"/>
                            <w:bookmarkStart w:id="62" w:name="_Hlk136602365"/>
                            <w:bookmarkStart w:id="63" w:name="_Hlk136602375"/>
                            <w:bookmarkStart w:id="64" w:name="_Hlk136602376"/>
                            <w:bookmarkStart w:id="65" w:name="_Hlk136602377"/>
                            <w:bookmarkStart w:id="66" w:name="_Hlk136602378"/>
                            <w:bookmarkStart w:id="67" w:name="_Hlk136602379"/>
                            <w:bookmarkStart w:id="68" w:name="_Hlk136602380"/>
                            <w:r w:rsidRPr="00225B3A">
                              <w:t>Do states consider the urban transport net expense data from 2019</w:t>
                            </w:r>
                            <w:r w:rsidR="006E630A" w:rsidRPr="00225B3A">
                              <w:t>–</w:t>
                            </w:r>
                            <w:r w:rsidRPr="00225B3A">
                              <w:t>20 to 20</w:t>
                            </w:r>
                            <w:r w:rsidR="00AA378E" w:rsidRPr="00225B3A">
                              <w:t>21</w:t>
                            </w:r>
                            <w:r w:rsidR="004B27D6" w:rsidRPr="00225B3A">
                              <w:t>–</w:t>
                            </w:r>
                            <w:r w:rsidR="00AA378E" w:rsidRPr="00225B3A">
                              <w:t>22</w:t>
                            </w:r>
                            <w:r w:rsidRPr="00225B3A">
                              <w:t xml:space="preserve"> </w:t>
                            </w:r>
                            <w:r w:rsidR="00267EB1" w:rsidRPr="00225B3A">
                              <w:t>are likely to be overstated</w:t>
                            </w:r>
                            <w:r w:rsidR="00984740" w:rsidRPr="00225B3A">
                              <w:t xml:space="preserve">? </w:t>
                            </w:r>
                          </w:p>
                          <w:p w14:paraId="7B803BD6" w14:textId="07F273C0" w:rsidR="00B4746B" w:rsidRPr="00225B3A" w:rsidRDefault="001F6739" w:rsidP="00C24152">
                            <w:pPr>
                              <w:pStyle w:val="CGC2025QuestionNumbers"/>
                            </w:pPr>
                            <w:r w:rsidRPr="00225B3A">
                              <w:t>If 2019</w:t>
                            </w:r>
                            <w:r w:rsidR="006E630A" w:rsidRPr="00225B3A">
                              <w:t>–</w:t>
                            </w:r>
                            <w:r w:rsidRPr="00225B3A">
                              <w:t>20 to 202</w:t>
                            </w:r>
                            <w:r w:rsidR="0009343A" w:rsidRPr="00225B3A">
                              <w:t>1</w:t>
                            </w:r>
                            <w:r w:rsidR="006E630A" w:rsidRPr="00225B3A">
                              <w:t>–</w:t>
                            </w:r>
                            <w:r w:rsidRPr="00225B3A">
                              <w:t>2</w:t>
                            </w:r>
                            <w:r w:rsidR="0009343A" w:rsidRPr="00225B3A">
                              <w:t>2</w:t>
                            </w:r>
                            <w:r w:rsidRPr="00225B3A">
                              <w:t xml:space="preserve"> data are not fit for purpose</w:t>
                            </w:r>
                            <w:r w:rsidR="003960B1" w:rsidRPr="00225B3A">
                              <w:t>,</w:t>
                            </w:r>
                            <w:r w:rsidRPr="00225B3A">
                              <w:t xml:space="preserve"> </w:t>
                            </w:r>
                            <w:r w:rsidR="009A161D" w:rsidRPr="00225B3A">
                              <w:t>do states support</w:t>
                            </w:r>
                            <w:r w:rsidRPr="00225B3A">
                              <w:t xml:space="preserve"> updat</w:t>
                            </w:r>
                            <w:r w:rsidR="009A161D" w:rsidRPr="00225B3A">
                              <w:t>ing</w:t>
                            </w:r>
                            <w:r w:rsidRPr="00225B3A">
                              <w:t xml:space="preserve"> the regression with data from 2022</w:t>
                            </w:r>
                            <w:r w:rsidR="006E630A" w:rsidRPr="00225B3A">
                              <w:t>–</w:t>
                            </w:r>
                            <w:r w:rsidRPr="00225B3A">
                              <w:t>23</w:t>
                            </w:r>
                            <w:r w:rsidR="00C2271A">
                              <w:t>?</w:t>
                            </w:r>
                            <w:r w:rsidRPr="00225B3A">
                              <w:t xml:space="preserve"> </w:t>
                            </w:r>
                            <w:r w:rsidR="008F471B" w:rsidRPr="00225B3A">
                              <w:t>C</w:t>
                            </w:r>
                            <w:r w:rsidR="00C262BE" w:rsidRPr="00225B3A">
                              <w:t>an states</w:t>
                            </w:r>
                            <w:r w:rsidR="004F5251" w:rsidRPr="00225B3A">
                              <w:t xml:space="preserve"> provide an indicatio</w:t>
                            </w:r>
                            <w:r w:rsidR="008F471B" w:rsidRPr="00225B3A">
                              <w:t xml:space="preserve">n </w:t>
                            </w:r>
                            <w:r w:rsidR="00A162C0" w:rsidRPr="00225B3A">
                              <w:t xml:space="preserve">of when </w:t>
                            </w:r>
                            <w:r w:rsidR="00EE07D8" w:rsidRPr="00225B3A">
                              <w:t xml:space="preserve">this </w:t>
                            </w:r>
                            <w:r w:rsidR="00A162C0" w:rsidRPr="00225B3A">
                              <w:t xml:space="preserve">data </w:t>
                            </w:r>
                            <w:r w:rsidR="00764266" w:rsidRPr="00225B3A">
                              <w:t xml:space="preserve">could be provided to </w:t>
                            </w:r>
                            <w:r w:rsidR="00DA331F">
                              <w:t xml:space="preserve">the </w:t>
                            </w:r>
                            <w:r w:rsidR="00764266" w:rsidRPr="00225B3A">
                              <w:t>Commission</w:t>
                            </w:r>
                            <w:r w:rsidR="00F04F1A">
                              <w:t>?</w:t>
                            </w:r>
                            <w:r w:rsidR="004C42F9" w:rsidRPr="00225B3A">
                              <w:t xml:space="preserve"> </w:t>
                            </w:r>
                            <w:r w:rsidR="00CD6824" w:rsidRPr="00225B3A">
                              <w:t>(</w:t>
                            </w:r>
                            <w:r w:rsidR="00F04F1A" w:rsidRPr="00B645A3">
                              <w:t>S</w:t>
                            </w:r>
                            <w:r w:rsidR="00CD6824" w:rsidRPr="00B645A3">
                              <w:t xml:space="preserve">ee </w:t>
                            </w:r>
                            <w:hyperlink w:anchor="_Attachment_B:_Indicative" w:history="1">
                              <w:r w:rsidR="00B645A3" w:rsidRPr="00B645A3">
                                <w:rPr>
                                  <w:rStyle w:val="Hyperlink"/>
                                  <w:color w:val="auto"/>
                                  <w:u w:val="none"/>
                                </w:rPr>
                                <w:t>Attachment B</w:t>
                              </w:r>
                            </w:hyperlink>
                            <w:r w:rsidR="00AB10DB" w:rsidRPr="00225B3A">
                              <w:t>)</w:t>
                            </w:r>
                            <w:r w:rsidR="00F04F1A">
                              <w:t>.</w:t>
                            </w:r>
                          </w:p>
                          <w:p w14:paraId="09F48648" w14:textId="16AAC2F5" w:rsidR="001F6739" w:rsidRPr="00225B3A" w:rsidRDefault="00287CF2" w:rsidP="00C24152">
                            <w:pPr>
                              <w:pStyle w:val="CGC2025QuestionNumbers"/>
                            </w:pPr>
                            <w:r w:rsidRPr="00225B3A">
                              <w:t>If 2022</w:t>
                            </w:r>
                            <w:r w:rsidR="006E630A" w:rsidRPr="00225B3A">
                              <w:t>–</w:t>
                            </w:r>
                            <w:r w:rsidRPr="00225B3A">
                              <w:t xml:space="preserve">23 data are considered </w:t>
                            </w:r>
                            <w:r w:rsidR="0047297C" w:rsidRPr="00225B3A">
                              <w:t xml:space="preserve">fit for purpose but are not available for </w:t>
                            </w:r>
                            <w:r w:rsidR="003F3B9C" w:rsidRPr="00225B3A">
                              <w:t>inclusion in the 2025 Review,</w:t>
                            </w:r>
                            <w:r w:rsidR="0047297C" w:rsidRPr="00225B3A">
                              <w:t xml:space="preserve"> do states support updating the assessment</w:t>
                            </w:r>
                            <w:r w:rsidR="001F6739" w:rsidRPr="00225B3A">
                              <w:t xml:space="preserve"> in an update following the 2025 Review?</w:t>
                            </w:r>
                          </w:p>
                          <w:p w14:paraId="5940B010" w14:textId="76A66F4C" w:rsidR="00015467" w:rsidRDefault="00D668B9" w:rsidP="00C24152">
                            <w:pPr>
                              <w:pStyle w:val="CGC2025QuestionNumbers"/>
                            </w:pPr>
                            <w:r>
                              <w:t xml:space="preserve">Do states support </w:t>
                            </w:r>
                            <w:r w:rsidR="001F6739">
                              <w:t>retain</w:t>
                            </w:r>
                            <w:r>
                              <w:t>ing</w:t>
                            </w:r>
                            <w:r w:rsidR="001F6739">
                              <w:t xml:space="preserve"> the </w:t>
                            </w:r>
                            <w:r w:rsidR="00155FBE">
                              <w:t>2020 Review</w:t>
                            </w:r>
                            <w:r w:rsidR="00176483">
                              <w:t xml:space="preserve"> </w:t>
                            </w:r>
                            <w:r w:rsidR="001F6739">
                              <w:t>proxy variable data in the regression model until fit for purpose net expense data are available?</w:t>
                            </w:r>
                            <w:bookmarkEnd w:id="60"/>
                            <w:bookmarkEnd w:id="61"/>
                            <w:bookmarkEnd w:id="62"/>
                            <w:bookmarkEnd w:id="63"/>
                            <w:bookmarkEnd w:id="64"/>
                            <w:bookmarkEnd w:id="65"/>
                            <w:bookmarkEnd w:id="66"/>
                            <w:bookmarkEnd w:id="67"/>
                            <w:bookmarkEnd w:id="6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FDA55C8" id="Rectangle 3" o:spid="_x0000_s1030" alt="&quot;&quot;" style="width:455.15pt;height:182.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" fillcolor="#ebf3f5" stroked="f" strokeweight="2pt">
                <v:textbox>
                  <w:txbxContent>
                    <w:p w14:paraId="4162E4E9" w14:textId="43CC4F98" w:rsidR="001F6739" w:rsidRPr="00225B3A" w:rsidRDefault="001F6739" w:rsidP="00C24152">
                      <w:pPr>
                        <w:pStyle w:val="CGC2025QuestionNumbers"/>
                      </w:pPr>
                      <w:bookmarkStart w:id="69" w:name="_Hlk132905676"/>
                      <w:bookmarkStart w:id="70" w:name="_Hlk136602364"/>
                      <w:bookmarkStart w:id="71" w:name="_Hlk136602365"/>
                      <w:bookmarkStart w:id="72" w:name="_Hlk136602375"/>
                      <w:bookmarkStart w:id="73" w:name="_Hlk136602376"/>
                      <w:bookmarkStart w:id="74" w:name="_Hlk136602377"/>
                      <w:bookmarkStart w:id="75" w:name="_Hlk136602378"/>
                      <w:bookmarkStart w:id="76" w:name="_Hlk136602379"/>
                      <w:bookmarkStart w:id="77" w:name="_Hlk136602380"/>
                      <w:r w:rsidRPr="00225B3A">
                        <w:t>Do states consider the urban transport net expense data from 2019</w:t>
                      </w:r>
                      <w:r w:rsidR="006E630A" w:rsidRPr="00225B3A">
                        <w:t>–</w:t>
                      </w:r>
                      <w:r w:rsidRPr="00225B3A">
                        <w:t>20 to 20</w:t>
                      </w:r>
                      <w:r w:rsidR="00AA378E" w:rsidRPr="00225B3A">
                        <w:t>21</w:t>
                      </w:r>
                      <w:r w:rsidR="004B27D6" w:rsidRPr="00225B3A">
                        <w:t>–</w:t>
                      </w:r>
                      <w:r w:rsidR="00AA378E" w:rsidRPr="00225B3A">
                        <w:t>22</w:t>
                      </w:r>
                      <w:r w:rsidRPr="00225B3A">
                        <w:t xml:space="preserve"> </w:t>
                      </w:r>
                      <w:r w:rsidR="00267EB1" w:rsidRPr="00225B3A">
                        <w:t>are likely to be overstated</w:t>
                      </w:r>
                      <w:r w:rsidR="00984740" w:rsidRPr="00225B3A">
                        <w:t xml:space="preserve">? </w:t>
                      </w:r>
                    </w:p>
                    <w:p w14:paraId="7B803BD6" w14:textId="07F273C0" w:rsidR="00B4746B" w:rsidRPr="00225B3A" w:rsidRDefault="001F6739" w:rsidP="00C24152">
                      <w:pPr>
                        <w:pStyle w:val="CGC2025QuestionNumbers"/>
                      </w:pPr>
                      <w:r w:rsidRPr="00225B3A">
                        <w:t>If 2019</w:t>
                      </w:r>
                      <w:r w:rsidR="006E630A" w:rsidRPr="00225B3A">
                        <w:t>–</w:t>
                      </w:r>
                      <w:r w:rsidRPr="00225B3A">
                        <w:t>20 to 202</w:t>
                      </w:r>
                      <w:r w:rsidR="0009343A" w:rsidRPr="00225B3A">
                        <w:t>1</w:t>
                      </w:r>
                      <w:r w:rsidR="006E630A" w:rsidRPr="00225B3A">
                        <w:t>–</w:t>
                      </w:r>
                      <w:r w:rsidRPr="00225B3A">
                        <w:t>2</w:t>
                      </w:r>
                      <w:r w:rsidR="0009343A" w:rsidRPr="00225B3A">
                        <w:t>2</w:t>
                      </w:r>
                      <w:r w:rsidRPr="00225B3A">
                        <w:t xml:space="preserve"> data are not fit for purpose</w:t>
                      </w:r>
                      <w:r w:rsidR="003960B1" w:rsidRPr="00225B3A">
                        <w:t>,</w:t>
                      </w:r>
                      <w:r w:rsidRPr="00225B3A">
                        <w:t xml:space="preserve"> </w:t>
                      </w:r>
                      <w:r w:rsidR="009A161D" w:rsidRPr="00225B3A">
                        <w:t>do states support</w:t>
                      </w:r>
                      <w:r w:rsidRPr="00225B3A">
                        <w:t xml:space="preserve"> updat</w:t>
                      </w:r>
                      <w:r w:rsidR="009A161D" w:rsidRPr="00225B3A">
                        <w:t>ing</w:t>
                      </w:r>
                      <w:r w:rsidRPr="00225B3A">
                        <w:t xml:space="preserve"> the regression with data from 2022</w:t>
                      </w:r>
                      <w:r w:rsidR="006E630A" w:rsidRPr="00225B3A">
                        <w:t>–</w:t>
                      </w:r>
                      <w:r w:rsidRPr="00225B3A">
                        <w:t>23</w:t>
                      </w:r>
                      <w:r w:rsidR="00C2271A">
                        <w:t>?</w:t>
                      </w:r>
                      <w:r w:rsidRPr="00225B3A">
                        <w:t xml:space="preserve"> </w:t>
                      </w:r>
                      <w:r w:rsidR="008F471B" w:rsidRPr="00225B3A">
                        <w:t>C</w:t>
                      </w:r>
                      <w:r w:rsidR="00C262BE" w:rsidRPr="00225B3A">
                        <w:t>an states</w:t>
                      </w:r>
                      <w:r w:rsidR="004F5251" w:rsidRPr="00225B3A">
                        <w:t xml:space="preserve"> provide an indicatio</w:t>
                      </w:r>
                      <w:r w:rsidR="008F471B" w:rsidRPr="00225B3A">
                        <w:t xml:space="preserve">n </w:t>
                      </w:r>
                      <w:r w:rsidR="00A162C0" w:rsidRPr="00225B3A">
                        <w:t xml:space="preserve">of when </w:t>
                      </w:r>
                      <w:r w:rsidR="00EE07D8" w:rsidRPr="00225B3A">
                        <w:t xml:space="preserve">this </w:t>
                      </w:r>
                      <w:r w:rsidR="00A162C0" w:rsidRPr="00225B3A">
                        <w:t xml:space="preserve">data </w:t>
                      </w:r>
                      <w:r w:rsidR="00764266" w:rsidRPr="00225B3A">
                        <w:t xml:space="preserve">could be provided to </w:t>
                      </w:r>
                      <w:r w:rsidR="00DA331F">
                        <w:t xml:space="preserve">the </w:t>
                      </w:r>
                      <w:r w:rsidR="00764266" w:rsidRPr="00225B3A">
                        <w:t>Commission</w:t>
                      </w:r>
                      <w:r w:rsidR="00F04F1A">
                        <w:t>?</w:t>
                      </w:r>
                      <w:r w:rsidR="004C42F9" w:rsidRPr="00225B3A">
                        <w:t xml:space="preserve"> </w:t>
                      </w:r>
                      <w:r w:rsidR="00CD6824" w:rsidRPr="00225B3A">
                        <w:t>(</w:t>
                      </w:r>
                      <w:r w:rsidR="00F04F1A" w:rsidRPr="00B645A3">
                        <w:t>S</w:t>
                      </w:r>
                      <w:r w:rsidR="00CD6824" w:rsidRPr="00B645A3">
                        <w:t xml:space="preserve">ee </w:t>
                      </w:r>
                      <w:hyperlink w:anchor="_Attachment_B:_Indicative" w:history="1">
                        <w:r w:rsidR="00B645A3" w:rsidRPr="00B645A3">
                          <w:rPr>
                            <w:rStyle w:val="Hyperlink"/>
                            <w:color w:val="auto"/>
                            <w:u w:val="none"/>
                          </w:rPr>
                          <w:t>Attachment B</w:t>
                        </w:r>
                      </w:hyperlink>
                      <w:r w:rsidR="00AB10DB" w:rsidRPr="00225B3A">
                        <w:t>)</w:t>
                      </w:r>
                      <w:r w:rsidR="00F04F1A">
                        <w:t>.</w:t>
                      </w:r>
                    </w:p>
                    <w:p w14:paraId="09F48648" w14:textId="16AAC2F5" w:rsidR="001F6739" w:rsidRPr="00225B3A" w:rsidRDefault="00287CF2" w:rsidP="00C24152">
                      <w:pPr>
                        <w:pStyle w:val="CGC2025QuestionNumbers"/>
                      </w:pPr>
                      <w:r w:rsidRPr="00225B3A">
                        <w:t>If 2022</w:t>
                      </w:r>
                      <w:r w:rsidR="006E630A" w:rsidRPr="00225B3A">
                        <w:t>–</w:t>
                      </w:r>
                      <w:r w:rsidRPr="00225B3A">
                        <w:t xml:space="preserve">23 data are considered </w:t>
                      </w:r>
                      <w:r w:rsidR="0047297C" w:rsidRPr="00225B3A">
                        <w:t xml:space="preserve">fit for purpose but are not available for </w:t>
                      </w:r>
                      <w:r w:rsidR="003F3B9C" w:rsidRPr="00225B3A">
                        <w:t>inclusion in the 2025 Review,</w:t>
                      </w:r>
                      <w:r w:rsidR="0047297C" w:rsidRPr="00225B3A">
                        <w:t xml:space="preserve"> do states support updating the assessment</w:t>
                      </w:r>
                      <w:r w:rsidR="001F6739" w:rsidRPr="00225B3A">
                        <w:t xml:space="preserve"> in an update following the 2025 Review?</w:t>
                      </w:r>
                    </w:p>
                    <w:p w14:paraId="5940B010" w14:textId="76A66F4C" w:rsidR="00015467" w:rsidRDefault="00D668B9" w:rsidP="00C24152">
                      <w:pPr>
                        <w:pStyle w:val="CGC2025QuestionNumbers"/>
                      </w:pPr>
                      <w:r>
                        <w:t xml:space="preserve">Do states support </w:t>
                      </w:r>
                      <w:r w:rsidR="001F6739">
                        <w:t>retain</w:t>
                      </w:r>
                      <w:r>
                        <w:t>ing</w:t>
                      </w:r>
                      <w:r w:rsidR="001F6739">
                        <w:t xml:space="preserve"> the </w:t>
                      </w:r>
                      <w:r w:rsidR="00155FBE">
                        <w:t>2020 Review</w:t>
                      </w:r>
                      <w:r w:rsidR="00176483">
                        <w:t xml:space="preserve"> </w:t>
                      </w:r>
                      <w:r w:rsidR="001F6739">
                        <w:t>proxy variable data in the regression model until fit for purpose net expense data are available?</w:t>
                      </w:r>
                      <w:bookmarkEnd w:id="69"/>
                      <w:bookmarkEnd w:id="70"/>
                      <w:bookmarkEnd w:id="71"/>
                      <w:bookmarkEnd w:id="72"/>
                      <w:bookmarkEnd w:id="73"/>
                      <w:bookmarkEnd w:id="74"/>
                      <w:bookmarkEnd w:id="75"/>
                      <w:bookmarkEnd w:id="76"/>
                      <w:bookmarkEnd w:id="77"/>
                    </w:p>
                  </w:txbxContent>
                </v:textbox>
                <w10:anchorlock/>
              </v:rect>
            </w:pict>
          </mc:Fallback>
        </mc:AlternateContent>
      </w:r>
    </w:p>
    <w:p w14:paraId="6A5DC1DC" w14:textId="77777777" w:rsidR="00B51301" w:rsidRDefault="00B51301">
      <w:pPr>
        <w:tabs>
          <w:tab w:val="clear" w:pos="567"/>
        </w:tabs>
        <w:spacing w:before="0" w:after="200" w:line="276" w:lineRule="auto"/>
        <w:rPr>
          <w:rFonts w:ascii="Montserrat Semi Bold" w:eastAsiaTheme="majorEastAsia" w:hAnsi="Montserrat Semi Bold" w:cstheme="majorBidi"/>
          <w:color w:val="636466"/>
        </w:rPr>
      </w:pPr>
      <w:r>
        <w:br w:type="page"/>
      </w:r>
    </w:p>
    <w:p w14:paraId="7C0C1565" w14:textId="4E8F4BDA" w:rsidR="00FC1561" w:rsidRDefault="00FC1561" w:rsidP="004212DF">
      <w:pPr>
        <w:pStyle w:val="Heading5"/>
      </w:pPr>
      <w:r>
        <w:lastRenderedPageBreak/>
        <w:t>Independent variables</w:t>
      </w:r>
    </w:p>
    <w:p w14:paraId="1B0C37A8" w14:textId="77777777" w:rsidR="009B5B8E" w:rsidRPr="009B5B8E" w:rsidRDefault="009B5B8E" w:rsidP="00603F08">
      <w:pPr>
        <w:pStyle w:val="CGC2025ParaNumbers"/>
      </w:pPr>
      <w:r w:rsidRPr="009B5B8E">
        <w:t>Data are available to reliably update the following independent variables:</w:t>
      </w:r>
    </w:p>
    <w:p w14:paraId="42B56316" w14:textId="785F80B1" w:rsidR="0000755E" w:rsidRDefault="0000755E" w:rsidP="00AC59B1">
      <w:pPr>
        <w:pStyle w:val="CGC2025Bullet1"/>
      </w:pPr>
      <w:r>
        <w:t>population density (ABS population and geography)</w:t>
      </w:r>
    </w:p>
    <w:p w14:paraId="43A72260" w14:textId="77777777" w:rsidR="0000755E" w:rsidRDefault="0000755E" w:rsidP="00AC59B1">
      <w:pPr>
        <w:pStyle w:val="CGC2025Bullet1"/>
      </w:pPr>
      <w:r>
        <w:t>average slope (Geoscience Australia)</w:t>
      </w:r>
    </w:p>
    <w:p w14:paraId="7DDE9F7A" w14:textId="77777777" w:rsidR="0000755E" w:rsidRDefault="0000755E" w:rsidP="00AC59B1">
      <w:pPr>
        <w:pStyle w:val="CGC2025Bullet1"/>
      </w:pPr>
      <w:r>
        <w:t xml:space="preserve">the presence or absence of a ferry service. </w:t>
      </w:r>
    </w:p>
    <w:p w14:paraId="32EB05EE" w14:textId="77777777" w:rsidR="00E172F2" w:rsidRDefault="00E172F2" w:rsidP="00603F08">
      <w:pPr>
        <w:pStyle w:val="CGC2025ParaNumbers"/>
      </w:pPr>
      <w:r>
        <w:t xml:space="preserve">The remaining variables, actual passenger numbers and distance travelled to work, are measured using ABS Census journey to work data. </w:t>
      </w:r>
    </w:p>
    <w:p w14:paraId="7D4F560C" w14:textId="2222C9BF" w:rsidR="00E172F2" w:rsidRDefault="00E172F2" w:rsidP="00603F08">
      <w:pPr>
        <w:pStyle w:val="CGC2025ParaNumbers"/>
      </w:pPr>
      <w:r>
        <w:t>The 2021 Census was conducted during a period of lockdowns and increased COVID</w:t>
      </w:r>
      <w:r w:rsidR="001B3304">
        <w:noBreakHyphen/>
      </w:r>
      <w:r>
        <w:t>19 restrictions for New South Wales, Victoria, Queensland and the ACT</w:t>
      </w:r>
      <w:r w:rsidR="00302D57">
        <w:t>.</w:t>
      </w:r>
      <w:r w:rsidR="004E5E69">
        <w:rPr>
          <w:rStyle w:val="FootnoteReference"/>
        </w:rPr>
        <w:footnoteReference w:id="11"/>
      </w:r>
    </w:p>
    <w:p w14:paraId="67A4FB59" w14:textId="387092E2" w:rsidR="00E172F2" w:rsidRDefault="00E172F2" w:rsidP="00603F08">
      <w:pPr>
        <w:pStyle w:val="CGC2025ParaNumbers"/>
      </w:pPr>
      <w:r>
        <w:t xml:space="preserve">Compared with data from previous </w:t>
      </w:r>
      <w:r w:rsidR="00E312AD">
        <w:t>c</w:t>
      </w:r>
      <w:r>
        <w:t>ensuses, the 2021 Census data show a sharp reduction in the percentage of residents using public transport on Census Day, particularly in those states experiencing lockdowns (</w:t>
      </w:r>
      <w:r w:rsidR="00C64048">
        <w:fldChar w:fldCharType="begin"/>
      </w:r>
      <w:r w:rsidR="00C64048">
        <w:instrText xml:space="preserve"> REF _Ref138763601 \h </w:instrText>
      </w:r>
      <w:r w:rsidR="00C64048">
        <w:fldChar w:fldCharType="separate"/>
      </w:r>
      <w:r w:rsidR="00282693" w:rsidRPr="008767F7">
        <w:rPr>
          <w:szCs w:val="20"/>
        </w:rPr>
        <w:t xml:space="preserve">Figure </w:t>
      </w:r>
      <w:r w:rsidR="00282693">
        <w:rPr>
          <w:noProof/>
        </w:rPr>
        <w:t>6</w:t>
      </w:r>
      <w:r w:rsidR="00C64048">
        <w:fldChar w:fldCharType="end"/>
      </w:r>
      <w:r>
        <w:t>). This coincided with a sharp increase in the percentage of state residents who did not work, or who were working from home (</w:t>
      </w:r>
      <w:r w:rsidR="00C64048">
        <w:fldChar w:fldCharType="begin"/>
      </w:r>
      <w:r w:rsidR="00C64048">
        <w:instrText xml:space="preserve"> REF _Ref138763649 \h </w:instrText>
      </w:r>
      <w:r w:rsidR="00C64048">
        <w:fldChar w:fldCharType="separate"/>
      </w:r>
      <w:r w:rsidR="00282693" w:rsidRPr="008767F7">
        <w:rPr>
          <w:szCs w:val="20"/>
        </w:rPr>
        <w:t xml:space="preserve">Figure </w:t>
      </w:r>
      <w:r w:rsidR="00282693">
        <w:rPr>
          <w:noProof/>
        </w:rPr>
        <w:t>7</w:t>
      </w:r>
      <w:r w:rsidR="00C64048">
        <w:fldChar w:fldCharType="end"/>
      </w:r>
      <w:r>
        <w:t xml:space="preserve">). </w:t>
      </w:r>
    </w:p>
    <w:p w14:paraId="400AD1E6" w14:textId="3F4B823D" w:rsidR="00FC1561" w:rsidRPr="00FC1561" w:rsidRDefault="00E172F2" w:rsidP="00603F08">
      <w:pPr>
        <w:pStyle w:val="CGC2025ParaNumbers"/>
      </w:pPr>
      <w:r>
        <w:t>The appropriateness of using 2021 Census data to update passenger numbers and distance to work is considered below.</w:t>
      </w:r>
    </w:p>
    <w:p w14:paraId="0A745B48" w14:textId="32118430" w:rsidR="00E172F2" w:rsidRPr="008767F7" w:rsidRDefault="007B51B5" w:rsidP="00C64048">
      <w:pPr>
        <w:pStyle w:val="CGC2025Caption"/>
        <w:tabs>
          <w:tab w:val="left" w:pos="1134"/>
        </w:tabs>
        <w:ind w:left="1134" w:hanging="1134"/>
        <w:rPr>
          <w:szCs w:val="20"/>
        </w:rPr>
      </w:pPr>
      <w:bookmarkStart w:id="78" w:name="_Ref132917343"/>
      <w:bookmarkStart w:id="79" w:name="_Ref138763601"/>
      <w:bookmarkStart w:id="80" w:name="_Hlk134788778"/>
      <w:r w:rsidRPr="008767F7">
        <w:rPr>
          <w:szCs w:val="20"/>
        </w:rPr>
        <w:t xml:space="preserve">Figure </w:t>
      </w:r>
      <w:r w:rsidRPr="008767F7">
        <w:rPr>
          <w:szCs w:val="20"/>
        </w:rPr>
        <w:fldChar w:fldCharType="begin"/>
      </w:r>
      <w:r>
        <w:instrText>SEQ Figure \* ARABIC</w:instrText>
      </w:r>
      <w:r w:rsidRPr="008767F7">
        <w:rPr>
          <w:szCs w:val="20"/>
        </w:rPr>
        <w:fldChar w:fldCharType="separate"/>
      </w:r>
      <w:r w:rsidR="00282693">
        <w:rPr>
          <w:noProof/>
        </w:rPr>
        <w:t>6</w:t>
      </w:r>
      <w:r w:rsidRPr="008767F7">
        <w:rPr>
          <w:szCs w:val="20"/>
        </w:rPr>
        <w:fldChar w:fldCharType="end"/>
      </w:r>
      <w:bookmarkEnd w:id="78"/>
      <w:bookmarkEnd w:id="79"/>
      <w:r w:rsidRPr="008767F7">
        <w:rPr>
          <w:szCs w:val="20"/>
        </w:rPr>
        <w:tab/>
      </w:r>
      <w:r w:rsidR="000C11B2" w:rsidRPr="008767F7">
        <w:rPr>
          <w:szCs w:val="20"/>
        </w:rPr>
        <w:t xml:space="preserve">Percentage of </w:t>
      </w:r>
      <w:bookmarkEnd w:id="80"/>
      <w:r w:rsidR="000C11B2" w:rsidRPr="008767F7">
        <w:rPr>
          <w:szCs w:val="20"/>
        </w:rPr>
        <w:t xml:space="preserve">state </w:t>
      </w:r>
      <w:r w:rsidR="00F4717F" w:rsidRPr="008767F7">
        <w:rPr>
          <w:szCs w:val="20"/>
        </w:rPr>
        <w:t>employed persons</w:t>
      </w:r>
      <w:r w:rsidR="000C11B2" w:rsidRPr="008767F7">
        <w:rPr>
          <w:szCs w:val="20"/>
        </w:rPr>
        <w:t xml:space="preserve"> </w:t>
      </w:r>
      <w:r w:rsidR="002F6F48" w:rsidRPr="008767F7">
        <w:rPr>
          <w:szCs w:val="20"/>
        </w:rPr>
        <w:t xml:space="preserve">commuting via </w:t>
      </w:r>
      <w:r w:rsidR="000C11B2" w:rsidRPr="008767F7">
        <w:rPr>
          <w:szCs w:val="20"/>
        </w:rPr>
        <w:t>public transport, 2006</w:t>
      </w:r>
      <w:r w:rsidR="00E312AD" w:rsidRPr="008767F7">
        <w:rPr>
          <w:szCs w:val="20"/>
        </w:rPr>
        <w:t> </w:t>
      </w:r>
      <w:r w:rsidR="000C11B2" w:rsidRPr="008767F7">
        <w:rPr>
          <w:szCs w:val="20"/>
        </w:rPr>
        <w:t>Census to 2021 Census</w:t>
      </w:r>
    </w:p>
    <w:p w14:paraId="4318A15B" w14:textId="6AA7BEA6" w:rsidR="00E172F2" w:rsidRDefault="00CD27EE" w:rsidP="00925ED9">
      <w:pPr>
        <w:pStyle w:val="CGCParaNumber"/>
        <w:ind w:left="0" w:firstLine="0"/>
      </w:pPr>
      <w:r>
        <w:rPr>
          <w:noProof/>
        </w:rPr>
        <w:drawing>
          <wp:inline distT="0" distB="0" distL="0" distR="0" wp14:anchorId="65E404A7" wp14:editId="77937ACB">
            <wp:extent cx="5652000" cy="3564000"/>
            <wp:effectExtent l="0" t="0" r="6350" b="17780"/>
            <wp:docPr id="8" name="Chart 8">
              <a:extLst xmlns:a="http://schemas.openxmlformats.org/drawingml/2006/main">
                <a:ext uri="{FF2B5EF4-FFF2-40B4-BE49-F238E27FC236}">
                  <a16:creationId xmlns:a16="http://schemas.microsoft.com/office/drawing/2014/main" id="{7F317BF2-AE97-457C-A84F-4B7676EBC7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94639F5" w14:textId="2E3D2242" w:rsidR="00114B6A" w:rsidRPr="00DE3E76" w:rsidRDefault="00E312AD" w:rsidP="00114B6A">
      <w:pPr>
        <w:pStyle w:val="CGCTablenote"/>
        <w:rPr>
          <w:rFonts w:ascii="Work Sans" w:hAnsi="Work Sans"/>
        </w:rPr>
      </w:pPr>
      <w:r>
        <w:rPr>
          <w:rFonts w:ascii="Work Sans" w:hAnsi="Work Sans"/>
        </w:rPr>
        <w:t>Note:</w:t>
      </w:r>
      <w:r>
        <w:rPr>
          <w:rFonts w:ascii="Work Sans" w:hAnsi="Work Sans"/>
        </w:rPr>
        <w:tab/>
      </w:r>
      <w:r>
        <w:rPr>
          <w:rFonts w:ascii="Work Sans" w:hAnsi="Work Sans"/>
        </w:rPr>
        <w:tab/>
      </w:r>
      <w:r w:rsidR="00114B6A" w:rsidRPr="00DE3E76">
        <w:rPr>
          <w:rFonts w:ascii="Work Sans" w:hAnsi="Work Sans"/>
        </w:rPr>
        <w:t xml:space="preserve">Public transport is defined as the number of respondents </w:t>
      </w:r>
      <w:r>
        <w:rPr>
          <w:rFonts w:ascii="Work Sans" w:hAnsi="Work Sans"/>
        </w:rPr>
        <w:t>who</w:t>
      </w:r>
      <w:r w:rsidRPr="00DE3E76">
        <w:rPr>
          <w:rFonts w:ascii="Work Sans" w:hAnsi="Work Sans"/>
        </w:rPr>
        <w:t xml:space="preserve"> </w:t>
      </w:r>
      <w:r w:rsidR="00114B6A" w:rsidRPr="00DE3E76">
        <w:rPr>
          <w:rFonts w:ascii="Work Sans" w:hAnsi="Work Sans"/>
        </w:rPr>
        <w:t>travelled to work by train, bus, ferry, or tram/light rail.</w:t>
      </w:r>
    </w:p>
    <w:p w14:paraId="04570F52" w14:textId="1CD036E9" w:rsidR="00CD27EE" w:rsidRPr="00DE3E76" w:rsidRDefault="00114B6A" w:rsidP="00114B6A">
      <w:pPr>
        <w:pStyle w:val="CGCTablenote"/>
        <w:rPr>
          <w:rFonts w:ascii="Work Sans" w:hAnsi="Work Sans"/>
        </w:rPr>
      </w:pPr>
      <w:r w:rsidRPr="00DE3E76">
        <w:rPr>
          <w:rFonts w:ascii="Work Sans" w:hAnsi="Work Sans"/>
        </w:rPr>
        <w:t xml:space="preserve">Source: </w:t>
      </w:r>
      <w:r w:rsidR="00C24152" w:rsidRPr="00DE3E76">
        <w:rPr>
          <w:rFonts w:ascii="Work Sans" w:hAnsi="Work Sans"/>
        </w:rPr>
        <w:t xml:space="preserve">Commission </w:t>
      </w:r>
      <w:r w:rsidRPr="00DE3E76">
        <w:rPr>
          <w:rFonts w:ascii="Work Sans" w:hAnsi="Work Sans"/>
        </w:rPr>
        <w:t xml:space="preserve">calculation using ABS 2021 Census </w:t>
      </w:r>
      <w:r w:rsidR="00E312AD">
        <w:rPr>
          <w:rFonts w:ascii="Work Sans" w:hAnsi="Work Sans"/>
        </w:rPr>
        <w:t>d</w:t>
      </w:r>
      <w:r w:rsidRPr="00DE3E76">
        <w:rPr>
          <w:rFonts w:ascii="Work Sans" w:hAnsi="Work Sans"/>
        </w:rPr>
        <w:t>ata</w:t>
      </w:r>
      <w:r w:rsidR="0052422A" w:rsidRPr="00DE3E76">
        <w:rPr>
          <w:rFonts w:ascii="Work Sans" w:hAnsi="Work Sans"/>
        </w:rPr>
        <w:t>.</w:t>
      </w:r>
    </w:p>
    <w:p w14:paraId="3CED9765" w14:textId="77777777" w:rsidR="00114B6A" w:rsidRDefault="00114B6A" w:rsidP="00925ED9">
      <w:pPr>
        <w:pStyle w:val="CGCParaNumber"/>
        <w:ind w:left="0" w:firstLine="0"/>
      </w:pPr>
    </w:p>
    <w:p w14:paraId="08665A50" w14:textId="77777777" w:rsidR="00196B06" w:rsidRDefault="00196B06" w:rsidP="00FE3E9C">
      <w:pPr>
        <w:pStyle w:val="CGC2025Caption"/>
        <w:ind w:left="1418" w:hanging="1418"/>
      </w:pPr>
      <w:bookmarkStart w:id="81" w:name="_Ref132917351"/>
      <w:bookmarkStart w:id="82" w:name="_Hlk132906869"/>
    </w:p>
    <w:p w14:paraId="3457B91B" w14:textId="03380A26" w:rsidR="00114B6A" w:rsidRPr="008767F7" w:rsidRDefault="007B51B5" w:rsidP="00C64048">
      <w:pPr>
        <w:pStyle w:val="CGC2025Caption"/>
        <w:tabs>
          <w:tab w:val="left" w:pos="1134"/>
        </w:tabs>
        <w:ind w:left="1134" w:hanging="1134"/>
        <w:rPr>
          <w:i/>
          <w:szCs w:val="20"/>
        </w:rPr>
      </w:pPr>
      <w:bookmarkStart w:id="83" w:name="_Ref138763649"/>
      <w:r w:rsidRPr="008767F7">
        <w:rPr>
          <w:szCs w:val="20"/>
        </w:rPr>
        <w:t xml:space="preserve">Figure </w:t>
      </w:r>
      <w:r w:rsidRPr="008767F7">
        <w:rPr>
          <w:szCs w:val="20"/>
        </w:rPr>
        <w:fldChar w:fldCharType="begin"/>
      </w:r>
      <w:r>
        <w:instrText>SEQ Figure \* ARABIC</w:instrText>
      </w:r>
      <w:r w:rsidRPr="008767F7">
        <w:rPr>
          <w:szCs w:val="20"/>
        </w:rPr>
        <w:fldChar w:fldCharType="separate"/>
      </w:r>
      <w:r w:rsidR="00282693">
        <w:rPr>
          <w:noProof/>
        </w:rPr>
        <w:t>7</w:t>
      </w:r>
      <w:r w:rsidRPr="008767F7">
        <w:rPr>
          <w:szCs w:val="20"/>
        </w:rPr>
        <w:fldChar w:fldCharType="end"/>
      </w:r>
      <w:bookmarkEnd w:id="81"/>
      <w:bookmarkEnd w:id="83"/>
      <w:r w:rsidRPr="008767F7">
        <w:rPr>
          <w:szCs w:val="20"/>
        </w:rPr>
        <w:tab/>
      </w:r>
      <w:r w:rsidR="00CB61EB" w:rsidRPr="008767F7">
        <w:rPr>
          <w:szCs w:val="20"/>
        </w:rPr>
        <w:t xml:space="preserve">Percentage of state </w:t>
      </w:r>
      <w:r w:rsidR="00F4717F" w:rsidRPr="008767F7">
        <w:rPr>
          <w:szCs w:val="20"/>
        </w:rPr>
        <w:t xml:space="preserve">employed persons </w:t>
      </w:r>
      <w:r w:rsidR="00CB61EB" w:rsidRPr="008767F7">
        <w:rPr>
          <w:szCs w:val="20"/>
        </w:rPr>
        <w:t>working from home, 2006 Census to 2021 Census</w:t>
      </w:r>
      <w:bookmarkEnd w:id="82"/>
    </w:p>
    <w:p w14:paraId="184D3ED7" w14:textId="66708D27" w:rsidR="007B51B5" w:rsidRPr="007B51B5" w:rsidRDefault="007B51B5" w:rsidP="007B51B5">
      <w:r>
        <w:rPr>
          <w:noProof/>
        </w:rPr>
        <w:drawing>
          <wp:inline distT="0" distB="0" distL="0" distR="0" wp14:anchorId="06E40336" wp14:editId="745BF3A0">
            <wp:extent cx="5652000" cy="3564000"/>
            <wp:effectExtent l="0" t="0" r="6350" b="17780"/>
            <wp:docPr id="39" name="Chart 39">
              <a:extLst xmlns:a="http://schemas.openxmlformats.org/drawingml/2006/main">
                <a:ext uri="{FF2B5EF4-FFF2-40B4-BE49-F238E27FC236}">
                  <a16:creationId xmlns:a16="http://schemas.microsoft.com/office/drawing/2014/main" id="{3A8DD2FA-1DC0-49BC-9DD2-C9988C6797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70FFA6A" w14:textId="146D2AF6" w:rsidR="00B4246D" w:rsidRPr="00DE3E76" w:rsidRDefault="00BA0312" w:rsidP="00BA0312">
      <w:pPr>
        <w:pStyle w:val="CGCTablenote"/>
        <w:rPr>
          <w:rFonts w:ascii="Work Sans" w:hAnsi="Work Sans"/>
        </w:rPr>
      </w:pPr>
      <w:r w:rsidRPr="00DE3E76">
        <w:rPr>
          <w:rFonts w:ascii="Work Sans" w:hAnsi="Work Sans"/>
        </w:rPr>
        <w:t xml:space="preserve">Source: </w:t>
      </w:r>
      <w:r w:rsidR="00C24152" w:rsidRPr="00DE3E76">
        <w:rPr>
          <w:rFonts w:ascii="Work Sans" w:hAnsi="Work Sans"/>
        </w:rPr>
        <w:t xml:space="preserve">Commission </w:t>
      </w:r>
      <w:r w:rsidRPr="00DE3E76">
        <w:rPr>
          <w:rFonts w:ascii="Work Sans" w:hAnsi="Work Sans"/>
        </w:rPr>
        <w:t xml:space="preserve">calculation using ABS 2021 Census </w:t>
      </w:r>
      <w:r w:rsidR="0052422A" w:rsidRPr="00DE3E76">
        <w:rPr>
          <w:rFonts w:ascii="Work Sans" w:hAnsi="Work Sans"/>
        </w:rPr>
        <w:t>d</w:t>
      </w:r>
      <w:r w:rsidRPr="00DE3E76">
        <w:rPr>
          <w:rFonts w:ascii="Work Sans" w:hAnsi="Work Sans"/>
        </w:rPr>
        <w:t>ata</w:t>
      </w:r>
      <w:r w:rsidR="0052422A" w:rsidRPr="00DE3E76">
        <w:rPr>
          <w:rFonts w:ascii="Work Sans" w:hAnsi="Work Sans"/>
        </w:rPr>
        <w:t>.</w:t>
      </w:r>
    </w:p>
    <w:p w14:paraId="327C16CF" w14:textId="04AB2283" w:rsidR="00E172F2" w:rsidRDefault="00E172F2" w:rsidP="004212DF">
      <w:pPr>
        <w:pStyle w:val="Heading5"/>
      </w:pPr>
      <w:r>
        <w:t>Actual passenger numbers</w:t>
      </w:r>
    </w:p>
    <w:p w14:paraId="055F5F7E" w14:textId="04FFBAEC" w:rsidR="00E172F2" w:rsidRPr="00E172F2" w:rsidRDefault="003D49BB" w:rsidP="00603F08">
      <w:pPr>
        <w:pStyle w:val="CGC2025ParaNumbers"/>
      </w:pPr>
      <w:bookmarkStart w:id="84" w:name="_Ref135253650"/>
      <w:r w:rsidRPr="003D49BB">
        <w:t>2016 Census journey to work data by urban area and mode are used in the regression model as a proxy for supply (actual passenger numbers by mode). They are also used to model passenger numbers to which the regression coefficients are applied (</w:t>
      </w:r>
      <w:r w:rsidR="00C64048">
        <w:fldChar w:fldCharType="begin"/>
      </w:r>
      <w:r w:rsidR="00C64048">
        <w:instrText xml:space="preserve"> REF _Ref138763044 \h </w:instrText>
      </w:r>
      <w:r w:rsidR="00C64048">
        <w:fldChar w:fldCharType="separate"/>
      </w:r>
      <w:r w:rsidR="00282693" w:rsidRPr="004B3E54">
        <w:t xml:space="preserve">Figure </w:t>
      </w:r>
      <w:r w:rsidR="00282693">
        <w:rPr>
          <w:noProof/>
        </w:rPr>
        <w:t>1</w:t>
      </w:r>
      <w:r w:rsidR="00C64048">
        <w:fldChar w:fldCharType="end"/>
      </w:r>
      <w:r w:rsidRPr="003D49BB">
        <w:t>). In the</w:t>
      </w:r>
      <w:r w:rsidR="00561813">
        <w:t xml:space="preserve"> </w:t>
      </w:r>
      <w:hyperlink r:id="rId26" w:history="1">
        <w:r w:rsidR="00561813" w:rsidRPr="00641BFA">
          <w:rPr>
            <w:rStyle w:val="Hyperlink"/>
          </w:rPr>
          <w:t>2023 Update</w:t>
        </w:r>
      </w:hyperlink>
      <w:r w:rsidR="00561813">
        <w:t xml:space="preserve">, the Commission </w:t>
      </w:r>
      <w:r w:rsidR="00EF54FE">
        <w:t xml:space="preserve">concluded </w:t>
      </w:r>
      <w:r w:rsidR="00561813">
        <w:t xml:space="preserve">that there was sufficient evidence that 2021 Census data </w:t>
      </w:r>
      <w:r w:rsidR="00705CA0">
        <w:t>we</w:t>
      </w:r>
      <w:r w:rsidR="00561813">
        <w:t>re distorted by the COVID-19 lockdowns and did not represent the level of service being provided at that time. Therefore, the data were not considered fit for purpose to model passenger numbers and 2016 Census data were retained.</w:t>
      </w:r>
      <w:bookmarkEnd w:id="84"/>
    </w:p>
    <w:p w14:paraId="21FDDD41" w14:textId="0AC665B4" w:rsidR="00142582" w:rsidRDefault="00142582" w:rsidP="00603F08">
      <w:pPr>
        <w:pStyle w:val="CGC2025ParaNumbers"/>
      </w:pPr>
      <w:bookmarkStart w:id="85" w:name="_Ref135253657"/>
      <w:r>
        <w:t xml:space="preserve">For the same reasons, it </w:t>
      </w:r>
      <w:r w:rsidR="001D22CC">
        <w:t xml:space="preserve">would </w:t>
      </w:r>
      <w:r>
        <w:t xml:space="preserve">not </w:t>
      </w:r>
      <w:r w:rsidR="001D22CC">
        <w:t xml:space="preserve">be </w:t>
      </w:r>
      <w:r>
        <w:t>appropriate to use 2021 Census data to update actual passenger numbers in the regression model.</w:t>
      </w:r>
      <w:bookmarkEnd w:id="85"/>
      <w:r>
        <w:t xml:space="preserve">  </w:t>
      </w:r>
    </w:p>
    <w:p w14:paraId="231DCD1F" w14:textId="5C198B80" w:rsidR="00142582" w:rsidRDefault="00142582" w:rsidP="00603F08">
      <w:pPr>
        <w:pStyle w:val="CGC2025ParaNumbers"/>
      </w:pPr>
      <w:r>
        <w:t xml:space="preserve">Compared </w:t>
      </w:r>
      <w:r w:rsidR="00AE6F80">
        <w:t>with</w:t>
      </w:r>
      <w:r>
        <w:t xml:space="preserve"> more direct measures of supply, such as state ticketing data, the Commission considers Census data are likely to </w:t>
      </w:r>
      <w:r w:rsidR="00F625B9">
        <w:t>be a</w:t>
      </w:r>
      <w:r>
        <w:t xml:space="preserve"> more nationally consistent and policy neutral data source. </w:t>
      </w:r>
      <w:r w:rsidR="00911A14">
        <w:t>Because t</w:t>
      </w:r>
      <w:r>
        <w:t>here is no reason to believe that 2026 Census data will not be fit for purpose</w:t>
      </w:r>
      <w:r w:rsidR="002003D6">
        <w:t>,</w:t>
      </w:r>
      <w:r>
        <w:t xml:space="preserve"> there is a benefit to maintaining a model that uses Census passenger data. </w:t>
      </w:r>
    </w:p>
    <w:p w14:paraId="71FC0BAB" w14:textId="77777777" w:rsidR="00EE339C" w:rsidRDefault="00EE339C">
      <w:pPr>
        <w:tabs>
          <w:tab w:val="clear" w:pos="567"/>
        </w:tabs>
        <w:spacing w:before="0" w:after="200" w:line="276" w:lineRule="auto"/>
        <w:rPr>
          <w:rFonts w:ascii="Work Sans" w:hAnsi="Work Sans"/>
          <w:sz w:val="20"/>
          <w:szCs w:val="24"/>
        </w:rPr>
      </w:pPr>
      <w:r>
        <w:br w:type="page"/>
      </w:r>
    </w:p>
    <w:p w14:paraId="7BE551BC" w14:textId="5545CDFB" w:rsidR="00873D5B" w:rsidRDefault="00873D5B" w:rsidP="00603F08">
      <w:pPr>
        <w:pStyle w:val="CGC2025ParaNumbers"/>
      </w:pPr>
      <w:r>
        <w:lastRenderedPageBreak/>
        <w:t>The Commission’s preliminary view is that 2021 Census journey to work data are distorted b</w:t>
      </w:r>
      <w:r w:rsidR="00D36D59">
        <w:t>y COVID-19 lockdowns</w:t>
      </w:r>
      <w:r w:rsidR="00CB25AD">
        <w:t xml:space="preserve"> and not fit for purpose to represent passenger numbers in the </w:t>
      </w:r>
      <w:r w:rsidR="00CC2BBF">
        <w:t xml:space="preserve">regression model. </w:t>
      </w:r>
      <w:r w:rsidR="00F25590">
        <w:t>2016 Census data will be used in the regression until 2026 Census data become available.</w:t>
      </w:r>
    </w:p>
    <w:p w14:paraId="6A0FC31B" w14:textId="6183DBA8" w:rsidR="00142582" w:rsidRDefault="00142582" w:rsidP="00603F08">
      <w:pPr>
        <w:pStyle w:val="CGC2025ParaNumbers"/>
      </w:pPr>
      <w:r>
        <w:t>If state expense data become available before 2026 Census data are released, 2</w:t>
      </w:r>
      <w:r w:rsidR="00561C28">
        <w:t> </w:t>
      </w:r>
      <w:r>
        <w:t>options have been identified for adjusting 2016 Census data to capture changes in use and service provision over</w:t>
      </w:r>
      <w:r w:rsidR="00663A27">
        <w:t xml:space="preserve"> </w:t>
      </w:r>
      <w:r>
        <w:t xml:space="preserve">time. These options are considered below, from </w:t>
      </w:r>
      <w:r w:rsidRPr="00CE3273">
        <w:t>paragraph</w:t>
      </w:r>
      <w:r w:rsidR="00CE3273" w:rsidRPr="00CE3273">
        <w:t xml:space="preserve"> </w:t>
      </w:r>
      <w:r w:rsidR="00CE3273" w:rsidRPr="00163CB4">
        <w:fldChar w:fldCharType="begin"/>
      </w:r>
      <w:r w:rsidR="00CE3273" w:rsidRPr="000F11DB">
        <w:rPr>
          <w:highlight w:val="magenta"/>
        </w:rPr>
        <w:instrText xml:space="preserve"> REF _Ref132917445 \r \h  \* MERGEFORMAT </w:instrText>
      </w:r>
      <w:r w:rsidR="00CE3273" w:rsidRPr="00163CB4">
        <w:fldChar w:fldCharType="separate"/>
      </w:r>
      <w:r w:rsidR="00282693" w:rsidRPr="00282693">
        <w:t>87</w:t>
      </w:r>
      <w:r w:rsidR="00CE3273" w:rsidRPr="00163CB4">
        <w:fldChar w:fldCharType="end"/>
      </w:r>
      <w:r w:rsidRPr="00CE3273">
        <w:t>.</w:t>
      </w:r>
    </w:p>
    <w:p w14:paraId="2CCBB369" w14:textId="422F0D9A" w:rsidR="006B4FA7" w:rsidRPr="006F1886" w:rsidRDefault="006B4FA7" w:rsidP="006B4FA7">
      <w:pPr>
        <w:pStyle w:val="Heading4"/>
      </w:pPr>
      <w:r w:rsidRPr="007E1923">
        <w:t>Consultation questions</w:t>
      </w:r>
    </w:p>
    <w:p w14:paraId="1B135746" w14:textId="20B06AB6" w:rsidR="00F25590" w:rsidRDefault="00055CA8" w:rsidP="00F25590">
      <w:pPr>
        <w:pStyle w:val="CGC2025ParaNumbers"/>
        <w:numPr>
          <w:ilvl w:val="0"/>
          <w:numId w:val="0"/>
        </w:numPr>
      </w:pPr>
      <w:r w:rsidRPr="001C4DF3">
        <w:rPr>
          <w:noProof/>
        </w:rPr>
        <mc:AlternateContent>
          <mc:Choice Requires="wps">
            <w:drawing>
              <wp:inline distT="0" distB="0" distL="0" distR="0" wp14:anchorId="2AFA858F" wp14:editId="2E59DE98">
                <wp:extent cx="5688965" cy="1381991"/>
                <wp:effectExtent l="0" t="0" r="6985" b="8890"/>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8965" cy="1381991"/>
                        </a:xfrm>
                        <a:prstGeom prst="rect">
                          <a:avLst/>
                        </a:prstGeom>
                        <a:solidFill>
                          <a:srgbClr val="EBF3F5"/>
                        </a:solidFill>
                        <a:ln w="25400" cap="flat" cmpd="sng" algn="ctr">
                          <a:noFill/>
                          <a:prstDash val="solid"/>
                        </a:ln>
                        <a:effectLst/>
                      </wps:spPr>
                      <wps:txbx>
                        <w:txbxContent>
                          <w:p w14:paraId="135BAA98" w14:textId="77777777" w:rsidR="00055CA8" w:rsidRPr="008C212A" w:rsidRDefault="00055CA8" w:rsidP="00055CA8">
                            <w:pPr>
                              <w:pStyle w:val="Heading5"/>
                            </w:pPr>
                            <w:bookmarkStart w:id="86" w:name="_Hlk136602760"/>
                            <w:r w:rsidRPr="006A196B">
                              <w:t>When expense data are available to update the regression</w:t>
                            </w:r>
                          </w:p>
                          <w:p w14:paraId="3EAC36B3" w14:textId="744839E6" w:rsidR="00055CA8" w:rsidRPr="000C7C34" w:rsidRDefault="00055CA8" w:rsidP="000C7C34">
                            <w:pPr>
                              <w:pStyle w:val="CGC2025QuestionNumbers"/>
                            </w:pPr>
                            <w:r w:rsidRPr="000C7C34">
                              <w:t>Do states agree that the 2021 Census journey to work data were distorted by the COVID</w:t>
                            </w:r>
                            <w:r w:rsidR="003F0312" w:rsidRPr="000C7C34">
                              <w:t>-19</w:t>
                            </w:r>
                            <w:r w:rsidRPr="000C7C34">
                              <w:t xml:space="preserve"> lockdowns and are not a fit for purpose measure of </w:t>
                            </w:r>
                            <w:r w:rsidR="0099148F" w:rsidRPr="000C7C34">
                              <w:t>current</w:t>
                            </w:r>
                            <w:r w:rsidR="00515B51" w:rsidRPr="000C7C34">
                              <w:t xml:space="preserve"> </w:t>
                            </w:r>
                            <w:r w:rsidRPr="000C7C34">
                              <w:t>passenger numbe</w:t>
                            </w:r>
                            <w:r w:rsidR="00AD3F4A" w:rsidRPr="000C7C34">
                              <w:t>rs</w:t>
                            </w:r>
                            <w:r w:rsidRPr="000C7C34">
                              <w:t>?</w:t>
                            </w:r>
                          </w:p>
                          <w:p w14:paraId="75D26AED" w14:textId="6378F65E" w:rsidR="00055CA8" w:rsidRPr="000C7C34" w:rsidRDefault="00055CA8" w:rsidP="000C7C34">
                            <w:pPr>
                              <w:pStyle w:val="CGC2025QuestionNumbers"/>
                            </w:pPr>
                            <w:r w:rsidRPr="000C7C34">
                              <w:t xml:space="preserve">If the 2021 Census journey to work data are not fit for purpose, do states </w:t>
                            </w:r>
                            <w:r w:rsidR="00AD7239" w:rsidRPr="000C7C34">
                              <w:t>support</w:t>
                            </w:r>
                            <w:r w:rsidR="0081660E" w:rsidRPr="000C7C34">
                              <w:t xml:space="preserve"> the continued use of</w:t>
                            </w:r>
                            <w:r w:rsidR="007779AB" w:rsidRPr="000C7C34">
                              <w:t xml:space="preserve"> </w:t>
                            </w:r>
                            <w:r w:rsidRPr="000C7C34">
                              <w:t xml:space="preserve">2016 Census journey to work data </w:t>
                            </w:r>
                            <w:r w:rsidR="00EE1167" w:rsidRPr="000C7C34">
                              <w:t>in the model</w:t>
                            </w:r>
                            <w:r w:rsidRPr="000C7C34">
                              <w:t>?</w:t>
                            </w:r>
                            <w:bookmarkEnd w:id="8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AFA858F" id="Rectangle 1" o:spid="_x0000_s1031" alt="&quot;&quot;" style="width:447.95pt;height:108.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" fillcolor="#ebf3f5" stroked="f" strokeweight="2pt">
                <v:textbox>
                  <w:txbxContent>
                    <w:p w14:paraId="135BAA98" w14:textId="77777777" w:rsidR="00055CA8" w:rsidRPr="008C212A" w:rsidRDefault="00055CA8" w:rsidP="00055CA8">
                      <w:pPr>
                        <w:pStyle w:val="Heading5"/>
                      </w:pPr>
                      <w:bookmarkStart w:id="87" w:name="_Hlk136602760"/>
                      <w:r w:rsidRPr="006A196B">
                        <w:t>When expense data are available to update the regression</w:t>
                      </w:r>
                    </w:p>
                    <w:p w14:paraId="3EAC36B3" w14:textId="744839E6" w:rsidR="00055CA8" w:rsidRPr="000C7C34" w:rsidRDefault="00055CA8" w:rsidP="000C7C34">
                      <w:pPr>
                        <w:pStyle w:val="CGC2025QuestionNumbers"/>
                      </w:pPr>
                      <w:r w:rsidRPr="000C7C34">
                        <w:t>Do states agree that the 2021 Census journey to work data were distorted by the COVID</w:t>
                      </w:r>
                      <w:r w:rsidR="003F0312" w:rsidRPr="000C7C34">
                        <w:t>-19</w:t>
                      </w:r>
                      <w:r w:rsidRPr="000C7C34">
                        <w:t xml:space="preserve"> lockdowns and are not a fit for purpose measure of </w:t>
                      </w:r>
                      <w:r w:rsidR="0099148F" w:rsidRPr="000C7C34">
                        <w:t>current</w:t>
                      </w:r>
                      <w:r w:rsidR="00515B51" w:rsidRPr="000C7C34">
                        <w:t xml:space="preserve"> </w:t>
                      </w:r>
                      <w:r w:rsidRPr="000C7C34">
                        <w:t>passenger numbe</w:t>
                      </w:r>
                      <w:r w:rsidR="00AD3F4A" w:rsidRPr="000C7C34">
                        <w:t>rs</w:t>
                      </w:r>
                      <w:r w:rsidRPr="000C7C34">
                        <w:t>?</w:t>
                      </w:r>
                    </w:p>
                    <w:p w14:paraId="75D26AED" w14:textId="6378F65E" w:rsidR="00055CA8" w:rsidRPr="000C7C34" w:rsidRDefault="00055CA8" w:rsidP="000C7C34">
                      <w:pPr>
                        <w:pStyle w:val="CGC2025QuestionNumbers"/>
                      </w:pPr>
                      <w:r w:rsidRPr="000C7C34">
                        <w:t xml:space="preserve">If the 2021 Census journey to work data are not fit for purpose, do states </w:t>
                      </w:r>
                      <w:r w:rsidR="00AD7239" w:rsidRPr="000C7C34">
                        <w:t>support</w:t>
                      </w:r>
                      <w:r w:rsidR="0081660E" w:rsidRPr="000C7C34">
                        <w:t xml:space="preserve"> the continued use of</w:t>
                      </w:r>
                      <w:r w:rsidR="007779AB" w:rsidRPr="000C7C34">
                        <w:t xml:space="preserve"> </w:t>
                      </w:r>
                      <w:r w:rsidRPr="000C7C34">
                        <w:t xml:space="preserve">2016 Census journey to work data </w:t>
                      </w:r>
                      <w:r w:rsidR="00EE1167" w:rsidRPr="000C7C34">
                        <w:t>in the model</w:t>
                      </w:r>
                      <w:r w:rsidRPr="000C7C34">
                        <w:t>?</w:t>
                      </w:r>
                      <w:bookmarkEnd w:id="87"/>
                    </w:p>
                  </w:txbxContent>
                </v:textbox>
                <w10:anchorlock/>
              </v:rect>
            </w:pict>
          </mc:Fallback>
        </mc:AlternateContent>
      </w:r>
    </w:p>
    <w:p w14:paraId="0D398D15" w14:textId="41250D9C" w:rsidR="005350A4" w:rsidRPr="00E94955" w:rsidRDefault="005350A4" w:rsidP="00D76D84">
      <w:pPr>
        <w:pStyle w:val="Heading5"/>
      </w:pPr>
      <w:r w:rsidRPr="00977308">
        <w:t>Distance to work</w:t>
      </w:r>
      <w:r w:rsidRPr="00E94955">
        <w:t xml:space="preserve"> </w:t>
      </w:r>
    </w:p>
    <w:p w14:paraId="3B0260A3" w14:textId="68C7378F" w:rsidR="00462F19" w:rsidRDefault="00462F19" w:rsidP="00603F08">
      <w:pPr>
        <w:pStyle w:val="CGC2025ParaNumbers"/>
      </w:pPr>
      <w:r>
        <w:t xml:space="preserve">2016 Census distance to work data are used in the regression model as a proxy for network complexity. </w:t>
      </w:r>
    </w:p>
    <w:p w14:paraId="759B2B3E" w14:textId="340D2E88" w:rsidR="00DF162A" w:rsidRDefault="005B12C2" w:rsidP="00603F08">
      <w:pPr>
        <w:pStyle w:val="CGC2025ParaNumbers"/>
      </w:pPr>
      <w:r>
        <w:t xml:space="preserve">Distance to work data </w:t>
      </w:r>
      <w:r w:rsidR="00DF162A">
        <w:t>from</w:t>
      </w:r>
      <w:r>
        <w:t xml:space="preserve"> the</w:t>
      </w:r>
      <w:r w:rsidR="00D36D7F">
        <w:t xml:space="preserve"> 2021 Census</w:t>
      </w:r>
      <w:r w:rsidR="00C00AB0">
        <w:t xml:space="preserve"> indicate that</w:t>
      </w:r>
      <w:r w:rsidR="00D36D7F">
        <w:t xml:space="preserve"> the median distance to wo</w:t>
      </w:r>
      <w:r w:rsidR="000255BB">
        <w:t xml:space="preserve">rk increased slightly across </w:t>
      </w:r>
      <w:r w:rsidR="00DB1EB1" w:rsidRPr="002456EE">
        <w:t>most urban areas</w:t>
      </w:r>
      <w:r w:rsidR="000255BB" w:rsidRPr="002456EE">
        <w:t xml:space="preserve"> since </w:t>
      </w:r>
      <w:r w:rsidR="00DF162A" w:rsidRPr="002456EE">
        <w:t>the</w:t>
      </w:r>
      <w:r w:rsidR="000255BB" w:rsidRPr="002456EE">
        <w:t xml:space="preserve"> 2016</w:t>
      </w:r>
      <w:r w:rsidR="00DF162A" w:rsidRPr="002456EE">
        <w:t xml:space="preserve"> Census.</w:t>
      </w:r>
      <w:r w:rsidR="004E44D9" w:rsidRPr="002456EE">
        <w:t xml:space="preserve"> </w:t>
      </w:r>
      <w:r w:rsidR="00A321FA">
        <w:fldChar w:fldCharType="begin"/>
      </w:r>
      <w:r w:rsidR="00A321FA">
        <w:instrText xml:space="preserve"> REF _Ref138763823 \h </w:instrText>
      </w:r>
      <w:r w:rsidR="00A321FA">
        <w:fldChar w:fldCharType="separate"/>
      </w:r>
      <w:r w:rsidR="00282693" w:rsidRPr="008767F7">
        <w:rPr>
          <w:szCs w:val="20"/>
        </w:rPr>
        <w:t xml:space="preserve">Table </w:t>
      </w:r>
      <w:r w:rsidR="00282693">
        <w:rPr>
          <w:noProof/>
        </w:rPr>
        <w:t>6</w:t>
      </w:r>
      <w:r w:rsidR="00A321FA">
        <w:fldChar w:fldCharType="end"/>
      </w:r>
      <w:r w:rsidR="004E44D9" w:rsidRPr="002456EE">
        <w:t xml:space="preserve"> shows </w:t>
      </w:r>
      <w:r w:rsidR="007532F4" w:rsidRPr="002456EE">
        <w:t>the changes</w:t>
      </w:r>
      <w:r w:rsidR="004E44D9" w:rsidRPr="002456EE">
        <w:t xml:space="preserve"> in the </w:t>
      </w:r>
      <w:r w:rsidR="00DF162A" w:rsidRPr="002456EE">
        <w:t>median</w:t>
      </w:r>
      <w:r w:rsidR="00E36ABB" w:rsidRPr="002456EE">
        <w:t xml:space="preserve"> </w:t>
      </w:r>
      <w:r w:rsidR="004E44D9" w:rsidRPr="002456EE">
        <w:t xml:space="preserve">distance to work </w:t>
      </w:r>
      <w:r w:rsidR="00DF162A" w:rsidRPr="002456EE">
        <w:t xml:space="preserve">between </w:t>
      </w:r>
      <w:r w:rsidR="008931EB" w:rsidRPr="002456EE">
        <w:t>C</w:t>
      </w:r>
      <w:r w:rsidR="00DF162A" w:rsidRPr="002456EE">
        <w:t>ensuses</w:t>
      </w:r>
      <w:r w:rsidR="000255BB" w:rsidRPr="002456EE">
        <w:t>.</w:t>
      </w:r>
    </w:p>
    <w:p w14:paraId="6808AC92" w14:textId="5D14F2DF" w:rsidR="00D47D35" w:rsidRPr="008767F7" w:rsidRDefault="00E2659F" w:rsidP="00233B7B">
      <w:pPr>
        <w:pStyle w:val="CGC2025Caption"/>
        <w:tabs>
          <w:tab w:val="left" w:pos="1134"/>
        </w:tabs>
        <w:rPr>
          <w:szCs w:val="20"/>
        </w:rPr>
      </w:pPr>
      <w:bookmarkStart w:id="88" w:name="_Ref135145508"/>
      <w:bookmarkStart w:id="89" w:name="_Ref138763823"/>
      <w:r w:rsidRPr="008767F7">
        <w:rPr>
          <w:szCs w:val="20"/>
        </w:rPr>
        <w:t>Table</w:t>
      </w:r>
      <w:r w:rsidR="07E0FC35" w:rsidRPr="008767F7">
        <w:rPr>
          <w:szCs w:val="20"/>
        </w:rPr>
        <w:t xml:space="preserve"> </w:t>
      </w:r>
      <w:r w:rsidRPr="008767F7">
        <w:rPr>
          <w:szCs w:val="20"/>
        </w:rPr>
        <w:fldChar w:fldCharType="begin"/>
      </w:r>
      <w:r>
        <w:instrText>SEQ Table \* ARABIC</w:instrText>
      </w:r>
      <w:r w:rsidRPr="008767F7">
        <w:rPr>
          <w:szCs w:val="20"/>
        </w:rPr>
        <w:fldChar w:fldCharType="separate"/>
      </w:r>
      <w:r w:rsidR="00282693">
        <w:rPr>
          <w:noProof/>
        </w:rPr>
        <w:t>6</w:t>
      </w:r>
      <w:r w:rsidRPr="008767F7">
        <w:rPr>
          <w:szCs w:val="20"/>
        </w:rPr>
        <w:fldChar w:fldCharType="end"/>
      </w:r>
      <w:bookmarkEnd w:id="88"/>
      <w:bookmarkEnd w:id="89"/>
      <w:r w:rsidRPr="008767F7">
        <w:rPr>
          <w:szCs w:val="20"/>
        </w:rPr>
        <w:tab/>
        <w:t xml:space="preserve">Median </w:t>
      </w:r>
      <w:r w:rsidR="00601C08" w:rsidRPr="008767F7">
        <w:rPr>
          <w:szCs w:val="20"/>
        </w:rPr>
        <w:t>d</w:t>
      </w:r>
      <w:r w:rsidRPr="008767F7">
        <w:rPr>
          <w:szCs w:val="20"/>
        </w:rPr>
        <w:t xml:space="preserve">istance to </w:t>
      </w:r>
      <w:r w:rsidR="00601C08" w:rsidRPr="008767F7">
        <w:rPr>
          <w:szCs w:val="20"/>
        </w:rPr>
        <w:t>w</w:t>
      </w:r>
      <w:r w:rsidRPr="008767F7">
        <w:rPr>
          <w:szCs w:val="20"/>
        </w:rPr>
        <w:t>ork</w:t>
      </w:r>
      <w:r w:rsidR="006B472F" w:rsidRPr="008767F7">
        <w:rPr>
          <w:szCs w:val="20"/>
        </w:rPr>
        <w:t>, kilometres</w:t>
      </w:r>
      <w:r w:rsidRPr="008767F7">
        <w:rPr>
          <w:szCs w:val="20"/>
        </w:rPr>
        <w:t xml:space="preserve"> </w:t>
      </w:r>
    </w:p>
    <w:tbl>
      <w:tblPr>
        <w:tblW w:w="8942" w:type="dxa"/>
        <w:tblLook w:val="04A0" w:firstRow="1" w:lastRow="0" w:firstColumn="1" w:lastColumn="0" w:noHBand="0" w:noVBand="1"/>
      </w:tblPr>
      <w:tblGrid>
        <w:gridCol w:w="3505"/>
        <w:gridCol w:w="2157"/>
        <w:gridCol w:w="3280"/>
      </w:tblGrid>
      <w:tr w:rsidR="00D47D35" w:rsidRPr="00D47D35" w14:paraId="573CF1C1" w14:textId="77777777" w:rsidTr="00D47D35">
        <w:trPr>
          <w:trHeight w:val="375"/>
        </w:trPr>
        <w:tc>
          <w:tcPr>
            <w:tcW w:w="1560" w:type="dxa"/>
            <w:tcBorders>
              <w:top w:val="nil"/>
              <w:left w:val="nil"/>
              <w:bottom w:val="nil"/>
              <w:right w:val="nil"/>
            </w:tcBorders>
            <w:shd w:val="clear" w:color="000000" w:fill="006991"/>
            <w:noWrap/>
            <w:vAlign w:val="center"/>
            <w:hideMark/>
          </w:tcPr>
          <w:p w14:paraId="7ED375C6" w14:textId="039296F2" w:rsidR="00D47D35" w:rsidRPr="00205315" w:rsidRDefault="00D47D35" w:rsidP="00D47D35">
            <w:pPr>
              <w:tabs>
                <w:tab w:val="clear" w:pos="567"/>
              </w:tabs>
              <w:spacing w:before="0" w:line="240" w:lineRule="auto"/>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 xml:space="preserve">Capital </w:t>
            </w:r>
            <w:r w:rsidR="006B472F">
              <w:rPr>
                <w:rFonts w:ascii="Open Sans Semibold" w:eastAsia="Times New Roman" w:hAnsi="Open Sans Semibold" w:cs="Open Sans Semibold"/>
                <w:color w:val="FFFFFF"/>
                <w:sz w:val="16"/>
                <w:szCs w:val="16"/>
                <w:lang w:eastAsia="en-AU"/>
              </w:rPr>
              <w:t>c</w:t>
            </w:r>
            <w:r w:rsidRPr="00205315">
              <w:rPr>
                <w:rFonts w:ascii="Open Sans Semibold" w:eastAsia="Times New Roman" w:hAnsi="Open Sans Semibold" w:cs="Open Sans Semibold"/>
                <w:color w:val="FFFFFF"/>
                <w:sz w:val="16"/>
                <w:szCs w:val="16"/>
                <w:lang w:eastAsia="en-AU"/>
              </w:rPr>
              <w:t>ities</w:t>
            </w:r>
          </w:p>
        </w:tc>
        <w:tc>
          <w:tcPr>
            <w:tcW w:w="960" w:type="dxa"/>
            <w:tcBorders>
              <w:top w:val="nil"/>
              <w:left w:val="nil"/>
              <w:bottom w:val="nil"/>
              <w:right w:val="nil"/>
            </w:tcBorders>
            <w:shd w:val="clear" w:color="000000" w:fill="006991"/>
            <w:noWrap/>
            <w:vAlign w:val="center"/>
            <w:hideMark/>
          </w:tcPr>
          <w:p w14:paraId="115A35D4" w14:textId="4CAF211E" w:rsidR="00D47D35" w:rsidRPr="00205315" w:rsidRDefault="00D47D35" w:rsidP="00D47D3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20</w:t>
            </w:r>
            <w:r w:rsidR="00B85FE6" w:rsidRPr="00205315">
              <w:rPr>
                <w:rFonts w:ascii="Open Sans Semibold" w:eastAsia="Times New Roman" w:hAnsi="Open Sans Semibold" w:cs="Open Sans Semibold"/>
                <w:color w:val="FFFFFF"/>
                <w:sz w:val="16"/>
                <w:szCs w:val="16"/>
                <w:lang w:eastAsia="en-AU"/>
              </w:rPr>
              <w:t>16</w:t>
            </w:r>
          </w:p>
        </w:tc>
        <w:tc>
          <w:tcPr>
            <w:tcW w:w="1460" w:type="dxa"/>
            <w:tcBorders>
              <w:top w:val="nil"/>
              <w:left w:val="nil"/>
              <w:bottom w:val="nil"/>
              <w:right w:val="nil"/>
            </w:tcBorders>
            <w:shd w:val="clear" w:color="000000" w:fill="006991"/>
            <w:noWrap/>
            <w:vAlign w:val="center"/>
            <w:hideMark/>
          </w:tcPr>
          <w:p w14:paraId="4CCFB419" w14:textId="226150F9" w:rsidR="00D47D35" w:rsidRPr="00205315" w:rsidRDefault="00D47D35" w:rsidP="00D47D35">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202</w:t>
            </w:r>
            <w:r w:rsidR="00B85FE6" w:rsidRPr="00205315">
              <w:rPr>
                <w:rFonts w:ascii="Open Sans Semibold" w:eastAsia="Times New Roman" w:hAnsi="Open Sans Semibold" w:cs="Open Sans Semibold"/>
                <w:color w:val="FFFFFF"/>
                <w:sz w:val="16"/>
                <w:szCs w:val="16"/>
                <w:lang w:eastAsia="en-AU"/>
              </w:rPr>
              <w:t>1</w:t>
            </w:r>
          </w:p>
        </w:tc>
      </w:tr>
      <w:tr w:rsidR="00D47D35" w:rsidRPr="00D47D35" w14:paraId="3AC46577" w14:textId="77777777" w:rsidTr="00205315">
        <w:trPr>
          <w:trHeight w:val="315"/>
        </w:trPr>
        <w:tc>
          <w:tcPr>
            <w:tcW w:w="1560" w:type="dxa"/>
            <w:tcBorders>
              <w:top w:val="nil"/>
              <w:left w:val="nil"/>
              <w:bottom w:val="nil"/>
              <w:right w:val="nil"/>
            </w:tcBorders>
            <w:shd w:val="clear" w:color="000000" w:fill="FFFFFF"/>
            <w:noWrap/>
            <w:vAlign w:val="bottom"/>
            <w:hideMark/>
          </w:tcPr>
          <w:p w14:paraId="58136EAD" w14:textId="77777777" w:rsidR="00D47D35" w:rsidRPr="00205315" w:rsidRDefault="00D47D35" w:rsidP="00601C08">
            <w:pPr>
              <w:tabs>
                <w:tab w:val="clear" w:pos="567"/>
              </w:tabs>
              <w:spacing w:before="0" w:line="240" w:lineRule="auto"/>
              <w:rPr>
                <w:rFonts w:eastAsia="Times New Roman" w:cs="Open Sans Light"/>
                <w:color w:val="000000"/>
                <w:sz w:val="16"/>
                <w:szCs w:val="16"/>
                <w:lang w:eastAsia="en-AU"/>
              </w:rPr>
            </w:pPr>
            <w:r w:rsidRPr="00205315">
              <w:rPr>
                <w:rFonts w:eastAsia="Times New Roman" w:cs="Open Sans Light"/>
                <w:color w:val="000000"/>
                <w:sz w:val="16"/>
                <w:szCs w:val="16"/>
                <w:lang w:eastAsia="en-AU"/>
              </w:rPr>
              <w:t>Sydney</w:t>
            </w:r>
          </w:p>
        </w:tc>
        <w:tc>
          <w:tcPr>
            <w:tcW w:w="960" w:type="dxa"/>
            <w:tcBorders>
              <w:top w:val="nil"/>
              <w:left w:val="nil"/>
              <w:bottom w:val="nil"/>
              <w:right w:val="nil"/>
            </w:tcBorders>
            <w:shd w:val="clear" w:color="000000" w:fill="FFFFFF"/>
            <w:noWrap/>
            <w:vAlign w:val="bottom"/>
            <w:hideMark/>
          </w:tcPr>
          <w:p w14:paraId="7C89BC75" w14:textId="5407C428" w:rsidR="00D47D35" w:rsidRPr="00D47D35" w:rsidRDefault="008F15C7" w:rsidP="00601C08">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10</w:t>
            </w:r>
            <w:r w:rsidR="009D524B">
              <w:rPr>
                <w:rFonts w:eastAsia="Times New Roman" w:cs="Open Sans Light"/>
                <w:color w:val="000000"/>
                <w:sz w:val="16"/>
                <w:szCs w:val="16"/>
                <w:lang w:eastAsia="en-AU"/>
              </w:rPr>
              <w:t>.5</w:t>
            </w:r>
          </w:p>
        </w:tc>
        <w:tc>
          <w:tcPr>
            <w:tcW w:w="1460" w:type="dxa"/>
            <w:tcBorders>
              <w:top w:val="nil"/>
              <w:left w:val="nil"/>
              <w:bottom w:val="nil"/>
              <w:right w:val="nil"/>
            </w:tcBorders>
            <w:shd w:val="clear" w:color="000000" w:fill="FFFFFF"/>
            <w:noWrap/>
            <w:vAlign w:val="bottom"/>
            <w:hideMark/>
          </w:tcPr>
          <w:p w14:paraId="4B0FDDFF" w14:textId="369D8518" w:rsidR="00D47D35" w:rsidRPr="00D47D35" w:rsidRDefault="008F15C7" w:rsidP="00601C08">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10</w:t>
            </w:r>
            <w:r w:rsidR="00B971C9">
              <w:rPr>
                <w:rFonts w:eastAsia="Times New Roman" w:cs="Open Sans Light"/>
                <w:color w:val="000000"/>
                <w:sz w:val="16"/>
                <w:szCs w:val="16"/>
                <w:lang w:eastAsia="en-AU"/>
              </w:rPr>
              <w:t>.5</w:t>
            </w:r>
          </w:p>
        </w:tc>
      </w:tr>
      <w:tr w:rsidR="00D47D35" w:rsidRPr="00D47D35" w14:paraId="1B680C58" w14:textId="77777777" w:rsidTr="00205315">
        <w:trPr>
          <w:trHeight w:val="315"/>
        </w:trPr>
        <w:tc>
          <w:tcPr>
            <w:tcW w:w="1560" w:type="dxa"/>
            <w:tcBorders>
              <w:top w:val="single" w:sz="8" w:space="0" w:color="ADD6EA"/>
              <w:left w:val="nil"/>
              <w:bottom w:val="single" w:sz="8" w:space="0" w:color="ADD6EA"/>
              <w:right w:val="nil"/>
            </w:tcBorders>
            <w:shd w:val="clear" w:color="000000" w:fill="FFFFFF"/>
            <w:noWrap/>
            <w:vAlign w:val="bottom"/>
            <w:hideMark/>
          </w:tcPr>
          <w:p w14:paraId="1B755A4D" w14:textId="77777777" w:rsidR="00D47D35" w:rsidRPr="00205315" w:rsidRDefault="00D47D35" w:rsidP="00601C08">
            <w:pPr>
              <w:tabs>
                <w:tab w:val="clear" w:pos="567"/>
              </w:tabs>
              <w:spacing w:before="0" w:line="240" w:lineRule="auto"/>
              <w:rPr>
                <w:rFonts w:eastAsia="Times New Roman" w:cs="Open Sans Light"/>
                <w:color w:val="000000"/>
                <w:sz w:val="16"/>
                <w:szCs w:val="16"/>
                <w:lang w:eastAsia="en-AU"/>
              </w:rPr>
            </w:pPr>
            <w:r w:rsidRPr="00205315">
              <w:rPr>
                <w:rFonts w:eastAsia="Times New Roman" w:cs="Open Sans Light"/>
                <w:color w:val="000000"/>
                <w:sz w:val="16"/>
                <w:szCs w:val="16"/>
                <w:lang w:eastAsia="en-AU"/>
              </w:rPr>
              <w:t>Melbourne</w:t>
            </w:r>
          </w:p>
        </w:tc>
        <w:tc>
          <w:tcPr>
            <w:tcW w:w="960" w:type="dxa"/>
            <w:tcBorders>
              <w:top w:val="single" w:sz="8" w:space="0" w:color="ADD6EA"/>
              <w:left w:val="nil"/>
              <w:bottom w:val="single" w:sz="8" w:space="0" w:color="ADD6EA"/>
              <w:right w:val="nil"/>
            </w:tcBorders>
            <w:shd w:val="clear" w:color="000000" w:fill="FFFFFF"/>
            <w:noWrap/>
            <w:vAlign w:val="bottom"/>
            <w:hideMark/>
          </w:tcPr>
          <w:p w14:paraId="00160E2C" w14:textId="3031FA47" w:rsidR="00D47D35" w:rsidRPr="00D47D35" w:rsidRDefault="00D47D35" w:rsidP="00601C08">
            <w:pPr>
              <w:tabs>
                <w:tab w:val="clear" w:pos="567"/>
              </w:tabs>
              <w:spacing w:before="0" w:line="240" w:lineRule="auto"/>
              <w:jc w:val="right"/>
              <w:rPr>
                <w:rFonts w:eastAsia="Times New Roman" w:cs="Open Sans Light"/>
                <w:color w:val="000000"/>
                <w:sz w:val="16"/>
                <w:szCs w:val="16"/>
                <w:lang w:eastAsia="en-AU"/>
              </w:rPr>
            </w:pPr>
            <w:r w:rsidRPr="00D47D35">
              <w:rPr>
                <w:rFonts w:eastAsia="Times New Roman" w:cs="Open Sans Light"/>
                <w:color w:val="000000"/>
                <w:sz w:val="16"/>
                <w:szCs w:val="16"/>
                <w:lang w:eastAsia="en-AU"/>
              </w:rPr>
              <w:t>1</w:t>
            </w:r>
            <w:r w:rsidR="008F15C7">
              <w:rPr>
                <w:rFonts w:eastAsia="Times New Roman" w:cs="Open Sans Light"/>
                <w:color w:val="000000"/>
                <w:sz w:val="16"/>
                <w:szCs w:val="16"/>
                <w:lang w:eastAsia="en-AU"/>
              </w:rPr>
              <w:t>1</w:t>
            </w:r>
            <w:r w:rsidR="009D524B">
              <w:rPr>
                <w:rFonts w:eastAsia="Times New Roman" w:cs="Open Sans Light"/>
                <w:color w:val="000000"/>
                <w:sz w:val="16"/>
                <w:szCs w:val="16"/>
                <w:lang w:eastAsia="en-AU"/>
              </w:rPr>
              <w:t>.5</w:t>
            </w:r>
          </w:p>
        </w:tc>
        <w:tc>
          <w:tcPr>
            <w:tcW w:w="1460" w:type="dxa"/>
            <w:tcBorders>
              <w:top w:val="single" w:sz="8" w:space="0" w:color="ADD6EA"/>
              <w:left w:val="nil"/>
              <w:bottom w:val="single" w:sz="8" w:space="0" w:color="ADD6EA"/>
              <w:right w:val="nil"/>
            </w:tcBorders>
            <w:shd w:val="clear" w:color="000000" w:fill="FFFFFF"/>
            <w:noWrap/>
            <w:vAlign w:val="bottom"/>
            <w:hideMark/>
          </w:tcPr>
          <w:p w14:paraId="692A6B6C" w14:textId="7D76CC15" w:rsidR="00D47D35" w:rsidRPr="00D47D35" w:rsidRDefault="00D47D35" w:rsidP="00601C08">
            <w:pPr>
              <w:tabs>
                <w:tab w:val="clear" w:pos="567"/>
              </w:tabs>
              <w:spacing w:before="0" w:line="240" w:lineRule="auto"/>
              <w:jc w:val="right"/>
              <w:rPr>
                <w:rFonts w:eastAsia="Times New Roman" w:cs="Open Sans Light"/>
                <w:color w:val="000000"/>
                <w:sz w:val="16"/>
                <w:szCs w:val="16"/>
                <w:lang w:eastAsia="en-AU"/>
              </w:rPr>
            </w:pPr>
            <w:r w:rsidRPr="00D47D35">
              <w:rPr>
                <w:rFonts w:eastAsia="Times New Roman" w:cs="Open Sans Light"/>
                <w:color w:val="000000"/>
                <w:sz w:val="16"/>
                <w:szCs w:val="16"/>
                <w:lang w:eastAsia="en-AU"/>
              </w:rPr>
              <w:t>1</w:t>
            </w:r>
            <w:r w:rsidR="00A92146">
              <w:rPr>
                <w:rFonts w:eastAsia="Times New Roman" w:cs="Open Sans Light"/>
                <w:color w:val="000000"/>
                <w:sz w:val="16"/>
                <w:szCs w:val="16"/>
                <w:lang w:eastAsia="en-AU"/>
              </w:rPr>
              <w:t>1</w:t>
            </w:r>
            <w:r w:rsidR="00B971C9">
              <w:rPr>
                <w:rFonts w:eastAsia="Times New Roman" w:cs="Open Sans Light"/>
                <w:color w:val="000000"/>
                <w:sz w:val="16"/>
                <w:szCs w:val="16"/>
                <w:lang w:eastAsia="en-AU"/>
              </w:rPr>
              <w:t>.5</w:t>
            </w:r>
          </w:p>
        </w:tc>
      </w:tr>
      <w:tr w:rsidR="00D47D35" w:rsidRPr="00D47D35" w14:paraId="02C0B5B7" w14:textId="77777777" w:rsidTr="00205315">
        <w:trPr>
          <w:trHeight w:val="315"/>
        </w:trPr>
        <w:tc>
          <w:tcPr>
            <w:tcW w:w="1560" w:type="dxa"/>
            <w:tcBorders>
              <w:top w:val="nil"/>
              <w:left w:val="nil"/>
              <w:bottom w:val="nil"/>
              <w:right w:val="nil"/>
            </w:tcBorders>
            <w:shd w:val="clear" w:color="000000" w:fill="FFFFFF"/>
            <w:noWrap/>
            <w:vAlign w:val="bottom"/>
            <w:hideMark/>
          </w:tcPr>
          <w:p w14:paraId="01AE419F" w14:textId="77777777" w:rsidR="00D47D35" w:rsidRPr="00205315" w:rsidRDefault="00D47D35" w:rsidP="00601C08">
            <w:pPr>
              <w:tabs>
                <w:tab w:val="clear" w:pos="567"/>
              </w:tabs>
              <w:spacing w:before="0" w:line="240" w:lineRule="auto"/>
              <w:rPr>
                <w:rFonts w:eastAsia="Times New Roman" w:cs="Open Sans Light"/>
                <w:color w:val="000000"/>
                <w:sz w:val="16"/>
                <w:szCs w:val="16"/>
                <w:lang w:eastAsia="en-AU"/>
              </w:rPr>
            </w:pPr>
            <w:r w:rsidRPr="00205315">
              <w:rPr>
                <w:rFonts w:eastAsia="Times New Roman" w:cs="Open Sans Light"/>
                <w:color w:val="000000"/>
                <w:sz w:val="16"/>
                <w:szCs w:val="16"/>
                <w:lang w:eastAsia="en-AU"/>
              </w:rPr>
              <w:t>Brisbane</w:t>
            </w:r>
          </w:p>
        </w:tc>
        <w:tc>
          <w:tcPr>
            <w:tcW w:w="960" w:type="dxa"/>
            <w:tcBorders>
              <w:top w:val="nil"/>
              <w:left w:val="nil"/>
              <w:bottom w:val="nil"/>
              <w:right w:val="nil"/>
            </w:tcBorders>
            <w:shd w:val="clear" w:color="000000" w:fill="FFFFFF"/>
            <w:noWrap/>
            <w:vAlign w:val="bottom"/>
            <w:hideMark/>
          </w:tcPr>
          <w:p w14:paraId="15182657" w14:textId="4C87A32F" w:rsidR="00D47D35" w:rsidRPr="00D47D35" w:rsidRDefault="00246573" w:rsidP="00601C08">
            <w:pPr>
              <w:tabs>
                <w:tab w:val="clear" w:pos="567"/>
              </w:tabs>
              <w:spacing w:before="0" w:line="240" w:lineRule="auto"/>
              <w:jc w:val="right"/>
              <w:rPr>
                <w:rFonts w:eastAsia="Times New Roman" w:cs="Open Sans Light"/>
                <w:color w:val="000000"/>
                <w:sz w:val="16"/>
                <w:szCs w:val="16"/>
                <w:lang w:eastAsia="en-AU"/>
              </w:rPr>
            </w:pPr>
            <w:r w:rsidRPr="00D47D35">
              <w:rPr>
                <w:rFonts w:eastAsia="Times New Roman" w:cs="Open Sans Light"/>
                <w:color w:val="000000"/>
                <w:sz w:val="16"/>
                <w:szCs w:val="16"/>
                <w:lang w:eastAsia="en-AU"/>
              </w:rPr>
              <w:t>1</w:t>
            </w:r>
            <w:r>
              <w:rPr>
                <w:rFonts w:eastAsia="Times New Roman" w:cs="Open Sans Light"/>
                <w:color w:val="000000"/>
                <w:sz w:val="16"/>
                <w:szCs w:val="16"/>
                <w:lang w:eastAsia="en-AU"/>
              </w:rPr>
              <w:t>0</w:t>
            </w:r>
            <w:r w:rsidR="009D524B">
              <w:rPr>
                <w:rFonts w:eastAsia="Times New Roman" w:cs="Open Sans Light"/>
                <w:color w:val="000000"/>
                <w:sz w:val="16"/>
                <w:szCs w:val="16"/>
                <w:lang w:eastAsia="en-AU"/>
              </w:rPr>
              <w:t>.5</w:t>
            </w:r>
          </w:p>
        </w:tc>
        <w:tc>
          <w:tcPr>
            <w:tcW w:w="1460" w:type="dxa"/>
            <w:tcBorders>
              <w:top w:val="nil"/>
              <w:left w:val="nil"/>
              <w:bottom w:val="nil"/>
              <w:right w:val="nil"/>
            </w:tcBorders>
            <w:shd w:val="clear" w:color="000000" w:fill="FFFFFF"/>
            <w:noWrap/>
            <w:vAlign w:val="bottom"/>
            <w:hideMark/>
          </w:tcPr>
          <w:p w14:paraId="5A838636" w14:textId="3ED7EC3B" w:rsidR="00D47D35" w:rsidRPr="00D47D35" w:rsidRDefault="00D47D35" w:rsidP="00601C08">
            <w:pPr>
              <w:tabs>
                <w:tab w:val="clear" w:pos="567"/>
              </w:tabs>
              <w:spacing w:before="0" w:line="240" w:lineRule="auto"/>
              <w:jc w:val="right"/>
              <w:rPr>
                <w:rFonts w:eastAsia="Times New Roman" w:cs="Open Sans Light"/>
                <w:color w:val="000000"/>
                <w:sz w:val="16"/>
                <w:szCs w:val="16"/>
                <w:lang w:eastAsia="en-AU"/>
              </w:rPr>
            </w:pPr>
            <w:r w:rsidRPr="00D47D35">
              <w:rPr>
                <w:rFonts w:eastAsia="Times New Roman" w:cs="Open Sans Light"/>
                <w:color w:val="000000"/>
                <w:sz w:val="16"/>
                <w:szCs w:val="16"/>
                <w:lang w:eastAsia="en-AU"/>
              </w:rPr>
              <w:t>1</w:t>
            </w:r>
            <w:r w:rsidR="00A92146">
              <w:rPr>
                <w:rFonts w:eastAsia="Times New Roman" w:cs="Open Sans Light"/>
                <w:color w:val="000000"/>
                <w:sz w:val="16"/>
                <w:szCs w:val="16"/>
                <w:lang w:eastAsia="en-AU"/>
              </w:rPr>
              <w:t>1</w:t>
            </w:r>
            <w:r w:rsidR="00B971C9">
              <w:rPr>
                <w:rFonts w:eastAsia="Times New Roman" w:cs="Open Sans Light"/>
                <w:color w:val="000000"/>
                <w:sz w:val="16"/>
                <w:szCs w:val="16"/>
                <w:lang w:eastAsia="en-AU"/>
              </w:rPr>
              <w:t>.5</w:t>
            </w:r>
          </w:p>
        </w:tc>
      </w:tr>
      <w:tr w:rsidR="00D47D35" w:rsidRPr="00D47D35" w14:paraId="34EAE51B" w14:textId="77777777" w:rsidTr="00205315">
        <w:trPr>
          <w:trHeight w:val="315"/>
        </w:trPr>
        <w:tc>
          <w:tcPr>
            <w:tcW w:w="1560" w:type="dxa"/>
            <w:tcBorders>
              <w:top w:val="single" w:sz="8" w:space="0" w:color="ADD6EA"/>
              <w:left w:val="nil"/>
              <w:bottom w:val="single" w:sz="8" w:space="0" w:color="ADD6EA"/>
              <w:right w:val="nil"/>
            </w:tcBorders>
            <w:shd w:val="clear" w:color="000000" w:fill="FFFFFF"/>
            <w:noWrap/>
            <w:vAlign w:val="bottom"/>
            <w:hideMark/>
          </w:tcPr>
          <w:p w14:paraId="3607D6C4" w14:textId="77777777" w:rsidR="00D47D35" w:rsidRPr="00205315" w:rsidRDefault="00D47D35" w:rsidP="00601C08">
            <w:pPr>
              <w:tabs>
                <w:tab w:val="clear" w:pos="567"/>
              </w:tabs>
              <w:spacing w:before="0" w:line="240" w:lineRule="auto"/>
              <w:rPr>
                <w:rFonts w:eastAsia="Times New Roman" w:cs="Open Sans Light"/>
                <w:color w:val="000000"/>
                <w:sz w:val="16"/>
                <w:szCs w:val="16"/>
                <w:lang w:eastAsia="en-AU"/>
              </w:rPr>
            </w:pPr>
            <w:r w:rsidRPr="00205315">
              <w:rPr>
                <w:rFonts w:eastAsia="Times New Roman" w:cs="Open Sans Light"/>
                <w:color w:val="000000"/>
                <w:sz w:val="16"/>
                <w:szCs w:val="16"/>
                <w:lang w:eastAsia="en-AU"/>
              </w:rPr>
              <w:t>Perth</w:t>
            </w:r>
          </w:p>
        </w:tc>
        <w:tc>
          <w:tcPr>
            <w:tcW w:w="960" w:type="dxa"/>
            <w:tcBorders>
              <w:top w:val="single" w:sz="8" w:space="0" w:color="ADD6EA"/>
              <w:left w:val="nil"/>
              <w:bottom w:val="single" w:sz="8" w:space="0" w:color="ADD6EA"/>
              <w:right w:val="nil"/>
            </w:tcBorders>
            <w:shd w:val="clear" w:color="000000" w:fill="FFFFFF"/>
            <w:noWrap/>
            <w:vAlign w:val="bottom"/>
            <w:hideMark/>
          </w:tcPr>
          <w:p w14:paraId="65C6FA44" w14:textId="156A5273" w:rsidR="00D47D35" w:rsidRPr="00D47D35" w:rsidRDefault="00D47D35" w:rsidP="00601C08">
            <w:pPr>
              <w:tabs>
                <w:tab w:val="clear" w:pos="567"/>
              </w:tabs>
              <w:spacing w:before="0" w:line="240" w:lineRule="auto"/>
              <w:jc w:val="right"/>
              <w:rPr>
                <w:rFonts w:eastAsia="Times New Roman" w:cs="Open Sans Light"/>
                <w:color w:val="000000"/>
                <w:sz w:val="16"/>
                <w:szCs w:val="16"/>
                <w:lang w:eastAsia="en-AU"/>
              </w:rPr>
            </w:pPr>
            <w:r w:rsidRPr="00D47D35">
              <w:rPr>
                <w:rFonts w:eastAsia="Times New Roman" w:cs="Open Sans Light"/>
                <w:color w:val="000000"/>
                <w:sz w:val="16"/>
                <w:szCs w:val="16"/>
                <w:lang w:eastAsia="en-AU"/>
              </w:rPr>
              <w:t>1</w:t>
            </w:r>
            <w:r w:rsidR="008F15C7">
              <w:rPr>
                <w:rFonts w:eastAsia="Times New Roman" w:cs="Open Sans Light"/>
                <w:color w:val="000000"/>
                <w:sz w:val="16"/>
                <w:szCs w:val="16"/>
                <w:lang w:eastAsia="en-AU"/>
              </w:rPr>
              <w:t>1</w:t>
            </w:r>
            <w:r w:rsidR="00B971C9">
              <w:rPr>
                <w:rFonts w:eastAsia="Times New Roman" w:cs="Open Sans Light"/>
                <w:color w:val="000000"/>
                <w:sz w:val="16"/>
                <w:szCs w:val="16"/>
                <w:lang w:eastAsia="en-AU"/>
              </w:rPr>
              <w:t>.5</w:t>
            </w:r>
          </w:p>
        </w:tc>
        <w:tc>
          <w:tcPr>
            <w:tcW w:w="1460" w:type="dxa"/>
            <w:tcBorders>
              <w:top w:val="single" w:sz="8" w:space="0" w:color="ADD6EA"/>
              <w:left w:val="nil"/>
              <w:bottom w:val="single" w:sz="8" w:space="0" w:color="ADD6EA"/>
              <w:right w:val="nil"/>
            </w:tcBorders>
            <w:shd w:val="clear" w:color="000000" w:fill="FFFFFF"/>
            <w:noWrap/>
            <w:vAlign w:val="bottom"/>
            <w:hideMark/>
          </w:tcPr>
          <w:p w14:paraId="1D7BE41D" w14:textId="411F99F2" w:rsidR="00D47D35" w:rsidRPr="00D47D35" w:rsidRDefault="00D47D35" w:rsidP="00601C08">
            <w:pPr>
              <w:tabs>
                <w:tab w:val="clear" w:pos="567"/>
              </w:tabs>
              <w:spacing w:before="0" w:line="240" w:lineRule="auto"/>
              <w:jc w:val="right"/>
              <w:rPr>
                <w:rFonts w:eastAsia="Times New Roman" w:cs="Open Sans Light"/>
                <w:color w:val="000000"/>
                <w:sz w:val="16"/>
                <w:szCs w:val="16"/>
                <w:lang w:eastAsia="en-AU"/>
              </w:rPr>
            </w:pPr>
            <w:r w:rsidRPr="00D47D35">
              <w:rPr>
                <w:rFonts w:eastAsia="Times New Roman" w:cs="Open Sans Light"/>
                <w:color w:val="000000"/>
                <w:sz w:val="16"/>
                <w:szCs w:val="16"/>
                <w:lang w:eastAsia="en-AU"/>
              </w:rPr>
              <w:t>1</w:t>
            </w:r>
            <w:r w:rsidR="00401D59">
              <w:rPr>
                <w:rFonts w:eastAsia="Times New Roman" w:cs="Open Sans Light"/>
                <w:color w:val="000000"/>
                <w:sz w:val="16"/>
                <w:szCs w:val="16"/>
                <w:lang w:eastAsia="en-AU"/>
              </w:rPr>
              <w:t>2</w:t>
            </w:r>
            <w:r w:rsidR="00B971C9">
              <w:rPr>
                <w:rFonts w:eastAsia="Times New Roman" w:cs="Open Sans Light"/>
                <w:color w:val="000000"/>
                <w:sz w:val="16"/>
                <w:szCs w:val="16"/>
                <w:lang w:eastAsia="en-AU"/>
              </w:rPr>
              <w:t>.5</w:t>
            </w:r>
          </w:p>
        </w:tc>
      </w:tr>
      <w:tr w:rsidR="00D47D35" w:rsidRPr="00D47D35" w14:paraId="60CF9B3D" w14:textId="77777777" w:rsidTr="00205315">
        <w:trPr>
          <w:trHeight w:val="315"/>
        </w:trPr>
        <w:tc>
          <w:tcPr>
            <w:tcW w:w="1560" w:type="dxa"/>
            <w:tcBorders>
              <w:top w:val="nil"/>
              <w:left w:val="nil"/>
              <w:bottom w:val="nil"/>
              <w:right w:val="nil"/>
            </w:tcBorders>
            <w:shd w:val="clear" w:color="000000" w:fill="FFFFFF"/>
            <w:noWrap/>
            <w:vAlign w:val="bottom"/>
            <w:hideMark/>
          </w:tcPr>
          <w:p w14:paraId="32641BF8" w14:textId="77777777" w:rsidR="00D47D35" w:rsidRPr="00205315" w:rsidRDefault="00D47D35" w:rsidP="00601C08">
            <w:pPr>
              <w:tabs>
                <w:tab w:val="clear" w:pos="567"/>
              </w:tabs>
              <w:spacing w:before="0" w:line="240" w:lineRule="auto"/>
              <w:rPr>
                <w:rFonts w:eastAsia="Times New Roman" w:cs="Open Sans Light"/>
                <w:color w:val="000000"/>
                <w:sz w:val="16"/>
                <w:szCs w:val="16"/>
                <w:lang w:eastAsia="en-AU"/>
              </w:rPr>
            </w:pPr>
            <w:r w:rsidRPr="00205315">
              <w:rPr>
                <w:rFonts w:eastAsia="Times New Roman" w:cs="Open Sans Light"/>
                <w:color w:val="000000"/>
                <w:sz w:val="16"/>
                <w:szCs w:val="16"/>
                <w:lang w:eastAsia="en-AU"/>
              </w:rPr>
              <w:t>Adelaide</w:t>
            </w:r>
          </w:p>
        </w:tc>
        <w:tc>
          <w:tcPr>
            <w:tcW w:w="960" w:type="dxa"/>
            <w:tcBorders>
              <w:top w:val="nil"/>
              <w:left w:val="nil"/>
              <w:bottom w:val="nil"/>
              <w:right w:val="nil"/>
            </w:tcBorders>
            <w:shd w:val="clear" w:color="000000" w:fill="FFFFFF"/>
            <w:noWrap/>
            <w:vAlign w:val="bottom"/>
            <w:hideMark/>
          </w:tcPr>
          <w:p w14:paraId="4591C6CB" w14:textId="648B97BD" w:rsidR="00D47D35" w:rsidRPr="00D47D35" w:rsidRDefault="008F15C7" w:rsidP="00601C08">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9</w:t>
            </w:r>
            <w:r w:rsidR="00B971C9">
              <w:rPr>
                <w:rFonts w:eastAsia="Times New Roman" w:cs="Open Sans Light"/>
                <w:color w:val="000000"/>
                <w:sz w:val="16"/>
                <w:szCs w:val="16"/>
                <w:lang w:eastAsia="en-AU"/>
              </w:rPr>
              <w:t>.5</w:t>
            </w:r>
          </w:p>
        </w:tc>
        <w:tc>
          <w:tcPr>
            <w:tcW w:w="1460" w:type="dxa"/>
            <w:tcBorders>
              <w:top w:val="nil"/>
              <w:left w:val="nil"/>
              <w:bottom w:val="nil"/>
              <w:right w:val="nil"/>
            </w:tcBorders>
            <w:shd w:val="clear" w:color="000000" w:fill="FFFFFF"/>
            <w:noWrap/>
            <w:vAlign w:val="bottom"/>
            <w:hideMark/>
          </w:tcPr>
          <w:p w14:paraId="04844173" w14:textId="08729D6D" w:rsidR="00D47D35" w:rsidRPr="00D47D35" w:rsidRDefault="00F1413B" w:rsidP="00601C08">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9</w:t>
            </w:r>
            <w:r w:rsidR="00B971C9">
              <w:rPr>
                <w:rFonts w:eastAsia="Times New Roman" w:cs="Open Sans Light"/>
                <w:color w:val="000000"/>
                <w:sz w:val="16"/>
                <w:szCs w:val="16"/>
                <w:lang w:eastAsia="en-AU"/>
              </w:rPr>
              <w:t>.5</w:t>
            </w:r>
          </w:p>
        </w:tc>
      </w:tr>
      <w:tr w:rsidR="00D47D35" w:rsidRPr="00D47D35" w14:paraId="197C3891" w14:textId="77777777" w:rsidTr="00205315">
        <w:trPr>
          <w:trHeight w:val="315"/>
        </w:trPr>
        <w:tc>
          <w:tcPr>
            <w:tcW w:w="1560" w:type="dxa"/>
            <w:tcBorders>
              <w:top w:val="single" w:sz="8" w:space="0" w:color="ADD6EA"/>
              <w:left w:val="nil"/>
              <w:bottom w:val="single" w:sz="8" w:space="0" w:color="ADD6EA"/>
              <w:right w:val="nil"/>
            </w:tcBorders>
            <w:shd w:val="clear" w:color="000000" w:fill="FFFFFF"/>
            <w:noWrap/>
            <w:vAlign w:val="bottom"/>
            <w:hideMark/>
          </w:tcPr>
          <w:p w14:paraId="1783516C" w14:textId="77777777" w:rsidR="00D47D35" w:rsidRPr="00205315" w:rsidRDefault="00D47D35" w:rsidP="00601C08">
            <w:pPr>
              <w:tabs>
                <w:tab w:val="clear" w:pos="567"/>
              </w:tabs>
              <w:spacing w:before="0" w:line="240" w:lineRule="auto"/>
              <w:rPr>
                <w:rFonts w:eastAsia="Times New Roman" w:cs="Open Sans Light"/>
                <w:color w:val="000000"/>
                <w:sz w:val="16"/>
                <w:szCs w:val="16"/>
                <w:lang w:eastAsia="en-AU"/>
              </w:rPr>
            </w:pPr>
            <w:r w:rsidRPr="00205315">
              <w:rPr>
                <w:rFonts w:eastAsia="Times New Roman" w:cs="Open Sans Light"/>
                <w:color w:val="000000"/>
                <w:sz w:val="16"/>
                <w:szCs w:val="16"/>
                <w:lang w:eastAsia="en-AU"/>
              </w:rPr>
              <w:t>Canberra</w:t>
            </w:r>
          </w:p>
        </w:tc>
        <w:tc>
          <w:tcPr>
            <w:tcW w:w="960" w:type="dxa"/>
            <w:tcBorders>
              <w:top w:val="single" w:sz="8" w:space="0" w:color="ADD6EA"/>
              <w:left w:val="nil"/>
              <w:bottom w:val="single" w:sz="8" w:space="0" w:color="ADD6EA"/>
              <w:right w:val="nil"/>
            </w:tcBorders>
            <w:shd w:val="clear" w:color="000000" w:fill="FFFFFF"/>
            <w:noWrap/>
            <w:vAlign w:val="bottom"/>
            <w:hideMark/>
          </w:tcPr>
          <w:p w14:paraId="23D7630B" w14:textId="163F4E8F" w:rsidR="00D47D35" w:rsidRPr="00D47D35" w:rsidRDefault="008F15C7" w:rsidP="00601C08">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10</w:t>
            </w:r>
            <w:r w:rsidR="00B971C9">
              <w:rPr>
                <w:rFonts w:eastAsia="Times New Roman" w:cs="Open Sans Light"/>
                <w:color w:val="000000"/>
                <w:sz w:val="16"/>
                <w:szCs w:val="16"/>
                <w:lang w:eastAsia="en-AU"/>
              </w:rPr>
              <w:t>.5</w:t>
            </w:r>
          </w:p>
        </w:tc>
        <w:tc>
          <w:tcPr>
            <w:tcW w:w="1460" w:type="dxa"/>
            <w:tcBorders>
              <w:top w:val="single" w:sz="8" w:space="0" w:color="ADD6EA"/>
              <w:left w:val="nil"/>
              <w:bottom w:val="single" w:sz="8" w:space="0" w:color="ADD6EA"/>
              <w:right w:val="nil"/>
            </w:tcBorders>
            <w:shd w:val="clear" w:color="000000" w:fill="FFFFFF"/>
            <w:noWrap/>
            <w:vAlign w:val="bottom"/>
            <w:hideMark/>
          </w:tcPr>
          <w:p w14:paraId="18FF696D" w14:textId="38F4DF6D" w:rsidR="00D47D35" w:rsidRPr="00D47D35" w:rsidRDefault="00D47D35" w:rsidP="00601C08">
            <w:pPr>
              <w:tabs>
                <w:tab w:val="clear" w:pos="567"/>
              </w:tabs>
              <w:spacing w:before="0" w:line="240" w:lineRule="auto"/>
              <w:jc w:val="right"/>
              <w:rPr>
                <w:rFonts w:eastAsia="Times New Roman" w:cs="Open Sans Light"/>
                <w:color w:val="000000"/>
                <w:sz w:val="16"/>
                <w:szCs w:val="16"/>
                <w:lang w:eastAsia="en-AU"/>
              </w:rPr>
            </w:pPr>
            <w:r w:rsidRPr="00D47D35">
              <w:rPr>
                <w:rFonts w:eastAsia="Times New Roman" w:cs="Open Sans Light"/>
                <w:color w:val="000000"/>
                <w:sz w:val="16"/>
                <w:szCs w:val="16"/>
                <w:lang w:eastAsia="en-AU"/>
              </w:rPr>
              <w:t>1</w:t>
            </w:r>
            <w:r w:rsidR="00BE4F40">
              <w:rPr>
                <w:rFonts w:eastAsia="Times New Roman" w:cs="Open Sans Light"/>
                <w:color w:val="000000"/>
                <w:sz w:val="16"/>
                <w:szCs w:val="16"/>
                <w:lang w:eastAsia="en-AU"/>
              </w:rPr>
              <w:t>1</w:t>
            </w:r>
            <w:r w:rsidR="00B971C9">
              <w:rPr>
                <w:rFonts w:eastAsia="Times New Roman" w:cs="Open Sans Light"/>
                <w:color w:val="000000"/>
                <w:sz w:val="16"/>
                <w:szCs w:val="16"/>
                <w:lang w:eastAsia="en-AU"/>
              </w:rPr>
              <w:t>.5</w:t>
            </w:r>
          </w:p>
        </w:tc>
      </w:tr>
      <w:tr w:rsidR="00D47D35" w:rsidRPr="00D47D35" w14:paraId="191558DF" w14:textId="77777777" w:rsidTr="00205315">
        <w:trPr>
          <w:trHeight w:val="315"/>
        </w:trPr>
        <w:tc>
          <w:tcPr>
            <w:tcW w:w="1560" w:type="dxa"/>
            <w:tcBorders>
              <w:top w:val="nil"/>
              <w:left w:val="nil"/>
              <w:bottom w:val="nil"/>
              <w:right w:val="nil"/>
            </w:tcBorders>
            <w:shd w:val="clear" w:color="000000" w:fill="FFFFFF"/>
            <w:noWrap/>
            <w:vAlign w:val="bottom"/>
            <w:hideMark/>
          </w:tcPr>
          <w:p w14:paraId="4D92CE78" w14:textId="77777777" w:rsidR="00D47D35" w:rsidRPr="00205315" w:rsidRDefault="00D47D35" w:rsidP="00601C08">
            <w:pPr>
              <w:tabs>
                <w:tab w:val="clear" w:pos="567"/>
              </w:tabs>
              <w:spacing w:before="0" w:line="240" w:lineRule="auto"/>
              <w:rPr>
                <w:rFonts w:eastAsia="Times New Roman" w:cs="Open Sans Light"/>
                <w:color w:val="000000"/>
                <w:sz w:val="16"/>
                <w:szCs w:val="16"/>
                <w:lang w:eastAsia="en-AU"/>
              </w:rPr>
            </w:pPr>
            <w:r w:rsidRPr="00205315">
              <w:rPr>
                <w:rFonts w:eastAsia="Times New Roman" w:cs="Open Sans Light"/>
                <w:color w:val="000000"/>
                <w:sz w:val="16"/>
                <w:szCs w:val="16"/>
                <w:lang w:eastAsia="en-AU"/>
              </w:rPr>
              <w:t>Hobart</w:t>
            </w:r>
          </w:p>
        </w:tc>
        <w:tc>
          <w:tcPr>
            <w:tcW w:w="960" w:type="dxa"/>
            <w:tcBorders>
              <w:top w:val="nil"/>
              <w:left w:val="nil"/>
              <w:bottom w:val="nil"/>
              <w:right w:val="nil"/>
            </w:tcBorders>
            <w:shd w:val="clear" w:color="000000" w:fill="FFFFFF"/>
            <w:noWrap/>
            <w:vAlign w:val="bottom"/>
            <w:hideMark/>
          </w:tcPr>
          <w:p w14:paraId="1407A97D" w14:textId="70CCBE93" w:rsidR="00D47D35" w:rsidRPr="00D47D35" w:rsidRDefault="008F15C7" w:rsidP="00601C08">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8</w:t>
            </w:r>
            <w:r w:rsidR="00B971C9">
              <w:rPr>
                <w:rFonts w:eastAsia="Times New Roman" w:cs="Open Sans Light"/>
                <w:color w:val="000000"/>
                <w:sz w:val="16"/>
                <w:szCs w:val="16"/>
                <w:lang w:eastAsia="en-AU"/>
              </w:rPr>
              <w:t>.5</w:t>
            </w:r>
          </w:p>
        </w:tc>
        <w:tc>
          <w:tcPr>
            <w:tcW w:w="1460" w:type="dxa"/>
            <w:tcBorders>
              <w:top w:val="nil"/>
              <w:left w:val="nil"/>
              <w:bottom w:val="nil"/>
              <w:right w:val="nil"/>
            </w:tcBorders>
            <w:shd w:val="clear" w:color="000000" w:fill="FFFFFF"/>
            <w:noWrap/>
            <w:vAlign w:val="bottom"/>
            <w:hideMark/>
          </w:tcPr>
          <w:p w14:paraId="04FDD65D" w14:textId="670114EC" w:rsidR="00D47D35" w:rsidRPr="00D47D35" w:rsidRDefault="004B3B9F" w:rsidP="00601C08">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8</w:t>
            </w:r>
            <w:r w:rsidR="00B971C9">
              <w:rPr>
                <w:rFonts w:eastAsia="Times New Roman" w:cs="Open Sans Light"/>
                <w:color w:val="000000"/>
                <w:sz w:val="16"/>
                <w:szCs w:val="16"/>
                <w:lang w:eastAsia="en-AU"/>
              </w:rPr>
              <w:t>.5</w:t>
            </w:r>
          </w:p>
        </w:tc>
      </w:tr>
      <w:tr w:rsidR="00D47D35" w:rsidRPr="00D47D35" w14:paraId="606C7211" w14:textId="77777777" w:rsidTr="00205315">
        <w:trPr>
          <w:trHeight w:val="315"/>
        </w:trPr>
        <w:tc>
          <w:tcPr>
            <w:tcW w:w="1560" w:type="dxa"/>
            <w:tcBorders>
              <w:top w:val="single" w:sz="8" w:space="0" w:color="ADD6EA"/>
              <w:left w:val="nil"/>
              <w:bottom w:val="single" w:sz="8" w:space="0" w:color="ADD6EA"/>
              <w:right w:val="nil"/>
            </w:tcBorders>
            <w:shd w:val="clear" w:color="000000" w:fill="FFFFFF"/>
            <w:noWrap/>
            <w:vAlign w:val="bottom"/>
            <w:hideMark/>
          </w:tcPr>
          <w:p w14:paraId="62FF277F" w14:textId="77777777" w:rsidR="00D47D35" w:rsidRPr="00205315" w:rsidRDefault="00D47D35" w:rsidP="00601C08">
            <w:pPr>
              <w:tabs>
                <w:tab w:val="clear" w:pos="567"/>
              </w:tabs>
              <w:spacing w:before="0" w:line="240" w:lineRule="auto"/>
              <w:rPr>
                <w:rFonts w:eastAsia="Times New Roman" w:cs="Open Sans Light"/>
                <w:color w:val="000000"/>
                <w:sz w:val="16"/>
                <w:szCs w:val="16"/>
                <w:lang w:eastAsia="en-AU"/>
              </w:rPr>
            </w:pPr>
            <w:r w:rsidRPr="00205315">
              <w:rPr>
                <w:rFonts w:eastAsia="Times New Roman" w:cs="Open Sans Light"/>
                <w:color w:val="000000"/>
                <w:sz w:val="16"/>
                <w:szCs w:val="16"/>
                <w:lang w:eastAsia="en-AU"/>
              </w:rPr>
              <w:t>Darwin</w:t>
            </w:r>
          </w:p>
        </w:tc>
        <w:tc>
          <w:tcPr>
            <w:tcW w:w="960" w:type="dxa"/>
            <w:tcBorders>
              <w:top w:val="single" w:sz="8" w:space="0" w:color="ADD6EA"/>
              <w:left w:val="nil"/>
              <w:bottom w:val="single" w:sz="8" w:space="0" w:color="ADD6EA"/>
              <w:right w:val="nil"/>
            </w:tcBorders>
            <w:shd w:val="clear" w:color="000000" w:fill="FFFFFF"/>
            <w:noWrap/>
            <w:vAlign w:val="bottom"/>
            <w:hideMark/>
          </w:tcPr>
          <w:p w14:paraId="719B0DB9" w14:textId="212330C5" w:rsidR="00D47D35" w:rsidRPr="00D47D35" w:rsidRDefault="008F15C7" w:rsidP="00601C08">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9</w:t>
            </w:r>
            <w:r w:rsidR="00B971C9">
              <w:rPr>
                <w:rFonts w:eastAsia="Times New Roman" w:cs="Open Sans Light"/>
                <w:color w:val="000000"/>
                <w:sz w:val="16"/>
                <w:szCs w:val="16"/>
                <w:lang w:eastAsia="en-AU"/>
              </w:rPr>
              <w:t>.5</w:t>
            </w:r>
          </w:p>
        </w:tc>
        <w:tc>
          <w:tcPr>
            <w:tcW w:w="1460" w:type="dxa"/>
            <w:tcBorders>
              <w:top w:val="single" w:sz="8" w:space="0" w:color="ADD6EA"/>
              <w:left w:val="nil"/>
              <w:bottom w:val="single" w:sz="8" w:space="0" w:color="ADD6EA"/>
              <w:right w:val="nil"/>
            </w:tcBorders>
            <w:shd w:val="clear" w:color="000000" w:fill="FFFFFF"/>
            <w:noWrap/>
            <w:vAlign w:val="bottom"/>
            <w:hideMark/>
          </w:tcPr>
          <w:p w14:paraId="646A6332" w14:textId="1162D53A" w:rsidR="00D47D35" w:rsidRPr="00D47D35" w:rsidRDefault="005C27D8" w:rsidP="00601C08">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9</w:t>
            </w:r>
            <w:r w:rsidR="00B971C9">
              <w:rPr>
                <w:rFonts w:eastAsia="Times New Roman" w:cs="Open Sans Light"/>
                <w:color w:val="000000"/>
                <w:sz w:val="16"/>
                <w:szCs w:val="16"/>
                <w:lang w:eastAsia="en-AU"/>
              </w:rPr>
              <w:t>.5</w:t>
            </w:r>
          </w:p>
        </w:tc>
      </w:tr>
    </w:tbl>
    <w:p w14:paraId="556464A9" w14:textId="6BC145B5" w:rsidR="00E36ABB" w:rsidRPr="00DE3E76" w:rsidRDefault="00CE7BAF" w:rsidP="004D15F9">
      <w:pPr>
        <w:pStyle w:val="CGCTablenote"/>
        <w:rPr>
          <w:rFonts w:ascii="Work Sans" w:hAnsi="Work Sans"/>
        </w:rPr>
      </w:pPr>
      <w:r w:rsidRPr="00DE3E76">
        <w:rPr>
          <w:rFonts w:ascii="Work Sans" w:hAnsi="Work Sans"/>
        </w:rPr>
        <w:t>Source</w:t>
      </w:r>
      <w:r w:rsidR="00E2659F" w:rsidRPr="00DE3E76">
        <w:rPr>
          <w:rFonts w:ascii="Work Sans" w:hAnsi="Work Sans"/>
        </w:rPr>
        <w:t>: ABS 2021 Census data</w:t>
      </w:r>
      <w:r w:rsidR="0052422A" w:rsidRPr="00DE3E76">
        <w:rPr>
          <w:rFonts w:ascii="Work Sans" w:hAnsi="Work Sans"/>
        </w:rPr>
        <w:t>.</w:t>
      </w:r>
    </w:p>
    <w:p w14:paraId="0BC594C7" w14:textId="7D0B4BDF" w:rsidR="00FF7A56" w:rsidRDefault="007E7C2B" w:rsidP="00603F08">
      <w:pPr>
        <w:pStyle w:val="CGC2025ParaNumbers"/>
      </w:pPr>
      <w:r>
        <w:t xml:space="preserve">As the magnitude of changes in the distance to work data is relatively small across most urban areas, the use of 2021 Census data does not cause a </w:t>
      </w:r>
      <w:r w:rsidR="00E25575" w:rsidRPr="007C3FC2">
        <w:t>significant</w:t>
      </w:r>
      <w:r>
        <w:t xml:space="preserve"> change </w:t>
      </w:r>
      <w:r w:rsidR="000C0A4E">
        <w:t>in the GST distribution</w:t>
      </w:r>
      <w:r w:rsidR="00686F0F">
        <w:t>.</w:t>
      </w:r>
    </w:p>
    <w:p w14:paraId="10DF6307" w14:textId="29BA246A" w:rsidR="00694B7A" w:rsidRDefault="00324A40" w:rsidP="00603F08">
      <w:pPr>
        <w:pStyle w:val="CGC2025ParaNumbers"/>
      </w:pPr>
      <w:r>
        <w:t xml:space="preserve">As with passenger numbers, it is likely that </w:t>
      </w:r>
      <w:r w:rsidR="00426263">
        <w:t xml:space="preserve">distance to work data collected during the </w:t>
      </w:r>
      <w:r w:rsidR="00F33EC6">
        <w:t>c</w:t>
      </w:r>
      <w:r w:rsidR="00426263">
        <w:t>ensus was impacted by COVID-19</w:t>
      </w:r>
      <w:r w:rsidR="005043B0">
        <w:t xml:space="preserve"> lockdowns and </w:t>
      </w:r>
      <w:r w:rsidR="00E073EC">
        <w:t xml:space="preserve">associated </w:t>
      </w:r>
      <w:r w:rsidR="005043B0">
        <w:t xml:space="preserve">health orders. However, the impact is not expected to be </w:t>
      </w:r>
      <w:r w:rsidR="007129BE">
        <w:t>as extreme</w:t>
      </w:r>
      <w:r w:rsidR="00404ED2">
        <w:t xml:space="preserve"> as for </w:t>
      </w:r>
      <w:r w:rsidR="00495BD2">
        <w:t>commuter data</w:t>
      </w:r>
      <w:r w:rsidR="00017A7D">
        <w:t xml:space="preserve">. This is </w:t>
      </w:r>
      <w:r w:rsidR="007129BE">
        <w:lastRenderedPageBreak/>
        <w:t>because</w:t>
      </w:r>
      <w:r w:rsidR="00940C4F">
        <w:t xml:space="preserve"> </w:t>
      </w:r>
      <w:r w:rsidR="004976A7">
        <w:t xml:space="preserve">the 2021 Census </w:t>
      </w:r>
      <w:r w:rsidR="003E4563">
        <w:t xml:space="preserve">instructed </w:t>
      </w:r>
      <w:r w:rsidR="004976A7">
        <w:t xml:space="preserve">respondents to </w:t>
      </w:r>
      <w:r w:rsidR="003E4563">
        <w:t xml:space="preserve">list their ordinary place of work </w:t>
      </w:r>
      <w:r w:rsidR="001D373C">
        <w:t xml:space="preserve">even if they were </w:t>
      </w:r>
      <w:r w:rsidR="00123A23">
        <w:t>staying at home due to C</w:t>
      </w:r>
      <w:r w:rsidR="002F1583">
        <w:t>OVID-19</w:t>
      </w:r>
      <w:r w:rsidR="00123A23">
        <w:t xml:space="preserve">. </w:t>
      </w:r>
    </w:p>
    <w:p w14:paraId="627956C1" w14:textId="33B799B4" w:rsidR="00CC1857" w:rsidRDefault="00BD4FE5" w:rsidP="00603F08">
      <w:pPr>
        <w:pStyle w:val="CGC2025ParaNumbers"/>
      </w:pPr>
      <w:r w:rsidRPr="00D056E1">
        <w:t>The shift to working from home has continued beyond the pandemic</w:t>
      </w:r>
      <w:r w:rsidR="00330B02" w:rsidRPr="00D056E1">
        <w:t xml:space="preserve">, impacting </w:t>
      </w:r>
      <w:r w:rsidR="00D056E1" w:rsidRPr="00D056E1">
        <w:t xml:space="preserve">patterns of </w:t>
      </w:r>
      <w:r w:rsidR="00330B02" w:rsidRPr="00D056E1">
        <w:t xml:space="preserve">transport </w:t>
      </w:r>
      <w:r w:rsidR="00BF4C1D" w:rsidRPr="00D056E1">
        <w:t>demand. However</w:t>
      </w:r>
      <w:r w:rsidRPr="00D056E1">
        <w:t xml:space="preserve">, </w:t>
      </w:r>
      <w:r w:rsidR="00790F89" w:rsidRPr="00D056E1">
        <w:t>the same</w:t>
      </w:r>
      <w:r w:rsidR="00031BE7" w:rsidRPr="00D056E1">
        <w:t xml:space="preserve"> transport</w:t>
      </w:r>
      <w:r w:rsidR="00790F89" w:rsidRPr="00D056E1">
        <w:t xml:space="preserve"> routes are still being </w:t>
      </w:r>
      <w:r w:rsidR="00031BE7" w:rsidRPr="00D056E1">
        <w:t>used</w:t>
      </w:r>
      <w:r w:rsidR="00C57FB0" w:rsidRPr="00D056E1">
        <w:t>, just</w:t>
      </w:r>
      <w:r w:rsidR="00FE635B" w:rsidRPr="00D056E1">
        <w:t xml:space="preserve"> </w:t>
      </w:r>
      <w:r w:rsidR="00031BE7" w:rsidRPr="00D056E1">
        <w:t>at a lower capacity</w:t>
      </w:r>
      <w:r w:rsidR="00FE635B" w:rsidRPr="00D056E1">
        <w:t>.</w:t>
      </w:r>
      <w:r w:rsidR="00322EEC" w:rsidRPr="00D056E1">
        <w:t xml:space="preserve"> </w:t>
      </w:r>
      <w:r w:rsidR="00E94955" w:rsidRPr="00D056E1">
        <w:t>Thus,</w:t>
      </w:r>
      <w:r w:rsidR="00504F4D" w:rsidRPr="00D056E1">
        <w:t xml:space="preserve"> network complexity </w:t>
      </w:r>
      <w:r w:rsidR="00D21121">
        <w:t xml:space="preserve">is likely </w:t>
      </w:r>
      <w:r w:rsidR="00504F4D" w:rsidRPr="00D056E1">
        <w:t>to be relatively unaffected</w:t>
      </w:r>
      <w:r w:rsidR="00FB483C" w:rsidRPr="00D056E1">
        <w:t xml:space="preserve"> by </w:t>
      </w:r>
      <w:r w:rsidR="00923CE6" w:rsidRPr="00D056E1">
        <w:t>this change.</w:t>
      </w:r>
      <w:r w:rsidR="004F40DD" w:rsidRPr="00D056E1">
        <w:t xml:space="preserve"> </w:t>
      </w:r>
    </w:p>
    <w:p w14:paraId="3C9B05A0" w14:textId="37B0ECC7" w:rsidR="00114A05" w:rsidRPr="00977308" w:rsidRDefault="0023737D">
      <w:pPr>
        <w:pStyle w:val="CGC2025ParaNumbers"/>
      </w:pPr>
      <w:r>
        <w:t>The Commission</w:t>
      </w:r>
      <w:r w:rsidR="0042793D">
        <w:t>’</w:t>
      </w:r>
      <w:r>
        <w:t>s preliminary view is</w:t>
      </w:r>
      <w:r w:rsidR="009B60E7">
        <w:t xml:space="preserve"> that the distance to work data from the 2021</w:t>
      </w:r>
      <w:r w:rsidR="007468F9">
        <w:t> </w:t>
      </w:r>
      <w:r w:rsidR="009B60E7">
        <w:t>Census were not significantly impacted by COVID-19 lockdowns</w:t>
      </w:r>
      <w:r w:rsidR="00BA7AC1">
        <w:t xml:space="preserve"> and still provide a </w:t>
      </w:r>
      <w:r w:rsidR="00A46C51">
        <w:t>reliable</w:t>
      </w:r>
      <w:r w:rsidR="00BA7AC1">
        <w:t xml:space="preserve"> measure of network complexity</w:t>
      </w:r>
      <w:r w:rsidR="009B60E7">
        <w:t xml:space="preserve">. </w:t>
      </w:r>
      <w:r w:rsidR="0029523A">
        <w:t>Ther</w:t>
      </w:r>
      <w:r w:rsidR="00B1654E">
        <w:t xml:space="preserve">efore, </w:t>
      </w:r>
      <w:r w:rsidR="00DD4908">
        <w:t xml:space="preserve">2021 Census distance to work data should be applied </w:t>
      </w:r>
      <w:r w:rsidR="00B1654E">
        <w:t>when reliable net expense data are available to update the</w:t>
      </w:r>
      <w:r w:rsidR="001F6FCF">
        <w:t xml:space="preserve"> regression</w:t>
      </w:r>
      <w:r w:rsidR="00135F08">
        <w:t>.</w:t>
      </w:r>
      <w:r w:rsidR="001F6FCF">
        <w:t xml:space="preserve"> </w:t>
      </w:r>
    </w:p>
    <w:p w14:paraId="05779AFE" w14:textId="4CA58680" w:rsidR="006F1886" w:rsidRPr="006F1886" w:rsidRDefault="003C4BA8" w:rsidP="006F1886">
      <w:pPr>
        <w:pStyle w:val="Heading4"/>
      </w:pPr>
      <w:r w:rsidRPr="00D16794">
        <w:t>Consultation question</w:t>
      </w:r>
    </w:p>
    <w:p w14:paraId="4C75105C" w14:textId="7D4D2538" w:rsidR="006F1886" w:rsidRDefault="006F1886" w:rsidP="00A26215">
      <w:pPr>
        <w:pStyle w:val="CGCParaNumber"/>
        <w:ind w:left="0" w:firstLine="0"/>
      </w:pPr>
      <w:r w:rsidRPr="001C4DF3">
        <w:rPr>
          <w:noProof/>
        </w:rPr>
        <mc:AlternateContent>
          <mc:Choice Requires="wps">
            <w:drawing>
              <wp:inline distT="0" distB="0" distL="0" distR="0" wp14:anchorId="1399C690" wp14:editId="1AB53E28">
                <wp:extent cx="5688965" cy="976746"/>
                <wp:effectExtent l="0" t="0" r="6985" b="0"/>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8965" cy="976746"/>
                        </a:xfrm>
                        <a:prstGeom prst="rect">
                          <a:avLst/>
                        </a:prstGeom>
                        <a:solidFill>
                          <a:srgbClr val="EBF3F5"/>
                        </a:solidFill>
                        <a:ln w="25400" cap="flat" cmpd="sng" algn="ctr">
                          <a:noFill/>
                          <a:prstDash val="solid"/>
                        </a:ln>
                        <a:effectLst/>
                      </wps:spPr>
                      <wps:txbx>
                        <w:txbxContent>
                          <w:p w14:paraId="39DA5BA5" w14:textId="6460AFF5" w:rsidR="00C75643" w:rsidRPr="008C212A" w:rsidRDefault="00C75643" w:rsidP="00212D09">
                            <w:pPr>
                              <w:pStyle w:val="Heading5"/>
                            </w:pPr>
                            <w:r w:rsidRPr="008C212A">
                              <w:t xml:space="preserve">When </w:t>
                            </w:r>
                            <w:r w:rsidR="000376A0" w:rsidRPr="008C212A">
                              <w:t xml:space="preserve">expense </w:t>
                            </w:r>
                            <w:r w:rsidRPr="008C212A">
                              <w:t xml:space="preserve">data are </w:t>
                            </w:r>
                            <w:r w:rsidR="000376A0" w:rsidRPr="008C212A">
                              <w:t>available to update the regression</w:t>
                            </w:r>
                          </w:p>
                          <w:p w14:paraId="096B178C" w14:textId="7ABCF060" w:rsidR="008102A1" w:rsidRPr="00517761" w:rsidRDefault="00A2050E" w:rsidP="00C24152">
                            <w:pPr>
                              <w:pStyle w:val="CGC2025QuestionNumbers"/>
                            </w:pPr>
                            <w:r w:rsidRPr="00517761">
                              <w:t xml:space="preserve">Do states agree that </w:t>
                            </w:r>
                            <w:r w:rsidR="00C75643" w:rsidRPr="00517761">
                              <w:t xml:space="preserve">2021 Census distance travelled to work data </w:t>
                            </w:r>
                            <w:r w:rsidR="00B94E34" w:rsidRPr="00517761">
                              <w:t xml:space="preserve">were not significantly distorted by COVID-19 lockdowns </w:t>
                            </w:r>
                            <w:r w:rsidR="006B1C49" w:rsidRPr="00517761">
                              <w:t>and are</w:t>
                            </w:r>
                            <w:r w:rsidR="00C81FFC" w:rsidRPr="00517761">
                              <w:t xml:space="preserve"> a</w:t>
                            </w:r>
                            <w:r w:rsidR="00C75643" w:rsidRPr="00517761">
                              <w:t xml:space="preserve"> </w:t>
                            </w:r>
                            <w:r w:rsidR="00680A78" w:rsidRPr="00517761">
                              <w:t>reliable</w:t>
                            </w:r>
                            <w:r w:rsidR="00C75643" w:rsidRPr="00517761">
                              <w:t xml:space="preserve"> measure of network complexity?</w:t>
                            </w:r>
                            <w:r w:rsidR="007D4D21" w:rsidRPr="00517761">
                              <w:t xml:space="preserve"> </w:t>
                            </w:r>
                          </w:p>
                          <w:p w14:paraId="7C9496B8" w14:textId="2F4BA545" w:rsidR="008102A1" w:rsidRPr="00A2517C" w:rsidRDefault="008102A1" w:rsidP="00C2694E">
                            <w:pPr>
                              <w:pStyle w:val="CGC2025QuestionNumbers"/>
                              <w:numPr>
                                <w:ilvl w:val="0"/>
                                <w:numId w:val="0"/>
                              </w:numPr>
                              <w:ind w:left="454"/>
                              <w:rPr>
                                <w:highlight w:val="yello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399C690" id="Rectangle 20" o:spid="_x0000_s1032" alt="&quot;&quot;" style="width:447.95pt;height:76.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" fillcolor="#ebf3f5" stroked="f" strokeweight="2pt">
                <v:textbox>
                  <w:txbxContent>
                    <w:p w14:paraId="39DA5BA5" w14:textId="6460AFF5" w:rsidR="00C75643" w:rsidRPr="008C212A" w:rsidRDefault="00C75643" w:rsidP="00212D09">
                      <w:pPr>
                        <w:pStyle w:val="Heading5"/>
                      </w:pPr>
                      <w:r w:rsidRPr="008C212A">
                        <w:t xml:space="preserve">When </w:t>
                      </w:r>
                      <w:r w:rsidR="000376A0" w:rsidRPr="008C212A">
                        <w:t xml:space="preserve">expense </w:t>
                      </w:r>
                      <w:r w:rsidRPr="008C212A">
                        <w:t xml:space="preserve">data are </w:t>
                      </w:r>
                      <w:r w:rsidR="000376A0" w:rsidRPr="008C212A">
                        <w:t>available to update the regression</w:t>
                      </w:r>
                    </w:p>
                    <w:p w14:paraId="096B178C" w14:textId="7ABCF060" w:rsidR="008102A1" w:rsidRPr="00517761" w:rsidRDefault="00A2050E" w:rsidP="00C24152">
                      <w:pPr>
                        <w:pStyle w:val="CGC2025QuestionNumbers"/>
                      </w:pPr>
                      <w:r w:rsidRPr="00517761">
                        <w:t xml:space="preserve">Do states agree that </w:t>
                      </w:r>
                      <w:r w:rsidR="00C75643" w:rsidRPr="00517761">
                        <w:t xml:space="preserve">2021 Census distance travelled to work data </w:t>
                      </w:r>
                      <w:r w:rsidR="00B94E34" w:rsidRPr="00517761">
                        <w:t xml:space="preserve">were not significantly distorted by COVID-19 lockdowns </w:t>
                      </w:r>
                      <w:r w:rsidR="006B1C49" w:rsidRPr="00517761">
                        <w:t>and are</w:t>
                      </w:r>
                      <w:r w:rsidR="00C81FFC" w:rsidRPr="00517761">
                        <w:t xml:space="preserve"> a</w:t>
                      </w:r>
                      <w:r w:rsidR="00C75643" w:rsidRPr="00517761">
                        <w:t xml:space="preserve"> </w:t>
                      </w:r>
                      <w:r w:rsidR="00680A78" w:rsidRPr="00517761">
                        <w:t>reliable</w:t>
                      </w:r>
                      <w:r w:rsidR="00C75643" w:rsidRPr="00517761">
                        <w:t xml:space="preserve"> measure of network complexity?</w:t>
                      </w:r>
                      <w:r w:rsidR="007D4D21" w:rsidRPr="00517761">
                        <w:t xml:space="preserve"> </w:t>
                      </w:r>
                    </w:p>
                    <w:p w14:paraId="7C9496B8" w14:textId="2F4BA545" w:rsidR="008102A1" w:rsidRPr="00A2517C" w:rsidRDefault="008102A1" w:rsidP="00C2694E">
                      <w:pPr>
                        <w:pStyle w:val="CGC2025QuestionNumbers"/>
                        <w:numPr>
                          <w:ilvl w:val="0"/>
                          <w:numId w:val="0"/>
                        </w:numPr>
                        <w:ind w:left="454"/>
                        <w:rPr>
                          <w:highlight w:val="yellow"/>
                        </w:rPr>
                      </w:pPr>
                    </w:p>
                  </w:txbxContent>
                </v:textbox>
                <w10:anchorlock/>
              </v:rect>
            </w:pict>
          </mc:Fallback>
        </mc:AlternateContent>
      </w:r>
    </w:p>
    <w:p w14:paraId="6D46940D" w14:textId="4F4B6F78" w:rsidR="008E79D9" w:rsidRDefault="008E79D9" w:rsidP="008E79D9">
      <w:pPr>
        <w:pStyle w:val="Heading4"/>
      </w:pPr>
      <w:r w:rsidRPr="008E79D9">
        <w:t xml:space="preserve">Updating data </w:t>
      </w:r>
      <w:r w:rsidR="001121E3">
        <w:t>—</w:t>
      </w:r>
      <w:r w:rsidRPr="008E79D9">
        <w:t xml:space="preserve"> variables applied to the regression coefficients</w:t>
      </w:r>
    </w:p>
    <w:p w14:paraId="1B1FBE10" w14:textId="508FE05A" w:rsidR="00F70183" w:rsidRPr="00F70183" w:rsidRDefault="00F70183" w:rsidP="00603F08">
      <w:pPr>
        <w:pStyle w:val="CGC2025ParaNumbers"/>
      </w:pPr>
      <w:r w:rsidRPr="00F70183">
        <w:t>The fixed regression coefficients are applied to updated population density, modelled passenger numbers and updated transport modes (</w:t>
      </w:r>
      <w:r w:rsidR="00504A11">
        <w:t>recognising new</w:t>
      </w:r>
      <w:r w:rsidRPr="00F70183">
        <w:t xml:space="preserve"> ferry service</w:t>
      </w:r>
      <w:r w:rsidR="00504A11">
        <w:t>s in urban areas</w:t>
      </w:r>
      <w:r w:rsidRPr="00F70183">
        <w:t xml:space="preserve">) in each update. </w:t>
      </w:r>
    </w:p>
    <w:p w14:paraId="4598AE52" w14:textId="77777777" w:rsidR="00CB7EAC" w:rsidRPr="00CB7EAC" w:rsidRDefault="00CB7EAC" w:rsidP="00603F08">
      <w:pPr>
        <w:pStyle w:val="CGC2025ParaNumbers"/>
      </w:pPr>
      <w:r w:rsidRPr="00CB7EAC">
        <w:t xml:space="preserve">Data are available to continue to reliably update the following variables: </w:t>
      </w:r>
    </w:p>
    <w:p w14:paraId="00890A43" w14:textId="77777777" w:rsidR="00E056C0" w:rsidRDefault="00E056C0" w:rsidP="00A206BF">
      <w:pPr>
        <w:pStyle w:val="CGC2025Bullet1"/>
      </w:pPr>
      <w:r>
        <w:t xml:space="preserve">population density (ABS population and geography data) </w:t>
      </w:r>
    </w:p>
    <w:p w14:paraId="245B59F9" w14:textId="77777777" w:rsidR="00E056C0" w:rsidRDefault="00E056C0" w:rsidP="00A206BF">
      <w:pPr>
        <w:pStyle w:val="CGC2025Bullet1"/>
      </w:pPr>
      <w:r>
        <w:t>introduction of ferry service (state data).</w:t>
      </w:r>
    </w:p>
    <w:p w14:paraId="3A577439" w14:textId="5ABC4883" w:rsidR="00BB0E90" w:rsidRDefault="00BB0E90" w:rsidP="00603F08">
      <w:pPr>
        <w:pStyle w:val="CGC2025ParaNumbers"/>
      </w:pPr>
      <w:r>
        <w:t>The data used to model passenger numbers (</w:t>
      </w:r>
      <w:r w:rsidR="00AF5255">
        <w:t xml:space="preserve">that is, </w:t>
      </w:r>
      <w:r>
        <w:t>2016 Census journey to work data), are the same data used in the regression as a proxy for supply. The regression uses actual passenger numbers. However, to address concerns that passenger numbers can be influenced by policy decisions, such as concessions or service frequency, modelled passenger numbers are used to determine state transport needs.</w:t>
      </w:r>
    </w:p>
    <w:p w14:paraId="481285C6" w14:textId="5D2C3C9E" w:rsidR="00BB0E90" w:rsidRDefault="00BB0E90" w:rsidP="00603F08">
      <w:pPr>
        <w:pStyle w:val="CGC2025ParaNumbers"/>
      </w:pPr>
      <w:r>
        <w:t>As mentioned above, in the 2023 Update, the Commission determined that it was not appropriate to use 2021 Census data to model passenger numbers and 2016</w:t>
      </w:r>
      <w:r w:rsidR="00A27315">
        <w:t> </w:t>
      </w:r>
      <w:r>
        <w:t xml:space="preserve">Census data were retained. </w:t>
      </w:r>
    </w:p>
    <w:p w14:paraId="09A2D952" w14:textId="51EA7B7D" w:rsidR="00BB0E90" w:rsidRDefault="00BB0E90" w:rsidP="00603F08">
      <w:pPr>
        <w:pStyle w:val="CGC2025ParaNumbers"/>
      </w:pPr>
      <w:r>
        <w:t xml:space="preserve">There is no reason to believe that 2026 Census data will not be fit for purpose. However, the Commission is concerned that maintaining a measure of passenger numbers based on 2016 Census until 2026 Census data are available would fail to capture changes in passenger behaviour or the impact of expansions and additions to transport networks. </w:t>
      </w:r>
    </w:p>
    <w:p w14:paraId="4777D0D7" w14:textId="47F62A26" w:rsidR="00BB0E90" w:rsidRDefault="00BB0E90" w:rsidP="00603F08">
      <w:pPr>
        <w:pStyle w:val="CGC2025ParaNumbers"/>
      </w:pPr>
      <w:r>
        <w:lastRenderedPageBreak/>
        <w:t xml:space="preserve">To maintain a model that continues to use </w:t>
      </w:r>
      <w:r w:rsidR="007B7799">
        <w:t>c</w:t>
      </w:r>
      <w:r>
        <w:t>ensus data and to ensure the model reflects current state circumstances, 2 options were identified for adjusting 2016</w:t>
      </w:r>
      <w:r w:rsidR="00336F9F">
        <w:t> </w:t>
      </w:r>
      <w:r>
        <w:t>Census passenger numbers</w:t>
      </w:r>
      <w:r w:rsidR="007E6510">
        <w:t xml:space="preserve"> used to model passenger numbers</w:t>
      </w:r>
      <w:r>
        <w:t xml:space="preserve">. </w:t>
      </w:r>
    </w:p>
    <w:p w14:paraId="5C9A0FFF" w14:textId="5C81D549" w:rsidR="00BB0E90" w:rsidRDefault="00397E70" w:rsidP="004212DF">
      <w:pPr>
        <w:pStyle w:val="Heading5"/>
      </w:pPr>
      <w:r w:rsidRPr="00397E70">
        <w:t>Option 1: Use data from the Bureau of Infrastructure and Transport Research Economics to adjust 2016 Census passenger numbers</w:t>
      </w:r>
    </w:p>
    <w:p w14:paraId="4D9BE297" w14:textId="14CDD9E5" w:rsidR="00A94623" w:rsidRDefault="00A716F7" w:rsidP="004D2B35">
      <w:pPr>
        <w:pStyle w:val="CGC2025ParaNumbers"/>
      </w:pPr>
      <w:bookmarkStart w:id="90" w:name="_Ref132917445"/>
      <w:r>
        <w:t xml:space="preserve">The Bureau of Infrastructure and Transport Research Economics provides annual data on passenger kilometres travelled by mode for capital cities. </w:t>
      </w:r>
      <w:r w:rsidR="006C5866">
        <w:t>T</w:t>
      </w:r>
      <w:r w:rsidR="00A51E7C">
        <w:t xml:space="preserve">hese data </w:t>
      </w:r>
      <w:r w:rsidR="000A56DC">
        <w:t>cannot be used</w:t>
      </w:r>
      <w:r w:rsidR="00A51E7C">
        <w:t xml:space="preserve"> directly</w:t>
      </w:r>
      <w:r w:rsidR="0021499C">
        <w:t xml:space="preserve"> to measure </w:t>
      </w:r>
      <w:r w:rsidR="00823089">
        <w:t>use</w:t>
      </w:r>
      <w:r w:rsidR="00A51E7C">
        <w:t xml:space="preserve"> in the assessment </w:t>
      </w:r>
      <w:r w:rsidR="00EE1581">
        <w:t xml:space="preserve">because </w:t>
      </w:r>
      <w:r w:rsidR="003A2E28">
        <w:t>they cannot</w:t>
      </w:r>
      <w:r w:rsidR="006B06E3">
        <w:t xml:space="preserve"> </w:t>
      </w:r>
      <w:r w:rsidR="00735BBD">
        <w:t xml:space="preserve">capture supply changes </w:t>
      </w:r>
      <w:r w:rsidR="000F1F7D">
        <w:t>outside of capital cities</w:t>
      </w:r>
      <w:r w:rsidR="00735BBD">
        <w:t xml:space="preserve">. </w:t>
      </w:r>
      <w:r w:rsidR="00BE3C3F">
        <w:t>However, they</w:t>
      </w:r>
      <w:r w:rsidR="00A94623">
        <w:t xml:space="preserve"> could be used to construct an index of changes in public transport use since 2016</w:t>
      </w:r>
      <w:r w:rsidR="00336F9F">
        <w:t>.</w:t>
      </w:r>
      <w:r w:rsidR="00A94623" w:rsidRPr="00F679F0">
        <w:rPr>
          <w:rStyle w:val="FootnoteReference"/>
        </w:rPr>
        <w:footnoteReference w:id="12"/>
      </w:r>
      <w:r w:rsidR="00A94623">
        <w:t xml:space="preserve"> This</w:t>
      </w:r>
      <w:r w:rsidR="000B37E8">
        <w:t xml:space="preserve"> index could</w:t>
      </w:r>
      <w:r w:rsidR="00A94623">
        <w:t xml:space="preserve"> be applied to the 2016</w:t>
      </w:r>
      <w:r w:rsidR="000B37E8">
        <w:t> </w:t>
      </w:r>
      <w:r w:rsidR="00A94623">
        <w:t>Census data.</w:t>
      </w:r>
    </w:p>
    <w:bookmarkEnd w:id="90"/>
    <w:p w14:paraId="4D0450CD" w14:textId="79C4EABE" w:rsidR="00840140" w:rsidRPr="00840140" w:rsidRDefault="00A716F7" w:rsidP="00603F08">
      <w:pPr>
        <w:pStyle w:val="CGC2025ParaNumbers"/>
      </w:pPr>
      <w:r>
        <w:t>Analysis of the 2016 Census data adjusted by changes in distance travelled is provided in</w:t>
      </w:r>
      <w:r w:rsidR="00CE3273">
        <w:t xml:space="preserve"> </w:t>
      </w:r>
      <w:r w:rsidR="00F16726">
        <w:rPr>
          <w:highlight w:val="yellow"/>
        </w:rPr>
        <w:fldChar w:fldCharType="begin"/>
      </w:r>
      <w:r w:rsidR="00F16726">
        <w:rPr>
          <w:highlight w:val="yellow"/>
        </w:rPr>
        <w:instrText xml:space="preserve"> REF _Ref132917487 \h </w:instrText>
      </w:r>
      <w:r w:rsidR="00F16726">
        <w:rPr>
          <w:highlight w:val="yellow"/>
        </w:rPr>
      </w:r>
      <w:r w:rsidR="00F16726">
        <w:rPr>
          <w:highlight w:val="yellow"/>
        </w:rPr>
        <w:fldChar w:fldCharType="separate"/>
      </w:r>
      <w:r w:rsidR="00282693" w:rsidRPr="00BE38F0">
        <w:t xml:space="preserve">Table </w:t>
      </w:r>
      <w:r w:rsidR="00282693">
        <w:rPr>
          <w:noProof/>
        </w:rPr>
        <w:t>7</w:t>
      </w:r>
      <w:r w:rsidR="00F16726">
        <w:rPr>
          <w:highlight w:val="yellow"/>
        </w:rPr>
        <w:fldChar w:fldCharType="end"/>
      </w:r>
      <w:r>
        <w:t xml:space="preserve">. Using the adjusted data results in lower passenger numbers for all states compared </w:t>
      </w:r>
      <w:r w:rsidR="00B72CEE">
        <w:t>with</w:t>
      </w:r>
      <w:r>
        <w:t xml:space="preserve"> the 2016 Census data. However, the reduction in passenger numbers is much less than the 2021 Census figures, particularly for states that were in lockdown when the Census was conducted.</w:t>
      </w:r>
    </w:p>
    <w:p w14:paraId="6643C8A6" w14:textId="7E0643B3" w:rsidR="00397E70" w:rsidRPr="00397E70" w:rsidRDefault="003A16AF" w:rsidP="004212DF">
      <w:pPr>
        <w:pStyle w:val="Heading5"/>
      </w:pPr>
      <w:r w:rsidRPr="003A16AF">
        <w:t>Option 2: Use state ticketing data to adjust 2016 Census passenger numbers</w:t>
      </w:r>
    </w:p>
    <w:p w14:paraId="759BB062" w14:textId="4AE8102B" w:rsidR="00840140" w:rsidRDefault="00840140" w:rsidP="00603F08">
      <w:pPr>
        <w:pStyle w:val="CGC2025ParaNumbers"/>
      </w:pPr>
      <w:r>
        <w:t xml:space="preserve">Alternatively, an index could be created using passenger numbers, rather than the distance travelled by all passengers. Ticketing data are publicly available for </w:t>
      </w:r>
      <w:r w:rsidR="003F4C09">
        <w:t xml:space="preserve">capital cities in </w:t>
      </w:r>
      <w:r>
        <w:t xml:space="preserve">all states except Tasmania and the Northern Territory. </w:t>
      </w:r>
    </w:p>
    <w:p w14:paraId="70CA94DD" w14:textId="601709D3" w:rsidR="00840140" w:rsidRDefault="00840140" w:rsidP="00603F08">
      <w:pPr>
        <w:pStyle w:val="CGC2025ParaNumbers"/>
      </w:pPr>
      <w:r>
        <w:t>An approach using ticketing data would allow for a more accurate representation of actual passenger numbers</w:t>
      </w:r>
      <w:r w:rsidR="00C9274A">
        <w:t xml:space="preserve"> in capital cities</w:t>
      </w:r>
      <w:r>
        <w:t>, and the ability to account for non</w:t>
      </w:r>
      <w:r w:rsidR="00C81CAF">
        <w:noBreakHyphen/>
      </w:r>
      <w:r>
        <w:t xml:space="preserve">commuter travel. However, it would </w:t>
      </w:r>
      <w:r w:rsidR="001046DB">
        <w:t>be</w:t>
      </w:r>
      <w:r>
        <w:t xml:space="preserve"> </w:t>
      </w:r>
      <w:r w:rsidR="00B97536">
        <w:t>influenced by</w:t>
      </w:r>
      <w:r w:rsidR="005D4561">
        <w:t xml:space="preserve"> state </w:t>
      </w:r>
      <w:r w:rsidR="007E5105">
        <w:t xml:space="preserve">ticketing </w:t>
      </w:r>
      <w:r w:rsidR="005D4561">
        <w:t>polic</w:t>
      </w:r>
      <w:r w:rsidR="00B97536">
        <w:t>ies</w:t>
      </w:r>
      <w:r w:rsidR="003E3B4C">
        <w:t>, such as</w:t>
      </w:r>
      <w:r w:rsidR="005D4561">
        <w:t xml:space="preserve"> </w:t>
      </w:r>
      <w:r>
        <w:t>the Melbourne CBD free tram zone. Data from Tasmania and the Northern</w:t>
      </w:r>
      <w:r w:rsidR="006C06E5">
        <w:t> </w:t>
      </w:r>
      <w:r>
        <w:t>Territory would also be required.</w:t>
      </w:r>
    </w:p>
    <w:p w14:paraId="2E981112" w14:textId="096B4506" w:rsidR="003A16AF" w:rsidRDefault="00840140" w:rsidP="00EC3DF4">
      <w:pPr>
        <w:pStyle w:val="CGC2025ParaNumbers"/>
      </w:pPr>
      <w:r>
        <w:t xml:space="preserve">Using ticketing data to adjust 2016 Census data results in adjusted passenger numbers similar to those calculated using </w:t>
      </w:r>
      <w:r w:rsidR="006D5D57">
        <w:t xml:space="preserve">Bureau of Infrastructure and Transport </w:t>
      </w:r>
      <w:r w:rsidR="00C901CF">
        <w:t>R</w:t>
      </w:r>
      <w:r w:rsidR="006D5D57">
        <w:t xml:space="preserve">esearch </w:t>
      </w:r>
      <w:r w:rsidR="00DC6E45">
        <w:t>Economics distance</w:t>
      </w:r>
      <w:r>
        <w:t xml:space="preserve"> travelled </w:t>
      </w:r>
      <w:r w:rsidRPr="00CE3273">
        <w:t>data (</w:t>
      </w:r>
      <w:r w:rsidR="00F230B8">
        <w:fldChar w:fldCharType="begin"/>
      </w:r>
      <w:r w:rsidR="00F230B8">
        <w:instrText xml:space="preserve"> REF _Ref132917487 \h </w:instrText>
      </w:r>
      <w:r w:rsidR="00F230B8">
        <w:fldChar w:fldCharType="separate"/>
      </w:r>
      <w:r w:rsidR="00282693" w:rsidRPr="00BE38F0">
        <w:t xml:space="preserve">Table </w:t>
      </w:r>
      <w:r w:rsidR="00282693">
        <w:rPr>
          <w:noProof/>
        </w:rPr>
        <w:t>7</w:t>
      </w:r>
      <w:r w:rsidR="00F230B8">
        <w:fldChar w:fldCharType="end"/>
      </w:r>
      <w:r w:rsidRPr="00CE3273">
        <w:t>).</w:t>
      </w:r>
      <w:r>
        <w:t xml:space="preserve"> </w:t>
      </w:r>
      <w:r w:rsidR="00A8260B">
        <w:br w:type="page"/>
      </w:r>
    </w:p>
    <w:p w14:paraId="74FFC9C9" w14:textId="4D3DC22F" w:rsidR="00A716F7" w:rsidRDefault="00BE38F0" w:rsidP="00A321FA">
      <w:pPr>
        <w:pStyle w:val="CGC2025Caption"/>
        <w:tabs>
          <w:tab w:val="left" w:pos="1134"/>
        </w:tabs>
        <w:ind w:left="1134" w:hanging="1134"/>
        <w:rPr>
          <w:color w:val="000000" w:themeColor="text1"/>
        </w:rPr>
      </w:pPr>
      <w:bookmarkStart w:id="91" w:name="_Ref132917487"/>
      <w:bookmarkStart w:id="92" w:name="_Ref135664381"/>
      <w:r w:rsidRPr="00BE38F0">
        <w:lastRenderedPageBreak/>
        <w:t xml:space="preserve">Table </w:t>
      </w:r>
      <w:r>
        <w:fldChar w:fldCharType="begin"/>
      </w:r>
      <w:r>
        <w:instrText>SEQ Table \* ARABIC</w:instrText>
      </w:r>
      <w:r>
        <w:fldChar w:fldCharType="separate"/>
      </w:r>
      <w:r w:rsidR="00282693">
        <w:rPr>
          <w:noProof/>
        </w:rPr>
        <w:t>7</w:t>
      </w:r>
      <w:r>
        <w:fldChar w:fldCharType="end"/>
      </w:r>
      <w:bookmarkEnd w:id="91"/>
      <w:r>
        <w:tab/>
      </w:r>
      <w:r w:rsidR="0078138F" w:rsidRPr="0078138F">
        <w:t xml:space="preserve">Urban transport passenger numbers using Bureau of Infrastructure and Transport Research Economics (BITRE) data and state ticketing data to adjust 2016 Census data compared </w:t>
      </w:r>
      <w:r w:rsidR="00C15ACF">
        <w:t>with</w:t>
      </w:r>
      <w:r w:rsidR="0078138F" w:rsidRPr="0078138F">
        <w:t xml:space="preserve"> 2021 ABS Census data.</w:t>
      </w:r>
      <w:bookmarkEnd w:id="92"/>
    </w:p>
    <w:tbl>
      <w:tblPr>
        <w:tblW w:w="8824" w:type="dxa"/>
        <w:jc w:val="center"/>
        <w:tblLayout w:type="fixed"/>
        <w:tblLook w:val="04A0" w:firstRow="1" w:lastRow="0" w:firstColumn="1" w:lastColumn="0" w:noHBand="0" w:noVBand="1"/>
      </w:tblPr>
      <w:tblGrid>
        <w:gridCol w:w="2410"/>
        <w:gridCol w:w="701"/>
        <w:gridCol w:w="714"/>
        <w:gridCol w:w="714"/>
        <w:gridCol w:w="714"/>
        <w:gridCol w:w="714"/>
        <w:gridCol w:w="714"/>
        <w:gridCol w:w="714"/>
        <w:gridCol w:w="673"/>
        <w:gridCol w:w="756"/>
      </w:tblGrid>
      <w:tr w:rsidR="00D10465" w:rsidRPr="00D40515" w14:paraId="2C2AF5E8" w14:textId="77777777" w:rsidTr="00205315">
        <w:trPr>
          <w:trHeight w:val="375"/>
          <w:jc w:val="center"/>
        </w:trPr>
        <w:tc>
          <w:tcPr>
            <w:tcW w:w="2410" w:type="dxa"/>
            <w:tcBorders>
              <w:top w:val="nil"/>
              <w:left w:val="nil"/>
              <w:bottom w:val="single" w:sz="4" w:space="0" w:color="B6D5E4"/>
              <w:right w:val="nil"/>
            </w:tcBorders>
            <w:shd w:val="clear" w:color="auto" w:fill="006991"/>
            <w:noWrap/>
            <w:vAlign w:val="center"/>
            <w:hideMark/>
          </w:tcPr>
          <w:p w14:paraId="6BA2DD4C" w14:textId="77777777" w:rsidR="00D10465" w:rsidRPr="00205315" w:rsidRDefault="00D10465">
            <w:pPr>
              <w:keepNext/>
              <w:keepLines/>
              <w:widowControl w:val="0"/>
              <w:tabs>
                <w:tab w:val="clear" w:pos="567"/>
              </w:tabs>
              <w:rPr>
                <w:rFonts w:ascii="Open Sans Semibold" w:eastAsia="Work Sans" w:hAnsi="Open Sans Semibold" w:cs="Open Sans Semibold"/>
                <w:color w:val="FFFFFF" w:themeColor="background1"/>
                <w:sz w:val="16"/>
                <w:szCs w:val="16"/>
              </w:rPr>
            </w:pPr>
            <w:r w:rsidRPr="00205315">
              <w:rPr>
                <w:rFonts w:ascii="Open Sans Semibold" w:eastAsia="Work Sans" w:hAnsi="Open Sans Semibold" w:cs="Open Sans Semibold"/>
                <w:color w:val="FFFFFF" w:themeColor="background1"/>
                <w:sz w:val="16"/>
                <w:szCs w:val="16"/>
              </w:rPr>
              <w:t> </w:t>
            </w:r>
          </w:p>
        </w:tc>
        <w:tc>
          <w:tcPr>
            <w:tcW w:w="701" w:type="dxa"/>
            <w:tcBorders>
              <w:top w:val="nil"/>
              <w:left w:val="nil"/>
              <w:bottom w:val="single" w:sz="4" w:space="0" w:color="B6D5E4"/>
              <w:right w:val="nil"/>
            </w:tcBorders>
            <w:shd w:val="clear" w:color="auto" w:fill="006991"/>
            <w:noWrap/>
            <w:vAlign w:val="center"/>
            <w:hideMark/>
          </w:tcPr>
          <w:p w14:paraId="62109DF9" w14:textId="7568F3F0" w:rsidR="00D10465" w:rsidRPr="00205315"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NSW</w:t>
            </w:r>
          </w:p>
        </w:tc>
        <w:tc>
          <w:tcPr>
            <w:tcW w:w="714" w:type="dxa"/>
            <w:tcBorders>
              <w:top w:val="nil"/>
              <w:left w:val="nil"/>
              <w:bottom w:val="single" w:sz="4" w:space="0" w:color="B6D5E4"/>
              <w:right w:val="nil"/>
            </w:tcBorders>
            <w:shd w:val="clear" w:color="auto" w:fill="006991"/>
            <w:noWrap/>
            <w:vAlign w:val="center"/>
            <w:hideMark/>
          </w:tcPr>
          <w:p w14:paraId="328952EB" w14:textId="77777777" w:rsidR="00D10465" w:rsidRPr="00205315"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Vic</w:t>
            </w:r>
          </w:p>
        </w:tc>
        <w:tc>
          <w:tcPr>
            <w:tcW w:w="714" w:type="dxa"/>
            <w:tcBorders>
              <w:top w:val="nil"/>
              <w:left w:val="nil"/>
              <w:bottom w:val="single" w:sz="4" w:space="0" w:color="B6D5E4"/>
              <w:right w:val="nil"/>
            </w:tcBorders>
            <w:shd w:val="clear" w:color="auto" w:fill="006991"/>
            <w:noWrap/>
            <w:vAlign w:val="center"/>
            <w:hideMark/>
          </w:tcPr>
          <w:p w14:paraId="593EC5B4" w14:textId="77777777" w:rsidR="00D10465" w:rsidRPr="00205315"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Qld</w:t>
            </w:r>
          </w:p>
        </w:tc>
        <w:tc>
          <w:tcPr>
            <w:tcW w:w="714" w:type="dxa"/>
            <w:tcBorders>
              <w:top w:val="nil"/>
              <w:left w:val="nil"/>
              <w:bottom w:val="single" w:sz="4" w:space="0" w:color="B6D5E4"/>
              <w:right w:val="nil"/>
            </w:tcBorders>
            <w:shd w:val="clear" w:color="auto" w:fill="006991"/>
            <w:noWrap/>
            <w:vAlign w:val="center"/>
            <w:hideMark/>
          </w:tcPr>
          <w:p w14:paraId="58337D68" w14:textId="77777777" w:rsidR="00D10465" w:rsidRPr="00205315"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WA</w:t>
            </w:r>
          </w:p>
        </w:tc>
        <w:tc>
          <w:tcPr>
            <w:tcW w:w="714" w:type="dxa"/>
            <w:tcBorders>
              <w:top w:val="nil"/>
              <w:left w:val="nil"/>
              <w:bottom w:val="single" w:sz="4" w:space="0" w:color="B6D5E4"/>
              <w:right w:val="nil"/>
            </w:tcBorders>
            <w:shd w:val="clear" w:color="auto" w:fill="006991"/>
            <w:noWrap/>
            <w:vAlign w:val="center"/>
            <w:hideMark/>
          </w:tcPr>
          <w:p w14:paraId="4A5ED1A7" w14:textId="77777777" w:rsidR="00D10465" w:rsidRPr="00205315"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SA</w:t>
            </w:r>
          </w:p>
        </w:tc>
        <w:tc>
          <w:tcPr>
            <w:tcW w:w="714" w:type="dxa"/>
            <w:tcBorders>
              <w:top w:val="nil"/>
              <w:left w:val="nil"/>
              <w:bottom w:val="single" w:sz="4" w:space="0" w:color="B6D5E4"/>
              <w:right w:val="nil"/>
            </w:tcBorders>
            <w:shd w:val="clear" w:color="auto" w:fill="006991"/>
            <w:noWrap/>
            <w:vAlign w:val="center"/>
            <w:hideMark/>
          </w:tcPr>
          <w:p w14:paraId="329DC976" w14:textId="77777777" w:rsidR="00D10465" w:rsidRPr="00205315"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Tas</w:t>
            </w:r>
          </w:p>
        </w:tc>
        <w:tc>
          <w:tcPr>
            <w:tcW w:w="714" w:type="dxa"/>
            <w:tcBorders>
              <w:top w:val="nil"/>
              <w:left w:val="nil"/>
              <w:bottom w:val="single" w:sz="4" w:space="0" w:color="B6D5E4"/>
              <w:right w:val="nil"/>
            </w:tcBorders>
            <w:shd w:val="clear" w:color="auto" w:fill="006991"/>
            <w:noWrap/>
            <w:vAlign w:val="center"/>
            <w:hideMark/>
          </w:tcPr>
          <w:p w14:paraId="6A468CE1" w14:textId="77777777" w:rsidR="00D10465" w:rsidRPr="00205315"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ACT</w:t>
            </w:r>
          </w:p>
        </w:tc>
        <w:tc>
          <w:tcPr>
            <w:tcW w:w="673" w:type="dxa"/>
            <w:tcBorders>
              <w:top w:val="nil"/>
              <w:left w:val="nil"/>
              <w:bottom w:val="single" w:sz="4" w:space="0" w:color="B6D5E4"/>
              <w:right w:val="nil"/>
            </w:tcBorders>
            <w:shd w:val="clear" w:color="auto" w:fill="006991"/>
            <w:noWrap/>
            <w:vAlign w:val="center"/>
            <w:hideMark/>
          </w:tcPr>
          <w:p w14:paraId="2F978BDA" w14:textId="77777777" w:rsidR="00D10465" w:rsidRPr="00205315"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NT</w:t>
            </w:r>
          </w:p>
        </w:tc>
        <w:tc>
          <w:tcPr>
            <w:tcW w:w="755" w:type="dxa"/>
            <w:tcBorders>
              <w:top w:val="nil"/>
              <w:left w:val="nil"/>
              <w:bottom w:val="single" w:sz="4" w:space="0" w:color="B6D5E4"/>
              <w:right w:val="nil"/>
            </w:tcBorders>
            <w:shd w:val="clear" w:color="auto" w:fill="006991"/>
            <w:noWrap/>
            <w:vAlign w:val="center"/>
            <w:hideMark/>
          </w:tcPr>
          <w:p w14:paraId="63DCE430" w14:textId="77777777" w:rsidR="00D10465" w:rsidRPr="00205315"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205315">
              <w:rPr>
                <w:rFonts w:ascii="Open Sans Semibold" w:eastAsia="Times New Roman" w:hAnsi="Open Sans Semibold" w:cs="Open Sans Semibold"/>
                <w:color w:val="FFFFFF"/>
                <w:sz w:val="16"/>
                <w:szCs w:val="16"/>
                <w:lang w:eastAsia="en-AU"/>
              </w:rPr>
              <w:t>Total</w:t>
            </w:r>
          </w:p>
        </w:tc>
      </w:tr>
      <w:tr w:rsidR="00D10465" w:rsidRPr="00D40515" w14:paraId="432635DC" w14:textId="77777777" w:rsidTr="00205315">
        <w:trPr>
          <w:trHeight w:val="255"/>
          <w:jc w:val="center"/>
        </w:trPr>
        <w:tc>
          <w:tcPr>
            <w:tcW w:w="2410" w:type="dxa"/>
            <w:tcBorders>
              <w:top w:val="nil"/>
              <w:left w:val="nil"/>
              <w:bottom w:val="nil"/>
              <w:right w:val="nil"/>
            </w:tcBorders>
            <w:shd w:val="clear" w:color="auto" w:fill="B6D5E4"/>
            <w:noWrap/>
            <w:vAlign w:val="bottom"/>
          </w:tcPr>
          <w:p w14:paraId="0728916A" w14:textId="77777777" w:rsidR="00D10465" w:rsidRPr="00D506D1" w:rsidRDefault="00D10465" w:rsidP="00205315">
            <w:pPr>
              <w:keepNext/>
              <w:keepLines/>
              <w:widowControl w:val="0"/>
              <w:tabs>
                <w:tab w:val="clear" w:pos="567"/>
              </w:tabs>
              <w:spacing w:before="0" w:line="240" w:lineRule="auto"/>
              <w:rPr>
                <w:rFonts w:ascii="Work Sans" w:eastAsia="Times New Roman" w:hAnsi="Work Sans" w:cs="Times New Roman"/>
                <w:color w:val="FFFFFF"/>
                <w:sz w:val="16"/>
                <w:szCs w:val="16"/>
                <w:lang w:eastAsia="en-AU"/>
              </w:rPr>
            </w:pPr>
            <w:r w:rsidRPr="00D506D1">
              <w:rPr>
                <w:rFonts w:ascii="Work Sans" w:eastAsia="Times New Roman" w:hAnsi="Work Sans" w:cs="Open Sans Light"/>
                <w:sz w:val="16"/>
                <w:szCs w:val="16"/>
                <w:lang w:eastAsia="en-AU"/>
              </w:rPr>
              <w:t> </w:t>
            </w:r>
          </w:p>
        </w:tc>
        <w:tc>
          <w:tcPr>
            <w:tcW w:w="701" w:type="dxa"/>
            <w:tcBorders>
              <w:top w:val="nil"/>
              <w:left w:val="nil"/>
              <w:bottom w:val="nil"/>
              <w:right w:val="nil"/>
            </w:tcBorders>
            <w:shd w:val="clear" w:color="auto" w:fill="B6D5E4"/>
            <w:noWrap/>
            <w:vAlign w:val="bottom"/>
          </w:tcPr>
          <w:p w14:paraId="3A5F319A" w14:textId="77777777" w:rsidR="00D10465" w:rsidRPr="004D14A7"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D14A7">
              <w:rPr>
                <w:rFonts w:ascii="Open Sans Semibold" w:eastAsia="Times New Roman" w:hAnsi="Open Sans Semibold" w:cs="Open Sans Semibold"/>
                <w:sz w:val="16"/>
                <w:szCs w:val="16"/>
                <w:lang w:eastAsia="en-AU"/>
              </w:rPr>
              <w:t>‘000</w:t>
            </w:r>
          </w:p>
        </w:tc>
        <w:tc>
          <w:tcPr>
            <w:tcW w:w="714" w:type="dxa"/>
            <w:tcBorders>
              <w:top w:val="nil"/>
              <w:left w:val="nil"/>
              <w:bottom w:val="nil"/>
              <w:right w:val="nil"/>
            </w:tcBorders>
            <w:shd w:val="clear" w:color="auto" w:fill="B6D5E4"/>
            <w:noWrap/>
            <w:vAlign w:val="bottom"/>
          </w:tcPr>
          <w:p w14:paraId="70FEAD38" w14:textId="77777777" w:rsidR="00D10465" w:rsidRPr="004D14A7"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D14A7">
              <w:rPr>
                <w:rFonts w:ascii="Open Sans Semibold" w:eastAsia="Times New Roman" w:hAnsi="Open Sans Semibold" w:cs="Open Sans Semibold"/>
                <w:sz w:val="16"/>
                <w:szCs w:val="16"/>
                <w:lang w:eastAsia="en-AU"/>
              </w:rPr>
              <w:t>‘000 </w:t>
            </w:r>
          </w:p>
        </w:tc>
        <w:tc>
          <w:tcPr>
            <w:tcW w:w="714" w:type="dxa"/>
            <w:tcBorders>
              <w:top w:val="nil"/>
              <w:left w:val="nil"/>
              <w:bottom w:val="nil"/>
              <w:right w:val="nil"/>
            </w:tcBorders>
            <w:shd w:val="clear" w:color="auto" w:fill="B6D5E4"/>
            <w:noWrap/>
            <w:vAlign w:val="bottom"/>
          </w:tcPr>
          <w:p w14:paraId="75483A19" w14:textId="77777777" w:rsidR="00D10465" w:rsidRPr="004D14A7"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D14A7">
              <w:rPr>
                <w:rFonts w:ascii="Open Sans Semibold" w:eastAsia="Times New Roman" w:hAnsi="Open Sans Semibold" w:cs="Open Sans Semibold"/>
                <w:sz w:val="16"/>
                <w:szCs w:val="16"/>
                <w:lang w:eastAsia="en-AU"/>
              </w:rPr>
              <w:t>‘000 </w:t>
            </w:r>
          </w:p>
        </w:tc>
        <w:tc>
          <w:tcPr>
            <w:tcW w:w="714" w:type="dxa"/>
            <w:tcBorders>
              <w:top w:val="nil"/>
              <w:left w:val="nil"/>
              <w:bottom w:val="nil"/>
              <w:right w:val="nil"/>
            </w:tcBorders>
            <w:shd w:val="clear" w:color="auto" w:fill="B6D5E4"/>
            <w:noWrap/>
            <w:vAlign w:val="bottom"/>
          </w:tcPr>
          <w:p w14:paraId="6EE9BB8D" w14:textId="77777777" w:rsidR="00D10465" w:rsidRPr="004D14A7"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D14A7">
              <w:rPr>
                <w:rFonts w:ascii="Open Sans Semibold" w:eastAsia="Times New Roman" w:hAnsi="Open Sans Semibold" w:cs="Open Sans Semibold"/>
                <w:sz w:val="16"/>
                <w:szCs w:val="16"/>
                <w:lang w:eastAsia="en-AU"/>
              </w:rPr>
              <w:t>‘000 </w:t>
            </w:r>
          </w:p>
        </w:tc>
        <w:tc>
          <w:tcPr>
            <w:tcW w:w="714" w:type="dxa"/>
            <w:tcBorders>
              <w:top w:val="nil"/>
              <w:left w:val="nil"/>
              <w:bottom w:val="nil"/>
              <w:right w:val="nil"/>
            </w:tcBorders>
            <w:shd w:val="clear" w:color="auto" w:fill="B6D5E4"/>
            <w:noWrap/>
            <w:vAlign w:val="bottom"/>
          </w:tcPr>
          <w:p w14:paraId="17CD14C6" w14:textId="77777777" w:rsidR="00D10465" w:rsidRPr="004D14A7"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D14A7">
              <w:rPr>
                <w:rFonts w:ascii="Open Sans Semibold" w:eastAsia="Times New Roman" w:hAnsi="Open Sans Semibold" w:cs="Open Sans Semibold"/>
                <w:sz w:val="16"/>
                <w:szCs w:val="16"/>
                <w:lang w:eastAsia="en-AU"/>
              </w:rPr>
              <w:t>‘000 </w:t>
            </w:r>
          </w:p>
        </w:tc>
        <w:tc>
          <w:tcPr>
            <w:tcW w:w="714" w:type="dxa"/>
            <w:tcBorders>
              <w:top w:val="nil"/>
              <w:left w:val="nil"/>
              <w:bottom w:val="nil"/>
              <w:right w:val="nil"/>
            </w:tcBorders>
            <w:shd w:val="clear" w:color="auto" w:fill="B6D5E4"/>
            <w:noWrap/>
            <w:vAlign w:val="bottom"/>
          </w:tcPr>
          <w:p w14:paraId="31A2AFD8" w14:textId="77777777" w:rsidR="00D10465" w:rsidRPr="004D14A7"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D14A7">
              <w:rPr>
                <w:rFonts w:ascii="Open Sans Semibold" w:eastAsia="Times New Roman" w:hAnsi="Open Sans Semibold" w:cs="Open Sans Semibold"/>
                <w:sz w:val="16"/>
                <w:szCs w:val="16"/>
                <w:lang w:eastAsia="en-AU"/>
              </w:rPr>
              <w:t>‘000</w:t>
            </w:r>
          </w:p>
        </w:tc>
        <w:tc>
          <w:tcPr>
            <w:tcW w:w="714" w:type="dxa"/>
            <w:tcBorders>
              <w:top w:val="nil"/>
              <w:left w:val="nil"/>
              <w:bottom w:val="nil"/>
              <w:right w:val="nil"/>
            </w:tcBorders>
            <w:shd w:val="clear" w:color="auto" w:fill="B6D5E4"/>
            <w:noWrap/>
            <w:vAlign w:val="bottom"/>
          </w:tcPr>
          <w:p w14:paraId="4940C8FC" w14:textId="77777777" w:rsidR="00D10465" w:rsidRPr="004D14A7"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D14A7">
              <w:rPr>
                <w:rFonts w:ascii="Open Sans Semibold" w:eastAsia="Times New Roman" w:hAnsi="Open Sans Semibold" w:cs="Open Sans Semibold"/>
                <w:sz w:val="16"/>
                <w:szCs w:val="16"/>
                <w:lang w:eastAsia="en-AU"/>
              </w:rPr>
              <w:t>‘000 </w:t>
            </w:r>
          </w:p>
        </w:tc>
        <w:tc>
          <w:tcPr>
            <w:tcW w:w="673" w:type="dxa"/>
            <w:tcBorders>
              <w:top w:val="nil"/>
              <w:left w:val="nil"/>
              <w:bottom w:val="nil"/>
              <w:right w:val="nil"/>
            </w:tcBorders>
            <w:shd w:val="clear" w:color="auto" w:fill="B6D5E4"/>
            <w:noWrap/>
            <w:vAlign w:val="bottom"/>
          </w:tcPr>
          <w:p w14:paraId="556B4B61" w14:textId="77777777" w:rsidR="00D10465" w:rsidRPr="004D14A7"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D14A7">
              <w:rPr>
                <w:rFonts w:ascii="Open Sans Semibold" w:eastAsia="Times New Roman" w:hAnsi="Open Sans Semibold" w:cs="Open Sans Semibold"/>
                <w:sz w:val="16"/>
                <w:szCs w:val="16"/>
                <w:lang w:eastAsia="en-AU"/>
              </w:rPr>
              <w:t>‘000 </w:t>
            </w:r>
          </w:p>
        </w:tc>
        <w:tc>
          <w:tcPr>
            <w:tcW w:w="755" w:type="dxa"/>
            <w:tcBorders>
              <w:top w:val="nil"/>
              <w:left w:val="nil"/>
              <w:bottom w:val="nil"/>
              <w:right w:val="nil"/>
            </w:tcBorders>
            <w:shd w:val="clear" w:color="auto" w:fill="B6D5E4"/>
            <w:noWrap/>
            <w:vAlign w:val="bottom"/>
          </w:tcPr>
          <w:p w14:paraId="1037AE4B" w14:textId="566339F8" w:rsidR="00D10465" w:rsidRPr="004D14A7" w:rsidRDefault="00D10465">
            <w:pPr>
              <w:keepNext/>
              <w:keepLines/>
              <w:widowControl w:val="0"/>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4D14A7">
              <w:rPr>
                <w:rFonts w:ascii="Open Sans Semibold" w:eastAsia="Times New Roman" w:hAnsi="Open Sans Semibold" w:cs="Open Sans Semibold"/>
                <w:sz w:val="16"/>
                <w:szCs w:val="16"/>
                <w:lang w:eastAsia="en-AU"/>
              </w:rPr>
              <w:t>‘000 </w:t>
            </w:r>
          </w:p>
        </w:tc>
      </w:tr>
      <w:tr w:rsidR="00D10465" w:rsidRPr="0067365F" w14:paraId="3DF6170B" w14:textId="77777777" w:rsidTr="003312BC">
        <w:trPr>
          <w:trHeight w:val="317"/>
          <w:jc w:val="center"/>
        </w:trPr>
        <w:tc>
          <w:tcPr>
            <w:tcW w:w="8824" w:type="dxa"/>
            <w:gridSpan w:val="10"/>
            <w:tcBorders>
              <w:top w:val="nil"/>
              <w:left w:val="nil"/>
              <w:bottom w:val="single" w:sz="4" w:space="0" w:color="B6D5E4"/>
              <w:right w:val="nil"/>
            </w:tcBorders>
            <w:shd w:val="clear" w:color="auto" w:fill="auto"/>
            <w:vAlign w:val="bottom"/>
          </w:tcPr>
          <w:p w14:paraId="2BECFEC2" w14:textId="62A74EB1" w:rsidR="00D10465" w:rsidRPr="00205315" w:rsidRDefault="00D10465" w:rsidP="00D0605E">
            <w:pPr>
              <w:keepNext/>
              <w:keepLines/>
              <w:widowControl w:val="0"/>
              <w:tabs>
                <w:tab w:val="clear" w:pos="567"/>
              </w:tabs>
              <w:spacing w:before="0" w:line="240" w:lineRule="auto"/>
              <w:rPr>
                <w:rFonts w:ascii="Open Sans Semibold" w:eastAsia="Times New Roman" w:hAnsi="Open Sans Semibold" w:cs="Open Sans Semibold"/>
                <w:sz w:val="16"/>
                <w:szCs w:val="16"/>
                <w:lang w:eastAsia="en-AU"/>
              </w:rPr>
            </w:pPr>
            <w:r w:rsidRPr="003312BC">
              <w:rPr>
                <w:rFonts w:ascii="Open Sans Semibold" w:eastAsia="Times New Roman" w:hAnsi="Open Sans Semibold" w:cs="Open Sans Semibold"/>
                <w:sz w:val="16"/>
                <w:szCs w:val="16"/>
                <w:lang w:eastAsia="en-AU"/>
              </w:rPr>
              <w:t xml:space="preserve">Heavy </w:t>
            </w:r>
            <w:r w:rsidR="00362E5C" w:rsidRPr="003312BC">
              <w:rPr>
                <w:rFonts w:ascii="Open Sans Semibold" w:eastAsia="Times New Roman" w:hAnsi="Open Sans Semibold" w:cs="Open Sans Semibold"/>
                <w:sz w:val="16"/>
                <w:szCs w:val="16"/>
                <w:lang w:eastAsia="en-AU"/>
              </w:rPr>
              <w:t>r</w:t>
            </w:r>
            <w:r w:rsidRPr="003312BC">
              <w:rPr>
                <w:rFonts w:ascii="Open Sans Semibold" w:eastAsia="Times New Roman" w:hAnsi="Open Sans Semibold" w:cs="Open Sans Semibold"/>
                <w:sz w:val="16"/>
                <w:szCs w:val="16"/>
                <w:lang w:eastAsia="en-AU"/>
              </w:rPr>
              <w:t>ail</w:t>
            </w:r>
          </w:p>
        </w:tc>
      </w:tr>
      <w:tr w:rsidR="00D10465" w:rsidRPr="0067365F" w14:paraId="0C4F7CEF" w14:textId="77777777" w:rsidTr="00205315">
        <w:trPr>
          <w:trHeight w:val="317"/>
          <w:jc w:val="center"/>
        </w:trPr>
        <w:tc>
          <w:tcPr>
            <w:tcW w:w="2410" w:type="dxa"/>
            <w:tcBorders>
              <w:top w:val="nil"/>
              <w:left w:val="nil"/>
              <w:bottom w:val="single" w:sz="4" w:space="0" w:color="B6D5E4"/>
              <w:right w:val="nil"/>
            </w:tcBorders>
            <w:shd w:val="clear" w:color="auto" w:fill="auto"/>
            <w:vAlign w:val="bottom"/>
          </w:tcPr>
          <w:p w14:paraId="24DECE2D" w14:textId="77777777" w:rsidR="00D10465" w:rsidRPr="00DB1403" w:rsidRDefault="00D10465" w:rsidP="00D0605E">
            <w:pPr>
              <w:keepNext/>
              <w:keepLines/>
              <w:widowControl w:val="0"/>
              <w:tabs>
                <w:tab w:val="clear" w:pos="567"/>
              </w:tabs>
              <w:spacing w:before="0" w:line="240" w:lineRule="auto"/>
              <w:rPr>
                <w:rFonts w:eastAsia="Symbol" w:cs="Open Sans Light"/>
                <w:sz w:val="16"/>
                <w:szCs w:val="16"/>
                <w:lang w:eastAsia="en-AU"/>
              </w:rPr>
            </w:pPr>
            <w:r w:rsidRPr="00DB1403">
              <w:rPr>
                <w:rFonts w:eastAsia="Symbol" w:cs="Open Sans Light"/>
                <w:sz w:val="16"/>
                <w:szCs w:val="16"/>
                <w:lang w:eastAsia="en-AU"/>
              </w:rPr>
              <w:t>2016 Census passengers</w:t>
            </w:r>
          </w:p>
        </w:tc>
        <w:tc>
          <w:tcPr>
            <w:tcW w:w="701" w:type="dxa"/>
            <w:tcBorders>
              <w:top w:val="single" w:sz="4" w:space="0" w:color="B6D5E4"/>
              <w:left w:val="nil"/>
              <w:bottom w:val="single" w:sz="4" w:space="0" w:color="B6D5E4"/>
              <w:right w:val="nil"/>
            </w:tcBorders>
            <w:shd w:val="clear" w:color="auto" w:fill="auto"/>
            <w:vAlign w:val="bottom"/>
          </w:tcPr>
          <w:p w14:paraId="12984B46"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462</w:t>
            </w:r>
          </w:p>
        </w:tc>
        <w:tc>
          <w:tcPr>
            <w:tcW w:w="714" w:type="dxa"/>
            <w:tcBorders>
              <w:top w:val="single" w:sz="4" w:space="0" w:color="B6D5E4"/>
              <w:left w:val="nil"/>
              <w:bottom w:val="single" w:sz="4" w:space="0" w:color="B6D5E4"/>
              <w:right w:val="nil"/>
            </w:tcBorders>
            <w:shd w:val="clear" w:color="auto" w:fill="auto"/>
            <w:vAlign w:val="bottom"/>
          </w:tcPr>
          <w:p w14:paraId="778C755F"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297</w:t>
            </w:r>
          </w:p>
        </w:tc>
        <w:tc>
          <w:tcPr>
            <w:tcW w:w="714" w:type="dxa"/>
            <w:tcBorders>
              <w:top w:val="single" w:sz="4" w:space="0" w:color="B6D5E4"/>
              <w:left w:val="nil"/>
              <w:bottom w:val="single" w:sz="4" w:space="0" w:color="B6D5E4"/>
              <w:right w:val="nil"/>
            </w:tcBorders>
            <w:shd w:val="clear" w:color="auto" w:fill="auto"/>
            <w:vAlign w:val="bottom"/>
          </w:tcPr>
          <w:p w14:paraId="627FBF83"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82</w:t>
            </w:r>
          </w:p>
        </w:tc>
        <w:tc>
          <w:tcPr>
            <w:tcW w:w="714" w:type="dxa"/>
            <w:tcBorders>
              <w:top w:val="single" w:sz="4" w:space="0" w:color="B6D5E4"/>
              <w:left w:val="nil"/>
              <w:bottom w:val="single" w:sz="4" w:space="0" w:color="B6D5E4"/>
              <w:right w:val="nil"/>
            </w:tcBorders>
            <w:shd w:val="clear" w:color="auto" w:fill="auto"/>
            <w:vAlign w:val="bottom"/>
          </w:tcPr>
          <w:p w14:paraId="59E2E41F"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70</w:t>
            </w:r>
          </w:p>
        </w:tc>
        <w:tc>
          <w:tcPr>
            <w:tcW w:w="714" w:type="dxa"/>
            <w:tcBorders>
              <w:top w:val="single" w:sz="4" w:space="0" w:color="B6D5E4"/>
              <w:left w:val="nil"/>
              <w:bottom w:val="single" w:sz="4" w:space="0" w:color="B6D5E4"/>
              <w:right w:val="nil"/>
            </w:tcBorders>
            <w:shd w:val="clear" w:color="auto" w:fill="auto"/>
            <w:vAlign w:val="bottom"/>
          </w:tcPr>
          <w:p w14:paraId="705669CD"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16</w:t>
            </w:r>
          </w:p>
        </w:tc>
        <w:tc>
          <w:tcPr>
            <w:tcW w:w="714" w:type="dxa"/>
            <w:tcBorders>
              <w:top w:val="single" w:sz="4" w:space="0" w:color="B6D5E4"/>
              <w:left w:val="nil"/>
              <w:bottom w:val="single" w:sz="4" w:space="0" w:color="B6D5E4"/>
              <w:right w:val="nil"/>
            </w:tcBorders>
            <w:shd w:val="clear" w:color="auto" w:fill="auto"/>
            <w:vAlign w:val="bottom"/>
          </w:tcPr>
          <w:p w14:paraId="3E25D6EF"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p>
        </w:tc>
        <w:tc>
          <w:tcPr>
            <w:tcW w:w="714" w:type="dxa"/>
            <w:tcBorders>
              <w:top w:val="single" w:sz="4" w:space="0" w:color="B6D5E4"/>
              <w:left w:val="nil"/>
              <w:bottom w:val="single" w:sz="4" w:space="0" w:color="B6D5E4"/>
              <w:right w:val="nil"/>
            </w:tcBorders>
            <w:shd w:val="clear" w:color="auto" w:fill="auto"/>
            <w:vAlign w:val="bottom"/>
          </w:tcPr>
          <w:p w14:paraId="4CB3533C"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p>
        </w:tc>
        <w:tc>
          <w:tcPr>
            <w:tcW w:w="673" w:type="dxa"/>
            <w:tcBorders>
              <w:top w:val="single" w:sz="4" w:space="0" w:color="B6D5E4"/>
              <w:left w:val="nil"/>
              <w:bottom w:val="single" w:sz="4" w:space="0" w:color="B6D5E4"/>
              <w:right w:val="nil"/>
            </w:tcBorders>
            <w:shd w:val="clear" w:color="auto" w:fill="auto"/>
            <w:vAlign w:val="bottom"/>
          </w:tcPr>
          <w:p w14:paraId="168CF86B"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p>
        </w:tc>
        <w:tc>
          <w:tcPr>
            <w:tcW w:w="755" w:type="dxa"/>
            <w:tcBorders>
              <w:top w:val="single" w:sz="4" w:space="0" w:color="B6D5E4"/>
              <w:left w:val="nil"/>
              <w:bottom w:val="single" w:sz="4" w:space="0" w:color="B6D5E4"/>
              <w:right w:val="nil"/>
            </w:tcBorders>
            <w:shd w:val="clear" w:color="auto" w:fill="auto"/>
            <w:vAlign w:val="bottom"/>
          </w:tcPr>
          <w:p w14:paraId="3922EF9F"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927</w:t>
            </w:r>
          </w:p>
        </w:tc>
      </w:tr>
      <w:tr w:rsidR="00D10465" w:rsidRPr="0067365F" w14:paraId="27BB0107" w14:textId="77777777" w:rsidTr="00205315">
        <w:trPr>
          <w:trHeight w:val="317"/>
          <w:jc w:val="center"/>
        </w:trPr>
        <w:tc>
          <w:tcPr>
            <w:tcW w:w="2410" w:type="dxa"/>
            <w:tcBorders>
              <w:top w:val="nil"/>
              <w:left w:val="nil"/>
              <w:bottom w:val="single" w:sz="4" w:space="0" w:color="B6D5E4"/>
              <w:right w:val="nil"/>
            </w:tcBorders>
            <w:shd w:val="clear" w:color="auto" w:fill="auto"/>
            <w:vAlign w:val="bottom"/>
          </w:tcPr>
          <w:p w14:paraId="60788BF4" w14:textId="142BC430" w:rsidR="00D10465" w:rsidRPr="00DB1403" w:rsidRDefault="00D10465" w:rsidP="00D0605E">
            <w:pPr>
              <w:keepNext/>
              <w:keepLines/>
              <w:widowControl w:val="0"/>
              <w:tabs>
                <w:tab w:val="clear" w:pos="567"/>
              </w:tabs>
              <w:spacing w:before="0" w:line="240" w:lineRule="auto"/>
              <w:rPr>
                <w:rFonts w:eastAsia="Symbol" w:cs="Open Sans Light"/>
                <w:sz w:val="16"/>
                <w:szCs w:val="16"/>
                <w:lang w:eastAsia="en-AU"/>
              </w:rPr>
            </w:pPr>
            <w:r w:rsidRPr="00DB1403">
              <w:rPr>
                <w:rFonts w:eastAsia="Symbol" w:cs="Open Sans Light"/>
                <w:sz w:val="16"/>
                <w:szCs w:val="16"/>
                <w:lang w:eastAsia="en-AU"/>
              </w:rPr>
              <w:t>BITRE-adjusted data (a)</w:t>
            </w:r>
          </w:p>
        </w:tc>
        <w:tc>
          <w:tcPr>
            <w:tcW w:w="701" w:type="dxa"/>
            <w:tcBorders>
              <w:top w:val="single" w:sz="4" w:space="0" w:color="B6D5E4"/>
              <w:left w:val="nil"/>
              <w:bottom w:val="single" w:sz="4" w:space="0" w:color="B6D5E4"/>
              <w:right w:val="nil"/>
            </w:tcBorders>
            <w:shd w:val="clear" w:color="auto" w:fill="auto"/>
            <w:vAlign w:val="bottom"/>
          </w:tcPr>
          <w:p w14:paraId="0B9DF326"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223</w:t>
            </w:r>
          </w:p>
        </w:tc>
        <w:tc>
          <w:tcPr>
            <w:tcW w:w="714" w:type="dxa"/>
            <w:tcBorders>
              <w:top w:val="single" w:sz="4" w:space="0" w:color="B6D5E4"/>
              <w:left w:val="nil"/>
              <w:bottom w:val="single" w:sz="4" w:space="0" w:color="B6D5E4"/>
              <w:right w:val="nil"/>
            </w:tcBorders>
            <w:shd w:val="clear" w:color="auto" w:fill="auto"/>
            <w:vAlign w:val="bottom"/>
          </w:tcPr>
          <w:p w14:paraId="4585B4AC"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132</w:t>
            </w:r>
          </w:p>
        </w:tc>
        <w:tc>
          <w:tcPr>
            <w:tcW w:w="714" w:type="dxa"/>
            <w:tcBorders>
              <w:top w:val="single" w:sz="4" w:space="0" w:color="B6D5E4"/>
              <w:left w:val="nil"/>
              <w:bottom w:val="single" w:sz="4" w:space="0" w:color="B6D5E4"/>
              <w:right w:val="nil"/>
            </w:tcBorders>
            <w:shd w:val="clear" w:color="auto" w:fill="auto"/>
            <w:vAlign w:val="bottom"/>
          </w:tcPr>
          <w:p w14:paraId="35710958"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50</w:t>
            </w:r>
          </w:p>
        </w:tc>
        <w:tc>
          <w:tcPr>
            <w:tcW w:w="714" w:type="dxa"/>
            <w:tcBorders>
              <w:top w:val="single" w:sz="4" w:space="0" w:color="B6D5E4"/>
              <w:left w:val="nil"/>
              <w:bottom w:val="single" w:sz="4" w:space="0" w:color="B6D5E4"/>
              <w:right w:val="nil"/>
            </w:tcBorders>
            <w:shd w:val="clear" w:color="auto" w:fill="auto"/>
            <w:vAlign w:val="bottom"/>
          </w:tcPr>
          <w:p w14:paraId="4C804D29"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48</w:t>
            </w:r>
          </w:p>
        </w:tc>
        <w:tc>
          <w:tcPr>
            <w:tcW w:w="714" w:type="dxa"/>
            <w:tcBorders>
              <w:top w:val="single" w:sz="4" w:space="0" w:color="B6D5E4"/>
              <w:left w:val="nil"/>
              <w:bottom w:val="single" w:sz="4" w:space="0" w:color="B6D5E4"/>
              <w:right w:val="nil"/>
            </w:tcBorders>
            <w:shd w:val="clear" w:color="auto" w:fill="auto"/>
            <w:vAlign w:val="bottom"/>
          </w:tcPr>
          <w:p w14:paraId="711CEFB7"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10</w:t>
            </w:r>
          </w:p>
        </w:tc>
        <w:tc>
          <w:tcPr>
            <w:tcW w:w="714" w:type="dxa"/>
            <w:tcBorders>
              <w:top w:val="single" w:sz="4" w:space="0" w:color="B6D5E4"/>
              <w:left w:val="nil"/>
              <w:bottom w:val="single" w:sz="4" w:space="0" w:color="B6D5E4"/>
              <w:right w:val="nil"/>
            </w:tcBorders>
            <w:shd w:val="clear" w:color="auto" w:fill="auto"/>
            <w:vAlign w:val="bottom"/>
          </w:tcPr>
          <w:p w14:paraId="7E2526CE"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p>
        </w:tc>
        <w:tc>
          <w:tcPr>
            <w:tcW w:w="714" w:type="dxa"/>
            <w:tcBorders>
              <w:top w:val="single" w:sz="4" w:space="0" w:color="B6D5E4"/>
              <w:left w:val="nil"/>
              <w:bottom w:val="single" w:sz="4" w:space="0" w:color="B6D5E4"/>
              <w:right w:val="nil"/>
            </w:tcBorders>
            <w:shd w:val="clear" w:color="auto" w:fill="auto"/>
            <w:vAlign w:val="bottom"/>
          </w:tcPr>
          <w:p w14:paraId="724E9941"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p>
        </w:tc>
        <w:tc>
          <w:tcPr>
            <w:tcW w:w="673" w:type="dxa"/>
            <w:tcBorders>
              <w:top w:val="single" w:sz="4" w:space="0" w:color="B6D5E4"/>
              <w:left w:val="nil"/>
              <w:bottom w:val="single" w:sz="4" w:space="0" w:color="B6D5E4"/>
              <w:right w:val="nil"/>
            </w:tcBorders>
            <w:shd w:val="clear" w:color="auto" w:fill="auto"/>
            <w:vAlign w:val="bottom"/>
          </w:tcPr>
          <w:p w14:paraId="4C5A4C85"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p>
        </w:tc>
        <w:tc>
          <w:tcPr>
            <w:tcW w:w="755" w:type="dxa"/>
            <w:tcBorders>
              <w:top w:val="single" w:sz="4" w:space="0" w:color="B6D5E4"/>
              <w:left w:val="nil"/>
              <w:bottom w:val="single" w:sz="4" w:space="0" w:color="B6D5E4"/>
              <w:right w:val="nil"/>
            </w:tcBorders>
            <w:shd w:val="clear" w:color="auto" w:fill="auto"/>
            <w:vAlign w:val="bottom"/>
          </w:tcPr>
          <w:p w14:paraId="3F367889"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463</w:t>
            </w:r>
          </w:p>
        </w:tc>
      </w:tr>
      <w:tr w:rsidR="00D10465" w:rsidRPr="0067365F" w14:paraId="74B2D927" w14:textId="77777777" w:rsidTr="00205315">
        <w:trPr>
          <w:trHeight w:val="317"/>
          <w:jc w:val="center"/>
        </w:trPr>
        <w:tc>
          <w:tcPr>
            <w:tcW w:w="2410" w:type="dxa"/>
            <w:tcBorders>
              <w:top w:val="nil"/>
              <w:left w:val="nil"/>
              <w:bottom w:val="single" w:sz="4" w:space="0" w:color="B6D5E4"/>
              <w:right w:val="nil"/>
            </w:tcBorders>
            <w:shd w:val="clear" w:color="auto" w:fill="auto"/>
            <w:vAlign w:val="bottom"/>
          </w:tcPr>
          <w:p w14:paraId="4C233A8A" w14:textId="77777777" w:rsidR="00D10465" w:rsidRPr="00DB1403" w:rsidRDefault="00D10465" w:rsidP="00D0605E">
            <w:pPr>
              <w:keepNext/>
              <w:keepLines/>
              <w:widowControl w:val="0"/>
              <w:tabs>
                <w:tab w:val="clear" w:pos="567"/>
              </w:tabs>
              <w:spacing w:before="0" w:line="240" w:lineRule="auto"/>
              <w:rPr>
                <w:rFonts w:eastAsia="Symbol" w:cs="Open Sans Light"/>
                <w:sz w:val="16"/>
                <w:szCs w:val="16"/>
                <w:lang w:eastAsia="en-AU"/>
              </w:rPr>
            </w:pPr>
            <w:r w:rsidRPr="00DB1403">
              <w:rPr>
                <w:rFonts w:eastAsia="Symbol" w:cs="Open Sans Light"/>
                <w:sz w:val="16"/>
                <w:szCs w:val="16"/>
                <w:lang w:eastAsia="en-AU"/>
              </w:rPr>
              <w:t>2020-21 State ticket data (b)</w:t>
            </w:r>
          </w:p>
        </w:tc>
        <w:tc>
          <w:tcPr>
            <w:tcW w:w="701" w:type="dxa"/>
            <w:tcBorders>
              <w:top w:val="single" w:sz="4" w:space="0" w:color="B6D5E4"/>
              <w:left w:val="nil"/>
              <w:bottom w:val="single" w:sz="4" w:space="0" w:color="B6D5E4"/>
              <w:right w:val="nil"/>
            </w:tcBorders>
            <w:shd w:val="clear" w:color="auto" w:fill="auto"/>
            <w:vAlign w:val="bottom"/>
          </w:tcPr>
          <w:p w14:paraId="7E89A788"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273</w:t>
            </w:r>
          </w:p>
        </w:tc>
        <w:tc>
          <w:tcPr>
            <w:tcW w:w="714" w:type="dxa"/>
            <w:tcBorders>
              <w:top w:val="single" w:sz="4" w:space="0" w:color="B6D5E4"/>
              <w:left w:val="nil"/>
              <w:bottom w:val="single" w:sz="4" w:space="0" w:color="B6D5E4"/>
              <w:right w:val="nil"/>
            </w:tcBorders>
            <w:shd w:val="clear" w:color="auto" w:fill="auto"/>
            <w:vAlign w:val="bottom"/>
          </w:tcPr>
          <w:p w14:paraId="01ECFFBA"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110</w:t>
            </w:r>
          </w:p>
        </w:tc>
        <w:tc>
          <w:tcPr>
            <w:tcW w:w="714" w:type="dxa"/>
            <w:tcBorders>
              <w:top w:val="single" w:sz="4" w:space="0" w:color="B6D5E4"/>
              <w:left w:val="nil"/>
              <w:bottom w:val="single" w:sz="4" w:space="0" w:color="B6D5E4"/>
              <w:right w:val="nil"/>
            </w:tcBorders>
            <w:shd w:val="clear" w:color="auto" w:fill="auto"/>
            <w:vAlign w:val="bottom"/>
          </w:tcPr>
          <w:p w14:paraId="7C1B24A9"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52</w:t>
            </w:r>
          </w:p>
        </w:tc>
        <w:tc>
          <w:tcPr>
            <w:tcW w:w="714" w:type="dxa"/>
            <w:tcBorders>
              <w:top w:val="single" w:sz="4" w:space="0" w:color="B6D5E4"/>
              <w:left w:val="nil"/>
              <w:bottom w:val="single" w:sz="4" w:space="0" w:color="B6D5E4"/>
              <w:right w:val="nil"/>
            </w:tcBorders>
            <w:shd w:val="clear" w:color="auto" w:fill="auto"/>
            <w:vAlign w:val="bottom"/>
          </w:tcPr>
          <w:p w14:paraId="385A5A0A"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54</w:t>
            </w:r>
          </w:p>
        </w:tc>
        <w:tc>
          <w:tcPr>
            <w:tcW w:w="714" w:type="dxa"/>
            <w:tcBorders>
              <w:top w:val="single" w:sz="4" w:space="0" w:color="B6D5E4"/>
              <w:left w:val="nil"/>
              <w:bottom w:val="single" w:sz="4" w:space="0" w:color="B6D5E4"/>
              <w:right w:val="nil"/>
            </w:tcBorders>
            <w:shd w:val="clear" w:color="auto" w:fill="auto"/>
            <w:vAlign w:val="bottom"/>
          </w:tcPr>
          <w:p w14:paraId="7D3CF8BD"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11</w:t>
            </w:r>
          </w:p>
        </w:tc>
        <w:tc>
          <w:tcPr>
            <w:tcW w:w="714" w:type="dxa"/>
            <w:tcBorders>
              <w:top w:val="single" w:sz="4" w:space="0" w:color="B6D5E4"/>
              <w:left w:val="nil"/>
              <w:bottom w:val="single" w:sz="4" w:space="0" w:color="B6D5E4"/>
              <w:right w:val="nil"/>
            </w:tcBorders>
            <w:shd w:val="clear" w:color="auto" w:fill="auto"/>
            <w:vAlign w:val="bottom"/>
          </w:tcPr>
          <w:p w14:paraId="271F52F6"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p>
        </w:tc>
        <w:tc>
          <w:tcPr>
            <w:tcW w:w="714" w:type="dxa"/>
            <w:tcBorders>
              <w:top w:val="single" w:sz="4" w:space="0" w:color="B6D5E4"/>
              <w:left w:val="nil"/>
              <w:bottom w:val="single" w:sz="4" w:space="0" w:color="B6D5E4"/>
              <w:right w:val="nil"/>
            </w:tcBorders>
            <w:shd w:val="clear" w:color="auto" w:fill="auto"/>
            <w:vAlign w:val="bottom"/>
          </w:tcPr>
          <w:p w14:paraId="77BE7B35"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p>
        </w:tc>
        <w:tc>
          <w:tcPr>
            <w:tcW w:w="673" w:type="dxa"/>
            <w:tcBorders>
              <w:top w:val="single" w:sz="4" w:space="0" w:color="B6D5E4"/>
              <w:left w:val="nil"/>
              <w:bottom w:val="single" w:sz="4" w:space="0" w:color="B6D5E4"/>
              <w:right w:val="nil"/>
            </w:tcBorders>
            <w:shd w:val="clear" w:color="auto" w:fill="auto"/>
            <w:vAlign w:val="bottom"/>
          </w:tcPr>
          <w:p w14:paraId="6189AA45"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p>
        </w:tc>
        <w:tc>
          <w:tcPr>
            <w:tcW w:w="755" w:type="dxa"/>
            <w:tcBorders>
              <w:top w:val="single" w:sz="4" w:space="0" w:color="B6D5E4"/>
              <w:left w:val="nil"/>
              <w:bottom w:val="single" w:sz="4" w:space="0" w:color="B6D5E4"/>
              <w:right w:val="nil"/>
            </w:tcBorders>
            <w:shd w:val="clear" w:color="auto" w:fill="auto"/>
            <w:vAlign w:val="bottom"/>
          </w:tcPr>
          <w:p w14:paraId="79560961"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500</w:t>
            </w:r>
          </w:p>
        </w:tc>
      </w:tr>
      <w:tr w:rsidR="00086FF5" w:rsidRPr="0067365F" w14:paraId="4168B56E" w14:textId="77777777" w:rsidTr="00205315">
        <w:trPr>
          <w:trHeight w:val="317"/>
          <w:jc w:val="center"/>
        </w:trPr>
        <w:tc>
          <w:tcPr>
            <w:tcW w:w="2410" w:type="dxa"/>
            <w:tcBorders>
              <w:top w:val="nil"/>
              <w:left w:val="nil"/>
              <w:bottom w:val="single" w:sz="4" w:space="0" w:color="B6D5E4"/>
              <w:right w:val="nil"/>
            </w:tcBorders>
            <w:shd w:val="clear" w:color="auto" w:fill="auto"/>
            <w:vAlign w:val="bottom"/>
          </w:tcPr>
          <w:p w14:paraId="1788689C" w14:textId="2DD03EF6" w:rsidR="00086FF5" w:rsidRPr="00DB1403" w:rsidRDefault="00086FF5" w:rsidP="00D0605E">
            <w:pPr>
              <w:keepNext/>
              <w:keepLines/>
              <w:widowControl w:val="0"/>
              <w:tabs>
                <w:tab w:val="clear" w:pos="567"/>
              </w:tabs>
              <w:spacing w:before="0" w:line="240" w:lineRule="auto"/>
              <w:rPr>
                <w:rFonts w:eastAsia="Symbol" w:cs="Open Sans Light"/>
                <w:sz w:val="16"/>
                <w:szCs w:val="16"/>
                <w:lang w:eastAsia="en-AU"/>
              </w:rPr>
            </w:pPr>
            <w:r w:rsidRPr="00DB1403">
              <w:rPr>
                <w:rFonts w:eastAsia="Symbol" w:cs="Open Sans Light"/>
                <w:sz w:val="16"/>
                <w:szCs w:val="16"/>
                <w:lang w:eastAsia="en-AU"/>
              </w:rPr>
              <w:t>2021 Census passengers</w:t>
            </w:r>
          </w:p>
        </w:tc>
        <w:tc>
          <w:tcPr>
            <w:tcW w:w="701" w:type="dxa"/>
            <w:tcBorders>
              <w:top w:val="single" w:sz="4" w:space="0" w:color="ADD6EA"/>
              <w:left w:val="nil"/>
              <w:bottom w:val="single" w:sz="4" w:space="0" w:color="ADD6EA"/>
              <w:right w:val="nil"/>
            </w:tcBorders>
            <w:shd w:val="clear" w:color="auto" w:fill="auto"/>
            <w:vAlign w:val="bottom"/>
          </w:tcPr>
          <w:p w14:paraId="6721DDCB" w14:textId="290C2801" w:rsidR="00086FF5" w:rsidRPr="00DB1403" w:rsidRDefault="00086FF5" w:rsidP="00086FF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100</w:t>
            </w:r>
          </w:p>
        </w:tc>
        <w:tc>
          <w:tcPr>
            <w:tcW w:w="714" w:type="dxa"/>
            <w:tcBorders>
              <w:top w:val="single" w:sz="4" w:space="0" w:color="ADD6EA"/>
              <w:left w:val="nil"/>
              <w:bottom w:val="single" w:sz="4" w:space="0" w:color="ADD6EA"/>
              <w:right w:val="nil"/>
            </w:tcBorders>
            <w:shd w:val="clear" w:color="auto" w:fill="auto"/>
            <w:vAlign w:val="bottom"/>
          </w:tcPr>
          <w:p w14:paraId="1946ACA2" w14:textId="52677086" w:rsidR="00086FF5" w:rsidRPr="00DB1403" w:rsidRDefault="00086FF5" w:rsidP="00086FF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86</w:t>
            </w:r>
          </w:p>
        </w:tc>
        <w:tc>
          <w:tcPr>
            <w:tcW w:w="714" w:type="dxa"/>
            <w:tcBorders>
              <w:top w:val="single" w:sz="4" w:space="0" w:color="ADD6EA"/>
              <w:left w:val="nil"/>
              <w:bottom w:val="single" w:sz="4" w:space="0" w:color="ADD6EA"/>
              <w:right w:val="nil"/>
            </w:tcBorders>
            <w:shd w:val="clear" w:color="auto" w:fill="auto"/>
            <w:vAlign w:val="bottom"/>
          </w:tcPr>
          <w:p w14:paraId="47598E4E" w14:textId="6554AD6D" w:rsidR="00086FF5" w:rsidRPr="00DB1403" w:rsidRDefault="00086FF5" w:rsidP="00086FF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41</w:t>
            </w:r>
          </w:p>
        </w:tc>
        <w:tc>
          <w:tcPr>
            <w:tcW w:w="714" w:type="dxa"/>
            <w:tcBorders>
              <w:top w:val="single" w:sz="4" w:space="0" w:color="ADD6EA"/>
              <w:left w:val="nil"/>
              <w:bottom w:val="single" w:sz="4" w:space="0" w:color="ADD6EA"/>
              <w:right w:val="nil"/>
            </w:tcBorders>
            <w:shd w:val="clear" w:color="auto" w:fill="auto"/>
            <w:vAlign w:val="bottom"/>
          </w:tcPr>
          <w:p w14:paraId="51B51CCD" w14:textId="7C8E2C40" w:rsidR="00086FF5" w:rsidRPr="00DB1403" w:rsidRDefault="00086FF5" w:rsidP="00086FF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51</w:t>
            </w:r>
          </w:p>
        </w:tc>
        <w:tc>
          <w:tcPr>
            <w:tcW w:w="714" w:type="dxa"/>
            <w:tcBorders>
              <w:top w:val="single" w:sz="4" w:space="0" w:color="ADD6EA"/>
              <w:left w:val="nil"/>
              <w:bottom w:val="single" w:sz="4" w:space="0" w:color="ADD6EA"/>
              <w:right w:val="nil"/>
            </w:tcBorders>
            <w:shd w:val="clear" w:color="auto" w:fill="auto"/>
            <w:vAlign w:val="bottom"/>
          </w:tcPr>
          <w:p w14:paraId="2C1ED5D7" w14:textId="7544848A" w:rsidR="00086FF5" w:rsidRPr="00DB1403" w:rsidRDefault="00086FF5" w:rsidP="00086FF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8</w:t>
            </w:r>
          </w:p>
        </w:tc>
        <w:tc>
          <w:tcPr>
            <w:tcW w:w="714" w:type="dxa"/>
            <w:tcBorders>
              <w:top w:val="single" w:sz="4" w:space="0" w:color="ADD6EA"/>
              <w:left w:val="nil"/>
              <w:bottom w:val="single" w:sz="4" w:space="0" w:color="ADD6EA"/>
              <w:right w:val="nil"/>
            </w:tcBorders>
            <w:shd w:val="clear" w:color="auto" w:fill="auto"/>
            <w:vAlign w:val="bottom"/>
          </w:tcPr>
          <w:p w14:paraId="35FE6C21" w14:textId="77777777" w:rsidR="00086FF5" w:rsidRPr="00DB1403" w:rsidRDefault="00086FF5" w:rsidP="00086FF5">
            <w:pPr>
              <w:keepNext/>
              <w:keepLines/>
              <w:widowControl w:val="0"/>
              <w:tabs>
                <w:tab w:val="clear" w:pos="567"/>
              </w:tabs>
              <w:spacing w:before="0" w:line="240" w:lineRule="auto"/>
              <w:jc w:val="right"/>
              <w:rPr>
                <w:rFonts w:eastAsia="Times New Roman" w:cs="Open Sans Light"/>
                <w:sz w:val="16"/>
                <w:szCs w:val="16"/>
                <w:lang w:eastAsia="en-AU"/>
              </w:rPr>
            </w:pPr>
          </w:p>
        </w:tc>
        <w:tc>
          <w:tcPr>
            <w:tcW w:w="714" w:type="dxa"/>
            <w:tcBorders>
              <w:top w:val="single" w:sz="4" w:space="0" w:color="ADD6EA"/>
              <w:left w:val="nil"/>
              <w:bottom w:val="single" w:sz="4" w:space="0" w:color="ADD6EA"/>
              <w:right w:val="nil"/>
            </w:tcBorders>
            <w:shd w:val="clear" w:color="auto" w:fill="auto"/>
            <w:vAlign w:val="bottom"/>
          </w:tcPr>
          <w:p w14:paraId="7C86EB5A" w14:textId="77777777" w:rsidR="00086FF5" w:rsidRPr="00DB1403" w:rsidRDefault="00086FF5" w:rsidP="00086FF5">
            <w:pPr>
              <w:keepNext/>
              <w:keepLines/>
              <w:widowControl w:val="0"/>
              <w:tabs>
                <w:tab w:val="clear" w:pos="567"/>
              </w:tabs>
              <w:spacing w:before="0" w:line="240" w:lineRule="auto"/>
              <w:jc w:val="right"/>
              <w:rPr>
                <w:rFonts w:eastAsia="Times New Roman" w:cs="Open Sans Light"/>
                <w:sz w:val="16"/>
                <w:szCs w:val="16"/>
                <w:lang w:eastAsia="en-AU"/>
              </w:rPr>
            </w:pPr>
          </w:p>
        </w:tc>
        <w:tc>
          <w:tcPr>
            <w:tcW w:w="673" w:type="dxa"/>
            <w:tcBorders>
              <w:top w:val="single" w:sz="4" w:space="0" w:color="ADD6EA"/>
              <w:left w:val="nil"/>
              <w:bottom w:val="single" w:sz="4" w:space="0" w:color="ADD6EA"/>
              <w:right w:val="nil"/>
            </w:tcBorders>
            <w:shd w:val="clear" w:color="auto" w:fill="auto"/>
            <w:vAlign w:val="bottom"/>
          </w:tcPr>
          <w:p w14:paraId="5EFFD2D4" w14:textId="77777777" w:rsidR="00086FF5" w:rsidRPr="00DB1403" w:rsidRDefault="00086FF5" w:rsidP="00086FF5">
            <w:pPr>
              <w:keepNext/>
              <w:keepLines/>
              <w:widowControl w:val="0"/>
              <w:tabs>
                <w:tab w:val="clear" w:pos="567"/>
              </w:tabs>
              <w:spacing w:before="0" w:line="240" w:lineRule="auto"/>
              <w:jc w:val="right"/>
              <w:rPr>
                <w:rFonts w:eastAsia="Times New Roman" w:cs="Open Sans Light"/>
                <w:sz w:val="16"/>
                <w:szCs w:val="16"/>
                <w:lang w:eastAsia="en-AU"/>
              </w:rPr>
            </w:pPr>
          </w:p>
        </w:tc>
        <w:tc>
          <w:tcPr>
            <w:tcW w:w="755" w:type="dxa"/>
            <w:tcBorders>
              <w:top w:val="single" w:sz="4" w:space="0" w:color="ADD6EA"/>
              <w:left w:val="nil"/>
              <w:bottom w:val="single" w:sz="4" w:space="0" w:color="ADD6EA"/>
              <w:right w:val="nil"/>
            </w:tcBorders>
            <w:shd w:val="clear" w:color="auto" w:fill="auto"/>
            <w:vAlign w:val="bottom"/>
          </w:tcPr>
          <w:p w14:paraId="17480807" w14:textId="609D948C" w:rsidR="00086FF5" w:rsidRPr="00DB1403" w:rsidRDefault="00086FF5" w:rsidP="00086FF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286</w:t>
            </w:r>
          </w:p>
        </w:tc>
      </w:tr>
      <w:tr w:rsidR="00D10465" w:rsidRPr="0067365F" w14:paraId="408FA8AD" w14:textId="77777777" w:rsidTr="003312BC">
        <w:trPr>
          <w:trHeight w:val="317"/>
          <w:jc w:val="center"/>
        </w:trPr>
        <w:tc>
          <w:tcPr>
            <w:tcW w:w="8824" w:type="dxa"/>
            <w:gridSpan w:val="10"/>
            <w:tcBorders>
              <w:top w:val="nil"/>
              <w:left w:val="nil"/>
              <w:bottom w:val="single" w:sz="4" w:space="0" w:color="B6D5E4"/>
              <w:right w:val="nil"/>
            </w:tcBorders>
            <w:shd w:val="clear" w:color="auto" w:fill="auto"/>
            <w:vAlign w:val="bottom"/>
          </w:tcPr>
          <w:p w14:paraId="6116BE4E" w14:textId="7B0D0D5F" w:rsidR="00D10465" w:rsidRPr="00205315" w:rsidRDefault="00D10465" w:rsidP="00D0605E">
            <w:pPr>
              <w:keepNext/>
              <w:keepLines/>
              <w:widowControl w:val="0"/>
              <w:tabs>
                <w:tab w:val="clear" w:pos="567"/>
              </w:tabs>
              <w:spacing w:before="0" w:line="240" w:lineRule="auto"/>
              <w:rPr>
                <w:rFonts w:ascii="Open Sans Semibold" w:eastAsia="Times New Roman" w:hAnsi="Open Sans Semibold" w:cs="Open Sans Semibold"/>
                <w:sz w:val="16"/>
                <w:szCs w:val="16"/>
                <w:lang w:eastAsia="en-AU"/>
              </w:rPr>
            </w:pPr>
            <w:r w:rsidRPr="00205315">
              <w:rPr>
                <w:rFonts w:ascii="Open Sans Semibold" w:eastAsia="Times New Roman" w:hAnsi="Open Sans Semibold" w:cs="Open Sans Semibold"/>
                <w:sz w:val="16"/>
                <w:szCs w:val="16"/>
                <w:lang w:eastAsia="en-AU"/>
              </w:rPr>
              <w:t xml:space="preserve">Bus </w:t>
            </w:r>
            <w:r w:rsidRPr="003312BC">
              <w:rPr>
                <w:rFonts w:ascii="Open Sans Semibold" w:eastAsia="Times New Roman" w:hAnsi="Open Sans Semibold" w:cs="Open Sans Semibold"/>
                <w:sz w:val="16"/>
                <w:szCs w:val="16"/>
                <w:lang w:eastAsia="en-AU"/>
              </w:rPr>
              <w:t xml:space="preserve">and </w:t>
            </w:r>
            <w:r w:rsidR="00362E5C" w:rsidRPr="003312BC">
              <w:rPr>
                <w:rFonts w:ascii="Open Sans Semibold" w:eastAsia="Times New Roman" w:hAnsi="Open Sans Semibold" w:cs="Open Sans Semibold"/>
                <w:sz w:val="16"/>
                <w:szCs w:val="16"/>
                <w:lang w:eastAsia="en-AU"/>
              </w:rPr>
              <w:t>l</w:t>
            </w:r>
            <w:r w:rsidRPr="003312BC">
              <w:rPr>
                <w:rFonts w:ascii="Open Sans Semibold" w:eastAsia="Times New Roman" w:hAnsi="Open Sans Semibold" w:cs="Open Sans Semibold"/>
                <w:sz w:val="16"/>
                <w:szCs w:val="16"/>
                <w:lang w:eastAsia="en-AU"/>
              </w:rPr>
              <w:t xml:space="preserve">ight </w:t>
            </w:r>
            <w:r w:rsidR="00362E5C" w:rsidRPr="003312BC">
              <w:rPr>
                <w:rFonts w:ascii="Open Sans Semibold" w:eastAsia="Times New Roman" w:hAnsi="Open Sans Semibold" w:cs="Open Sans Semibold"/>
                <w:sz w:val="16"/>
                <w:szCs w:val="16"/>
                <w:lang w:eastAsia="en-AU"/>
              </w:rPr>
              <w:t>r</w:t>
            </w:r>
            <w:r w:rsidRPr="003312BC">
              <w:rPr>
                <w:rFonts w:ascii="Open Sans Semibold" w:eastAsia="Times New Roman" w:hAnsi="Open Sans Semibold" w:cs="Open Sans Semibold"/>
                <w:sz w:val="16"/>
                <w:szCs w:val="16"/>
                <w:lang w:eastAsia="en-AU"/>
              </w:rPr>
              <w:t>ail</w:t>
            </w:r>
          </w:p>
        </w:tc>
      </w:tr>
      <w:tr w:rsidR="00D10465" w:rsidRPr="0067365F" w14:paraId="4F39CF9A" w14:textId="77777777" w:rsidTr="00205315">
        <w:trPr>
          <w:trHeight w:val="317"/>
          <w:jc w:val="center"/>
        </w:trPr>
        <w:tc>
          <w:tcPr>
            <w:tcW w:w="2410" w:type="dxa"/>
            <w:tcBorders>
              <w:top w:val="nil"/>
              <w:left w:val="nil"/>
              <w:bottom w:val="single" w:sz="4" w:space="0" w:color="B6D5E4"/>
              <w:right w:val="nil"/>
            </w:tcBorders>
            <w:shd w:val="clear" w:color="auto" w:fill="auto"/>
            <w:vAlign w:val="bottom"/>
          </w:tcPr>
          <w:p w14:paraId="6246D5BA" w14:textId="77777777" w:rsidR="00D10465" w:rsidRPr="00DB1403" w:rsidRDefault="00D10465" w:rsidP="00D0605E">
            <w:pPr>
              <w:keepNext/>
              <w:keepLines/>
              <w:widowControl w:val="0"/>
              <w:tabs>
                <w:tab w:val="clear" w:pos="567"/>
              </w:tabs>
              <w:spacing w:before="0" w:line="240" w:lineRule="auto"/>
              <w:rPr>
                <w:rFonts w:eastAsia="Symbol" w:cs="Open Sans Light"/>
                <w:sz w:val="16"/>
                <w:szCs w:val="16"/>
                <w:lang w:eastAsia="en-AU"/>
              </w:rPr>
            </w:pPr>
            <w:r w:rsidRPr="00DB1403">
              <w:rPr>
                <w:rFonts w:eastAsia="Symbol" w:cs="Open Sans Light"/>
                <w:sz w:val="16"/>
                <w:szCs w:val="16"/>
                <w:lang w:eastAsia="en-AU"/>
              </w:rPr>
              <w:t>2016 Census passengers</w:t>
            </w:r>
          </w:p>
        </w:tc>
        <w:tc>
          <w:tcPr>
            <w:tcW w:w="701" w:type="dxa"/>
            <w:tcBorders>
              <w:top w:val="single" w:sz="4" w:space="0" w:color="ADD6EA"/>
              <w:left w:val="nil"/>
              <w:bottom w:val="nil"/>
              <w:right w:val="nil"/>
            </w:tcBorders>
            <w:shd w:val="clear" w:color="auto" w:fill="auto"/>
            <w:vAlign w:val="bottom"/>
          </w:tcPr>
          <w:p w14:paraId="52823B74"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185</w:t>
            </w:r>
          </w:p>
        </w:tc>
        <w:tc>
          <w:tcPr>
            <w:tcW w:w="714" w:type="dxa"/>
            <w:tcBorders>
              <w:top w:val="single" w:sz="4" w:space="0" w:color="ADD6EA"/>
              <w:left w:val="nil"/>
              <w:bottom w:val="nil"/>
              <w:right w:val="nil"/>
            </w:tcBorders>
            <w:shd w:val="clear" w:color="auto" w:fill="auto"/>
            <w:vAlign w:val="bottom"/>
          </w:tcPr>
          <w:p w14:paraId="692FA6C8"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112</w:t>
            </w:r>
          </w:p>
        </w:tc>
        <w:tc>
          <w:tcPr>
            <w:tcW w:w="714" w:type="dxa"/>
            <w:tcBorders>
              <w:top w:val="single" w:sz="4" w:space="0" w:color="ADD6EA"/>
              <w:left w:val="nil"/>
              <w:bottom w:val="nil"/>
              <w:right w:val="nil"/>
            </w:tcBorders>
            <w:shd w:val="clear" w:color="auto" w:fill="auto"/>
            <w:vAlign w:val="bottom"/>
          </w:tcPr>
          <w:p w14:paraId="641E3819"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89</w:t>
            </w:r>
          </w:p>
        </w:tc>
        <w:tc>
          <w:tcPr>
            <w:tcW w:w="714" w:type="dxa"/>
            <w:tcBorders>
              <w:top w:val="single" w:sz="4" w:space="0" w:color="ADD6EA"/>
              <w:left w:val="nil"/>
              <w:bottom w:val="nil"/>
              <w:right w:val="nil"/>
            </w:tcBorders>
            <w:shd w:val="clear" w:color="auto" w:fill="auto"/>
            <w:vAlign w:val="bottom"/>
          </w:tcPr>
          <w:p w14:paraId="765AF111"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51</w:t>
            </w:r>
          </w:p>
        </w:tc>
        <w:tc>
          <w:tcPr>
            <w:tcW w:w="714" w:type="dxa"/>
            <w:tcBorders>
              <w:top w:val="single" w:sz="4" w:space="0" w:color="ADD6EA"/>
              <w:left w:val="nil"/>
              <w:bottom w:val="nil"/>
              <w:right w:val="nil"/>
            </w:tcBorders>
            <w:shd w:val="clear" w:color="auto" w:fill="auto"/>
            <w:vAlign w:val="bottom"/>
          </w:tcPr>
          <w:p w14:paraId="19DF1F26"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46</w:t>
            </w:r>
          </w:p>
        </w:tc>
        <w:tc>
          <w:tcPr>
            <w:tcW w:w="714" w:type="dxa"/>
            <w:tcBorders>
              <w:top w:val="single" w:sz="4" w:space="0" w:color="ADD6EA"/>
              <w:left w:val="nil"/>
              <w:bottom w:val="nil"/>
              <w:right w:val="nil"/>
            </w:tcBorders>
            <w:shd w:val="clear" w:color="auto" w:fill="auto"/>
            <w:vAlign w:val="bottom"/>
          </w:tcPr>
          <w:p w14:paraId="1FBAC5F4"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6</w:t>
            </w:r>
          </w:p>
        </w:tc>
        <w:tc>
          <w:tcPr>
            <w:tcW w:w="714" w:type="dxa"/>
            <w:tcBorders>
              <w:top w:val="single" w:sz="4" w:space="0" w:color="ADD6EA"/>
              <w:left w:val="nil"/>
              <w:bottom w:val="nil"/>
              <w:right w:val="nil"/>
            </w:tcBorders>
            <w:shd w:val="clear" w:color="auto" w:fill="auto"/>
            <w:vAlign w:val="bottom"/>
          </w:tcPr>
          <w:p w14:paraId="5B48F09D"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16</w:t>
            </w:r>
          </w:p>
        </w:tc>
        <w:tc>
          <w:tcPr>
            <w:tcW w:w="673" w:type="dxa"/>
            <w:tcBorders>
              <w:top w:val="single" w:sz="4" w:space="0" w:color="ADD6EA"/>
              <w:left w:val="nil"/>
              <w:bottom w:val="nil"/>
              <w:right w:val="nil"/>
            </w:tcBorders>
            <w:shd w:val="clear" w:color="auto" w:fill="auto"/>
            <w:vAlign w:val="bottom"/>
          </w:tcPr>
          <w:p w14:paraId="1843A21C"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7</w:t>
            </w:r>
          </w:p>
        </w:tc>
        <w:tc>
          <w:tcPr>
            <w:tcW w:w="755" w:type="dxa"/>
            <w:tcBorders>
              <w:top w:val="single" w:sz="4" w:space="0" w:color="ADD6EA"/>
              <w:left w:val="nil"/>
              <w:bottom w:val="nil"/>
              <w:right w:val="nil"/>
            </w:tcBorders>
            <w:shd w:val="clear" w:color="auto" w:fill="auto"/>
            <w:vAlign w:val="bottom"/>
          </w:tcPr>
          <w:p w14:paraId="75AED54D"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512</w:t>
            </w:r>
          </w:p>
        </w:tc>
      </w:tr>
      <w:tr w:rsidR="00D10465" w:rsidRPr="0067365F" w14:paraId="6D5197B3" w14:textId="77777777" w:rsidTr="00205315">
        <w:trPr>
          <w:trHeight w:val="317"/>
          <w:jc w:val="center"/>
        </w:trPr>
        <w:tc>
          <w:tcPr>
            <w:tcW w:w="2410" w:type="dxa"/>
            <w:tcBorders>
              <w:top w:val="nil"/>
              <w:left w:val="nil"/>
              <w:bottom w:val="single" w:sz="4" w:space="0" w:color="B6D5E4"/>
              <w:right w:val="nil"/>
            </w:tcBorders>
            <w:shd w:val="clear" w:color="auto" w:fill="auto"/>
            <w:vAlign w:val="bottom"/>
          </w:tcPr>
          <w:p w14:paraId="77DE1EAF" w14:textId="6038B28F" w:rsidR="00D10465" w:rsidRPr="00DB1403" w:rsidRDefault="00D10465" w:rsidP="00D0605E">
            <w:pPr>
              <w:keepNext/>
              <w:keepLines/>
              <w:widowControl w:val="0"/>
              <w:tabs>
                <w:tab w:val="clear" w:pos="567"/>
              </w:tabs>
              <w:spacing w:before="0" w:line="240" w:lineRule="auto"/>
              <w:rPr>
                <w:rFonts w:eastAsia="Symbol" w:cs="Open Sans Light"/>
                <w:sz w:val="16"/>
                <w:szCs w:val="16"/>
                <w:lang w:eastAsia="en-AU"/>
              </w:rPr>
            </w:pPr>
            <w:r w:rsidRPr="00DB1403">
              <w:rPr>
                <w:rFonts w:eastAsia="Symbol" w:cs="Open Sans Light"/>
                <w:sz w:val="16"/>
                <w:szCs w:val="16"/>
                <w:lang w:eastAsia="en-AU"/>
              </w:rPr>
              <w:t>BITRE-adjusted data (a)</w:t>
            </w:r>
          </w:p>
        </w:tc>
        <w:tc>
          <w:tcPr>
            <w:tcW w:w="701" w:type="dxa"/>
            <w:tcBorders>
              <w:top w:val="single" w:sz="4" w:space="0" w:color="ADD6EA"/>
              <w:left w:val="nil"/>
              <w:bottom w:val="nil"/>
              <w:right w:val="nil"/>
            </w:tcBorders>
            <w:shd w:val="clear" w:color="auto" w:fill="auto"/>
            <w:vAlign w:val="bottom"/>
          </w:tcPr>
          <w:p w14:paraId="1F4C1451"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94</w:t>
            </w:r>
          </w:p>
        </w:tc>
        <w:tc>
          <w:tcPr>
            <w:tcW w:w="714" w:type="dxa"/>
            <w:tcBorders>
              <w:top w:val="single" w:sz="4" w:space="0" w:color="ADD6EA"/>
              <w:left w:val="nil"/>
              <w:bottom w:val="nil"/>
              <w:right w:val="nil"/>
            </w:tcBorders>
            <w:shd w:val="clear" w:color="auto" w:fill="auto"/>
            <w:vAlign w:val="bottom"/>
          </w:tcPr>
          <w:p w14:paraId="44B41AE7"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56</w:t>
            </w:r>
          </w:p>
        </w:tc>
        <w:tc>
          <w:tcPr>
            <w:tcW w:w="714" w:type="dxa"/>
            <w:tcBorders>
              <w:top w:val="single" w:sz="4" w:space="0" w:color="ADD6EA"/>
              <w:left w:val="nil"/>
              <w:bottom w:val="nil"/>
              <w:right w:val="nil"/>
            </w:tcBorders>
            <w:shd w:val="clear" w:color="auto" w:fill="auto"/>
            <w:vAlign w:val="bottom"/>
          </w:tcPr>
          <w:p w14:paraId="4C78E197"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55</w:t>
            </w:r>
          </w:p>
        </w:tc>
        <w:tc>
          <w:tcPr>
            <w:tcW w:w="714" w:type="dxa"/>
            <w:tcBorders>
              <w:top w:val="single" w:sz="4" w:space="0" w:color="ADD6EA"/>
              <w:left w:val="nil"/>
              <w:bottom w:val="nil"/>
              <w:right w:val="nil"/>
            </w:tcBorders>
            <w:shd w:val="clear" w:color="auto" w:fill="auto"/>
            <w:vAlign w:val="bottom"/>
          </w:tcPr>
          <w:p w14:paraId="5473373E"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36</w:t>
            </w:r>
          </w:p>
        </w:tc>
        <w:tc>
          <w:tcPr>
            <w:tcW w:w="714" w:type="dxa"/>
            <w:tcBorders>
              <w:top w:val="single" w:sz="4" w:space="0" w:color="ADD6EA"/>
              <w:left w:val="nil"/>
              <w:bottom w:val="nil"/>
              <w:right w:val="nil"/>
            </w:tcBorders>
            <w:shd w:val="clear" w:color="auto" w:fill="auto"/>
            <w:vAlign w:val="bottom"/>
          </w:tcPr>
          <w:p w14:paraId="631B3A1C"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29</w:t>
            </w:r>
          </w:p>
        </w:tc>
        <w:tc>
          <w:tcPr>
            <w:tcW w:w="714" w:type="dxa"/>
            <w:tcBorders>
              <w:top w:val="single" w:sz="4" w:space="0" w:color="ADD6EA"/>
              <w:left w:val="nil"/>
              <w:bottom w:val="nil"/>
              <w:right w:val="nil"/>
            </w:tcBorders>
            <w:shd w:val="clear" w:color="auto" w:fill="auto"/>
            <w:vAlign w:val="bottom"/>
          </w:tcPr>
          <w:p w14:paraId="2691364A"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5</w:t>
            </w:r>
          </w:p>
        </w:tc>
        <w:tc>
          <w:tcPr>
            <w:tcW w:w="714" w:type="dxa"/>
            <w:tcBorders>
              <w:top w:val="single" w:sz="4" w:space="0" w:color="ADD6EA"/>
              <w:left w:val="nil"/>
              <w:bottom w:val="nil"/>
              <w:right w:val="nil"/>
            </w:tcBorders>
            <w:shd w:val="clear" w:color="auto" w:fill="auto"/>
            <w:vAlign w:val="bottom"/>
          </w:tcPr>
          <w:p w14:paraId="2BDC80DD"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10</w:t>
            </w:r>
          </w:p>
        </w:tc>
        <w:tc>
          <w:tcPr>
            <w:tcW w:w="673" w:type="dxa"/>
            <w:tcBorders>
              <w:top w:val="single" w:sz="4" w:space="0" w:color="ADD6EA"/>
              <w:left w:val="nil"/>
              <w:bottom w:val="nil"/>
              <w:right w:val="nil"/>
            </w:tcBorders>
            <w:shd w:val="clear" w:color="auto" w:fill="auto"/>
            <w:vAlign w:val="bottom"/>
          </w:tcPr>
          <w:p w14:paraId="454858CE"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w:t>
            </w:r>
          </w:p>
        </w:tc>
        <w:tc>
          <w:tcPr>
            <w:tcW w:w="755" w:type="dxa"/>
            <w:tcBorders>
              <w:top w:val="single" w:sz="4" w:space="0" w:color="ADD6EA"/>
              <w:left w:val="nil"/>
              <w:bottom w:val="nil"/>
              <w:right w:val="nil"/>
            </w:tcBorders>
            <w:shd w:val="clear" w:color="auto" w:fill="auto"/>
            <w:vAlign w:val="bottom"/>
          </w:tcPr>
          <w:p w14:paraId="0383AB5C"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291</w:t>
            </w:r>
          </w:p>
        </w:tc>
      </w:tr>
      <w:tr w:rsidR="00D10465" w:rsidRPr="0067365F" w14:paraId="372FA1DC" w14:textId="77777777" w:rsidTr="00205315">
        <w:trPr>
          <w:trHeight w:val="317"/>
          <w:jc w:val="center"/>
        </w:trPr>
        <w:tc>
          <w:tcPr>
            <w:tcW w:w="2410" w:type="dxa"/>
            <w:tcBorders>
              <w:top w:val="nil"/>
              <w:left w:val="nil"/>
              <w:bottom w:val="single" w:sz="4" w:space="0" w:color="B6D5E4"/>
              <w:right w:val="nil"/>
            </w:tcBorders>
            <w:shd w:val="clear" w:color="auto" w:fill="auto"/>
            <w:vAlign w:val="bottom"/>
          </w:tcPr>
          <w:p w14:paraId="6E359F77" w14:textId="77777777" w:rsidR="00D10465" w:rsidRPr="00DB1403" w:rsidRDefault="00D10465" w:rsidP="00D0605E">
            <w:pPr>
              <w:keepNext/>
              <w:keepLines/>
              <w:widowControl w:val="0"/>
              <w:tabs>
                <w:tab w:val="clear" w:pos="567"/>
              </w:tabs>
              <w:spacing w:before="0" w:line="240" w:lineRule="auto"/>
              <w:rPr>
                <w:rFonts w:eastAsia="Symbol" w:cs="Open Sans Light"/>
                <w:sz w:val="16"/>
                <w:szCs w:val="16"/>
                <w:lang w:eastAsia="en-AU"/>
              </w:rPr>
            </w:pPr>
            <w:r w:rsidRPr="00DB1403">
              <w:rPr>
                <w:rFonts w:eastAsia="Symbol" w:cs="Open Sans Light"/>
                <w:sz w:val="16"/>
                <w:szCs w:val="16"/>
                <w:lang w:eastAsia="en-AU"/>
              </w:rPr>
              <w:t>2020-21 State ticket data (b)</w:t>
            </w:r>
          </w:p>
        </w:tc>
        <w:tc>
          <w:tcPr>
            <w:tcW w:w="701" w:type="dxa"/>
            <w:tcBorders>
              <w:top w:val="single" w:sz="4" w:space="0" w:color="ADD6EA"/>
              <w:left w:val="nil"/>
              <w:bottom w:val="nil"/>
              <w:right w:val="nil"/>
            </w:tcBorders>
            <w:shd w:val="clear" w:color="auto" w:fill="auto"/>
            <w:vAlign w:val="bottom"/>
          </w:tcPr>
          <w:p w14:paraId="1A3398BC"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127</w:t>
            </w:r>
          </w:p>
        </w:tc>
        <w:tc>
          <w:tcPr>
            <w:tcW w:w="714" w:type="dxa"/>
            <w:tcBorders>
              <w:top w:val="single" w:sz="4" w:space="0" w:color="ADD6EA"/>
              <w:left w:val="nil"/>
              <w:bottom w:val="nil"/>
              <w:right w:val="nil"/>
            </w:tcBorders>
            <w:shd w:val="clear" w:color="auto" w:fill="auto"/>
            <w:vAlign w:val="bottom"/>
          </w:tcPr>
          <w:p w14:paraId="48772B8E"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48</w:t>
            </w:r>
          </w:p>
        </w:tc>
        <w:tc>
          <w:tcPr>
            <w:tcW w:w="714" w:type="dxa"/>
            <w:tcBorders>
              <w:top w:val="single" w:sz="4" w:space="0" w:color="ADD6EA"/>
              <w:left w:val="nil"/>
              <w:bottom w:val="nil"/>
              <w:right w:val="nil"/>
            </w:tcBorders>
            <w:shd w:val="clear" w:color="auto" w:fill="auto"/>
            <w:vAlign w:val="bottom"/>
          </w:tcPr>
          <w:p w14:paraId="1ECEB676"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62</w:t>
            </w:r>
          </w:p>
        </w:tc>
        <w:tc>
          <w:tcPr>
            <w:tcW w:w="714" w:type="dxa"/>
            <w:tcBorders>
              <w:top w:val="single" w:sz="4" w:space="0" w:color="ADD6EA"/>
              <w:left w:val="nil"/>
              <w:bottom w:val="nil"/>
              <w:right w:val="nil"/>
            </w:tcBorders>
            <w:shd w:val="clear" w:color="auto" w:fill="auto"/>
            <w:vAlign w:val="bottom"/>
          </w:tcPr>
          <w:p w14:paraId="7B3A9877"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41</w:t>
            </w:r>
          </w:p>
        </w:tc>
        <w:tc>
          <w:tcPr>
            <w:tcW w:w="714" w:type="dxa"/>
            <w:tcBorders>
              <w:top w:val="single" w:sz="4" w:space="0" w:color="ADD6EA"/>
              <w:left w:val="nil"/>
              <w:bottom w:val="nil"/>
              <w:right w:val="nil"/>
            </w:tcBorders>
            <w:shd w:val="clear" w:color="auto" w:fill="auto"/>
            <w:vAlign w:val="bottom"/>
          </w:tcPr>
          <w:p w14:paraId="11F81800"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35</w:t>
            </w:r>
          </w:p>
        </w:tc>
        <w:tc>
          <w:tcPr>
            <w:tcW w:w="714" w:type="dxa"/>
            <w:tcBorders>
              <w:top w:val="single" w:sz="4" w:space="0" w:color="ADD6EA"/>
              <w:left w:val="nil"/>
              <w:bottom w:val="nil"/>
              <w:right w:val="nil"/>
            </w:tcBorders>
            <w:shd w:val="clear" w:color="auto" w:fill="auto"/>
            <w:vAlign w:val="bottom"/>
          </w:tcPr>
          <w:p w14:paraId="75BD7AC2"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N/A</w:t>
            </w:r>
          </w:p>
        </w:tc>
        <w:tc>
          <w:tcPr>
            <w:tcW w:w="714" w:type="dxa"/>
            <w:tcBorders>
              <w:top w:val="single" w:sz="4" w:space="0" w:color="ADD6EA"/>
              <w:left w:val="nil"/>
              <w:bottom w:val="nil"/>
              <w:right w:val="nil"/>
            </w:tcBorders>
            <w:shd w:val="clear" w:color="auto" w:fill="auto"/>
            <w:vAlign w:val="bottom"/>
          </w:tcPr>
          <w:p w14:paraId="011B5E9D"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12</w:t>
            </w:r>
          </w:p>
        </w:tc>
        <w:tc>
          <w:tcPr>
            <w:tcW w:w="673" w:type="dxa"/>
            <w:tcBorders>
              <w:top w:val="single" w:sz="4" w:space="0" w:color="ADD6EA"/>
              <w:left w:val="nil"/>
              <w:bottom w:val="nil"/>
              <w:right w:val="nil"/>
            </w:tcBorders>
            <w:shd w:val="clear" w:color="auto" w:fill="auto"/>
            <w:vAlign w:val="bottom"/>
          </w:tcPr>
          <w:p w14:paraId="12096383"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N/A</w:t>
            </w:r>
          </w:p>
        </w:tc>
        <w:tc>
          <w:tcPr>
            <w:tcW w:w="755" w:type="dxa"/>
            <w:tcBorders>
              <w:top w:val="single" w:sz="4" w:space="0" w:color="ADD6EA"/>
              <w:left w:val="nil"/>
              <w:bottom w:val="nil"/>
              <w:right w:val="nil"/>
            </w:tcBorders>
            <w:shd w:val="clear" w:color="auto" w:fill="auto"/>
            <w:vAlign w:val="bottom"/>
          </w:tcPr>
          <w:p w14:paraId="0D3B4E18"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326</w:t>
            </w:r>
          </w:p>
        </w:tc>
      </w:tr>
      <w:tr w:rsidR="00D10465" w:rsidRPr="0067365F" w14:paraId="63C1BA31" w14:textId="77777777" w:rsidTr="00205315">
        <w:trPr>
          <w:trHeight w:val="317"/>
          <w:jc w:val="center"/>
        </w:trPr>
        <w:tc>
          <w:tcPr>
            <w:tcW w:w="2410" w:type="dxa"/>
            <w:tcBorders>
              <w:top w:val="nil"/>
              <w:left w:val="nil"/>
              <w:bottom w:val="single" w:sz="4" w:space="0" w:color="B6D5E4"/>
              <w:right w:val="nil"/>
            </w:tcBorders>
            <w:shd w:val="clear" w:color="auto" w:fill="auto"/>
            <w:vAlign w:val="bottom"/>
          </w:tcPr>
          <w:p w14:paraId="39613A6B" w14:textId="77777777" w:rsidR="00D10465" w:rsidRPr="00DB1403" w:rsidRDefault="00D10465" w:rsidP="00D0605E">
            <w:pPr>
              <w:keepNext/>
              <w:keepLines/>
              <w:widowControl w:val="0"/>
              <w:tabs>
                <w:tab w:val="clear" w:pos="567"/>
              </w:tabs>
              <w:spacing w:before="0" w:line="240" w:lineRule="auto"/>
              <w:rPr>
                <w:rFonts w:eastAsia="Symbol" w:cs="Open Sans Light"/>
                <w:sz w:val="16"/>
                <w:szCs w:val="16"/>
                <w:lang w:eastAsia="en-AU"/>
              </w:rPr>
            </w:pPr>
            <w:r w:rsidRPr="00DB1403">
              <w:rPr>
                <w:rFonts w:eastAsia="Symbol" w:cs="Open Sans Light"/>
                <w:sz w:val="16"/>
                <w:szCs w:val="16"/>
                <w:lang w:eastAsia="en-AU"/>
              </w:rPr>
              <w:t>2021 Census passengers</w:t>
            </w:r>
          </w:p>
        </w:tc>
        <w:tc>
          <w:tcPr>
            <w:tcW w:w="701" w:type="dxa"/>
            <w:tcBorders>
              <w:top w:val="single" w:sz="4" w:space="0" w:color="ADD6EA"/>
              <w:left w:val="nil"/>
              <w:bottom w:val="single" w:sz="4" w:space="0" w:color="ADD6EA"/>
              <w:right w:val="nil"/>
            </w:tcBorders>
            <w:shd w:val="clear" w:color="auto" w:fill="auto"/>
            <w:vAlign w:val="bottom"/>
          </w:tcPr>
          <w:p w14:paraId="620AF396"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40</w:t>
            </w:r>
          </w:p>
        </w:tc>
        <w:tc>
          <w:tcPr>
            <w:tcW w:w="714" w:type="dxa"/>
            <w:tcBorders>
              <w:top w:val="single" w:sz="4" w:space="0" w:color="ADD6EA"/>
              <w:left w:val="nil"/>
              <w:bottom w:val="single" w:sz="4" w:space="0" w:color="ADD6EA"/>
              <w:right w:val="nil"/>
            </w:tcBorders>
            <w:shd w:val="clear" w:color="auto" w:fill="auto"/>
            <w:vAlign w:val="bottom"/>
          </w:tcPr>
          <w:p w14:paraId="592F9DBA"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45</w:t>
            </w:r>
          </w:p>
        </w:tc>
        <w:tc>
          <w:tcPr>
            <w:tcW w:w="714" w:type="dxa"/>
            <w:tcBorders>
              <w:top w:val="single" w:sz="4" w:space="0" w:color="ADD6EA"/>
              <w:left w:val="nil"/>
              <w:bottom w:val="single" w:sz="4" w:space="0" w:color="ADD6EA"/>
              <w:right w:val="nil"/>
            </w:tcBorders>
            <w:shd w:val="clear" w:color="auto" w:fill="auto"/>
            <w:vAlign w:val="bottom"/>
          </w:tcPr>
          <w:p w14:paraId="12C2D96A"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45</w:t>
            </w:r>
          </w:p>
        </w:tc>
        <w:tc>
          <w:tcPr>
            <w:tcW w:w="714" w:type="dxa"/>
            <w:tcBorders>
              <w:top w:val="single" w:sz="4" w:space="0" w:color="ADD6EA"/>
              <w:left w:val="nil"/>
              <w:bottom w:val="single" w:sz="4" w:space="0" w:color="ADD6EA"/>
              <w:right w:val="nil"/>
            </w:tcBorders>
            <w:shd w:val="clear" w:color="auto" w:fill="auto"/>
            <w:vAlign w:val="bottom"/>
          </w:tcPr>
          <w:p w14:paraId="581B801D"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38</w:t>
            </w:r>
          </w:p>
        </w:tc>
        <w:tc>
          <w:tcPr>
            <w:tcW w:w="714" w:type="dxa"/>
            <w:tcBorders>
              <w:top w:val="single" w:sz="4" w:space="0" w:color="ADD6EA"/>
              <w:left w:val="nil"/>
              <w:bottom w:val="single" w:sz="4" w:space="0" w:color="ADD6EA"/>
              <w:right w:val="nil"/>
            </w:tcBorders>
            <w:shd w:val="clear" w:color="auto" w:fill="auto"/>
            <w:vAlign w:val="bottom"/>
          </w:tcPr>
          <w:p w14:paraId="320EB2C0"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33</w:t>
            </w:r>
          </w:p>
        </w:tc>
        <w:tc>
          <w:tcPr>
            <w:tcW w:w="714" w:type="dxa"/>
            <w:tcBorders>
              <w:top w:val="single" w:sz="4" w:space="0" w:color="ADD6EA"/>
              <w:left w:val="nil"/>
              <w:bottom w:val="single" w:sz="4" w:space="0" w:color="ADD6EA"/>
              <w:right w:val="nil"/>
            </w:tcBorders>
            <w:shd w:val="clear" w:color="auto" w:fill="auto"/>
            <w:vAlign w:val="bottom"/>
          </w:tcPr>
          <w:p w14:paraId="78EC3DE6"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6</w:t>
            </w:r>
          </w:p>
        </w:tc>
        <w:tc>
          <w:tcPr>
            <w:tcW w:w="714" w:type="dxa"/>
            <w:tcBorders>
              <w:top w:val="single" w:sz="4" w:space="0" w:color="ADD6EA"/>
              <w:left w:val="nil"/>
              <w:bottom w:val="single" w:sz="4" w:space="0" w:color="ADD6EA"/>
              <w:right w:val="nil"/>
            </w:tcBorders>
            <w:shd w:val="clear" w:color="auto" w:fill="auto"/>
            <w:vAlign w:val="bottom"/>
          </w:tcPr>
          <w:p w14:paraId="1A0F8BB4"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11</w:t>
            </w:r>
          </w:p>
        </w:tc>
        <w:tc>
          <w:tcPr>
            <w:tcW w:w="673" w:type="dxa"/>
            <w:tcBorders>
              <w:top w:val="single" w:sz="4" w:space="0" w:color="ADD6EA"/>
              <w:left w:val="nil"/>
              <w:bottom w:val="single" w:sz="4" w:space="0" w:color="ADD6EA"/>
              <w:right w:val="nil"/>
            </w:tcBorders>
            <w:shd w:val="clear" w:color="auto" w:fill="auto"/>
            <w:vAlign w:val="bottom"/>
          </w:tcPr>
          <w:p w14:paraId="616F48A3"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2</w:t>
            </w:r>
          </w:p>
        </w:tc>
        <w:tc>
          <w:tcPr>
            <w:tcW w:w="755" w:type="dxa"/>
            <w:tcBorders>
              <w:top w:val="single" w:sz="4" w:space="0" w:color="ADD6EA"/>
              <w:left w:val="nil"/>
              <w:bottom w:val="single" w:sz="4" w:space="0" w:color="ADD6EA"/>
              <w:right w:val="nil"/>
            </w:tcBorders>
            <w:shd w:val="clear" w:color="auto" w:fill="auto"/>
            <w:vAlign w:val="bottom"/>
          </w:tcPr>
          <w:p w14:paraId="054283AA" w14:textId="77777777" w:rsidR="00D10465" w:rsidRPr="00DB1403" w:rsidRDefault="00D10465">
            <w:pPr>
              <w:keepNext/>
              <w:keepLines/>
              <w:widowControl w:val="0"/>
              <w:tabs>
                <w:tab w:val="clear" w:pos="567"/>
              </w:tabs>
              <w:spacing w:before="0" w:line="240" w:lineRule="auto"/>
              <w:jc w:val="right"/>
              <w:rPr>
                <w:rFonts w:eastAsia="Times New Roman" w:cs="Open Sans Light"/>
                <w:sz w:val="16"/>
                <w:szCs w:val="16"/>
                <w:lang w:eastAsia="en-AU"/>
              </w:rPr>
            </w:pPr>
            <w:r w:rsidRPr="00DB1403">
              <w:rPr>
                <w:rFonts w:eastAsia="Times New Roman" w:cs="Open Sans Light"/>
                <w:sz w:val="16"/>
                <w:szCs w:val="16"/>
                <w:lang w:eastAsia="en-AU"/>
              </w:rPr>
              <w:t>222</w:t>
            </w:r>
          </w:p>
        </w:tc>
      </w:tr>
    </w:tbl>
    <w:p w14:paraId="0FEC6045" w14:textId="621086CF" w:rsidR="00D076E1" w:rsidRPr="00DE3E76" w:rsidRDefault="00D076E1" w:rsidP="006D3744">
      <w:pPr>
        <w:pStyle w:val="CGCTablenote"/>
        <w:keepNext/>
        <w:keepLines/>
        <w:rPr>
          <w:rFonts w:ascii="Work Sans" w:hAnsi="Work Sans"/>
        </w:rPr>
      </w:pPr>
      <w:r w:rsidRPr="00DE3E76">
        <w:rPr>
          <w:rFonts w:ascii="Work Sans" w:hAnsi="Work Sans"/>
        </w:rPr>
        <w:t>(a) Data was adjusted to 2021</w:t>
      </w:r>
      <w:r w:rsidR="00F96E5E" w:rsidRPr="00DE3E76">
        <w:rPr>
          <w:rFonts w:ascii="Work Sans" w:hAnsi="Work Sans"/>
        </w:rPr>
        <w:t>–</w:t>
      </w:r>
      <w:r w:rsidRPr="00DE3E76">
        <w:rPr>
          <w:rFonts w:ascii="Work Sans" w:hAnsi="Work Sans"/>
        </w:rPr>
        <w:t>22 levels to be consistent with the 2021 Census data.</w:t>
      </w:r>
    </w:p>
    <w:p w14:paraId="7A35E97D" w14:textId="0BFBADAC" w:rsidR="00D076E1" w:rsidRPr="00DE3E76" w:rsidRDefault="00D076E1" w:rsidP="006D3744">
      <w:pPr>
        <w:pStyle w:val="CGCTablenote"/>
        <w:keepNext/>
        <w:keepLines/>
        <w:rPr>
          <w:rFonts w:ascii="Work Sans" w:hAnsi="Work Sans"/>
        </w:rPr>
      </w:pPr>
      <w:r w:rsidRPr="00DE3E76">
        <w:rPr>
          <w:rFonts w:ascii="Work Sans" w:hAnsi="Work Sans"/>
        </w:rPr>
        <w:t xml:space="preserve">(b) Ticketing data was collected from </w:t>
      </w:r>
      <w:r w:rsidR="00BF7C8F">
        <w:rPr>
          <w:rFonts w:ascii="Work Sans" w:hAnsi="Work Sans"/>
        </w:rPr>
        <w:t>s</w:t>
      </w:r>
      <w:r w:rsidRPr="00DE3E76">
        <w:rPr>
          <w:rFonts w:ascii="Work Sans" w:hAnsi="Work Sans"/>
        </w:rPr>
        <w:t>tate transport authorities. Data for 2021</w:t>
      </w:r>
      <w:r w:rsidR="00F96E5E" w:rsidRPr="00DE3E76">
        <w:rPr>
          <w:rFonts w:ascii="Work Sans" w:hAnsi="Work Sans"/>
        </w:rPr>
        <w:t>–</w:t>
      </w:r>
      <w:r w:rsidRPr="00DE3E76">
        <w:rPr>
          <w:rFonts w:ascii="Work Sans" w:hAnsi="Work Sans"/>
        </w:rPr>
        <w:t>22 was not available.</w:t>
      </w:r>
    </w:p>
    <w:p w14:paraId="260CB957" w14:textId="7F78AAFE" w:rsidR="0078138F" w:rsidRPr="00DE3E76" w:rsidRDefault="00D076E1" w:rsidP="006D3744">
      <w:pPr>
        <w:pStyle w:val="CGCTablenote"/>
        <w:keepNext/>
        <w:keepLines/>
        <w:rPr>
          <w:rFonts w:ascii="Work Sans" w:hAnsi="Work Sans"/>
        </w:rPr>
      </w:pPr>
      <w:r w:rsidRPr="00DE3E76">
        <w:rPr>
          <w:rFonts w:ascii="Work Sans" w:hAnsi="Work Sans"/>
        </w:rPr>
        <w:t xml:space="preserve">Source: </w:t>
      </w:r>
      <w:r w:rsidR="00C24152" w:rsidRPr="00DE3E76">
        <w:rPr>
          <w:rFonts w:ascii="Work Sans" w:hAnsi="Work Sans"/>
        </w:rPr>
        <w:t xml:space="preserve">Commission </w:t>
      </w:r>
      <w:r w:rsidRPr="00DE3E76">
        <w:rPr>
          <w:rFonts w:ascii="Work Sans" w:hAnsi="Work Sans"/>
        </w:rPr>
        <w:t xml:space="preserve">calculation using ABS Census </w:t>
      </w:r>
      <w:r w:rsidR="00C24152" w:rsidRPr="00DE3E76">
        <w:rPr>
          <w:rFonts w:ascii="Work Sans" w:hAnsi="Work Sans"/>
        </w:rPr>
        <w:t>d</w:t>
      </w:r>
      <w:r w:rsidRPr="00DE3E76">
        <w:rPr>
          <w:rFonts w:ascii="Work Sans" w:hAnsi="Work Sans"/>
        </w:rPr>
        <w:t>ata, ticketing data available from state transport agencies and BITRE data.</w:t>
      </w:r>
    </w:p>
    <w:p w14:paraId="57C0F314" w14:textId="2A668A30" w:rsidR="00E71089" w:rsidRPr="002732D3" w:rsidRDefault="00EC3DF4" w:rsidP="00E71089">
      <w:pPr>
        <w:pStyle w:val="CGC2025ParaNumbers"/>
      </w:pPr>
      <w:r>
        <w:t>The</w:t>
      </w:r>
      <w:r w:rsidR="00E71089" w:rsidRPr="00A147F0">
        <w:t xml:space="preserve"> Commission’s preliminary view is that 2016 Census data used to model passenger numbers would be indexed in each update using Bureau of Infrastructure and Transport Research Economics data until 2026 Census data are available. This is the preferred option because these data are </w:t>
      </w:r>
      <w:r w:rsidR="004F41CF">
        <w:t xml:space="preserve">more </w:t>
      </w:r>
      <w:r w:rsidR="00E71089" w:rsidRPr="00A147F0">
        <w:t>reliable and are comparable across states</w:t>
      </w:r>
      <w:r w:rsidR="00C426D8" w:rsidRPr="00AD6E05">
        <w:t xml:space="preserve">, </w:t>
      </w:r>
      <w:r w:rsidR="00AD6E05">
        <w:t xml:space="preserve">and </w:t>
      </w:r>
      <w:r w:rsidR="00AD6E05" w:rsidRPr="00AD6E05">
        <w:t>the adjustment results in a materially different GST distribution compared with using unadjusted 2016 Census data</w:t>
      </w:r>
      <w:r w:rsidR="005A6F2A">
        <w:t>.</w:t>
      </w:r>
      <w:r w:rsidR="00F45975">
        <w:rPr>
          <w:rStyle w:val="FootnoteReference"/>
        </w:rPr>
        <w:footnoteReference w:id="13"/>
      </w:r>
    </w:p>
    <w:p w14:paraId="203A3456" w14:textId="23777FCD" w:rsidR="00E71089" w:rsidRPr="00A147F0" w:rsidRDefault="00E71089" w:rsidP="00E71089">
      <w:pPr>
        <w:pStyle w:val="CGC2025ParaNumbers"/>
      </w:pPr>
      <w:r w:rsidRPr="00A147F0">
        <w:t>If net expense data become available to update the regression prior to the 2026</w:t>
      </w:r>
      <w:r w:rsidR="005019CA">
        <w:t> </w:t>
      </w:r>
      <w:r w:rsidRPr="00A147F0">
        <w:t>Census journey to work data, the Commission will apply the same adjustment to actual passenger numbers. These will be replaced with 2026</w:t>
      </w:r>
      <w:r w:rsidR="005019CA">
        <w:t> </w:t>
      </w:r>
      <w:r w:rsidRPr="00A147F0">
        <w:t xml:space="preserve">Census data when they become available. </w:t>
      </w:r>
    </w:p>
    <w:p w14:paraId="01E04497" w14:textId="4F494B88" w:rsidR="00A379D9" w:rsidRDefault="00E71089" w:rsidP="00693FFB">
      <w:pPr>
        <w:pStyle w:val="CGC2025ParaNumbers"/>
      </w:pPr>
      <w:r w:rsidRPr="00A147F0">
        <w:t xml:space="preserve">If an adjustment </w:t>
      </w:r>
      <w:r w:rsidR="00BF13B5" w:rsidRPr="00BF13B5">
        <w:t>becomes</w:t>
      </w:r>
      <w:r w:rsidRPr="00A147F0">
        <w:t xml:space="preserve"> immaterial, the Commission’s preliminary view is to continue using 2016 Census data without adjustment until Census 2026 data become available.</w:t>
      </w:r>
    </w:p>
    <w:p w14:paraId="3951D38F" w14:textId="1C19683D" w:rsidR="00D076E1" w:rsidRDefault="00A716F7" w:rsidP="00EE339C">
      <w:pPr>
        <w:pStyle w:val="Heading4"/>
        <w:spacing w:before="160"/>
      </w:pPr>
      <w:r>
        <w:t xml:space="preserve">Consultation </w:t>
      </w:r>
      <w:r w:rsidR="00C851EF">
        <w:t>q</w:t>
      </w:r>
      <w:r>
        <w:t>uestion</w:t>
      </w:r>
      <w:r w:rsidR="00C851EF">
        <w:t>s</w:t>
      </w:r>
    </w:p>
    <w:p w14:paraId="438F44C8" w14:textId="2E1A12B8" w:rsidR="003B67CD" w:rsidRPr="003B67CD" w:rsidRDefault="003B67CD" w:rsidP="00A26215">
      <w:pPr>
        <w:pStyle w:val="CGCParaNumber"/>
        <w:ind w:left="0" w:firstLine="0"/>
      </w:pPr>
      <w:r w:rsidRPr="001C4DF3">
        <w:rPr>
          <w:noProof/>
        </w:rPr>
        <mc:AlternateContent>
          <mc:Choice Requires="wps">
            <w:drawing>
              <wp:inline distT="0" distB="0" distL="0" distR="0" wp14:anchorId="394CEBE5" wp14:editId="7850C872">
                <wp:extent cx="5688965" cy="1828800"/>
                <wp:effectExtent l="0" t="0" r="6985" b="2540"/>
                <wp:docPr id="22"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8965" cy="1828800"/>
                        </a:xfrm>
                        <a:prstGeom prst="rect">
                          <a:avLst/>
                        </a:prstGeom>
                        <a:solidFill>
                          <a:srgbClr val="EBF3F5"/>
                        </a:solidFill>
                        <a:ln w="25400" cap="flat" cmpd="sng" algn="ctr">
                          <a:noFill/>
                          <a:prstDash val="solid"/>
                        </a:ln>
                        <a:effectLst/>
                      </wps:spPr>
                      <wps:txbx>
                        <w:txbxContent>
                          <w:p w14:paraId="1ED22663" w14:textId="62F112FA" w:rsidR="000424EF" w:rsidRPr="000E6A9F" w:rsidRDefault="00CF79A7" w:rsidP="00E53D43">
                            <w:pPr>
                              <w:pStyle w:val="Heading5"/>
                            </w:pPr>
                            <w:bookmarkStart w:id="93" w:name="_Hlk136602610"/>
                            <w:bookmarkStart w:id="94" w:name="_Hlk136602611"/>
                            <w:r w:rsidRPr="000E6A9F">
                              <w:t>When</w:t>
                            </w:r>
                            <w:r w:rsidR="005F40B6" w:rsidRPr="000E6A9F">
                              <w:t xml:space="preserve"> modelling passenger numbers to apply to regression </w:t>
                            </w:r>
                            <w:r w:rsidR="000E6A9F" w:rsidRPr="000E6A9F">
                              <w:t>coefficients</w:t>
                            </w:r>
                          </w:p>
                          <w:p w14:paraId="21532E27" w14:textId="2E3933BC" w:rsidR="002F22E7" w:rsidRPr="005F1132" w:rsidRDefault="002050C7" w:rsidP="00C24152">
                            <w:pPr>
                              <w:pStyle w:val="CGC2025QuestionNumbers"/>
                            </w:pPr>
                            <w:bookmarkStart w:id="95" w:name="_Hlk135655838"/>
                            <w:bookmarkStart w:id="96" w:name="_Hlk135655839"/>
                            <w:r w:rsidRPr="006A196B">
                              <w:t>Do states agree that, if material,</w:t>
                            </w:r>
                            <w:r w:rsidR="00066CDE" w:rsidRPr="006A196B">
                              <w:t xml:space="preserve"> 2016 Census </w:t>
                            </w:r>
                            <w:r w:rsidR="00D34F0B" w:rsidRPr="006A196B">
                              <w:t xml:space="preserve">journey to work </w:t>
                            </w:r>
                            <w:r w:rsidR="00066CDE" w:rsidRPr="006A196B">
                              <w:t xml:space="preserve">data </w:t>
                            </w:r>
                            <w:r w:rsidR="00EF25F1" w:rsidRPr="006A196B">
                              <w:t xml:space="preserve">should </w:t>
                            </w:r>
                            <w:r w:rsidR="00D96805" w:rsidRPr="006A196B">
                              <w:t>be adjusted</w:t>
                            </w:r>
                            <w:r w:rsidR="00EF25F1" w:rsidRPr="006A196B">
                              <w:t xml:space="preserve"> </w:t>
                            </w:r>
                            <w:r w:rsidR="00DE55FD" w:rsidRPr="006A196B">
                              <w:t>using</w:t>
                            </w:r>
                            <w:r w:rsidR="00F9055A" w:rsidRPr="006A196B">
                              <w:t xml:space="preserve"> the Bureau of Infrastructure and Transport Research Economics measure of passenger kilometres travelled </w:t>
                            </w:r>
                            <w:r w:rsidR="0069676C" w:rsidRPr="006A196B">
                              <w:t xml:space="preserve">until the 2026 </w:t>
                            </w:r>
                            <w:r w:rsidR="002E64B2" w:rsidRPr="006A196B">
                              <w:t>C</w:t>
                            </w:r>
                            <w:r w:rsidR="0069676C" w:rsidRPr="006A196B">
                              <w:t xml:space="preserve">ensus data </w:t>
                            </w:r>
                            <w:r w:rsidR="001508FD" w:rsidRPr="006A196B">
                              <w:t>are</w:t>
                            </w:r>
                            <w:r w:rsidR="0069676C" w:rsidRPr="006A196B">
                              <w:t xml:space="preserve"> available</w:t>
                            </w:r>
                            <w:r w:rsidR="002948FA">
                              <w:t>?</w:t>
                            </w:r>
                          </w:p>
                          <w:p w14:paraId="532CC1FE" w14:textId="5259ECCD" w:rsidR="00D56526" w:rsidRPr="005F1132" w:rsidRDefault="00D56526" w:rsidP="00E53D43">
                            <w:pPr>
                              <w:pStyle w:val="Heading5"/>
                            </w:pPr>
                            <w:r w:rsidRPr="005F1132">
                              <w:t xml:space="preserve">When </w:t>
                            </w:r>
                            <w:r w:rsidR="00FD2B80" w:rsidRPr="005F1132">
                              <w:t>up</w:t>
                            </w:r>
                            <w:r w:rsidR="00A7048F" w:rsidRPr="005F1132">
                              <w:t>dating actual passenger numbers in the regression</w:t>
                            </w:r>
                          </w:p>
                          <w:p w14:paraId="11CF7071" w14:textId="194D3DE9" w:rsidR="003B67CD" w:rsidRPr="005F1132" w:rsidRDefault="00EF2A69" w:rsidP="00C24152">
                            <w:pPr>
                              <w:pStyle w:val="CGC2025QuestionNumbers"/>
                            </w:pPr>
                            <w:r w:rsidRPr="005F1132">
                              <w:t xml:space="preserve">Do states agree that </w:t>
                            </w:r>
                            <w:r w:rsidR="002948FA">
                              <w:t>i</w:t>
                            </w:r>
                            <w:r w:rsidR="002948FA" w:rsidRPr="005F1132">
                              <w:t xml:space="preserve">f </w:t>
                            </w:r>
                            <w:r w:rsidR="00D03B56" w:rsidRPr="005F1132">
                              <w:t xml:space="preserve">net expense data are available before the </w:t>
                            </w:r>
                            <w:r w:rsidR="006C3B2B" w:rsidRPr="005F1132">
                              <w:t xml:space="preserve">2026 Census passenger numbers </w:t>
                            </w:r>
                            <w:r w:rsidR="00B72676" w:rsidRPr="005F1132">
                              <w:t xml:space="preserve">it is appropriate to use </w:t>
                            </w:r>
                            <w:r w:rsidR="00A11F88" w:rsidRPr="00952439">
                              <w:t>Bureau of Infrastructure and Transport Research Economics</w:t>
                            </w:r>
                            <w:r w:rsidR="00B72676" w:rsidRPr="005F1132">
                              <w:t xml:space="preserve"> data</w:t>
                            </w:r>
                            <w:r w:rsidR="00FA2E66" w:rsidRPr="005F1132">
                              <w:t xml:space="preserve"> to </w:t>
                            </w:r>
                            <w:r w:rsidR="00B72676" w:rsidRPr="005F1132">
                              <w:t xml:space="preserve">index </w:t>
                            </w:r>
                            <w:r w:rsidR="00FA2E66" w:rsidRPr="005F1132">
                              <w:t>actual passenger numbers</w:t>
                            </w:r>
                            <w:r w:rsidR="0032765C" w:rsidRPr="005F1132">
                              <w:t>?</w:t>
                            </w:r>
                            <w:bookmarkEnd w:id="93"/>
                            <w:bookmarkEnd w:id="94"/>
                            <w:bookmarkEnd w:id="95"/>
                            <w:bookmarkEnd w:id="9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94CEBE5" id="Rectangle 22" o:spid="_x0000_s1033" alt="&quot;&quot;" style="width:447.95pt;height:2in;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" fillcolor="#ebf3f5" stroked="f" strokeweight="2pt">
                <v:textbox>
                  <w:txbxContent>
                    <w:p w14:paraId="1ED22663" w14:textId="62F112FA" w:rsidR="000424EF" w:rsidRPr="000E6A9F" w:rsidRDefault="00CF79A7" w:rsidP="00E53D43">
                      <w:pPr>
                        <w:pStyle w:val="Heading5"/>
                      </w:pPr>
                      <w:bookmarkStart w:id="97" w:name="_Hlk136602610"/>
                      <w:bookmarkStart w:id="98" w:name="_Hlk136602611"/>
                      <w:r w:rsidRPr="000E6A9F">
                        <w:t>When</w:t>
                      </w:r>
                      <w:r w:rsidR="005F40B6" w:rsidRPr="000E6A9F">
                        <w:t xml:space="preserve"> modelling passenger numbers to apply to regression </w:t>
                      </w:r>
                      <w:r w:rsidR="000E6A9F" w:rsidRPr="000E6A9F">
                        <w:t>coefficients</w:t>
                      </w:r>
                    </w:p>
                    <w:p w14:paraId="21532E27" w14:textId="2E3933BC" w:rsidR="002F22E7" w:rsidRPr="005F1132" w:rsidRDefault="002050C7" w:rsidP="00C24152">
                      <w:pPr>
                        <w:pStyle w:val="CGC2025QuestionNumbers"/>
                      </w:pPr>
                      <w:bookmarkStart w:id="99" w:name="_Hlk135655838"/>
                      <w:bookmarkStart w:id="100" w:name="_Hlk135655839"/>
                      <w:r w:rsidRPr="006A196B">
                        <w:t>Do states agree that, if material,</w:t>
                      </w:r>
                      <w:r w:rsidR="00066CDE" w:rsidRPr="006A196B">
                        <w:t xml:space="preserve"> 2016 Census </w:t>
                      </w:r>
                      <w:r w:rsidR="00D34F0B" w:rsidRPr="006A196B">
                        <w:t xml:space="preserve">journey to work </w:t>
                      </w:r>
                      <w:r w:rsidR="00066CDE" w:rsidRPr="006A196B">
                        <w:t xml:space="preserve">data </w:t>
                      </w:r>
                      <w:r w:rsidR="00EF25F1" w:rsidRPr="006A196B">
                        <w:t xml:space="preserve">should </w:t>
                      </w:r>
                      <w:r w:rsidR="00D96805" w:rsidRPr="006A196B">
                        <w:t>be adjusted</w:t>
                      </w:r>
                      <w:r w:rsidR="00EF25F1" w:rsidRPr="006A196B">
                        <w:t xml:space="preserve"> </w:t>
                      </w:r>
                      <w:r w:rsidR="00DE55FD" w:rsidRPr="006A196B">
                        <w:t>using</w:t>
                      </w:r>
                      <w:r w:rsidR="00F9055A" w:rsidRPr="006A196B">
                        <w:t xml:space="preserve"> the Bureau of Infrastructure and Transport Research Economics measure of passenger kilometres travelled </w:t>
                      </w:r>
                      <w:r w:rsidR="0069676C" w:rsidRPr="006A196B">
                        <w:t xml:space="preserve">until the 2026 </w:t>
                      </w:r>
                      <w:r w:rsidR="002E64B2" w:rsidRPr="006A196B">
                        <w:t>C</w:t>
                      </w:r>
                      <w:r w:rsidR="0069676C" w:rsidRPr="006A196B">
                        <w:t xml:space="preserve">ensus data </w:t>
                      </w:r>
                      <w:r w:rsidR="001508FD" w:rsidRPr="006A196B">
                        <w:t>are</w:t>
                      </w:r>
                      <w:r w:rsidR="0069676C" w:rsidRPr="006A196B">
                        <w:t xml:space="preserve"> available</w:t>
                      </w:r>
                      <w:r w:rsidR="002948FA">
                        <w:t>?</w:t>
                      </w:r>
                    </w:p>
                    <w:p w14:paraId="532CC1FE" w14:textId="5259ECCD" w:rsidR="00D56526" w:rsidRPr="005F1132" w:rsidRDefault="00D56526" w:rsidP="00E53D43">
                      <w:pPr>
                        <w:pStyle w:val="Heading5"/>
                      </w:pPr>
                      <w:r w:rsidRPr="005F1132">
                        <w:t xml:space="preserve">When </w:t>
                      </w:r>
                      <w:r w:rsidR="00FD2B80" w:rsidRPr="005F1132">
                        <w:t>up</w:t>
                      </w:r>
                      <w:r w:rsidR="00A7048F" w:rsidRPr="005F1132">
                        <w:t>dating actual passenger numbers in the regression</w:t>
                      </w:r>
                    </w:p>
                    <w:p w14:paraId="11CF7071" w14:textId="194D3DE9" w:rsidR="003B67CD" w:rsidRPr="005F1132" w:rsidRDefault="00EF2A69" w:rsidP="00C24152">
                      <w:pPr>
                        <w:pStyle w:val="CGC2025QuestionNumbers"/>
                      </w:pPr>
                      <w:r w:rsidRPr="005F1132">
                        <w:t xml:space="preserve">Do states agree that </w:t>
                      </w:r>
                      <w:r w:rsidR="002948FA">
                        <w:t>i</w:t>
                      </w:r>
                      <w:r w:rsidR="002948FA" w:rsidRPr="005F1132">
                        <w:t xml:space="preserve">f </w:t>
                      </w:r>
                      <w:r w:rsidR="00D03B56" w:rsidRPr="005F1132">
                        <w:t xml:space="preserve">net expense data are available before the </w:t>
                      </w:r>
                      <w:r w:rsidR="006C3B2B" w:rsidRPr="005F1132">
                        <w:t xml:space="preserve">2026 Census passenger numbers </w:t>
                      </w:r>
                      <w:r w:rsidR="00B72676" w:rsidRPr="005F1132">
                        <w:t xml:space="preserve">it is appropriate to use </w:t>
                      </w:r>
                      <w:r w:rsidR="00A11F88" w:rsidRPr="00952439">
                        <w:t>Bureau of Infrastructure and Transport Research Economics</w:t>
                      </w:r>
                      <w:r w:rsidR="00B72676" w:rsidRPr="005F1132">
                        <w:t xml:space="preserve"> data</w:t>
                      </w:r>
                      <w:r w:rsidR="00FA2E66" w:rsidRPr="005F1132">
                        <w:t xml:space="preserve"> to </w:t>
                      </w:r>
                      <w:r w:rsidR="00B72676" w:rsidRPr="005F1132">
                        <w:t xml:space="preserve">index </w:t>
                      </w:r>
                      <w:r w:rsidR="00FA2E66" w:rsidRPr="005F1132">
                        <w:t>actual passenger numbers</w:t>
                      </w:r>
                      <w:r w:rsidR="0032765C" w:rsidRPr="005F1132">
                        <w:t>?</w:t>
                      </w:r>
                      <w:bookmarkEnd w:id="97"/>
                      <w:bookmarkEnd w:id="98"/>
                      <w:bookmarkEnd w:id="99"/>
                      <w:bookmarkEnd w:id="100"/>
                    </w:p>
                  </w:txbxContent>
                </v:textbox>
                <w10:anchorlock/>
              </v:rect>
            </w:pict>
          </mc:Fallback>
        </mc:AlternateContent>
      </w:r>
    </w:p>
    <w:p w14:paraId="04288F32" w14:textId="1AB6344F" w:rsidR="00243774" w:rsidRDefault="00243774" w:rsidP="00243774">
      <w:pPr>
        <w:pStyle w:val="Heading4"/>
      </w:pPr>
      <w:r w:rsidRPr="002E44AF">
        <w:lastRenderedPageBreak/>
        <w:t>Blending</w:t>
      </w:r>
    </w:p>
    <w:p w14:paraId="5C5A64DC" w14:textId="77777777" w:rsidR="00F40CF3" w:rsidRPr="00451D00" w:rsidRDefault="00661ABE" w:rsidP="00603F08">
      <w:pPr>
        <w:pStyle w:val="CGC2025ParaNumbers"/>
      </w:pPr>
      <w:r w:rsidRPr="00451D00">
        <w:t xml:space="preserve">In the 2020 Review, the Commission decided to blend the assessment of urban centre characteristics with </w:t>
      </w:r>
      <w:r w:rsidR="00133AA2" w:rsidRPr="00451D00">
        <w:t xml:space="preserve">state share of </w:t>
      </w:r>
      <w:r w:rsidR="000C578A" w:rsidRPr="00451D00">
        <w:t xml:space="preserve">urban populations by 75% and 25% respectively. </w:t>
      </w:r>
      <w:r w:rsidR="00072EC4" w:rsidRPr="00451D00">
        <w:t xml:space="preserve">The decision to blend was based on </w:t>
      </w:r>
      <w:r w:rsidR="003A2F3D" w:rsidRPr="00451D00">
        <w:t>2 main data</w:t>
      </w:r>
      <w:r w:rsidR="006F44E7" w:rsidRPr="00451D00">
        <w:t xml:space="preserve"> related </w:t>
      </w:r>
      <w:r w:rsidR="00F40CF3" w:rsidRPr="00451D00">
        <w:t>issues:</w:t>
      </w:r>
    </w:p>
    <w:p w14:paraId="63DAE143" w14:textId="316C7912" w:rsidR="00F36F59" w:rsidRPr="00451D00" w:rsidRDefault="003D559D" w:rsidP="001A7D98">
      <w:pPr>
        <w:pStyle w:val="CGC2025Bullet1"/>
      </w:pPr>
      <w:r w:rsidRPr="00451D00">
        <w:t>c</w:t>
      </w:r>
      <w:r w:rsidR="00A461EF" w:rsidRPr="00451D00">
        <w:t xml:space="preserve">oncerns </w:t>
      </w:r>
      <w:r w:rsidR="00F36F59" w:rsidRPr="00451D00">
        <w:t>about the reliability of the net urban transport expense data provided by the states, which informed the regression model as the dependent variable</w:t>
      </w:r>
      <w:r w:rsidR="00924BE7">
        <w:t>.</w:t>
      </w:r>
    </w:p>
    <w:p w14:paraId="7A58FA01" w14:textId="1990D50E" w:rsidR="00C773B5" w:rsidRPr="00451D00" w:rsidRDefault="003D559D" w:rsidP="001A7D98">
      <w:pPr>
        <w:pStyle w:val="CGC2025Bullet1"/>
      </w:pPr>
      <w:r w:rsidRPr="00451D00">
        <w:t>f</w:t>
      </w:r>
      <w:r w:rsidR="00F36F59" w:rsidRPr="00451D00">
        <w:t xml:space="preserve">or policy </w:t>
      </w:r>
      <w:r w:rsidRPr="00451D00">
        <w:t>neutrality</w:t>
      </w:r>
      <w:r w:rsidR="00F36F59" w:rsidRPr="00451D00">
        <w:t xml:space="preserve"> and data availability reasons, several proxy </w:t>
      </w:r>
      <w:r w:rsidR="00ED543F" w:rsidRPr="00451D00">
        <w:t>variables</w:t>
      </w:r>
      <w:r w:rsidR="00F36F59" w:rsidRPr="00451D00">
        <w:t xml:space="preserve"> are used in the model to capture supply and demand</w:t>
      </w:r>
      <w:r w:rsidRPr="00451D00">
        <w:t>.</w:t>
      </w:r>
      <w:r w:rsidR="00555674" w:rsidRPr="00451D00">
        <w:rPr>
          <w:rStyle w:val="FootnoteReference"/>
        </w:rPr>
        <w:footnoteReference w:id="14"/>
      </w:r>
      <w:r w:rsidR="004619DD" w:rsidRPr="00451D00">
        <w:t xml:space="preserve"> </w:t>
      </w:r>
    </w:p>
    <w:p w14:paraId="7F4B9F65" w14:textId="2F30C553" w:rsidR="003D1FCC" w:rsidRPr="00451D00" w:rsidRDefault="0013683B" w:rsidP="00603F08">
      <w:pPr>
        <w:pStyle w:val="CGC2025ParaNumbers"/>
      </w:pPr>
      <w:r w:rsidRPr="00451D00">
        <w:t>The Commission</w:t>
      </w:r>
      <w:r w:rsidR="005E2BFB">
        <w:t>’s</w:t>
      </w:r>
      <w:r w:rsidRPr="00451D00">
        <w:t xml:space="preserve"> </w:t>
      </w:r>
      <w:r w:rsidR="00DC4D1A">
        <w:t xml:space="preserve">preliminary view </w:t>
      </w:r>
      <w:r w:rsidR="00B7636A">
        <w:t xml:space="preserve">is </w:t>
      </w:r>
      <w:r w:rsidRPr="00451D00">
        <w:t>to maintain this ratio</w:t>
      </w:r>
      <w:r w:rsidR="0052180E" w:rsidRPr="00451D00">
        <w:t xml:space="preserve"> because:</w:t>
      </w:r>
    </w:p>
    <w:p w14:paraId="737115FF" w14:textId="0CA74C1E" w:rsidR="00091926" w:rsidRPr="00451D00" w:rsidRDefault="00097600" w:rsidP="00A206BF">
      <w:pPr>
        <w:pStyle w:val="CGC2025Bullet1"/>
      </w:pPr>
      <w:r w:rsidRPr="00451D00">
        <w:t>i</w:t>
      </w:r>
      <w:r w:rsidR="008F10DF" w:rsidRPr="00451D00">
        <w:t>t</w:t>
      </w:r>
      <w:r w:rsidR="00091926" w:rsidRPr="00451D00">
        <w:t xml:space="preserve"> recognises that urban centre characteristics are the key driver of urban public transport need</w:t>
      </w:r>
      <w:r w:rsidR="001D26B3">
        <w:t xml:space="preserve"> and</w:t>
      </w:r>
      <w:r w:rsidR="001C7274" w:rsidRPr="00451D00">
        <w:t xml:space="preserve"> </w:t>
      </w:r>
      <w:r w:rsidR="001D26B3">
        <w:t>r</w:t>
      </w:r>
      <w:r w:rsidR="001C7274" w:rsidRPr="00451D00">
        <w:t>educing the impact of this driver would reduce the accuracy of the assessment</w:t>
      </w:r>
      <w:r w:rsidR="00D0255F" w:rsidRPr="00451D00">
        <w:t>.</w:t>
      </w:r>
    </w:p>
    <w:p w14:paraId="6087EA8B" w14:textId="070E3F99" w:rsidR="00243774" w:rsidRPr="00451D00" w:rsidRDefault="00097600" w:rsidP="00AB2632">
      <w:pPr>
        <w:pStyle w:val="CGC2025Bullet1"/>
      </w:pPr>
      <w:r w:rsidRPr="00451D00">
        <w:t>c</w:t>
      </w:r>
      <w:r w:rsidR="007B7940" w:rsidRPr="00451D00">
        <w:t xml:space="preserve">hanging the ratio would not </w:t>
      </w:r>
      <w:r w:rsidR="003C277A" w:rsidRPr="00451D00">
        <w:t>address issues associated with retaining 2016</w:t>
      </w:r>
      <w:r w:rsidR="0095380E">
        <w:t> </w:t>
      </w:r>
      <w:r w:rsidR="1CE36ABB">
        <w:t>C</w:t>
      </w:r>
      <w:r w:rsidR="0095380E">
        <w:t>ensus</w:t>
      </w:r>
      <w:r w:rsidR="003C277A" w:rsidRPr="00451D00">
        <w:t xml:space="preserve"> data in the assessment until 2026</w:t>
      </w:r>
      <w:r w:rsidR="0095380E">
        <w:t> </w:t>
      </w:r>
      <w:r w:rsidR="1535E0AA">
        <w:t>C</w:t>
      </w:r>
      <w:r w:rsidR="0095380E">
        <w:t>ensus</w:t>
      </w:r>
      <w:r w:rsidR="003C277A" w:rsidRPr="00451D00">
        <w:t xml:space="preserve"> data are available.</w:t>
      </w:r>
    </w:p>
    <w:p w14:paraId="3EFF109F" w14:textId="6BFDF0DA" w:rsidR="00BE43B8" w:rsidRDefault="00BE43B8" w:rsidP="00BE43B8">
      <w:pPr>
        <w:pStyle w:val="Heading4"/>
      </w:pPr>
      <w:r>
        <w:t xml:space="preserve">Consultation </w:t>
      </w:r>
      <w:r w:rsidR="00C851EF">
        <w:t>q</w:t>
      </w:r>
      <w:r>
        <w:t>uestion</w:t>
      </w:r>
    </w:p>
    <w:p w14:paraId="2AE56FCF" w14:textId="5E92D668" w:rsidR="00BE43B8" w:rsidRPr="00243774" w:rsidRDefault="00BE43B8" w:rsidP="00A26215">
      <w:pPr>
        <w:pStyle w:val="CGCParaNumber"/>
        <w:ind w:left="0" w:firstLine="0"/>
      </w:pPr>
      <w:r w:rsidRPr="001C4DF3">
        <w:rPr>
          <w:noProof/>
        </w:rPr>
        <mc:AlternateContent>
          <mc:Choice Requires="wps">
            <w:drawing>
              <wp:inline distT="0" distB="0" distL="0" distR="0" wp14:anchorId="42382D19" wp14:editId="4E0A129B">
                <wp:extent cx="5688965" cy="524741"/>
                <wp:effectExtent l="0" t="0" r="6985" b="8890"/>
                <wp:docPr id="29" name="Rectangle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8965" cy="524741"/>
                        </a:xfrm>
                        <a:prstGeom prst="rect">
                          <a:avLst/>
                        </a:prstGeom>
                        <a:solidFill>
                          <a:srgbClr val="EBF3F5"/>
                        </a:solidFill>
                        <a:ln w="25400" cap="flat" cmpd="sng" algn="ctr">
                          <a:noFill/>
                          <a:prstDash val="solid"/>
                        </a:ln>
                        <a:effectLst/>
                      </wps:spPr>
                      <wps:txbx>
                        <w:txbxContent>
                          <w:p w14:paraId="4B6AE2FD" w14:textId="333915D0" w:rsidR="00BE43B8" w:rsidRPr="00CA7193" w:rsidRDefault="002F581E" w:rsidP="00C24152">
                            <w:pPr>
                              <w:pStyle w:val="CGC2025QuestionNumbers"/>
                            </w:pPr>
                            <w:r w:rsidRPr="00CA7193">
                              <w:t>Do state</w:t>
                            </w:r>
                            <w:r w:rsidR="007D7D35" w:rsidRPr="00CA7193">
                              <w:t>s</w:t>
                            </w:r>
                            <w:r w:rsidRPr="00CA7193">
                              <w:t xml:space="preserve"> support retaining the </w:t>
                            </w:r>
                            <w:r w:rsidR="00101F21" w:rsidRPr="00CA7193">
                              <w:t xml:space="preserve">2020 Review </w:t>
                            </w:r>
                            <w:r w:rsidRPr="00CA7193">
                              <w:t xml:space="preserve">blending ratio </w:t>
                            </w:r>
                            <w:r w:rsidR="00D853F4" w:rsidRPr="00CA7193">
                              <w:t xml:space="preserve">for the </w:t>
                            </w:r>
                            <w:r w:rsidR="00BC6D00" w:rsidRPr="00CA7193">
                              <w:t xml:space="preserve">urban transport </w:t>
                            </w:r>
                            <w:r w:rsidR="00D853F4" w:rsidRPr="00CA7193">
                              <w:t>assessment</w:t>
                            </w:r>
                            <w:r w:rsidR="00BC6D00" w:rsidRPr="00CA7193">
                              <w:t>?</w:t>
                            </w:r>
                            <w:r w:rsidR="00D853F4" w:rsidRPr="00CA7193">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382D19" id="Rectangle 29" o:spid="_x0000_s1034" alt="&quot;&quot;" style="width:447.95pt;height:41.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" fillcolor="#ebf3f5" stroked="f" strokeweight="2pt">
                <v:textbox>
                  <w:txbxContent>
                    <w:p w14:paraId="4B6AE2FD" w14:textId="333915D0" w:rsidR="00BE43B8" w:rsidRPr="00CA7193" w:rsidRDefault="002F581E" w:rsidP="00C24152">
                      <w:pPr>
                        <w:pStyle w:val="CGC2025QuestionNumbers"/>
                      </w:pPr>
                      <w:r w:rsidRPr="00CA7193">
                        <w:t>Do state</w:t>
                      </w:r>
                      <w:r w:rsidR="007D7D35" w:rsidRPr="00CA7193">
                        <w:t>s</w:t>
                      </w:r>
                      <w:r w:rsidRPr="00CA7193">
                        <w:t xml:space="preserve"> support retaining the </w:t>
                      </w:r>
                      <w:r w:rsidR="00101F21" w:rsidRPr="00CA7193">
                        <w:t xml:space="preserve">2020 Review </w:t>
                      </w:r>
                      <w:r w:rsidRPr="00CA7193">
                        <w:t xml:space="preserve">blending ratio </w:t>
                      </w:r>
                      <w:r w:rsidR="00D853F4" w:rsidRPr="00CA7193">
                        <w:t xml:space="preserve">for the </w:t>
                      </w:r>
                      <w:r w:rsidR="00BC6D00" w:rsidRPr="00CA7193">
                        <w:t xml:space="preserve">urban transport </w:t>
                      </w:r>
                      <w:r w:rsidR="00D853F4" w:rsidRPr="00CA7193">
                        <w:t>assessment</w:t>
                      </w:r>
                      <w:r w:rsidR="00BC6D00" w:rsidRPr="00CA7193">
                        <w:t>?</w:t>
                      </w:r>
                      <w:r w:rsidR="00D853F4" w:rsidRPr="00CA7193">
                        <w:t xml:space="preserve"> </w:t>
                      </w:r>
                    </w:p>
                  </w:txbxContent>
                </v:textbox>
                <w10:anchorlock/>
              </v:rect>
            </w:pict>
          </mc:Fallback>
        </mc:AlternateContent>
      </w:r>
    </w:p>
    <w:p w14:paraId="14A64572" w14:textId="05879F93" w:rsidR="00A716F7" w:rsidRPr="00A716F7" w:rsidRDefault="00582D2F" w:rsidP="00A716F7">
      <w:pPr>
        <w:pStyle w:val="Heading3"/>
      </w:pPr>
      <w:bookmarkStart w:id="101" w:name="_Toc138691905"/>
      <w:r w:rsidRPr="00582D2F">
        <w:t>What are the implications of additions to networks and new modes of transport?</w:t>
      </w:r>
      <w:bookmarkEnd w:id="101"/>
    </w:p>
    <w:p w14:paraId="3C350E14" w14:textId="6799E360" w:rsidR="005E1001" w:rsidRDefault="005E1001" w:rsidP="00603F08">
      <w:pPr>
        <w:pStyle w:val="CGC2025ParaNumbers"/>
      </w:pPr>
      <w:r>
        <w:t xml:space="preserve">Transport networks evolve in response to changes in demand. States make decisions regarding the frequency with which services run, the routes these services take and whether networks extensions </w:t>
      </w:r>
      <w:r w:rsidR="00505A6E">
        <w:t xml:space="preserve">or additions </w:t>
      </w:r>
      <w:r>
        <w:t xml:space="preserve">are required. They also determine whether new modes of transport should be added. </w:t>
      </w:r>
    </w:p>
    <w:p w14:paraId="5A69DFAB" w14:textId="115E3D3C" w:rsidR="005E1001" w:rsidRDefault="005E1001" w:rsidP="00603F08">
      <w:pPr>
        <w:pStyle w:val="CGC2025ParaNumbers"/>
      </w:pPr>
      <w:r>
        <w:t xml:space="preserve">In between review periods, the need for additional services is recognised in part by applying updated population density, modelled passenger numbers </w:t>
      </w:r>
      <w:r w:rsidR="00762D19">
        <w:t xml:space="preserve">and </w:t>
      </w:r>
      <w:r w:rsidR="00C9506C" w:rsidRPr="00474E6F">
        <w:t>the introduction of a ferry</w:t>
      </w:r>
      <w:r>
        <w:t xml:space="preserve"> to the fixed regression coefficients</w:t>
      </w:r>
      <w:r w:rsidRPr="00CE3273">
        <w:t>.</w:t>
      </w:r>
      <w:r>
        <w:t xml:space="preserve"> However, </w:t>
      </w:r>
      <w:r w:rsidR="6955BD8D">
        <w:t>maintaining the coefficients from the estimate</w:t>
      </w:r>
      <w:r w:rsidR="02BECD26">
        <w:t>d</w:t>
      </w:r>
      <w:r w:rsidR="00565F2B">
        <w:t xml:space="preserve"> </w:t>
      </w:r>
      <w:r>
        <w:t xml:space="preserve">regression model means that the full impact of these changes is not reflected in the costs for urban cities until the regression is updated with new net expense and passenger numbers. </w:t>
      </w:r>
    </w:p>
    <w:p w14:paraId="2AB68B20" w14:textId="5B1A72C7" w:rsidR="005E1001" w:rsidRDefault="005E1001" w:rsidP="00603F08">
      <w:pPr>
        <w:pStyle w:val="CGC2025ParaNumbers"/>
      </w:pPr>
      <w:r>
        <w:t xml:space="preserve">As discussed </w:t>
      </w:r>
      <w:r w:rsidR="00A63BAE">
        <w:t xml:space="preserve">from paragraph </w:t>
      </w:r>
      <w:r w:rsidR="00D43448" w:rsidRPr="00B05D52">
        <w:fldChar w:fldCharType="begin"/>
      </w:r>
      <w:r w:rsidR="00D43448" w:rsidRPr="00B05D52">
        <w:instrText xml:space="preserve"> REF _Ref137199808 \r \h </w:instrText>
      </w:r>
      <w:r w:rsidR="00AC1EEA" w:rsidRPr="00B05D52">
        <w:instrText xml:space="preserve"> \* MERGEFORMAT </w:instrText>
      </w:r>
      <w:r w:rsidR="00D43448" w:rsidRPr="00B05D52">
        <w:fldChar w:fldCharType="separate"/>
      </w:r>
      <w:r w:rsidR="00282693">
        <w:t>59</w:t>
      </w:r>
      <w:r w:rsidR="00D43448" w:rsidRPr="00B05D52">
        <w:fldChar w:fldCharType="end"/>
      </w:r>
      <w:r>
        <w:t xml:space="preserve">, reliable net expense data and passenger number data may not be available for inclusion in the 2025 Review. In the absence of alternative reliable and nationally comparable data, the Commission’s preliminary view is to wait until reliable data are available to update the </w:t>
      </w:r>
      <w:r w:rsidR="00706B8B">
        <w:t>regression coefficients</w:t>
      </w:r>
      <w:r>
        <w:t>.</w:t>
      </w:r>
      <w:r w:rsidR="00292245">
        <w:t xml:space="preserve"> </w:t>
      </w:r>
    </w:p>
    <w:p w14:paraId="2B0807E1" w14:textId="3E06F655" w:rsidR="00877E3E" w:rsidRDefault="00877E3E" w:rsidP="00603F08">
      <w:pPr>
        <w:pStyle w:val="CGC2025ParaNumbers"/>
      </w:pPr>
      <w:bookmarkStart w:id="102" w:name="_Ref132917556"/>
      <w:bookmarkStart w:id="103" w:name="_Ref132802099"/>
      <w:r>
        <w:t xml:space="preserve">The </w:t>
      </w:r>
      <w:r w:rsidR="00310C6A">
        <w:t xml:space="preserve">current </w:t>
      </w:r>
      <w:r>
        <w:t>model can accommodate the addition of a ferry to transport service mix in an urban area</w:t>
      </w:r>
      <w:r w:rsidR="00D61D64">
        <w:t>.</w:t>
      </w:r>
      <w:r>
        <w:t xml:space="preserve"> This is because</w:t>
      </w:r>
      <w:r w:rsidRPr="00B64959">
        <w:t xml:space="preserve"> passenger numbers are not considered for ferry </w:t>
      </w:r>
      <w:r w:rsidRPr="00B64959">
        <w:lastRenderedPageBreak/>
        <w:t xml:space="preserve">services, </w:t>
      </w:r>
      <w:r w:rsidR="3888A2BC" w:rsidRPr="00B64959">
        <w:t xml:space="preserve">but rather </w:t>
      </w:r>
      <w:r w:rsidRPr="00B64959">
        <w:t>whether a city has a ferry or not</w:t>
      </w:r>
      <w:r w:rsidR="00A87171">
        <w:t>.</w:t>
      </w:r>
      <w:r>
        <w:rPr>
          <w:rStyle w:val="FootnoteReference"/>
        </w:rPr>
        <w:footnoteReference w:id="15"/>
      </w:r>
      <w:r w:rsidRPr="00B64959">
        <w:t xml:space="preserve"> </w:t>
      </w:r>
      <w:r>
        <w:t xml:space="preserve">A limitation of the current model is </w:t>
      </w:r>
      <w:r w:rsidR="2BEDCF59">
        <w:t>that</w:t>
      </w:r>
      <w:r w:rsidR="305ACF70">
        <w:t xml:space="preserve"> </w:t>
      </w:r>
      <w:r>
        <w:t xml:space="preserve">all urban areas </w:t>
      </w:r>
      <w:r w:rsidR="007F29DE">
        <w:t xml:space="preserve">with </w:t>
      </w:r>
      <w:r>
        <w:t>ferry services are assumed to require the same level of service per capita, regardless of use or complexity of the service. Therefore</w:t>
      </w:r>
      <w:r w:rsidRPr="00B64959">
        <w:t>, all urban areas with ferries are estimated to spend the same amount per capita on ferries.</w:t>
      </w:r>
      <w:bookmarkEnd w:id="102"/>
      <w:r>
        <w:t xml:space="preserve"> </w:t>
      </w:r>
    </w:p>
    <w:p w14:paraId="6E231455" w14:textId="77777777" w:rsidR="00877E3E" w:rsidRDefault="00877E3E" w:rsidP="00603F08">
      <w:pPr>
        <w:pStyle w:val="CGC2025ParaNumbers"/>
      </w:pPr>
      <w:r>
        <w:t xml:space="preserve">The introduction of a ferry service in Hobart in 2021 has prompted the Commission to reconsider the appropriateness of this approach. </w:t>
      </w:r>
    </w:p>
    <w:bookmarkEnd w:id="103"/>
    <w:p w14:paraId="0FA9C11B" w14:textId="6DF16BA3" w:rsidR="00877E3E" w:rsidRDefault="7776CE62" w:rsidP="00603F08">
      <w:pPr>
        <w:pStyle w:val="CGC2025ParaNumbers"/>
      </w:pPr>
      <w:r>
        <w:t>The ferry service in Hobart consists of one ferry with a capacity of up to 535</w:t>
      </w:r>
      <w:r w:rsidR="00D83E3F">
        <w:t> </w:t>
      </w:r>
      <w:r>
        <w:t xml:space="preserve">passengers, running between 2 stops 8 times a day. </w:t>
      </w:r>
      <w:r w:rsidR="549503DC">
        <w:t>In contrast</w:t>
      </w:r>
      <w:r w:rsidR="5491E913" w:rsidRPr="00104642">
        <w:t xml:space="preserve"> the</w:t>
      </w:r>
      <w:r w:rsidRPr="00104642">
        <w:t xml:space="preserve"> Sydney </w:t>
      </w:r>
      <w:r w:rsidR="4CC798DC" w:rsidRPr="00104642">
        <w:t>ferry network co</w:t>
      </w:r>
      <w:r w:rsidRPr="00104642">
        <w:t>nsist</w:t>
      </w:r>
      <w:r w:rsidR="24E79D46" w:rsidRPr="00104642">
        <w:t>s</w:t>
      </w:r>
      <w:r w:rsidRPr="00104642">
        <w:t xml:space="preserve"> of over 30 ferries, covering 10 routes across 38 wharves.</w:t>
      </w:r>
      <w:r>
        <w:t xml:space="preserve"> </w:t>
      </w:r>
    </w:p>
    <w:p w14:paraId="272526BC" w14:textId="07A06318" w:rsidR="003F3E26" w:rsidRDefault="00877E3E" w:rsidP="00603F08">
      <w:pPr>
        <w:pStyle w:val="CGC2025ParaNumbers"/>
      </w:pPr>
      <w:r>
        <w:t>The Commission acknowledges that ferry services are not comparable between urban areas.</w:t>
      </w:r>
      <w:r w:rsidRPr="00C75A49">
        <w:t xml:space="preserve"> </w:t>
      </w:r>
      <w:r>
        <w:t xml:space="preserve">As noted in the 2020 Review, an alternative method based on passenger numbers (as used for heavy rail, light rail and buses) is not appropriate. This is because the </w:t>
      </w:r>
      <w:r w:rsidRPr="00B916D5">
        <w:t xml:space="preserve">scale of </w:t>
      </w:r>
      <w:r>
        <w:t xml:space="preserve">a </w:t>
      </w:r>
      <w:r w:rsidRPr="00B916D5">
        <w:t xml:space="preserve">ferry service is linked to the geographical </w:t>
      </w:r>
      <w:r>
        <w:t>features</w:t>
      </w:r>
      <w:r w:rsidRPr="00B916D5">
        <w:t xml:space="preserve"> of an urban area</w:t>
      </w:r>
      <w:r>
        <w:t>,</w:t>
      </w:r>
      <w:r w:rsidRPr="00B916D5">
        <w:t xml:space="preserve"> not </w:t>
      </w:r>
      <w:r>
        <w:t xml:space="preserve">just </w:t>
      </w:r>
      <w:r w:rsidRPr="00B916D5">
        <w:t>demand for public transport service</w:t>
      </w:r>
      <w:r>
        <w:t>s.</w:t>
      </w:r>
      <w:r w:rsidRPr="00B916D5">
        <w:t xml:space="preserve"> </w:t>
      </w:r>
    </w:p>
    <w:p w14:paraId="7E61F42F" w14:textId="4ED4B5A4" w:rsidR="00877E3E" w:rsidRPr="002E118D" w:rsidRDefault="003F3E26" w:rsidP="00603F08">
      <w:pPr>
        <w:pStyle w:val="CGC2025ParaNumbers"/>
      </w:pPr>
      <w:r w:rsidRPr="002E118D">
        <w:t>In addition,</w:t>
      </w:r>
      <w:r w:rsidR="002D4546" w:rsidRPr="002E118D">
        <w:t xml:space="preserve"> </w:t>
      </w:r>
      <w:r w:rsidR="000B738A" w:rsidRPr="002E118D">
        <w:t xml:space="preserve">the </w:t>
      </w:r>
      <w:r w:rsidR="002D4546" w:rsidRPr="002E118D">
        <w:t xml:space="preserve">consultant determined that </w:t>
      </w:r>
      <w:r w:rsidR="007C597B" w:rsidRPr="002E118D">
        <w:t>a specific measure</w:t>
      </w:r>
      <w:r w:rsidR="002D4546" w:rsidRPr="002E118D">
        <w:t xml:space="preserve"> </w:t>
      </w:r>
      <w:r w:rsidRPr="002E118D">
        <w:t>based on the number of ferry vessels or wharves w</w:t>
      </w:r>
      <w:r w:rsidR="007C597B" w:rsidRPr="002E118D">
        <w:t>as</w:t>
      </w:r>
      <w:r w:rsidRPr="002E118D">
        <w:t xml:space="preserve"> not appropriate given </w:t>
      </w:r>
      <w:r w:rsidR="00883B36" w:rsidRPr="002E118D">
        <w:t xml:space="preserve">the </w:t>
      </w:r>
      <w:r w:rsidRPr="002E118D">
        <w:t>limited number of observations</w:t>
      </w:r>
      <w:r w:rsidR="00E11772" w:rsidRPr="002E118D">
        <w:t xml:space="preserve"> available to inform the regression</w:t>
      </w:r>
      <w:r w:rsidR="001F7695" w:rsidRPr="002E118D">
        <w:t>.</w:t>
      </w:r>
      <w:r w:rsidR="00F35405" w:rsidRPr="002E118D">
        <w:t xml:space="preserve"> </w:t>
      </w:r>
      <w:r w:rsidR="007F0F98" w:rsidRPr="002E118D">
        <w:t xml:space="preserve">Issues with this measure would be exacerbated because </w:t>
      </w:r>
      <w:r w:rsidR="00D1391A" w:rsidRPr="002E118D">
        <w:t xml:space="preserve">the data </w:t>
      </w:r>
      <w:r w:rsidR="00F35405" w:rsidRPr="002E118D">
        <w:t>would</w:t>
      </w:r>
      <w:r w:rsidR="002E6726" w:rsidRPr="002E118D">
        <w:t xml:space="preserve"> </w:t>
      </w:r>
      <w:r w:rsidR="00B7346E" w:rsidRPr="002E118D">
        <w:t xml:space="preserve">exclude Brisbane </w:t>
      </w:r>
      <w:r w:rsidR="00D1391A" w:rsidRPr="002E118D">
        <w:t>ferries</w:t>
      </w:r>
      <w:r w:rsidR="00455442" w:rsidRPr="002E118D">
        <w:t xml:space="preserve"> as these are</w:t>
      </w:r>
      <w:r w:rsidR="00AA4A6F" w:rsidRPr="002E118D">
        <w:t xml:space="preserve"> provided by </w:t>
      </w:r>
      <w:r w:rsidR="00455442" w:rsidRPr="002E118D">
        <w:t>the city council</w:t>
      </w:r>
      <w:r w:rsidR="004914BE" w:rsidRPr="002E118D">
        <w:t>.</w:t>
      </w:r>
    </w:p>
    <w:p w14:paraId="603A5E43" w14:textId="6D5B2DF6" w:rsidR="004F6279" w:rsidRPr="002E118D" w:rsidRDefault="00BC6D00" w:rsidP="004F6279">
      <w:pPr>
        <w:pStyle w:val="CGC2025ParaNumbers"/>
      </w:pPr>
      <w:r w:rsidRPr="002E118D">
        <w:t>T</w:t>
      </w:r>
      <w:r w:rsidR="00F63621" w:rsidRPr="002E118D">
        <w:t>he Commission</w:t>
      </w:r>
      <w:r w:rsidR="00106072" w:rsidRPr="002E118D">
        <w:t xml:space="preserve"> re-examined</w:t>
      </w:r>
      <w:r w:rsidR="00F63621" w:rsidRPr="002E118D">
        <w:t xml:space="preserve"> </w:t>
      </w:r>
      <w:r w:rsidR="004D01A3" w:rsidRPr="002E118D">
        <w:t>a model based on</w:t>
      </w:r>
      <w:r w:rsidR="00F63621" w:rsidRPr="002E118D">
        <w:t xml:space="preserve"> </w:t>
      </w:r>
      <w:r w:rsidR="004D01A3" w:rsidRPr="002E118D">
        <w:t>the proportion of total commuters using ferry services instead of the ferry dummy variable</w:t>
      </w:r>
      <w:r w:rsidR="002B1042" w:rsidRPr="002E118D">
        <w:t xml:space="preserve"> (see </w:t>
      </w:r>
      <w:hyperlink w:anchor="_Attachment_A:_Technical" w:history="1">
        <w:r w:rsidR="002E0806" w:rsidRPr="002E0806">
          <w:rPr>
            <w:rStyle w:val="Hyperlink"/>
            <w:color w:val="auto"/>
            <w:szCs w:val="20"/>
            <w:u w:val="none"/>
          </w:rPr>
          <w:t>Attachment A</w:t>
        </w:r>
      </w:hyperlink>
      <w:r w:rsidR="002B1042">
        <w:rPr>
          <w:rStyle w:val="CaptionChar"/>
          <w:rFonts w:ascii="Work Sans" w:hAnsi="Work Sans"/>
          <w:b w:val="0"/>
        </w:rPr>
        <w:t xml:space="preserve"> </w:t>
      </w:r>
      <w:r w:rsidR="002B1042" w:rsidRPr="002E118D">
        <w:t>for more information)</w:t>
      </w:r>
      <w:r w:rsidR="004956E7" w:rsidRPr="002E118D">
        <w:t>.</w:t>
      </w:r>
    </w:p>
    <w:p w14:paraId="2DA29C66" w14:textId="06B5DA62" w:rsidR="00B17F25" w:rsidRPr="009C5C77" w:rsidRDefault="004F6279" w:rsidP="00AB2DF0">
      <w:pPr>
        <w:pStyle w:val="CGC2025ParaNumbers"/>
      </w:pPr>
      <w:r w:rsidRPr="009C5C77">
        <w:t>The proportions of ferry passengers were calculated using 2016 Census commuter numbers by transport mode. As the ferry network did not exist in Hobart in 2016, 2021 Census commuter proportions were used.</w:t>
      </w:r>
      <w:r w:rsidR="005A67AB" w:rsidRPr="009C5C77">
        <w:t xml:space="preserve"> </w:t>
      </w:r>
      <w:r w:rsidR="005A4DDE" w:rsidRPr="009C5C77">
        <w:t>W</w:t>
      </w:r>
      <w:r w:rsidR="00ED1F33" w:rsidRPr="009C5C77">
        <w:t xml:space="preserve">hile </w:t>
      </w:r>
      <w:r w:rsidR="00B96B82" w:rsidRPr="009C5C77">
        <w:t>COVID</w:t>
      </w:r>
      <w:r w:rsidR="004C0059" w:rsidRPr="009C5C77">
        <w:t>-19</w:t>
      </w:r>
      <w:r w:rsidR="00B96B82" w:rsidRPr="009C5C77">
        <w:t xml:space="preserve"> </w:t>
      </w:r>
      <w:r w:rsidR="00B37A99" w:rsidRPr="009C5C77">
        <w:t xml:space="preserve">health </w:t>
      </w:r>
      <w:r w:rsidR="00882A6C" w:rsidRPr="009C5C77">
        <w:t xml:space="preserve">safety </w:t>
      </w:r>
      <w:r w:rsidR="00B37A99" w:rsidRPr="009C5C77">
        <w:t>measure</w:t>
      </w:r>
      <w:r w:rsidR="00882A6C" w:rsidRPr="009C5C77">
        <w:t>s</w:t>
      </w:r>
      <w:r w:rsidR="00B37A99" w:rsidRPr="009C5C77">
        <w:t xml:space="preserve"> </w:t>
      </w:r>
      <w:r w:rsidR="004C3F42" w:rsidRPr="009C5C77">
        <w:t>were</w:t>
      </w:r>
      <w:r w:rsidR="00B37A99" w:rsidRPr="009C5C77">
        <w:t xml:space="preserve"> in place</w:t>
      </w:r>
      <w:r w:rsidR="00832187" w:rsidRPr="009C5C77">
        <w:t xml:space="preserve"> </w:t>
      </w:r>
      <w:r w:rsidR="00D2331B" w:rsidRPr="009C5C77">
        <w:t>on Census Day</w:t>
      </w:r>
      <w:r w:rsidR="00832187" w:rsidRPr="009C5C77">
        <w:t xml:space="preserve"> in Hobart</w:t>
      </w:r>
      <w:r w:rsidR="00106629" w:rsidRPr="009C5C77">
        <w:t xml:space="preserve">, </w:t>
      </w:r>
      <w:r w:rsidR="00D2331B" w:rsidRPr="009C5C77">
        <w:t>it</w:t>
      </w:r>
      <w:r w:rsidR="00106629" w:rsidRPr="009C5C77">
        <w:t xml:space="preserve"> was not in lockdown.</w:t>
      </w:r>
      <w:r w:rsidR="00832187" w:rsidRPr="009C5C77">
        <w:t xml:space="preserve"> In addition,</w:t>
      </w:r>
      <w:r w:rsidR="00B37A99" w:rsidRPr="009C5C77">
        <w:t xml:space="preserve"> the proportions of commuter</w:t>
      </w:r>
      <w:r w:rsidR="00962759" w:rsidRPr="009C5C77">
        <w:t>s</w:t>
      </w:r>
      <w:r w:rsidR="00AF67A3" w:rsidRPr="009C5C77">
        <w:t xml:space="preserve"> travelling by public transport </w:t>
      </w:r>
      <w:r w:rsidR="00570983" w:rsidRPr="009C5C77">
        <w:t xml:space="preserve">are </w:t>
      </w:r>
      <w:r w:rsidR="0084610E" w:rsidRPr="009C5C77">
        <w:t xml:space="preserve">less </w:t>
      </w:r>
      <w:r w:rsidR="009B367F" w:rsidRPr="009C5C77">
        <w:t>a</w:t>
      </w:r>
      <w:r w:rsidR="0084610E" w:rsidRPr="009C5C77">
        <w:t>ffected by COVID-19 than actual passenger numbers.</w:t>
      </w:r>
      <w:r w:rsidR="00AF67A3" w:rsidRPr="009C5C77">
        <w:t xml:space="preserve"> </w:t>
      </w:r>
      <w:r w:rsidR="00116518" w:rsidRPr="009C5C77">
        <w:t>Until 2026 Census data are available, the Commission consider</w:t>
      </w:r>
      <w:r w:rsidR="00685A04" w:rsidRPr="009C5C77">
        <w:t>s</w:t>
      </w:r>
      <w:r w:rsidR="00116518" w:rsidRPr="009C5C77">
        <w:t xml:space="preserve"> that 2021 Census data </w:t>
      </w:r>
      <w:r w:rsidR="00721D06" w:rsidRPr="009C5C77">
        <w:t>for Hobart ar</w:t>
      </w:r>
      <w:r w:rsidR="00E0348C" w:rsidRPr="009C5C77">
        <w:t>e fit-for-purpose</w:t>
      </w:r>
      <w:r w:rsidR="001C3D7E" w:rsidRPr="009C5C77">
        <w:t>.</w:t>
      </w:r>
    </w:p>
    <w:p w14:paraId="40542918" w14:textId="723C567E" w:rsidR="00EC1E88" w:rsidRPr="009C5C77" w:rsidRDefault="00880C60" w:rsidP="005A4964">
      <w:pPr>
        <w:pStyle w:val="CGC2025ParaNumbers"/>
      </w:pPr>
      <w:r w:rsidRPr="009C5C77">
        <w:t>The Commission’s preliminary view is to assess urban ferry costs based on the proportion of commuters using ferry services.</w:t>
      </w:r>
      <w:r w:rsidR="005A4964" w:rsidRPr="009C5C77">
        <w:t xml:space="preserve"> </w:t>
      </w:r>
      <w:r w:rsidR="00244B2D" w:rsidRPr="009C5C77">
        <w:t xml:space="preserve">The Commission considers that this represents an improvement over the current approach </w:t>
      </w:r>
      <w:r w:rsidR="00C224A1" w:rsidRPr="009C5C77">
        <w:t>because it</w:t>
      </w:r>
      <w:r w:rsidR="003F07E1" w:rsidRPr="009C5C77">
        <w:t xml:space="preserve"> </w:t>
      </w:r>
      <w:r w:rsidR="002E2E56" w:rsidRPr="009C5C77">
        <w:t>can account for</w:t>
      </w:r>
      <w:r w:rsidR="007A68CB" w:rsidRPr="009C5C77">
        <w:t xml:space="preserve"> differences in </w:t>
      </w:r>
      <w:r w:rsidR="002E2E56" w:rsidRPr="009C5C77">
        <w:t xml:space="preserve">the </w:t>
      </w:r>
      <w:r w:rsidR="00F53D00" w:rsidRPr="009C5C77">
        <w:t>scale of</w:t>
      </w:r>
      <w:r w:rsidR="00EB136F" w:rsidRPr="009C5C77">
        <w:t xml:space="preserve"> ferry networks</w:t>
      </w:r>
      <w:r w:rsidR="00C224A1" w:rsidRPr="009C5C77">
        <w:t>.</w:t>
      </w:r>
    </w:p>
    <w:p w14:paraId="607C1996" w14:textId="563C5C84" w:rsidR="000D66DF" w:rsidRDefault="00EC1E88" w:rsidP="00EC1E88">
      <w:pPr>
        <w:pStyle w:val="Heading4"/>
      </w:pPr>
      <w:r>
        <w:lastRenderedPageBreak/>
        <w:t xml:space="preserve">Consultation </w:t>
      </w:r>
      <w:r w:rsidR="005B08F5">
        <w:t>q</w:t>
      </w:r>
      <w:r>
        <w:t>uestion</w:t>
      </w:r>
    </w:p>
    <w:p w14:paraId="1E4BE70E" w14:textId="47C94F42" w:rsidR="00355123" w:rsidRDefault="00824975" w:rsidP="00A26215">
      <w:pPr>
        <w:pStyle w:val="CGCParaNumber"/>
        <w:ind w:left="0" w:firstLine="0"/>
      </w:pPr>
      <w:r w:rsidRPr="001C4DF3">
        <w:rPr>
          <w:noProof/>
        </w:rPr>
        <mc:AlternateContent>
          <mc:Choice Requires="wps">
            <w:drawing>
              <wp:inline distT="0" distB="0" distL="0" distR="0" wp14:anchorId="6A820816" wp14:editId="76F6BF89">
                <wp:extent cx="5688965" cy="571500"/>
                <wp:effectExtent l="0" t="0" r="6985" b="0"/>
                <wp:docPr id="31"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8965" cy="571500"/>
                        </a:xfrm>
                        <a:prstGeom prst="rect">
                          <a:avLst/>
                        </a:prstGeom>
                        <a:solidFill>
                          <a:srgbClr val="EBF3F5"/>
                        </a:solidFill>
                        <a:ln w="25400" cap="flat" cmpd="sng" algn="ctr">
                          <a:noFill/>
                          <a:prstDash val="solid"/>
                        </a:ln>
                        <a:effectLst/>
                      </wps:spPr>
                      <wps:txbx>
                        <w:txbxContent>
                          <w:p w14:paraId="1B787F01" w14:textId="41DFA142" w:rsidR="00824975" w:rsidRPr="009C5C77" w:rsidRDefault="00C0336C" w:rsidP="00C24152">
                            <w:pPr>
                              <w:pStyle w:val="CGC2025QuestionNumbers"/>
                            </w:pPr>
                            <w:r w:rsidRPr="009C5C77">
                              <w:t>Do states support</w:t>
                            </w:r>
                            <w:r w:rsidR="00910B4C" w:rsidRPr="009C5C77">
                              <w:t xml:space="preserve"> </w:t>
                            </w:r>
                            <w:r w:rsidR="00EB136F" w:rsidRPr="009C5C77">
                              <w:t xml:space="preserve">replacing the ferry dummy </w:t>
                            </w:r>
                            <w:r w:rsidR="00BB409C" w:rsidRPr="009C5C77">
                              <w:t xml:space="preserve">variable in the urban transport model with the proportion of total commuters </w:t>
                            </w:r>
                            <w:r w:rsidR="00EB0042" w:rsidRPr="009C5C77">
                              <w:t>using ferry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A820816" id="Rectangle 31" o:spid="_x0000_s1035" alt="&quot;&quot;" style="width:447.95pt;height: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" fillcolor="#ebf3f5" stroked="f" strokeweight="2pt">
                <v:textbox>
                  <w:txbxContent>
                    <w:p w14:paraId="1B787F01" w14:textId="41DFA142" w:rsidR="00824975" w:rsidRPr="009C5C77" w:rsidRDefault="00C0336C" w:rsidP="00C24152">
                      <w:pPr>
                        <w:pStyle w:val="CGC2025QuestionNumbers"/>
                      </w:pPr>
                      <w:r w:rsidRPr="009C5C77">
                        <w:t>Do states support</w:t>
                      </w:r>
                      <w:r w:rsidR="00910B4C" w:rsidRPr="009C5C77">
                        <w:t xml:space="preserve"> </w:t>
                      </w:r>
                      <w:r w:rsidR="00EB136F" w:rsidRPr="009C5C77">
                        <w:t xml:space="preserve">replacing the ferry dummy </w:t>
                      </w:r>
                      <w:r w:rsidR="00BB409C" w:rsidRPr="009C5C77">
                        <w:t xml:space="preserve">variable in the urban transport model with the proportion of total commuters </w:t>
                      </w:r>
                      <w:r w:rsidR="00EB0042" w:rsidRPr="009C5C77">
                        <w:t>using ferry services?</w:t>
                      </w:r>
                    </w:p>
                  </w:txbxContent>
                </v:textbox>
                <w10:anchorlock/>
              </v:rect>
            </w:pict>
          </mc:Fallback>
        </mc:AlternateContent>
      </w:r>
    </w:p>
    <w:p w14:paraId="70A74E6F" w14:textId="5778C7AD" w:rsidR="00EC1E88" w:rsidRPr="00EC1E88" w:rsidRDefault="008C67EF" w:rsidP="00FF7026">
      <w:pPr>
        <w:pStyle w:val="Heading3"/>
        <w:keepLines/>
      </w:pPr>
      <w:bookmarkStart w:id="104" w:name="_Toc138691906"/>
      <w:r w:rsidRPr="008C67EF">
        <w:t>What are the implications of changes to urban centre sizes and populations?</w:t>
      </w:r>
      <w:bookmarkEnd w:id="104"/>
    </w:p>
    <w:p w14:paraId="1DF25FF4" w14:textId="59EEEF2D" w:rsidR="00EE10A8" w:rsidRDefault="00EE10A8" w:rsidP="00603F08">
      <w:pPr>
        <w:pStyle w:val="CGC2025ParaNumbers"/>
      </w:pPr>
      <w:r>
        <w:t xml:space="preserve">The urban areas used in the Commission’s assessment of urban transport expenditure are based on the Australian Statistical Geography Standard produced by the ABS. </w:t>
      </w:r>
    </w:p>
    <w:p w14:paraId="7657D713" w14:textId="7EF04DF6" w:rsidR="00EE10A8" w:rsidRDefault="00EE10A8" w:rsidP="00603F08">
      <w:pPr>
        <w:pStyle w:val="CGC2025ParaNumbers"/>
      </w:pPr>
      <w:r>
        <w:t>The topography variable in the regression (</w:t>
      </w:r>
      <w:r w:rsidR="00AF5255">
        <w:t>that is,</w:t>
      </w:r>
      <w:r>
        <w:t xml:space="preserve"> mean land slope from Geoscience Australia) is based on the 2016 Census urban areas classification and will not be updated until reliable net expense data are available. </w:t>
      </w:r>
    </w:p>
    <w:p w14:paraId="22E2E007" w14:textId="4D6FE0CE" w:rsidR="00EE10A8" w:rsidRDefault="00EE10A8" w:rsidP="00603F08">
      <w:pPr>
        <w:pStyle w:val="CGC2025ParaNumbers"/>
      </w:pPr>
      <w:r>
        <w:t xml:space="preserve">Changes in the boundaries of significant urban areas are updated every 5 years as the Census data are released. These changes are captured in </w:t>
      </w:r>
      <w:r w:rsidR="008A75AF">
        <w:t xml:space="preserve">the </w:t>
      </w:r>
      <w:r w:rsidR="00426C9B">
        <w:t>Commission’s measure</w:t>
      </w:r>
      <w:r>
        <w:t xml:space="preserve"> of population density and modelled passenger numbers that are applied to the fixed regression coefficients and used to determine satellite cities</w:t>
      </w:r>
      <w:r w:rsidR="008E31DC">
        <w:t>.</w:t>
      </w:r>
      <w:r w:rsidR="00BF0174">
        <w:rPr>
          <w:rStyle w:val="FootnoteReference"/>
        </w:rPr>
        <w:footnoteReference w:id="16"/>
      </w:r>
    </w:p>
    <w:p w14:paraId="0CC80DD7" w14:textId="74B92436" w:rsidR="00E46910" w:rsidRPr="00E46910" w:rsidRDefault="00EE10A8" w:rsidP="00603F08">
      <w:pPr>
        <w:pStyle w:val="CGC2025ParaNumbers"/>
      </w:pPr>
      <w:r>
        <w:t>As urban areas grow, it is important to ensure the method used for modelling passenger numbers remains suitable.</w:t>
      </w:r>
    </w:p>
    <w:p w14:paraId="18C20328" w14:textId="4ACDA177" w:rsidR="00E124EF" w:rsidRDefault="00974594" w:rsidP="00EE10A8">
      <w:pPr>
        <w:pStyle w:val="Heading4"/>
      </w:pPr>
      <w:r w:rsidRPr="00974594">
        <w:t>Modelling passenger numbers</w:t>
      </w:r>
    </w:p>
    <w:p w14:paraId="77FB20E1" w14:textId="66C8244F" w:rsidR="00413F85" w:rsidRDefault="00413F85" w:rsidP="0022589E">
      <w:pPr>
        <w:pStyle w:val="CGC2025ParaNumbers"/>
      </w:pPr>
      <w:r>
        <w:t xml:space="preserve">In the 2020 Review method, average passenger numbers are calculated for all urban areas within a population range, with or without heavy rail. The method reflects analysis showing that public transport use is related to the size of urban centre populations and the availability of heavy rail services. There are 6 population ranges to group urban areas with similar transport needs and challenges. </w:t>
      </w:r>
    </w:p>
    <w:p w14:paraId="006022EF" w14:textId="031D9198" w:rsidR="00413F85" w:rsidRDefault="00A26D68" w:rsidP="0022589E">
      <w:pPr>
        <w:pStyle w:val="CGC2025ParaNumbers"/>
      </w:pPr>
      <w:r>
        <w:fldChar w:fldCharType="begin"/>
      </w:r>
      <w:r>
        <w:instrText xml:space="preserve"> REF _Ref138763979 \h </w:instrText>
      </w:r>
      <w:r>
        <w:fldChar w:fldCharType="separate"/>
      </w:r>
      <w:r w:rsidR="00282693" w:rsidRPr="008767F7">
        <w:rPr>
          <w:szCs w:val="20"/>
        </w:rPr>
        <w:t xml:space="preserve">Table </w:t>
      </w:r>
      <w:r w:rsidR="00282693">
        <w:rPr>
          <w:noProof/>
        </w:rPr>
        <w:t>8</w:t>
      </w:r>
      <w:r>
        <w:fldChar w:fldCharType="end"/>
      </w:r>
      <w:r w:rsidR="00433E1E">
        <w:t xml:space="preserve"> </w:t>
      </w:r>
      <w:r w:rsidR="00413F85">
        <w:t>shows the population ranges in the 2020 Review.</w:t>
      </w:r>
    </w:p>
    <w:p w14:paraId="2DCD1CB8" w14:textId="6B74D115" w:rsidR="00974594" w:rsidRPr="008767F7" w:rsidRDefault="00BE38F0" w:rsidP="008E2A76">
      <w:pPr>
        <w:pStyle w:val="CGC2025Caption"/>
        <w:tabs>
          <w:tab w:val="left" w:pos="1134"/>
        </w:tabs>
        <w:rPr>
          <w:szCs w:val="20"/>
        </w:rPr>
      </w:pPr>
      <w:bookmarkStart w:id="105" w:name="_Ref132917621"/>
      <w:bookmarkStart w:id="106" w:name="_Ref138763979"/>
      <w:r w:rsidRPr="008767F7">
        <w:rPr>
          <w:szCs w:val="20"/>
        </w:rPr>
        <w:t xml:space="preserve">Table </w:t>
      </w:r>
      <w:r w:rsidRPr="008767F7">
        <w:rPr>
          <w:szCs w:val="20"/>
        </w:rPr>
        <w:fldChar w:fldCharType="begin"/>
      </w:r>
      <w:r>
        <w:instrText>SEQ Table \* ARABIC</w:instrText>
      </w:r>
      <w:r w:rsidRPr="008767F7">
        <w:rPr>
          <w:szCs w:val="20"/>
        </w:rPr>
        <w:fldChar w:fldCharType="separate"/>
      </w:r>
      <w:r w:rsidR="00282693">
        <w:rPr>
          <w:noProof/>
        </w:rPr>
        <w:t>8</w:t>
      </w:r>
      <w:r w:rsidRPr="008767F7">
        <w:rPr>
          <w:szCs w:val="20"/>
        </w:rPr>
        <w:fldChar w:fldCharType="end"/>
      </w:r>
      <w:bookmarkEnd w:id="105"/>
      <w:bookmarkEnd w:id="106"/>
      <w:r w:rsidRPr="008767F7">
        <w:rPr>
          <w:szCs w:val="20"/>
        </w:rPr>
        <w:tab/>
      </w:r>
      <w:r w:rsidR="00661D3C" w:rsidRPr="008767F7">
        <w:rPr>
          <w:szCs w:val="20"/>
        </w:rPr>
        <w:t>Population ranges used to group significant urban areas</w:t>
      </w:r>
    </w:p>
    <w:tbl>
      <w:tblPr>
        <w:tblW w:w="8410" w:type="dxa"/>
        <w:tblLayout w:type="fixed"/>
        <w:tblLook w:val="04A0" w:firstRow="1" w:lastRow="0" w:firstColumn="1" w:lastColumn="0" w:noHBand="0" w:noVBand="1"/>
      </w:tblPr>
      <w:tblGrid>
        <w:gridCol w:w="2101"/>
        <w:gridCol w:w="2103"/>
        <w:gridCol w:w="2103"/>
        <w:gridCol w:w="2103"/>
      </w:tblGrid>
      <w:tr w:rsidR="00E2731D" w:rsidRPr="00D40515" w14:paraId="2C6991E9" w14:textId="77777777">
        <w:trPr>
          <w:trHeight w:val="375"/>
        </w:trPr>
        <w:tc>
          <w:tcPr>
            <w:tcW w:w="2101" w:type="dxa"/>
            <w:tcBorders>
              <w:top w:val="nil"/>
              <w:left w:val="nil"/>
              <w:bottom w:val="single" w:sz="4" w:space="0" w:color="B6D5E4"/>
              <w:right w:val="nil"/>
            </w:tcBorders>
            <w:shd w:val="clear" w:color="000000" w:fill="006991"/>
            <w:noWrap/>
            <w:vAlign w:val="center"/>
            <w:hideMark/>
          </w:tcPr>
          <w:p w14:paraId="1D24B3CC" w14:textId="4E3A6924" w:rsidR="00E2731D" w:rsidRPr="00497F41" w:rsidRDefault="00E2731D">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497F41">
              <w:rPr>
                <w:rFonts w:ascii="Open Sans Semibold" w:eastAsia="Times New Roman" w:hAnsi="Open Sans Semibold" w:cs="Open Sans Semibold"/>
                <w:b/>
                <w:color w:val="FFFFFF"/>
                <w:sz w:val="16"/>
                <w:szCs w:val="16"/>
                <w:lang w:eastAsia="en-AU"/>
              </w:rPr>
              <w:t xml:space="preserve">Lower </w:t>
            </w:r>
            <w:r w:rsidR="00497F41" w:rsidRPr="00497F41">
              <w:rPr>
                <w:rFonts w:ascii="Open Sans Semibold" w:eastAsia="Times New Roman" w:hAnsi="Open Sans Semibold" w:cs="Open Sans Semibold"/>
                <w:b/>
                <w:bCs/>
                <w:color w:val="FFFFFF"/>
                <w:sz w:val="16"/>
                <w:szCs w:val="16"/>
                <w:lang w:eastAsia="en-AU"/>
              </w:rPr>
              <w:t>l</w:t>
            </w:r>
            <w:r w:rsidRPr="00497F41">
              <w:rPr>
                <w:rFonts w:ascii="Open Sans Semibold" w:eastAsia="Times New Roman" w:hAnsi="Open Sans Semibold" w:cs="Open Sans Semibold"/>
                <w:b/>
                <w:bCs/>
                <w:color w:val="FFFFFF"/>
                <w:sz w:val="16"/>
                <w:szCs w:val="16"/>
                <w:lang w:eastAsia="en-AU"/>
              </w:rPr>
              <w:t>imit</w:t>
            </w:r>
          </w:p>
        </w:tc>
        <w:tc>
          <w:tcPr>
            <w:tcW w:w="2103" w:type="dxa"/>
            <w:tcBorders>
              <w:top w:val="nil"/>
              <w:left w:val="nil"/>
              <w:bottom w:val="single" w:sz="4" w:space="0" w:color="B6D5E4"/>
              <w:right w:val="nil"/>
            </w:tcBorders>
            <w:shd w:val="clear" w:color="000000" w:fill="006991"/>
            <w:noWrap/>
            <w:vAlign w:val="center"/>
            <w:hideMark/>
          </w:tcPr>
          <w:p w14:paraId="24125833" w14:textId="2D227655" w:rsidR="00E2731D" w:rsidRPr="00497F41" w:rsidRDefault="00E2731D">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497F41">
              <w:rPr>
                <w:rFonts w:ascii="Open Sans Semibold" w:eastAsia="Times New Roman" w:hAnsi="Open Sans Semibold" w:cs="Open Sans Semibold"/>
                <w:b/>
                <w:color w:val="FFFFFF"/>
                <w:sz w:val="16"/>
                <w:szCs w:val="16"/>
                <w:lang w:eastAsia="en-AU"/>
              </w:rPr>
              <w:t xml:space="preserve">Upper </w:t>
            </w:r>
            <w:r w:rsidR="00497F41" w:rsidRPr="00497F41">
              <w:rPr>
                <w:rFonts w:ascii="Open Sans Semibold" w:eastAsia="Times New Roman" w:hAnsi="Open Sans Semibold" w:cs="Open Sans Semibold"/>
                <w:b/>
                <w:bCs/>
                <w:color w:val="FFFFFF"/>
                <w:sz w:val="16"/>
                <w:szCs w:val="16"/>
                <w:lang w:eastAsia="en-AU"/>
              </w:rPr>
              <w:t>li</w:t>
            </w:r>
            <w:r w:rsidRPr="00497F41">
              <w:rPr>
                <w:rFonts w:ascii="Open Sans Semibold" w:eastAsia="Times New Roman" w:hAnsi="Open Sans Semibold" w:cs="Open Sans Semibold"/>
                <w:b/>
                <w:bCs/>
                <w:color w:val="FFFFFF"/>
                <w:sz w:val="16"/>
                <w:szCs w:val="16"/>
                <w:lang w:eastAsia="en-AU"/>
              </w:rPr>
              <w:t>mit</w:t>
            </w:r>
          </w:p>
        </w:tc>
        <w:tc>
          <w:tcPr>
            <w:tcW w:w="2103" w:type="dxa"/>
            <w:tcBorders>
              <w:top w:val="nil"/>
              <w:left w:val="nil"/>
              <w:bottom w:val="single" w:sz="4" w:space="0" w:color="B6D5E4"/>
              <w:right w:val="nil"/>
            </w:tcBorders>
            <w:shd w:val="clear" w:color="000000" w:fill="006991"/>
            <w:noWrap/>
            <w:vAlign w:val="center"/>
            <w:hideMark/>
          </w:tcPr>
          <w:p w14:paraId="6ECE741E" w14:textId="773F7BDA" w:rsidR="00E2731D" w:rsidRPr="00497F41" w:rsidRDefault="00E2731D">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497F41">
              <w:rPr>
                <w:rFonts w:ascii="Open Sans Semibold" w:eastAsia="Times New Roman" w:hAnsi="Open Sans Semibold" w:cs="Open Sans Semibold"/>
                <w:b/>
                <w:color w:val="FFFFFF"/>
                <w:sz w:val="16"/>
                <w:szCs w:val="16"/>
                <w:lang w:eastAsia="en-AU"/>
              </w:rPr>
              <w:t xml:space="preserve">Number of </w:t>
            </w:r>
            <w:r w:rsidR="00497F41" w:rsidRPr="00497F41">
              <w:rPr>
                <w:rFonts w:ascii="Open Sans Semibold" w:eastAsia="Times New Roman" w:hAnsi="Open Sans Semibold" w:cs="Open Sans Semibold"/>
                <w:b/>
                <w:bCs/>
                <w:color w:val="FFFFFF"/>
                <w:sz w:val="16"/>
                <w:szCs w:val="16"/>
                <w:lang w:eastAsia="en-AU"/>
              </w:rPr>
              <w:t>urban areas</w:t>
            </w:r>
          </w:p>
          <w:p w14:paraId="014989B4" w14:textId="784EA5A5" w:rsidR="00E2731D" w:rsidRPr="00497F41" w:rsidRDefault="00E2731D">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497F41">
              <w:rPr>
                <w:rFonts w:ascii="Open Sans Semibold" w:eastAsia="Times New Roman" w:hAnsi="Open Sans Semibold" w:cs="Open Sans Semibold"/>
                <w:b/>
                <w:bCs/>
                <w:color w:val="FFFFFF"/>
                <w:sz w:val="16"/>
                <w:szCs w:val="16"/>
                <w:lang w:eastAsia="en-AU"/>
              </w:rPr>
              <w:t>(</w:t>
            </w:r>
            <w:r w:rsidR="00497F41" w:rsidRPr="00497F41">
              <w:rPr>
                <w:rFonts w:ascii="Open Sans Semibold" w:eastAsia="Times New Roman" w:hAnsi="Open Sans Semibold" w:cs="Open Sans Semibold"/>
                <w:b/>
                <w:bCs/>
                <w:color w:val="FFFFFF"/>
                <w:sz w:val="16"/>
                <w:szCs w:val="16"/>
                <w:lang w:eastAsia="en-AU"/>
              </w:rPr>
              <w:t>n</w:t>
            </w:r>
            <w:r w:rsidRPr="00497F41">
              <w:rPr>
                <w:rFonts w:ascii="Open Sans Semibold" w:eastAsia="Times New Roman" w:hAnsi="Open Sans Semibold" w:cs="Open Sans Semibold"/>
                <w:b/>
                <w:bCs/>
                <w:color w:val="FFFFFF"/>
                <w:sz w:val="16"/>
                <w:szCs w:val="16"/>
                <w:lang w:eastAsia="en-AU"/>
              </w:rPr>
              <w:t xml:space="preserve">o </w:t>
            </w:r>
            <w:r w:rsidR="00497F41" w:rsidRPr="00497F41">
              <w:rPr>
                <w:rFonts w:ascii="Open Sans Semibold" w:eastAsia="Times New Roman" w:hAnsi="Open Sans Semibold" w:cs="Open Sans Semibold"/>
                <w:b/>
                <w:bCs/>
                <w:color w:val="FFFFFF"/>
                <w:sz w:val="16"/>
                <w:szCs w:val="16"/>
                <w:lang w:eastAsia="en-AU"/>
              </w:rPr>
              <w:t>h</w:t>
            </w:r>
            <w:r w:rsidRPr="00497F41">
              <w:rPr>
                <w:rFonts w:ascii="Open Sans Semibold" w:eastAsia="Times New Roman" w:hAnsi="Open Sans Semibold" w:cs="Open Sans Semibold"/>
                <w:b/>
                <w:bCs/>
                <w:color w:val="FFFFFF"/>
                <w:sz w:val="16"/>
                <w:szCs w:val="16"/>
                <w:lang w:eastAsia="en-AU"/>
              </w:rPr>
              <w:t xml:space="preserve">eavy </w:t>
            </w:r>
            <w:r w:rsidR="00497F41" w:rsidRPr="00497F41">
              <w:rPr>
                <w:rFonts w:ascii="Open Sans Semibold" w:eastAsia="Times New Roman" w:hAnsi="Open Sans Semibold" w:cs="Open Sans Semibold"/>
                <w:b/>
                <w:bCs/>
                <w:color w:val="FFFFFF"/>
                <w:sz w:val="16"/>
                <w:szCs w:val="16"/>
                <w:lang w:eastAsia="en-AU"/>
              </w:rPr>
              <w:t>r</w:t>
            </w:r>
            <w:r w:rsidRPr="00497F41">
              <w:rPr>
                <w:rFonts w:ascii="Open Sans Semibold" w:eastAsia="Times New Roman" w:hAnsi="Open Sans Semibold" w:cs="Open Sans Semibold"/>
                <w:b/>
                <w:bCs/>
                <w:color w:val="FFFFFF"/>
                <w:sz w:val="16"/>
                <w:szCs w:val="16"/>
                <w:lang w:eastAsia="en-AU"/>
              </w:rPr>
              <w:t>ail)</w:t>
            </w:r>
          </w:p>
        </w:tc>
        <w:tc>
          <w:tcPr>
            <w:tcW w:w="2103" w:type="dxa"/>
            <w:tcBorders>
              <w:top w:val="nil"/>
              <w:left w:val="nil"/>
              <w:bottom w:val="single" w:sz="4" w:space="0" w:color="B6D5E4"/>
              <w:right w:val="nil"/>
            </w:tcBorders>
            <w:shd w:val="clear" w:color="000000" w:fill="006991"/>
            <w:noWrap/>
            <w:vAlign w:val="center"/>
            <w:hideMark/>
          </w:tcPr>
          <w:p w14:paraId="7D3479F5" w14:textId="40BDB28F" w:rsidR="00E2731D" w:rsidRPr="00497F41" w:rsidRDefault="00E2731D">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497F41">
              <w:rPr>
                <w:rFonts w:ascii="Open Sans Semibold" w:eastAsia="Times New Roman" w:hAnsi="Open Sans Semibold" w:cs="Open Sans Semibold"/>
                <w:b/>
                <w:color w:val="FFFFFF"/>
                <w:sz w:val="16"/>
                <w:szCs w:val="16"/>
                <w:lang w:eastAsia="en-AU"/>
              </w:rPr>
              <w:t xml:space="preserve">Number of </w:t>
            </w:r>
            <w:r w:rsidR="00497F41" w:rsidRPr="00497F41">
              <w:rPr>
                <w:rFonts w:ascii="Open Sans Semibold" w:eastAsia="Times New Roman" w:hAnsi="Open Sans Semibold" w:cs="Open Sans Semibold"/>
                <w:b/>
                <w:bCs/>
                <w:color w:val="FFFFFF"/>
                <w:sz w:val="16"/>
                <w:szCs w:val="16"/>
                <w:lang w:eastAsia="en-AU"/>
              </w:rPr>
              <w:t>u</w:t>
            </w:r>
            <w:r w:rsidRPr="00497F41">
              <w:rPr>
                <w:rFonts w:ascii="Open Sans Semibold" w:eastAsia="Times New Roman" w:hAnsi="Open Sans Semibold" w:cs="Open Sans Semibold"/>
                <w:b/>
                <w:bCs/>
                <w:color w:val="FFFFFF"/>
                <w:sz w:val="16"/>
                <w:szCs w:val="16"/>
                <w:lang w:eastAsia="en-AU"/>
              </w:rPr>
              <w:t xml:space="preserve">rban </w:t>
            </w:r>
            <w:r w:rsidR="00497F41" w:rsidRPr="00497F41">
              <w:rPr>
                <w:rFonts w:ascii="Open Sans Semibold" w:eastAsia="Times New Roman" w:hAnsi="Open Sans Semibold" w:cs="Open Sans Semibold"/>
                <w:b/>
                <w:bCs/>
                <w:color w:val="FFFFFF"/>
                <w:sz w:val="16"/>
                <w:szCs w:val="16"/>
                <w:lang w:eastAsia="en-AU"/>
              </w:rPr>
              <w:t>a</w:t>
            </w:r>
            <w:r w:rsidRPr="00497F41">
              <w:rPr>
                <w:rFonts w:ascii="Open Sans Semibold" w:eastAsia="Times New Roman" w:hAnsi="Open Sans Semibold" w:cs="Open Sans Semibold"/>
                <w:b/>
                <w:bCs/>
                <w:color w:val="FFFFFF"/>
                <w:sz w:val="16"/>
                <w:szCs w:val="16"/>
                <w:lang w:eastAsia="en-AU"/>
              </w:rPr>
              <w:t>reas</w:t>
            </w:r>
          </w:p>
          <w:p w14:paraId="6137955A" w14:textId="1AAFB15C" w:rsidR="00E2731D" w:rsidRPr="00497F41" w:rsidRDefault="00E2731D">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497F41">
              <w:rPr>
                <w:rFonts w:ascii="Open Sans Semibold" w:eastAsia="Times New Roman" w:hAnsi="Open Sans Semibold" w:cs="Open Sans Semibold"/>
                <w:b/>
                <w:bCs/>
                <w:color w:val="FFFFFF"/>
                <w:sz w:val="16"/>
                <w:szCs w:val="16"/>
                <w:lang w:eastAsia="en-AU"/>
              </w:rPr>
              <w:t>(</w:t>
            </w:r>
            <w:r w:rsidR="00497F41" w:rsidRPr="00497F41">
              <w:rPr>
                <w:rFonts w:ascii="Open Sans Semibold" w:eastAsia="Times New Roman" w:hAnsi="Open Sans Semibold" w:cs="Open Sans Semibold"/>
                <w:b/>
                <w:bCs/>
                <w:color w:val="FFFFFF"/>
                <w:sz w:val="16"/>
                <w:szCs w:val="16"/>
                <w:lang w:eastAsia="en-AU"/>
              </w:rPr>
              <w:t>h</w:t>
            </w:r>
            <w:r w:rsidRPr="00497F41">
              <w:rPr>
                <w:rFonts w:ascii="Open Sans Semibold" w:eastAsia="Times New Roman" w:hAnsi="Open Sans Semibold" w:cs="Open Sans Semibold"/>
                <w:b/>
                <w:bCs/>
                <w:color w:val="FFFFFF"/>
                <w:sz w:val="16"/>
                <w:szCs w:val="16"/>
                <w:lang w:eastAsia="en-AU"/>
              </w:rPr>
              <w:t xml:space="preserve">eavy </w:t>
            </w:r>
            <w:r w:rsidR="00497F41" w:rsidRPr="00497F41">
              <w:rPr>
                <w:rFonts w:ascii="Open Sans Semibold" w:eastAsia="Times New Roman" w:hAnsi="Open Sans Semibold" w:cs="Open Sans Semibold"/>
                <w:b/>
                <w:bCs/>
                <w:color w:val="FFFFFF"/>
                <w:sz w:val="16"/>
                <w:szCs w:val="16"/>
                <w:lang w:eastAsia="en-AU"/>
              </w:rPr>
              <w:t>r</w:t>
            </w:r>
            <w:r w:rsidRPr="00497F41">
              <w:rPr>
                <w:rFonts w:ascii="Open Sans Semibold" w:eastAsia="Times New Roman" w:hAnsi="Open Sans Semibold" w:cs="Open Sans Semibold"/>
                <w:b/>
                <w:bCs/>
                <w:color w:val="FFFFFF"/>
                <w:sz w:val="16"/>
                <w:szCs w:val="16"/>
                <w:lang w:eastAsia="en-AU"/>
              </w:rPr>
              <w:t>ail)</w:t>
            </w:r>
          </w:p>
        </w:tc>
      </w:tr>
      <w:tr w:rsidR="00E2731D" w:rsidRPr="0067365F" w14:paraId="038239E8" w14:textId="77777777">
        <w:trPr>
          <w:trHeight w:val="315"/>
        </w:trPr>
        <w:tc>
          <w:tcPr>
            <w:tcW w:w="2101" w:type="dxa"/>
            <w:tcBorders>
              <w:top w:val="single" w:sz="4" w:space="0" w:color="ADD6EA"/>
              <w:left w:val="nil"/>
              <w:bottom w:val="nil"/>
              <w:right w:val="nil"/>
            </w:tcBorders>
            <w:shd w:val="clear" w:color="auto" w:fill="auto"/>
            <w:vAlign w:val="bottom"/>
            <w:hideMark/>
          </w:tcPr>
          <w:p w14:paraId="690F66EB"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cs="Open Sans Light"/>
                <w:color w:val="000000"/>
                <w:sz w:val="16"/>
                <w:szCs w:val="16"/>
              </w:rPr>
              <w:t>0</w:t>
            </w:r>
          </w:p>
        </w:tc>
        <w:tc>
          <w:tcPr>
            <w:tcW w:w="2103" w:type="dxa"/>
            <w:tcBorders>
              <w:top w:val="single" w:sz="4" w:space="0" w:color="ADD6EA"/>
              <w:left w:val="nil"/>
              <w:bottom w:val="nil"/>
              <w:right w:val="nil"/>
            </w:tcBorders>
            <w:shd w:val="clear" w:color="auto" w:fill="auto"/>
            <w:vAlign w:val="bottom"/>
            <w:hideMark/>
          </w:tcPr>
          <w:p w14:paraId="0EEC25F5"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cs="Open Sans Light"/>
                <w:color w:val="000000"/>
                <w:sz w:val="16"/>
                <w:szCs w:val="16"/>
              </w:rPr>
              <w:t>50,000</w:t>
            </w:r>
          </w:p>
        </w:tc>
        <w:tc>
          <w:tcPr>
            <w:tcW w:w="2103" w:type="dxa"/>
            <w:tcBorders>
              <w:top w:val="single" w:sz="4" w:space="0" w:color="ADD6EA"/>
              <w:left w:val="nil"/>
              <w:bottom w:val="nil"/>
              <w:right w:val="nil"/>
            </w:tcBorders>
            <w:shd w:val="clear" w:color="auto" w:fill="auto"/>
            <w:vAlign w:val="bottom"/>
            <w:hideMark/>
          </w:tcPr>
          <w:p w14:paraId="1478E0A7"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eastAsia="Times New Roman" w:cs="Open Sans Light"/>
                <w:sz w:val="16"/>
                <w:szCs w:val="16"/>
                <w:lang w:eastAsia="en-AU"/>
              </w:rPr>
              <w:t>75</w:t>
            </w:r>
          </w:p>
        </w:tc>
        <w:tc>
          <w:tcPr>
            <w:tcW w:w="2103" w:type="dxa"/>
            <w:tcBorders>
              <w:top w:val="single" w:sz="4" w:space="0" w:color="ADD6EA"/>
              <w:left w:val="nil"/>
              <w:bottom w:val="nil"/>
              <w:right w:val="nil"/>
            </w:tcBorders>
            <w:shd w:val="clear" w:color="auto" w:fill="auto"/>
            <w:vAlign w:val="bottom"/>
            <w:hideMark/>
          </w:tcPr>
          <w:p w14:paraId="7C4F266E"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eastAsia="Times New Roman" w:cs="Open Sans Light"/>
                <w:sz w:val="16"/>
                <w:szCs w:val="16"/>
                <w:lang w:eastAsia="en-AU"/>
              </w:rPr>
              <w:t>0</w:t>
            </w:r>
          </w:p>
        </w:tc>
      </w:tr>
      <w:tr w:rsidR="00E2731D" w:rsidRPr="0067365F" w14:paraId="0C934DCD" w14:textId="77777777" w:rsidTr="002C679B">
        <w:trPr>
          <w:trHeight w:val="317"/>
        </w:trPr>
        <w:tc>
          <w:tcPr>
            <w:tcW w:w="2101" w:type="dxa"/>
            <w:tcBorders>
              <w:top w:val="single" w:sz="4" w:space="0" w:color="B6D5E4"/>
              <w:left w:val="nil"/>
              <w:bottom w:val="single" w:sz="4" w:space="0" w:color="B6D5E4"/>
              <w:right w:val="nil"/>
            </w:tcBorders>
            <w:shd w:val="clear" w:color="auto" w:fill="auto"/>
            <w:vAlign w:val="bottom"/>
            <w:hideMark/>
          </w:tcPr>
          <w:p w14:paraId="35F43B25"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eastAsia="Times New Roman" w:cs="Open Sans Light"/>
                <w:sz w:val="16"/>
                <w:szCs w:val="16"/>
                <w:lang w:eastAsia="en-AU"/>
              </w:rPr>
              <w:t>50,001</w:t>
            </w:r>
          </w:p>
        </w:tc>
        <w:tc>
          <w:tcPr>
            <w:tcW w:w="2103" w:type="dxa"/>
            <w:tcBorders>
              <w:top w:val="single" w:sz="4" w:space="0" w:color="B6D5E4"/>
              <w:left w:val="nil"/>
              <w:bottom w:val="single" w:sz="4" w:space="0" w:color="B6D5E4"/>
              <w:right w:val="nil"/>
            </w:tcBorders>
            <w:shd w:val="clear" w:color="auto" w:fill="auto"/>
            <w:vAlign w:val="bottom"/>
            <w:hideMark/>
          </w:tcPr>
          <w:p w14:paraId="758DC751"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eastAsia="Times New Roman" w:cs="Open Sans Light"/>
                <w:sz w:val="16"/>
                <w:szCs w:val="16"/>
                <w:lang w:eastAsia="en-AU"/>
              </w:rPr>
              <w:t>100,000</w:t>
            </w:r>
          </w:p>
        </w:tc>
        <w:tc>
          <w:tcPr>
            <w:tcW w:w="2103" w:type="dxa"/>
            <w:tcBorders>
              <w:top w:val="single" w:sz="4" w:space="0" w:color="B6D5E4"/>
              <w:left w:val="nil"/>
              <w:bottom w:val="single" w:sz="4" w:space="0" w:color="B6D5E4"/>
              <w:right w:val="nil"/>
            </w:tcBorders>
            <w:shd w:val="clear" w:color="auto" w:fill="auto"/>
            <w:vAlign w:val="bottom"/>
            <w:hideMark/>
          </w:tcPr>
          <w:p w14:paraId="5B245633"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eastAsia="Times New Roman" w:cs="Open Sans Light"/>
                <w:sz w:val="16"/>
                <w:szCs w:val="16"/>
                <w:lang w:eastAsia="en-AU"/>
              </w:rPr>
              <w:t>11</w:t>
            </w:r>
          </w:p>
        </w:tc>
        <w:tc>
          <w:tcPr>
            <w:tcW w:w="2103" w:type="dxa"/>
            <w:tcBorders>
              <w:top w:val="single" w:sz="4" w:space="0" w:color="B6D5E4"/>
              <w:left w:val="nil"/>
              <w:bottom w:val="single" w:sz="4" w:space="0" w:color="B6D5E4"/>
              <w:right w:val="nil"/>
            </w:tcBorders>
            <w:shd w:val="clear" w:color="auto" w:fill="auto"/>
            <w:vAlign w:val="bottom"/>
            <w:hideMark/>
          </w:tcPr>
          <w:p w14:paraId="1C0BD266"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eastAsia="Times New Roman" w:cs="Open Sans Light"/>
                <w:sz w:val="16"/>
                <w:szCs w:val="16"/>
                <w:lang w:eastAsia="en-AU"/>
              </w:rPr>
              <w:t>0</w:t>
            </w:r>
          </w:p>
        </w:tc>
      </w:tr>
      <w:tr w:rsidR="00E2731D" w:rsidRPr="0067365F" w14:paraId="10AF864E" w14:textId="77777777">
        <w:trPr>
          <w:trHeight w:val="317"/>
        </w:trPr>
        <w:tc>
          <w:tcPr>
            <w:tcW w:w="2101" w:type="dxa"/>
            <w:tcBorders>
              <w:top w:val="single" w:sz="4" w:space="0" w:color="ADD6EA"/>
              <w:left w:val="nil"/>
              <w:bottom w:val="nil"/>
              <w:right w:val="nil"/>
            </w:tcBorders>
            <w:shd w:val="clear" w:color="auto" w:fill="auto"/>
            <w:vAlign w:val="bottom"/>
            <w:hideMark/>
          </w:tcPr>
          <w:p w14:paraId="0A1C7489"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cs="Open Sans Light"/>
                <w:color w:val="000000"/>
                <w:sz w:val="16"/>
                <w:szCs w:val="16"/>
              </w:rPr>
              <w:t>100,001</w:t>
            </w:r>
          </w:p>
        </w:tc>
        <w:tc>
          <w:tcPr>
            <w:tcW w:w="2103" w:type="dxa"/>
            <w:tcBorders>
              <w:top w:val="single" w:sz="4" w:space="0" w:color="ADD6EA"/>
              <w:left w:val="nil"/>
              <w:bottom w:val="nil"/>
              <w:right w:val="nil"/>
            </w:tcBorders>
            <w:shd w:val="clear" w:color="auto" w:fill="auto"/>
            <w:vAlign w:val="bottom"/>
            <w:hideMark/>
          </w:tcPr>
          <w:p w14:paraId="00AF750E"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cs="Open Sans Light"/>
                <w:color w:val="000000"/>
                <w:sz w:val="16"/>
                <w:szCs w:val="16"/>
              </w:rPr>
              <w:t>200,000</w:t>
            </w:r>
          </w:p>
        </w:tc>
        <w:tc>
          <w:tcPr>
            <w:tcW w:w="2103" w:type="dxa"/>
            <w:tcBorders>
              <w:top w:val="single" w:sz="4" w:space="0" w:color="ADD6EA"/>
              <w:left w:val="nil"/>
              <w:bottom w:val="nil"/>
              <w:right w:val="nil"/>
            </w:tcBorders>
            <w:shd w:val="clear" w:color="auto" w:fill="auto"/>
            <w:vAlign w:val="bottom"/>
            <w:hideMark/>
          </w:tcPr>
          <w:p w14:paraId="662A3FEC"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eastAsia="Times New Roman" w:cs="Open Sans Light"/>
                <w:sz w:val="16"/>
                <w:szCs w:val="16"/>
                <w:lang w:eastAsia="en-AU"/>
              </w:rPr>
              <w:t>4</w:t>
            </w:r>
          </w:p>
        </w:tc>
        <w:tc>
          <w:tcPr>
            <w:tcW w:w="2103" w:type="dxa"/>
            <w:tcBorders>
              <w:top w:val="single" w:sz="4" w:space="0" w:color="ADD6EA"/>
              <w:left w:val="nil"/>
              <w:bottom w:val="nil"/>
              <w:right w:val="nil"/>
            </w:tcBorders>
            <w:shd w:val="clear" w:color="auto" w:fill="auto"/>
            <w:vAlign w:val="bottom"/>
            <w:hideMark/>
          </w:tcPr>
          <w:p w14:paraId="7DE33685" w14:textId="77777777" w:rsidR="00E2731D" w:rsidRPr="00E53D43" w:rsidRDefault="00E2731D">
            <w:pPr>
              <w:keepNext/>
              <w:keepLines/>
              <w:widowControl w:val="0"/>
              <w:tabs>
                <w:tab w:val="clear" w:pos="567"/>
              </w:tabs>
              <w:spacing w:before="0" w:line="240" w:lineRule="auto"/>
              <w:jc w:val="right"/>
              <w:rPr>
                <w:rFonts w:eastAsia="Times New Roman" w:cs="Open Sans Light"/>
                <w:sz w:val="16"/>
                <w:szCs w:val="16"/>
                <w:lang w:eastAsia="en-AU"/>
              </w:rPr>
            </w:pPr>
            <w:r w:rsidRPr="00E53D43">
              <w:rPr>
                <w:rFonts w:eastAsia="Times New Roman" w:cs="Open Sans Light"/>
                <w:sz w:val="16"/>
                <w:szCs w:val="16"/>
                <w:lang w:eastAsia="en-AU"/>
              </w:rPr>
              <w:t>0</w:t>
            </w:r>
          </w:p>
        </w:tc>
      </w:tr>
      <w:tr w:rsidR="00E2731D" w:rsidRPr="0067365F" w14:paraId="095106E7" w14:textId="77777777">
        <w:trPr>
          <w:trHeight w:val="317"/>
        </w:trPr>
        <w:tc>
          <w:tcPr>
            <w:tcW w:w="2101" w:type="dxa"/>
            <w:tcBorders>
              <w:top w:val="single" w:sz="4" w:space="0" w:color="ADD6EA"/>
              <w:left w:val="nil"/>
              <w:bottom w:val="nil"/>
              <w:right w:val="nil"/>
            </w:tcBorders>
            <w:shd w:val="clear" w:color="auto" w:fill="auto"/>
            <w:vAlign w:val="bottom"/>
          </w:tcPr>
          <w:p w14:paraId="38C006B9"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200,001</w:t>
            </w:r>
          </w:p>
        </w:tc>
        <w:tc>
          <w:tcPr>
            <w:tcW w:w="2103" w:type="dxa"/>
            <w:tcBorders>
              <w:top w:val="single" w:sz="4" w:space="0" w:color="ADD6EA"/>
              <w:left w:val="nil"/>
              <w:bottom w:val="nil"/>
              <w:right w:val="nil"/>
            </w:tcBorders>
            <w:shd w:val="clear" w:color="auto" w:fill="auto"/>
            <w:vAlign w:val="bottom"/>
          </w:tcPr>
          <w:p w14:paraId="39CEBD60"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1,000,000</w:t>
            </w:r>
          </w:p>
        </w:tc>
        <w:tc>
          <w:tcPr>
            <w:tcW w:w="2103" w:type="dxa"/>
            <w:tcBorders>
              <w:top w:val="single" w:sz="4" w:space="0" w:color="ADD6EA"/>
              <w:left w:val="nil"/>
              <w:bottom w:val="nil"/>
              <w:right w:val="nil"/>
            </w:tcBorders>
            <w:shd w:val="clear" w:color="auto" w:fill="auto"/>
            <w:vAlign w:val="bottom"/>
          </w:tcPr>
          <w:p w14:paraId="4B43E15E"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2</w:t>
            </w:r>
          </w:p>
        </w:tc>
        <w:tc>
          <w:tcPr>
            <w:tcW w:w="2103" w:type="dxa"/>
            <w:tcBorders>
              <w:top w:val="single" w:sz="4" w:space="0" w:color="ADD6EA"/>
              <w:left w:val="nil"/>
              <w:bottom w:val="nil"/>
              <w:right w:val="nil"/>
            </w:tcBorders>
            <w:shd w:val="clear" w:color="auto" w:fill="auto"/>
            <w:vAlign w:val="bottom"/>
          </w:tcPr>
          <w:p w14:paraId="0629B6A8"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6</w:t>
            </w:r>
          </w:p>
        </w:tc>
      </w:tr>
      <w:tr w:rsidR="00E2731D" w:rsidRPr="0067365F" w14:paraId="235850E1" w14:textId="77777777">
        <w:trPr>
          <w:trHeight w:val="317"/>
        </w:trPr>
        <w:tc>
          <w:tcPr>
            <w:tcW w:w="2101" w:type="dxa"/>
            <w:tcBorders>
              <w:top w:val="single" w:sz="4" w:space="0" w:color="ADD6EA"/>
              <w:left w:val="nil"/>
              <w:bottom w:val="single" w:sz="4" w:space="0" w:color="ADD6EA"/>
              <w:right w:val="nil"/>
            </w:tcBorders>
            <w:shd w:val="clear" w:color="auto" w:fill="auto"/>
            <w:vAlign w:val="bottom"/>
          </w:tcPr>
          <w:p w14:paraId="0482846B"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1,000,001</w:t>
            </w:r>
          </w:p>
        </w:tc>
        <w:tc>
          <w:tcPr>
            <w:tcW w:w="2103" w:type="dxa"/>
            <w:tcBorders>
              <w:top w:val="single" w:sz="4" w:space="0" w:color="ADD6EA"/>
              <w:left w:val="nil"/>
              <w:bottom w:val="single" w:sz="4" w:space="0" w:color="ADD6EA"/>
              <w:right w:val="nil"/>
            </w:tcBorders>
            <w:shd w:val="clear" w:color="auto" w:fill="auto"/>
            <w:vAlign w:val="bottom"/>
          </w:tcPr>
          <w:p w14:paraId="1E1EAEB3"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2,500,000</w:t>
            </w:r>
          </w:p>
        </w:tc>
        <w:tc>
          <w:tcPr>
            <w:tcW w:w="2103" w:type="dxa"/>
            <w:tcBorders>
              <w:top w:val="single" w:sz="4" w:space="0" w:color="ADD6EA"/>
              <w:left w:val="nil"/>
              <w:bottom w:val="single" w:sz="4" w:space="0" w:color="ADD6EA"/>
              <w:right w:val="nil"/>
            </w:tcBorders>
            <w:shd w:val="clear" w:color="auto" w:fill="auto"/>
            <w:vAlign w:val="bottom"/>
          </w:tcPr>
          <w:p w14:paraId="1A20DADA"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0</w:t>
            </w:r>
          </w:p>
        </w:tc>
        <w:tc>
          <w:tcPr>
            <w:tcW w:w="2103" w:type="dxa"/>
            <w:tcBorders>
              <w:top w:val="single" w:sz="4" w:space="0" w:color="ADD6EA"/>
              <w:left w:val="nil"/>
              <w:bottom w:val="single" w:sz="4" w:space="0" w:color="ADD6EA"/>
              <w:right w:val="nil"/>
            </w:tcBorders>
            <w:shd w:val="clear" w:color="auto" w:fill="auto"/>
            <w:vAlign w:val="bottom"/>
          </w:tcPr>
          <w:p w14:paraId="79789E28"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3</w:t>
            </w:r>
          </w:p>
        </w:tc>
      </w:tr>
      <w:tr w:rsidR="00E2731D" w:rsidRPr="0067365F" w14:paraId="4F59B395" w14:textId="77777777">
        <w:trPr>
          <w:trHeight w:val="317"/>
        </w:trPr>
        <w:tc>
          <w:tcPr>
            <w:tcW w:w="2101" w:type="dxa"/>
            <w:tcBorders>
              <w:top w:val="single" w:sz="4" w:space="0" w:color="ADD6EA"/>
              <w:left w:val="nil"/>
              <w:bottom w:val="single" w:sz="4" w:space="0" w:color="C6D9F1" w:themeColor="text2" w:themeTint="33"/>
              <w:right w:val="nil"/>
            </w:tcBorders>
            <w:shd w:val="clear" w:color="auto" w:fill="auto"/>
            <w:vAlign w:val="bottom"/>
          </w:tcPr>
          <w:p w14:paraId="0E239465"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2,500,001</w:t>
            </w:r>
          </w:p>
        </w:tc>
        <w:tc>
          <w:tcPr>
            <w:tcW w:w="2103" w:type="dxa"/>
            <w:tcBorders>
              <w:top w:val="single" w:sz="4" w:space="0" w:color="ADD6EA"/>
              <w:left w:val="nil"/>
              <w:bottom w:val="single" w:sz="4" w:space="0" w:color="C6D9F1" w:themeColor="text2" w:themeTint="33"/>
              <w:right w:val="nil"/>
            </w:tcBorders>
            <w:shd w:val="clear" w:color="auto" w:fill="auto"/>
            <w:vAlign w:val="bottom"/>
          </w:tcPr>
          <w:p w14:paraId="06009334"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5,000,000</w:t>
            </w:r>
          </w:p>
        </w:tc>
        <w:tc>
          <w:tcPr>
            <w:tcW w:w="2103" w:type="dxa"/>
            <w:tcBorders>
              <w:top w:val="single" w:sz="4" w:space="0" w:color="ADD6EA"/>
              <w:left w:val="nil"/>
              <w:bottom w:val="single" w:sz="4" w:space="0" w:color="C6D9F1" w:themeColor="text2" w:themeTint="33"/>
              <w:right w:val="nil"/>
            </w:tcBorders>
            <w:shd w:val="clear" w:color="auto" w:fill="auto"/>
            <w:vAlign w:val="bottom"/>
          </w:tcPr>
          <w:p w14:paraId="5F1BE152"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0</w:t>
            </w:r>
          </w:p>
        </w:tc>
        <w:tc>
          <w:tcPr>
            <w:tcW w:w="2103" w:type="dxa"/>
            <w:tcBorders>
              <w:top w:val="single" w:sz="4" w:space="0" w:color="ADD6EA"/>
              <w:left w:val="nil"/>
              <w:bottom w:val="single" w:sz="4" w:space="0" w:color="C6D9F1" w:themeColor="text2" w:themeTint="33"/>
              <w:right w:val="nil"/>
            </w:tcBorders>
            <w:shd w:val="clear" w:color="auto" w:fill="auto"/>
            <w:vAlign w:val="bottom"/>
          </w:tcPr>
          <w:p w14:paraId="4B9FDFCE" w14:textId="77777777" w:rsidR="00E2731D" w:rsidRPr="00E53D43" w:rsidRDefault="00E2731D">
            <w:pPr>
              <w:keepNext/>
              <w:keepLines/>
              <w:widowControl w:val="0"/>
              <w:tabs>
                <w:tab w:val="clear" w:pos="567"/>
              </w:tabs>
              <w:spacing w:before="0" w:line="240" w:lineRule="auto"/>
              <w:jc w:val="right"/>
              <w:rPr>
                <w:rFonts w:cs="Open Sans Light"/>
                <w:color w:val="000000"/>
                <w:sz w:val="16"/>
                <w:szCs w:val="16"/>
              </w:rPr>
            </w:pPr>
            <w:r w:rsidRPr="00E53D43">
              <w:rPr>
                <w:rFonts w:cs="Open Sans Light"/>
                <w:color w:val="000000"/>
                <w:sz w:val="16"/>
                <w:szCs w:val="16"/>
              </w:rPr>
              <w:t>2</w:t>
            </w:r>
          </w:p>
        </w:tc>
      </w:tr>
    </w:tbl>
    <w:p w14:paraId="59101009" w14:textId="3E47552C" w:rsidR="002A76C9" w:rsidRPr="00DE3E76" w:rsidRDefault="00C47D73" w:rsidP="00345E1D">
      <w:pPr>
        <w:pStyle w:val="CGCTablenote"/>
        <w:rPr>
          <w:rFonts w:ascii="Work Sans" w:hAnsi="Work Sans"/>
        </w:rPr>
      </w:pPr>
      <w:r w:rsidRPr="00DE3E76">
        <w:rPr>
          <w:rFonts w:ascii="Work Sans" w:hAnsi="Work Sans"/>
        </w:rPr>
        <w:t>Source:</w:t>
      </w:r>
      <w:r w:rsidRPr="00DE3E76">
        <w:rPr>
          <w:rFonts w:ascii="Work Sans" w:hAnsi="Work Sans"/>
        </w:rPr>
        <w:tab/>
      </w:r>
      <w:r w:rsidRPr="00DE3E76">
        <w:rPr>
          <w:rFonts w:ascii="Work Sans" w:hAnsi="Work Sans"/>
        </w:rPr>
        <w:tab/>
        <w:t>2020 Review</w:t>
      </w:r>
      <w:r w:rsidR="003240EE" w:rsidRPr="00DE3E76">
        <w:rPr>
          <w:rFonts w:ascii="Work Sans" w:hAnsi="Work Sans"/>
        </w:rPr>
        <w:t>.</w:t>
      </w:r>
    </w:p>
    <w:p w14:paraId="55ECCDB6" w14:textId="6A43CF40" w:rsidR="002A76C9" w:rsidRDefault="002A76C9" w:rsidP="00CA2874">
      <w:pPr>
        <w:pStyle w:val="CGC2025ParaNumbers"/>
      </w:pPr>
      <w:r>
        <w:lastRenderedPageBreak/>
        <w:t xml:space="preserve">Since the 2020 Review, the populations of Sydney and Melbourne </w:t>
      </w:r>
      <w:r w:rsidR="4F4002AC">
        <w:t xml:space="preserve">have grown and </w:t>
      </w:r>
      <w:r>
        <w:t xml:space="preserve">are close to exceeding 5 million (the top of the largest population range). Brisbane is on track to exceed 2.5 million, moving it into the largest population range. If thresholds are not adjusted, Brisbane would be assessed to have similar needs to Sydney and Melbourne, cities with significantly </w:t>
      </w:r>
      <w:r w:rsidR="791DA45A">
        <w:t>larger</w:t>
      </w:r>
      <w:r>
        <w:t xml:space="preserve"> networks and higher public transport use.</w:t>
      </w:r>
    </w:p>
    <w:p w14:paraId="789C97FB" w14:textId="4544D1F4" w:rsidR="002A76C9" w:rsidRDefault="002A76C9" w:rsidP="00CA2874">
      <w:pPr>
        <w:pStyle w:val="CGC2025ParaNumbers"/>
      </w:pPr>
      <w:r>
        <w:t>The Commission investigated changing the thresholds of the top ranges to reflect the growth of urban centres. One option is to adjust the scope of the 2 largest ranges. The upper limit of 2.5</w:t>
      </w:r>
      <w:r w:rsidR="009B73B5">
        <w:t> </w:t>
      </w:r>
      <w:r>
        <w:t>million could increase to 3</w:t>
      </w:r>
      <w:r w:rsidR="009B73B5">
        <w:t> </w:t>
      </w:r>
      <w:r>
        <w:t>million, and the largest city group could increase from 2.5</w:t>
      </w:r>
      <w:r w:rsidR="009B73B5">
        <w:t> </w:t>
      </w:r>
      <w:r>
        <w:t>million to 3</w:t>
      </w:r>
      <w:r w:rsidR="009B73B5">
        <w:t> </w:t>
      </w:r>
      <w:r>
        <w:t xml:space="preserve">million plus. These changes would ensure urban areas with similar transport needs are grouped together and there are at least 2 cities in each range to maintain policy neutrality. </w:t>
      </w:r>
    </w:p>
    <w:p w14:paraId="2A7F6DD3" w14:textId="77777777" w:rsidR="002A76C9" w:rsidRDefault="002A76C9" w:rsidP="00CA2874">
      <w:pPr>
        <w:pStyle w:val="CGC2025ParaNumbers"/>
      </w:pPr>
      <w:r>
        <w:t xml:space="preserve">However, a model based on fixed ranges is unable to account for the variation of transport needs that can exist between an urban area that is close to the lower limit of the population range and an urban area that is close to the upper limit. In addition, small differences in populations, for instance between 49,000 and 51,000, can result in urban areas with similar transport needs being assessed very differently. </w:t>
      </w:r>
    </w:p>
    <w:p w14:paraId="75A4F205" w14:textId="77777777" w:rsidR="002A76C9" w:rsidRDefault="002A76C9" w:rsidP="00CA2874">
      <w:pPr>
        <w:pStyle w:val="CGC2025ParaNumbers"/>
      </w:pPr>
      <w:r>
        <w:t xml:space="preserve">To address this issue, a regression approach has been identified based on the effect of percentage changes in population on the percentage change in passenger numbers, with an adjustment for urban areas with heavy rail services. It recognises that passenger numbers steadily increase as the size of a city grows. </w:t>
      </w:r>
    </w:p>
    <w:p w14:paraId="53E596C3" w14:textId="48959DC7" w:rsidR="002A76C9" w:rsidRDefault="002A76C9" w:rsidP="00CA2874">
      <w:pPr>
        <w:pStyle w:val="CGC2025ParaNumbers"/>
      </w:pPr>
      <w:r>
        <w:t xml:space="preserve">Compared </w:t>
      </w:r>
      <w:r w:rsidR="00233C4C">
        <w:t>with</w:t>
      </w:r>
      <w:r>
        <w:t xml:space="preserve"> the approach used to model passenger numbers based on population ranges, the regression approach does not result in a large change in passenger numbers. </w:t>
      </w:r>
    </w:p>
    <w:p w14:paraId="29D594E0" w14:textId="31337871" w:rsidR="002A76C9" w:rsidRDefault="002A76C9" w:rsidP="00CA2874">
      <w:pPr>
        <w:pStyle w:val="CGC2025ParaNumbers"/>
      </w:pPr>
      <w:r>
        <w:t xml:space="preserve">This can be seen in </w:t>
      </w:r>
      <w:r w:rsidR="005C2B60">
        <w:fldChar w:fldCharType="begin"/>
      </w:r>
      <w:r w:rsidR="005C2B60">
        <w:instrText xml:space="preserve"> REF _Ref138774461 \h </w:instrText>
      </w:r>
      <w:r w:rsidR="005C2B60">
        <w:fldChar w:fldCharType="separate"/>
      </w:r>
      <w:r w:rsidR="00282693" w:rsidRPr="008767F7">
        <w:rPr>
          <w:szCs w:val="20"/>
        </w:rPr>
        <w:t xml:space="preserve">Figure </w:t>
      </w:r>
      <w:r w:rsidR="00282693">
        <w:rPr>
          <w:noProof/>
        </w:rPr>
        <w:t>8</w:t>
      </w:r>
      <w:r w:rsidR="005C2B60">
        <w:fldChar w:fldCharType="end"/>
      </w:r>
      <w:r w:rsidR="00737E88">
        <w:t xml:space="preserve"> </w:t>
      </w:r>
      <w:r>
        <w:t xml:space="preserve">and </w:t>
      </w:r>
      <w:r w:rsidR="005C2B60">
        <w:fldChar w:fldCharType="begin"/>
      </w:r>
      <w:r w:rsidR="005C2B60">
        <w:instrText xml:space="preserve"> REF _Ref132917713 \h </w:instrText>
      </w:r>
      <w:r w:rsidR="005C2B60">
        <w:fldChar w:fldCharType="separate"/>
      </w:r>
      <w:r w:rsidR="00282693" w:rsidRPr="008767F7">
        <w:rPr>
          <w:szCs w:val="20"/>
        </w:rPr>
        <w:t xml:space="preserve">Figure </w:t>
      </w:r>
      <w:r w:rsidR="00282693">
        <w:rPr>
          <w:noProof/>
        </w:rPr>
        <w:t>9</w:t>
      </w:r>
      <w:r w:rsidR="005C2B60">
        <w:fldChar w:fldCharType="end"/>
      </w:r>
      <w:r>
        <w:t xml:space="preserve"> which show the modelled passenger numbers </w:t>
      </w:r>
      <w:r w:rsidR="00B84663">
        <w:t>resulting from</w:t>
      </w:r>
      <w:r>
        <w:t xml:space="preserve"> the current approach </w:t>
      </w:r>
      <w:r w:rsidR="0095485B">
        <w:t>that</w:t>
      </w:r>
      <w:r>
        <w:t xml:space="preserve"> uses population ranges, and the modelled passengers </w:t>
      </w:r>
      <w:r w:rsidR="0095485B">
        <w:t xml:space="preserve">that </w:t>
      </w:r>
      <w:r>
        <w:t>us</w:t>
      </w:r>
      <w:r w:rsidR="00673858">
        <w:t>es</w:t>
      </w:r>
      <w:r>
        <w:t xml:space="preserve"> the regression approach.</w:t>
      </w:r>
    </w:p>
    <w:p w14:paraId="3D9BC59E" w14:textId="00E6CD29" w:rsidR="00413F85" w:rsidRPr="00974594" w:rsidRDefault="002A76C9" w:rsidP="00CA2874">
      <w:pPr>
        <w:pStyle w:val="CGC2025ParaNumbers"/>
      </w:pPr>
      <w:r>
        <w:t xml:space="preserve">For both bus and light rail passengers and heavy rail passengers, the regression approach produces slightly higher modelled passenger numbers (as the points are above the dotted line) </w:t>
      </w:r>
      <w:r w:rsidR="001D30FE">
        <w:t xml:space="preserve">while </w:t>
      </w:r>
      <w:r w:rsidR="002C0BE5">
        <w:t>remain</w:t>
      </w:r>
      <w:r w:rsidR="001D30FE">
        <w:t>ing</w:t>
      </w:r>
      <w:r>
        <w:t xml:space="preserve"> close to the dotted line.</w:t>
      </w:r>
    </w:p>
    <w:p w14:paraId="74191871" w14:textId="77777777" w:rsidR="00EE339C" w:rsidRDefault="00EE339C">
      <w:pPr>
        <w:tabs>
          <w:tab w:val="clear" w:pos="567"/>
        </w:tabs>
        <w:spacing w:before="0" w:after="200" w:line="276" w:lineRule="auto"/>
        <w:rPr>
          <w:rFonts w:ascii="Work Sans" w:hAnsi="Work Sans"/>
          <w:b/>
          <w:sz w:val="20"/>
          <w:szCs w:val="20"/>
        </w:rPr>
      </w:pPr>
      <w:bookmarkStart w:id="107" w:name="_Ref132917700"/>
      <w:bookmarkStart w:id="108" w:name="_Ref138764030"/>
      <w:r>
        <w:rPr>
          <w:szCs w:val="20"/>
        </w:rPr>
        <w:br w:type="page"/>
      </w:r>
    </w:p>
    <w:p w14:paraId="4831AD10" w14:textId="120EC37A" w:rsidR="002A76C9" w:rsidRPr="008767F7" w:rsidRDefault="00BE38F0" w:rsidP="00A26D68">
      <w:pPr>
        <w:pStyle w:val="CGC2025Caption"/>
        <w:tabs>
          <w:tab w:val="left" w:pos="1134"/>
        </w:tabs>
        <w:ind w:left="1134" w:hanging="1134"/>
        <w:rPr>
          <w:szCs w:val="20"/>
        </w:rPr>
      </w:pPr>
      <w:bookmarkStart w:id="109" w:name="_Ref138774461"/>
      <w:r w:rsidRPr="008767F7">
        <w:rPr>
          <w:szCs w:val="20"/>
        </w:rPr>
        <w:lastRenderedPageBreak/>
        <w:t xml:space="preserve">Figure </w:t>
      </w:r>
      <w:r w:rsidRPr="008767F7">
        <w:rPr>
          <w:szCs w:val="20"/>
        </w:rPr>
        <w:fldChar w:fldCharType="begin"/>
      </w:r>
      <w:r>
        <w:instrText>SEQ Figure \* ARABIC</w:instrText>
      </w:r>
      <w:r w:rsidRPr="008767F7">
        <w:rPr>
          <w:szCs w:val="20"/>
        </w:rPr>
        <w:fldChar w:fldCharType="separate"/>
      </w:r>
      <w:r w:rsidR="00282693">
        <w:rPr>
          <w:noProof/>
        </w:rPr>
        <w:t>8</w:t>
      </w:r>
      <w:r w:rsidRPr="008767F7">
        <w:rPr>
          <w:szCs w:val="20"/>
        </w:rPr>
        <w:fldChar w:fldCharType="end"/>
      </w:r>
      <w:bookmarkEnd w:id="107"/>
      <w:bookmarkEnd w:id="108"/>
      <w:bookmarkEnd w:id="109"/>
      <w:r w:rsidRPr="008767F7">
        <w:rPr>
          <w:szCs w:val="20"/>
        </w:rPr>
        <w:tab/>
      </w:r>
      <w:r w:rsidR="0054328E" w:rsidRPr="008767F7">
        <w:rPr>
          <w:szCs w:val="20"/>
        </w:rPr>
        <w:t xml:space="preserve">Modelled </w:t>
      </w:r>
      <w:r w:rsidR="00C1128D" w:rsidRPr="008767F7">
        <w:rPr>
          <w:szCs w:val="20"/>
        </w:rPr>
        <w:t>b</w:t>
      </w:r>
      <w:r w:rsidR="0054328E" w:rsidRPr="008767F7">
        <w:rPr>
          <w:szCs w:val="20"/>
        </w:rPr>
        <w:t xml:space="preserve">us and </w:t>
      </w:r>
      <w:r w:rsidR="00C1128D" w:rsidRPr="008767F7">
        <w:rPr>
          <w:szCs w:val="20"/>
        </w:rPr>
        <w:t>l</w:t>
      </w:r>
      <w:r w:rsidR="0054328E" w:rsidRPr="008767F7">
        <w:rPr>
          <w:szCs w:val="20"/>
        </w:rPr>
        <w:t xml:space="preserve">ight </w:t>
      </w:r>
      <w:r w:rsidR="00C1128D" w:rsidRPr="008767F7">
        <w:rPr>
          <w:szCs w:val="20"/>
        </w:rPr>
        <w:t>r</w:t>
      </w:r>
      <w:r w:rsidR="0054328E" w:rsidRPr="008767F7">
        <w:rPr>
          <w:szCs w:val="20"/>
        </w:rPr>
        <w:t xml:space="preserve">ail </w:t>
      </w:r>
      <w:r w:rsidR="00C1128D" w:rsidRPr="008767F7">
        <w:rPr>
          <w:szCs w:val="20"/>
        </w:rPr>
        <w:t>p</w:t>
      </w:r>
      <w:r w:rsidR="0054328E" w:rsidRPr="008767F7">
        <w:rPr>
          <w:szCs w:val="20"/>
        </w:rPr>
        <w:t>assengers under the population range and regression approaches</w:t>
      </w:r>
    </w:p>
    <w:p w14:paraId="5F2127A0" w14:textId="0FDEDBF9" w:rsidR="00646BB3" w:rsidRDefault="00646BB3" w:rsidP="00925ED9">
      <w:pPr>
        <w:pStyle w:val="CGCParaNumber"/>
        <w:ind w:left="0" w:firstLine="0"/>
      </w:pPr>
      <w:r>
        <w:rPr>
          <w:noProof/>
        </w:rPr>
        <w:drawing>
          <wp:inline distT="0" distB="0" distL="0" distR="0" wp14:anchorId="1A0CAEF3" wp14:editId="2705EC7E">
            <wp:extent cx="5688965" cy="3376295"/>
            <wp:effectExtent l="0" t="0" r="6985" b="14605"/>
            <wp:docPr id="41" name="Chart 41">
              <a:extLst xmlns:a="http://schemas.openxmlformats.org/drawingml/2006/main">
                <a:ext uri="{FF2B5EF4-FFF2-40B4-BE49-F238E27FC236}">
                  <a16:creationId xmlns:a16="http://schemas.microsoft.com/office/drawing/2014/main" id="{C867AB23-6172-4A52-8328-4965B4B4991E}"/>
                </a:ext>
                <a:ext uri="{147F2762-F138-4A5C-976F-8EAC2B608ADB}">
                  <a16:predDERef xmlns:a16="http://schemas.microsoft.com/office/drawing/2014/main" pred="{8A2E7AE5-39A3-4B6F-9DEC-361BD859B0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E5F2B00" w14:textId="37B1E267" w:rsidR="00646BB3" w:rsidRPr="00DE3E76" w:rsidRDefault="00345E1D" w:rsidP="00345E1D">
      <w:pPr>
        <w:pStyle w:val="CGCTablenote"/>
        <w:rPr>
          <w:rFonts w:ascii="Work Sans" w:hAnsi="Work Sans"/>
        </w:rPr>
      </w:pPr>
      <w:r w:rsidRPr="00DE3E76">
        <w:rPr>
          <w:rFonts w:ascii="Work Sans" w:hAnsi="Work Sans"/>
        </w:rPr>
        <w:t>Source:</w:t>
      </w:r>
      <w:r w:rsidRPr="00DE3E76">
        <w:rPr>
          <w:rFonts w:ascii="Work Sans" w:hAnsi="Work Sans"/>
        </w:rPr>
        <w:tab/>
      </w:r>
      <w:r w:rsidR="00C24152" w:rsidRPr="00DE3E76">
        <w:rPr>
          <w:rFonts w:ascii="Work Sans" w:hAnsi="Work Sans"/>
        </w:rPr>
        <w:t xml:space="preserve">Commission </w:t>
      </w:r>
      <w:r w:rsidRPr="00DE3E76">
        <w:rPr>
          <w:rFonts w:ascii="Work Sans" w:hAnsi="Work Sans"/>
        </w:rPr>
        <w:t>calculation</w:t>
      </w:r>
      <w:r w:rsidR="003240EE" w:rsidRPr="00DE3E76">
        <w:rPr>
          <w:rFonts w:ascii="Work Sans" w:hAnsi="Work Sans"/>
        </w:rPr>
        <w:t>.</w:t>
      </w:r>
    </w:p>
    <w:p w14:paraId="10A109DC" w14:textId="7B4E7187" w:rsidR="00345E1D" w:rsidRPr="008767F7" w:rsidRDefault="00BE38F0" w:rsidP="00A26D68">
      <w:pPr>
        <w:pStyle w:val="CGC2025Caption"/>
        <w:tabs>
          <w:tab w:val="left" w:pos="1134"/>
        </w:tabs>
        <w:ind w:left="1134" w:hanging="1134"/>
        <w:rPr>
          <w:szCs w:val="20"/>
        </w:rPr>
      </w:pPr>
      <w:bookmarkStart w:id="110" w:name="_Ref132917713"/>
      <w:bookmarkStart w:id="111" w:name="_Ref138764064"/>
      <w:r w:rsidRPr="008767F7">
        <w:rPr>
          <w:szCs w:val="20"/>
        </w:rPr>
        <w:t xml:space="preserve">Figure </w:t>
      </w:r>
      <w:r w:rsidRPr="008767F7">
        <w:rPr>
          <w:szCs w:val="20"/>
        </w:rPr>
        <w:fldChar w:fldCharType="begin"/>
      </w:r>
      <w:r>
        <w:instrText>SEQ Figure \* ARABIC</w:instrText>
      </w:r>
      <w:r w:rsidRPr="008767F7">
        <w:rPr>
          <w:szCs w:val="20"/>
        </w:rPr>
        <w:fldChar w:fldCharType="separate"/>
      </w:r>
      <w:r w:rsidR="00282693">
        <w:rPr>
          <w:noProof/>
        </w:rPr>
        <w:t>9</w:t>
      </w:r>
      <w:r w:rsidRPr="008767F7">
        <w:rPr>
          <w:szCs w:val="20"/>
        </w:rPr>
        <w:fldChar w:fldCharType="end"/>
      </w:r>
      <w:bookmarkEnd w:id="110"/>
      <w:bookmarkEnd w:id="111"/>
      <w:r w:rsidRPr="008767F7">
        <w:rPr>
          <w:szCs w:val="20"/>
        </w:rPr>
        <w:tab/>
      </w:r>
      <w:r w:rsidR="00F03AFC" w:rsidRPr="008767F7">
        <w:rPr>
          <w:szCs w:val="20"/>
        </w:rPr>
        <w:t xml:space="preserve">Modelled </w:t>
      </w:r>
      <w:r w:rsidR="00CC4426" w:rsidRPr="008767F7">
        <w:rPr>
          <w:szCs w:val="20"/>
        </w:rPr>
        <w:t>h</w:t>
      </w:r>
      <w:r w:rsidR="00F03AFC" w:rsidRPr="008767F7">
        <w:rPr>
          <w:szCs w:val="20"/>
        </w:rPr>
        <w:t xml:space="preserve">eavy </w:t>
      </w:r>
      <w:r w:rsidR="00CC4426" w:rsidRPr="008767F7">
        <w:rPr>
          <w:szCs w:val="20"/>
        </w:rPr>
        <w:t>r</w:t>
      </w:r>
      <w:r w:rsidR="00F03AFC" w:rsidRPr="008767F7">
        <w:rPr>
          <w:szCs w:val="20"/>
        </w:rPr>
        <w:t xml:space="preserve">ail </w:t>
      </w:r>
      <w:r w:rsidR="00CC4426" w:rsidRPr="008767F7">
        <w:rPr>
          <w:szCs w:val="20"/>
        </w:rPr>
        <w:t>p</w:t>
      </w:r>
      <w:r w:rsidR="00F03AFC" w:rsidRPr="008767F7">
        <w:rPr>
          <w:szCs w:val="20"/>
        </w:rPr>
        <w:t>assengers under the population range and regression approaches</w:t>
      </w:r>
    </w:p>
    <w:p w14:paraId="06353B19" w14:textId="0583C3AC" w:rsidR="00F03AFC" w:rsidRPr="00E0432A" w:rsidRDefault="00E10975" w:rsidP="00345E1D">
      <w:r>
        <w:rPr>
          <w:noProof/>
        </w:rPr>
        <mc:AlternateContent>
          <mc:Choice Requires="wps">
            <w:drawing>
              <wp:anchor distT="0" distB="0" distL="114300" distR="114300" simplePos="0" relativeHeight="251658240" behindDoc="0" locked="0" layoutInCell="1" allowOverlap="1" wp14:anchorId="46CFEF8A" wp14:editId="2594ADED">
                <wp:simplePos x="0" y="0"/>
                <wp:positionH relativeFrom="column">
                  <wp:posOffset>1077058</wp:posOffset>
                </wp:positionH>
                <wp:positionV relativeFrom="paragraph">
                  <wp:posOffset>206375</wp:posOffset>
                </wp:positionV>
                <wp:extent cx="2333614" cy="466722"/>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333614" cy="466722"/>
                        </a:xfrm>
                        <a:prstGeom prst="rect">
                          <a:avLst/>
                        </a:prstGeom>
                        <a:solidFill>
                          <a:sysClr val="window" lastClr="FFFFFF"/>
                        </a:solidFill>
                        <a:ln w="6350">
                          <a:noFill/>
                        </a:ln>
                      </wps:spPr>
                      <wps:txbx>
                        <w:txbxContent>
                          <w:p w14:paraId="24C06F8A" w14:textId="77777777" w:rsidR="000C6243" w:rsidRDefault="000C6243" w:rsidP="000C6243">
                            <w:pPr>
                              <w:spacing w:line="252" w:lineRule="auto"/>
                              <w:rPr>
                                <w:rFonts w:ascii="Work Sans" w:eastAsia="Calibri" w:hAnsi="Work Sans" w:cs="Arial"/>
                                <w:szCs w:val="18"/>
                              </w:rPr>
                            </w:pPr>
                            <w:r>
                              <w:rPr>
                                <w:rFonts w:ascii="Work Sans" w:eastAsia="Calibri" w:hAnsi="Work Sans" w:cs="Arial"/>
                                <w:szCs w:val="18"/>
                              </w:rPr>
                              <w:t>Above the line the regression model passenger numbers are higher</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CFEF8A" id="Text Box 23" o:spid="_x0000_s1036" type="#_x0000_t202" style="position:absolute;margin-left:84.8pt;margin-top:16.25pt;width:183.75pt;height:36.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" fillcolor="window" stroked="f" strokeweight=".5pt">
                <v:textbox>
                  <w:txbxContent>
                    <w:p w14:paraId="24C06F8A" w14:textId="77777777" w:rsidR="000C6243" w:rsidRDefault="000C6243" w:rsidP="000C6243">
                      <w:pPr>
                        <w:spacing w:line="252" w:lineRule="auto"/>
                        <w:rPr>
                          <w:rFonts w:ascii="Work Sans" w:eastAsia="Calibri" w:hAnsi="Work Sans" w:cs="Arial"/>
                          <w:szCs w:val="18"/>
                        </w:rPr>
                      </w:pPr>
                      <w:r>
                        <w:rPr>
                          <w:rFonts w:ascii="Work Sans" w:eastAsia="Calibri" w:hAnsi="Work Sans" w:cs="Arial"/>
                          <w:szCs w:val="18"/>
                        </w:rPr>
                        <w:t>Above the line the regression model passenger numbers are higher</w:t>
                      </w:r>
                    </w:p>
                  </w:txbxContent>
                </v:textbox>
              </v:shape>
            </w:pict>
          </mc:Fallback>
        </mc:AlternateContent>
      </w:r>
      <w:r w:rsidR="000C6243">
        <w:rPr>
          <w:noProof/>
        </w:rPr>
        <mc:AlternateContent>
          <mc:Choice Requires="wps">
            <w:drawing>
              <wp:anchor distT="0" distB="0" distL="114300" distR="114300" simplePos="0" relativeHeight="251658241" behindDoc="0" locked="0" layoutInCell="1" allowOverlap="1" wp14:anchorId="7C64218B" wp14:editId="53AD1496">
                <wp:simplePos x="0" y="0"/>
                <wp:positionH relativeFrom="column">
                  <wp:posOffset>2749550</wp:posOffset>
                </wp:positionH>
                <wp:positionV relativeFrom="paragraph">
                  <wp:posOffset>1762125</wp:posOffset>
                </wp:positionV>
                <wp:extent cx="2333614" cy="466722"/>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333614" cy="466722"/>
                        </a:xfrm>
                        <a:prstGeom prst="rect">
                          <a:avLst/>
                        </a:prstGeom>
                        <a:solidFill>
                          <a:sysClr val="window" lastClr="FFFFFF"/>
                        </a:solidFill>
                        <a:ln w="6350">
                          <a:noFill/>
                        </a:ln>
                      </wps:spPr>
                      <wps:txbx>
                        <w:txbxContent>
                          <w:p w14:paraId="19952133" w14:textId="77777777" w:rsidR="0099167F" w:rsidRPr="0099167F" w:rsidRDefault="0099167F" w:rsidP="0099167F">
                            <w:pPr>
                              <w:spacing w:line="252" w:lineRule="auto"/>
                              <w:rPr>
                                <w:rFonts w:ascii="Work Sans" w:eastAsia="Calibri" w:hAnsi="Work Sans" w:cs="Arial"/>
                                <w:szCs w:val="18"/>
                              </w:rPr>
                            </w:pPr>
                            <w:r w:rsidRPr="0099167F">
                              <w:rPr>
                                <w:rFonts w:ascii="Work Sans" w:eastAsia="Calibri" w:hAnsi="Work Sans" w:cs="Arial"/>
                                <w:szCs w:val="18"/>
                              </w:rPr>
                              <w:t>Below the line the population range passenger numbers are higher</w:t>
                            </w:r>
                          </w:p>
                          <w:p w14:paraId="35C1BFB0" w14:textId="365C9A38" w:rsidR="000C6243" w:rsidRDefault="000C6243" w:rsidP="000C6243">
                            <w:pPr>
                              <w:spacing w:line="252" w:lineRule="auto"/>
                              <w:rPr>
                                <w:rFonts w:ascii="Work Sans" w:eastAsia="Calibri" w:hAnsi="Work Sans" w:cs="Arial"/>
                                <w:szCs w:val="18"/>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64218B" id="Text Box 24" o:spid="_x0000_s1037" type="#_x0000_t202" style="position:absolute;margin-left:216.5pt;margin-top:138.75pt;width:183.75pt;height:36.7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" fillcolor="window" stroked="f" strokeweight=".5pt">
                <v:textbox>
                  <w:txbxContent>
                    <w:p w14:paraId="19952133" w14:textId="77777777" w:rsidR="0099167F" w:rsidRPr="0099167F" w:rsidRDefault="0099167F" w:rsidP="0099167F">
                      <w:pPr>
                        <w:spacing w:line="252" w:lineRule="auto"/>
                        <w:rPr>
                          <w:rFonts w:ascii="Work Sans" w:eastAsia="Calibri" w:hAnsi="Work Sans" w:cs="Arial"/>
                          <w:szCs w:val="18"/>
                        </w:rPr>
                      </w:pPr>
                      <w:r w:rsidRPr="0099167F">
                        <w:rPr>
                          <w:rFonts w:ascii="Work Sans" w:eastAsia="Calibri" w:hAnsi="Work Sans" w:cs="Arial"/>
                          <w:szCs w:val="18"/>
                        </w:rPr>
                        <w:t>Below the line the population range passenger numbers are higher</w:t>
                      </w:r>
                    </w:p>
                    <w:p w14:paraId="35C1BFB0" w14:textId="365C9A38" w:rsidR="000C6243" w:rsidRDefault="000C6243" w:rsidP="000C6243">
                      <w:pPr>
                        <w:spacing w:line="252" w:lineRule="auto"/>
                        <w:rPr>
                          <w:rFonts w:ascii="Work Sans" w:eastAsia="Calibri" w:hAnsi="Work Sans" w:cs="Arial"/>
                          <w:szCs w:val="18"/>
                        </w:rPr>
                      </w:pPr>
                    </w:p>
                  </w:txbxContent>
                </v:textbox>
              </v:shape>
            </w:pict>
          </mc:Fallback>
        </mc:AlternateContent>
      </w:r>
      <w:r w:rsidR="008B2679">
        <w:rPr>
          <w:noProof/>
        </w:rPr>
        <w:drawing>
          <wp:inline distT="0" distB="0" distL="0" distR="0" wp14:anchorId="52136565" wp14:editId="67402141">
            <wp:extent cx="5688965" cy="3204845"/>
            <wp:effectExtent l="0" t="0" r="6985" b="14605"/>
            <wp:docPr id="12" name="Chart 12">
              <a:extLst xmlns:a="http://schemas.openxmlformats.org/drawingml/2006/main">
                <a:ext uri="{FF2B5EF4-FFF2-40B4-BE49-F238E27FC236}">
                  <a16:creationId xmlns:a16="http://schemas.microsoft.com/office/drawing/2014/main" id="{51E1902A-76A5-44AF-B7BA-8CC37FA6AD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F8F0AB9" w14:textId="78A04632" w:rsidR="009C479D" w:rsidRPr="00DE3E76" w:rsidRDefault="009C479D" w:rsidP="009C479D">
      <w:pPr>
        <w:pStyle w:val="CGCTablenote"/>
        <w:rPr>
          <w:rFonts w:ascii="Work Sans" w:hAnsi="Work Sans"/>
        </w:rPr>
      </w:pPr>
      <w:r w:rsidRPr="00DE3E76">
        <w:rPr>
          <w:rFonts w:ascii="Work Sans" w:hAnsi="Work Sans"/>
        </w:rPr>
        <w:t>Source:</w:t>
      </w:r>
      <w:r w:rsidRPr="00DE3E76">
        <w:rPr>
          <w:rFonts w:ascii="Work Sans" w:hAnsi="Work Sans"/>
        </w:rPr>
        <w:tab/>
        <w:t>C</w:t>
      </w:r>
      <w:r w:rsidR="00C24152" w:rsidRPr="00DE3E76">
        <w:rPr>
          <w:rFonts w:ascii="Work Sans" w:hAnsi="Work Sans"/>
        </w:rPr>
        <w:t>ommission</w:t>
      </w:r>
      <w:r w:rsidRPr="00DE3E76">
        <w:rPr>
          <w:rFonts w:ascii="Work Sans" w:hAnsi="Work Sans"/>
        </w:rPr>
        <w:t xml:space="preserve"> calculation</w:t>
      </w:r>
      <w:r w:rsidR="003240EE" w:rsidRPr="00DE3E76">
        <w:rPr>
          <w:rFonts w:ascii="Work Sans" w:hAnsi="Work Sans"/>
        </w:rPr>
        <w:t>.</w:t>
      </w:r>
    </w:p>
    <w:p w14:paraId="5D0BEACE" w14:textId="192F07A0" w:rsidR="002A76C9" w:rsidRPr="00974594" w:rsidRDefault="00434666" w:rsidP="00CA2874">
      <w:pPr>
        <w:pStyle w:val="CGC2025ParaNumbers"/>
      </w:pPr>
      <w:r>
        <w:t>To future-proof the assessment</w:t>
      </w:r>
      <w:r w:rsidR="007A6FFF">
        <w:t xml:space="preserve"> and to </w:t>
      </w:r>
      <w:r w:rsidR="00B603FC">
        <w:t>capture changes in population on a continuous basis</w:t>
      </w:r>
      <w:r>
        <w:t xml:space="preserve">, the Commission’s preliminary view is to adopt the regression approach to model passenger numbers for the 2025 Review. </w:t>
      </w:r>
    </w:p>
    <w:p w14:paraId="0E65EA49" w14:textId="649E2B8A" w:rsidR="00EE10A8" w:rsidRPr="00E46910" w:rsidRDefault="00E124EF" w:rsidP="00EE10A8">
      <w:pPr>
        <w:pStyle w:val="Heading4"/>
      </w:pPr>
      <w:r w:rsidRPr="00E124EF">
        <w:lastRenderedPageBreak/>
        <w:t>Consultation question</w:t>
      </w:r>
    </w:p>
    <w:p w14:paraId="1E1625D3" w14:textId="4EC6BB0F" w:rsidR="00434666" w:rsidRDefault="008510EA" w:rsidP="00A26215">
      <w:pPr>
        <w:pStyle w:val="CGCParaNumber"/>
        <w:ind w:left="0" w:firstLine="0"/>
      </w:pPr>
      <w:r w:rsidRPr="001C4DF3">
        <w:rPr>
          <w:noProof/>
        </w:rPr>
        <mc:AlternateContent>
          <mc:Choice Requires="wps">
            <w:drawing>
              <wp:inline distT="0" distB="0" distL="0" distR="0" wp14:anchorId="39030930" wp14:editId="718FFE59">
                <wp:extent cx="5688965" cy="742950"/>
                <wp:effectExtent l="0" t="0" r="6985" b="0"/>
                <wp:docPr id="33" name="Rectangl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8965" cy="742950"/>
                        </a:xfrm>
                        <a:prstGeom prst="rect">
                          <a:avLst/>
                        </a:prstGeom>
                        <a:solidFill>
                          <a:srgbClr val="EBF3F5"/>
                        </a:solidFill>
                        <a:ln w="25400" cap="flat" cmpd="sng" algn="ctr">
                          <a:noFill/>
                          <a:prstDash val="solid"/>
                        </a:ln>
                        <a:effectLst/>
                      </wps:spPr>
                      <wps:txbx>
                        <w:txbxContent>
                          <w:p w14:paraId="6B08E1AE" w14:textId="5C3B647E" w:rsidR="008510EA" w:rsidRPr="008526DF" w:rsidRDefault="002B0992" w:rsidP="00C24152">
                            <w:pPr>
                              <w:pStyle w:val="CGC2025QuestionNumbers"/>
                            </w:pPr>
                            <w:bookmarkStart w:id="112" w:name="_Hlk136603045"/>
                            <w:bookmarkStart w:id="113" w:name="_Hlk136603046"/>
                            <w:r w:rsidRPr="008526DF">
                              <w:t>Do states agree that</w:t>
                            </w:r>
                            <w:r w:rsidR="00007F32" w:rsidRPr="008526DF">
                              <w:t xml:space="preserve"> using a regression model to recognise the growth in passenger numbers in urban areas </w:t>
                            </w:r>
                            <w:r w:rsidR="00AB2632">
                              <w:t>is</w:t>
                            </w:r>
                            <w:r w:rsidR="00A85BC2">
                              <w:t xml:space="preserve"> </w:t>
                            </w:r>
                            <w:r w:rsidR="00007F32" w:rsidRPr="008526DF">
                              <w:t>a more suitable method for modelling passenger numbers</w:t>
                            </w:r>
                            <w:r w:rsidR="008510EA" w:rsidRPr="008526DF">
                              <w:t>?</w:t>
                            </w:r>
                            <w:bookmarkEnd w:id="112"/>
                            <w:bookmarkEnd w:id="11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9030930" id="Rectangle 33" o:spid="_x0000_s1038" alt="&quot;&quot;" style="width:447.95pt;height:5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" fillcolor="#ebf3f5" stroked="f" strokeweight="2pt">
                <v:textbox>
                  <w:txbxContent>
                    <w:p w14:paraId="6B08E1AE" w14:textId="5C3B647E" w:rsidR="008510EA" w:rsidRPr="008526DF" w:rsidRDefault="002B0992" w:rsidP="00C24152">
                      <w:pPr>
                        <w:pStyle w:val="CGC2025QuestionNumbers"/>
                      </w:pPr>
                      <w:bookmarkStart w:id="114" w:name="_Hlk136603045"/>
                      <w:bookmarkStart w:id="115" w:name="_Hlk136603046"/>
                      <w:r w:rsidRPr="008526DF">
                        <w:t>Do states agree that</w:t>
                      </w:r>
                      <w:r w:rsidR="00007F32" w:rsidRPr="008526DF">
                        <w:t xml:space="preserve"> using a regression model to recognise the growth in passenger numbers in urban areas </w:t>
                      </w:r>
                      <w:r w:rsidR="00AB2632">
                        <w:t>is</w:t>
                      </w:r>
                      <w:r w:rsidR="00A85BC2">
                        <w:t xml:space="preserve"> </w:t>
                      </w:r>
                      <w:r w:rsidR="00007F32" w:rsidRPr="008526DF">
                        <w:t>a more suitable method for modelling passenger numbers</w:t>
                      </w:r>
                      <w:r w:rsidR="008510EA" w:rsidRPr="008526DF">
                        <w:t>?</w:t>
                      </w:r>
                      <w:bookmarkEnd w:id="114"/>
                      <w:bookmarkEnd w:id="115"/>
                    </w:p>
                  </w:txbxContent>
                </v:textbox>
                <w10:anchorlock/>
              </v:rect>
            </w:pict>
          </mc:Fallback>
        </mc:AlternateContent>
      </w:r>
    </w:p>
    <w:p w14:paraId="103512ED" w14:textId="4EEDF359" w:rsidR="0081091F" w:rsidRDefault="00495006" w:rsidP="0081091F">
      <w:pPr>
        <w:pStyle w:val="Heading3"/>
      </w:pPr>
      <w:bookmarkStart w:id="116" w:name="_Toc138691907"/>
      <w:r w:rsidRPr="00304705">
        <w:t>What are the implications of changing non-urban populations?</w:t>
      </w:r>
      <w:bookmarkEnd w:id="116"/>
    </w:p>
    <w:p w14:paraId="7DB5B0D3" w14:textId="0E21ADE8" w:rsidR="00400040" w:rsidRDefault="00A26D68" w:rsidP="007C61DA">
      <w:pPr>
        <w:pStyle w:val="CGC2025ParaNumbers"/>
      </w:pPr>
      <w:r>
        <w:fldChar w:fldCharType="begin"/>
      </w:r>
      <w:r>
        <w:instrText xml:space="preserve"> REF _Ref138764096 \h </w:instrText>
      </w:r>
      <w:r>
        <w:fldChar w:fldCharType="separate"/>
      </w:r>
      <w:r w:rsidR="00282693" w:rsidRPr="006537C4">
        <w:t xml:space="preserve">Figure </w:t>
      </w:r>
      <w:r w:rsidR="00282693">
        <w:rPr>
          <w:noProof/>
        </w:rPr>
        <w:t>10</w:t>
      </w:r>
      <w:r>
        <w:fldChar w:fldCharType="end"/>
      </w:r>
      <w:r w:rsidR="00CE5021">
        <w:t xml:space="preserve"> </w:t>
      </w:r>
      <w:r w:rsidR="0057554E">
        <w:t>shows the change in population</w:t>
      </w:r>
      <w:r w:rsidR="006C47D6">
        <w:t xml:space="preserve"> growth</w:t>
      </w:r>
      <w:r w:rsidR="0057554E">
        <w:t xml:space="preserve"> from 2016</w:t>
      </w:r>
      <w:r w:rsidR="003108A8">
        <w:t>–</w:t>
      </w:r>
      <w:r w:rsidR="00456F60">
        <w:t>17</w:t>
      </w:r>
      <w:r w:rsidR="008B387D">
        <w:t xml:space="preserve"> to </w:t>
      </w:r>
      <w:r w:rsidR="00153FA9">
        <w:t>2021</w:t>
      </w:r>
      <w:r w:rsidR="003108A8">
        <w:t>–</w:t>
      </w:r>
      <w:r w:rsidR="00456F60">
        <w:t>22</w:t>
      </w:r>
      <w:r w:rsidR="00153FA9">
        <w:t>.</w:t>
      </w:r>
      <w:r w:rsidR="008B387D">
        <w:t xml:space="preserve"> </w:t>
      </w:r>
      <w:r w:rsidR="003C0ED6">
        <w:t>It shows that during this time</w:t>
      </w:r>
      <w:r w:rsidR="00DC57F8">
        <w:t xml:space="preserve"> there has been a movement out of urban areas towards non</w:t>
      </w:r>
      <w:r w:rsidR="00780536">
        <w:noBreakHyphen/>
      </w:r>
      <w:r w:rsidR="00DC57F8">
        <w:t>urban areas</w:t>
      </w:r>
      <w:r w:rsidR="00F57974">
        <w:t xml:space="preserve">. </w:t>
      </w:r>
      <w:r w:rsidR="001C5198">
        <w:t xml:space="preserve">This pattern was </w:t>
      </w:r>
      <w:r w:rsidR="00944B8C">
        <w:t xml:space="preserve">exaggerated in the </w:t>
      </w:r>
      <w:r w:rsidR="00DC29EE">
        <w:t xml:space="preserve">years </w:t>
      </w:r>
      <w:r w:rsidR="00E54737">
        <w:t>a</w:t>
      </w:r>
      <w:r w:rsidR="00DC29EE">
        <w:t>ffected by</w:t>
      </w:r>
      <w:r w:rsidR="00944B8C">
        <w:t xml:space="preserve"> </w:t>
      </w:r>
      <w:r w:rsidR="00DC29EE">
        <w:t>COVID-19</w:t>
      </w:r>
      <w:r w:rsidR="00400040">
        <w:t>.</w:t>
      </w:r>
      <w:r w:rsidR="00045D35">
        <w:t xml:space="preserve"> </w:t>
      </w:r>
    </w:p>
    <w:p w14:paraId="34BA950A" w14:textId="331E3507" w:rsidR="006537C4" w:rsidRPr="000256F0" w:rsidRDefault="00852330" w:rsidP="0060457A">
      <w:pPr>
        <w:pStyle w:val="CGC2025Caption"/>
        <w:tabs>
          <w:tab w:val="left" w:pos="1134"/>
        </w:tabs>
      </w:pPr>
      <w:bookmarkStart w:id="117" w:name="_Ref135657792"/>
      <w:bookmarkStart w:id="118" w:name="_Ref138764096"/>
      <w:r w:rsidRPr="006537C4">
        <w:t xml:space="preserve">Figure </w:t>
      </w:r>
      <w:r w:rsidR="00B75B39">
        <w:fldChar w:fldCharType="begin"/>
      </w:r>
      <w:r w:rsidR="00B75B39" w:rsidRPr="00B75B39">
        <w:instrText xml:space="preserve"> SEQ Figure \* ARABIC </w:instrText>
      </w:r>
      <w:r w:rsidR="00B75B39">
        <w:fldChar w:fldCharType="separate"/>
      </w:r>
      <w:r w:rsidR="00282693">
        <w:rPr>
          <w:noProof/>
        </w:rPr>
        <w:t>10</w:t>
      </w:r>
      <w:r w:rsidR="00B75B39">
        <w:fldChar w:fldCharType="end"/>
      </w:r>
      <w:bookmarkEnd w:id="117"/>
      <w:bookmarkEnd w:id="118"/>
      <w:r w:rsidR="00B75B39" w:rsidRPr="006537C4">
        <w:tab/>
      </w:r>
      <w:r w:rsidRPr="006537C4">
        <w:t xml:space="preserve">Urban vs </w:t>
      </w:r>
      <w:r w:rsidR="00295B16" w:rsidRPr="006537C4">
        <w:t>n</w:t>
      </w:r>
      <w:r w:rsidRPr="006537C4">
        <w:t>on-</w:t>
      </w:r>
      <w:r w:rsidR="00295B16" w:rsidRPr="006537C4">
        <w:t>u</w:t>
      </w:r>
      <w:r w:rsidRPr="006537C4">
        <w:t xml:space="preserve">rban </w:t>
      </w:r>
      <w:r w:rsidR="00295B16" w:rsidRPr="006537C4">
        <w:t>a</w:t>
      </w:r>
      <w:r w:rsidRPr="006537C4">
        <w:t xml:space="preserve">nnual </w:t>
      </w:r>
      <w:r w:rsidR="00295B16" w:rsidRPr="006537C4">
        <w:t>p</w:t>
      </w:r>
      <w:r w:rsidRPr="006537C4">
        <w:t xml:space="preserve">opulation </w:t>
      </w:r>
      <w:r w:rsidR="00295B16" w:rsidRPr="006537C4">
        <w:t>g</w:t>
      </w:r>
      <w:r w:rsidRPr="006537C4">
        <w:t xml:space="preserve">rowth </w:t>
      </w:r>
    </w:p>
    <w:p w14:paraId="00CA2F66" w14:textId="150FBC7D" w:rsidR="00852330" w:rsidRPr="000256F0" w:rsidRDefault="00077BD0" w:rsidP="000256F0">
      <w:pPr>
        <w:tabs>
          <w:tab w:val="clear" w:pos="567"/>
        </w:tabs>
        <w:spacing w:before="0" w:line="240" w:lineRule="auto"/>
        <w:rPr>
          <w:rFonts w:ascii="Times New Roman" w:eastAsia="Times New Roman" w:hAnsi="Times New Roman" w:cs="Times New Roman"/>
          <w:sz w:val="24"/>
          <w:szCs w:val="24"/>
          <w:lang w:eastAsia="en-AU"/>
        </w:rPr>
      </w:pPr>
      <w:r>
        <w:rPr>
          <w:noProof/>
        </w:rPr>
        <w:drawing>
          <wp:inline distT="0" distB="0" distL="0" distR="0" wp14:anchorId="17BED736" wp14:editId="16C43548">
            <wp:extent cx="5677200" cy="3148013"/>
            <wp:effectExtent l="0" t="0" r="0" b="14605"/>
            <wp:docPr id="705650090" name="Chart 1">
              <a:extLst xmlns:a="http://schemas.openxmlformats.org/drawingml/2006/main">
                <a:ext uri="{FF2B5EF4-FFF2-40B4-BE49-F238E27FC236}">
                  <a16:creationId xmlns:a16="http://schemas.microsoft.com/office/drawing/2014/main" id="{5EEC004A-A746-1FA1-42C0-05160EDD85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06C87F5" w14:textId="178F89A5" w:rsidR="00852330" w:rsidRPr="00DE3E76" w:rsidRDefault="00852330" w:rsidP="0098777C">
      <w:pPr>
        <w:pStyle w:val="CGCTablenote"/>
        <w:ind w:left="113" w:firstLine="0"/>
        <w:rPr>
          <w:rFonts w:ascii="Work Sans" w:hAnsi="Work Sans"/>
        </w:rPr>
      </w:pPr>
      <w:r w:rsidRPr="00DE3E76">
        <w:rPr>
          <w:rFonts w:ascii="Work Sans" w:hAnsi="Work Sans"/>
        </w:rPr>
        <w:t xml:space="preserve">Source: ABS </w:t>
      </w:r>
      <w:r w:rsidR="003240EE" w:rsidRPr="00DE3E76">
        <w:rPr>
          <w:rFonts w:ascii="Work Sans" w:hAnsi="Work Sans"/>
        </w:rPr>
        <w:t>d</w:t>
      </w:r>
      <w:r w:rsidRPr="00DE3E76">
        <w:rPr>
          <w:rFonts w:ascii="Work Sans" w:hAnsi="Work Sans"/>
        </w:rPr>
        <w:t>ata</w:t>
      </w:r>
      <w:r w:rsidR="003240EE" w:rsidRPr="00DE3E76">
        <w:rPr>
          <w:rFonts w:ascii="Work Sans" w:hAnsi="Work Sans"/>
        </w:rPr>
        <w:t>.</w:t>
      </w:r>
    </w:p>
    <w:p w14:paraId="2171B299" w14:textId="77777777" w:rsidR="00AF71F6" w:rsidRDefault="00AF71F6" w:rsidP="00AF71F6">
      <w:pPr>
        <w:pStyle w:val="CGC2025ParaNumbers"/>
      </w:pPr>
      <w:r>
        <w:t xml:space="preserve">Data for 2022–23 populations by fine level geography are not yet available. However, ABS </w:t>
      </w:r>
      <w:r w:rsidRPr="005C79AD">
        <w:t xml:space="preserve">population </w:t>
      </w:r>
      <w:r>
        <w:t>data for September 2022 indicated that the large population shift away from capital cities during the years affected by COVID-19 was largely temporary with growth rates returning to pre–COVID-</w:t>
      </w:r>
      <w:r w:rsidRPr="00FE7097">
        <w:t>19</w:t>
      </w:r>
      <w:r>
        <w:t xml:space="preserve"> trends.</w:t>
      </w:r>
      <w:r>
        <w:rPr>
          <w:rStyle w:val="FootnoteReference"/>
        </w:rPr>
        <w:footnoteReference w:id="17"/>
      </w:r>
      <w:r>
        <w:t xml:space="preserve"> </w:t>
      </w:r>
    </w:p>
    <w:p w14:paraId="746D5563" w14:textId="203B0F3B" w:rsidR="00AF71F6" w:rsidRDefault="00AF71F6" w:rsidP="00AF71F6">
      <w:pPr>
        <w:pStyle w:val="CGC2025ParaNumbers"/>
      </w:pPr>
      <w:r>
        <w:t xml:space="preserve">The observed patterns of population growth prompted the Commission to investigate whether an </w:t>
      </w:r>
      <w:r w:rsidR="00AD0EBF">
        <w:t>equal per capita</w:t>
      </w:r>
      <w:r>
        <w:t xml:space="preserve"> assessment of non-urban transport expenses remains appropriate. </w:t>
      </w:r>
    </w:p>
    <w:p w14:paraId="13849D4B" w14:textId="173FD16C" w:rsidR="00387EFC" w:rsidRPr="007672F9" w:rsidRDefault="005C2B60" w:rsidP="007C61DA">
      <w:pPr>
        <w:pStyle w:val="CGC2025ParaNumbers"/>
      </w:pPr>
      <w:r>
        <w:fldChar w:fldCharType="begin"/>
      </w:r>
      <w:r>
        <w:instrText xml:space="preserve"> REF _Ref138774501 \h </w:instrText>
      </w:r>
      <w:r>
        <w:fldChar w:fldCharType="separate"/>
      </w:r>
      <w:r w:rsidR="00282693" w:rsidRPr="008767F7">
        <w:rPr>
          <w:szCs w:val="20"/>
        </w:rPr>
        <w:t xml:space="preserve">Table </w:t>
      </w:r>
      <w:r w:rsidR="00282693">
        <w:rPr>
          <w:noProof/>
        </w:rPr>
        <w:t>9</w:t>
      </w:r>
      <w:r>
        <w:fldChar w:fldCharType="end"/>
      </w:r>
      <w:r>
        <w:t xml:space="preserve"> </w:t>
      </w:r>
      <w:r w:rsidR="0022253A">
        <w:t>shows a</w:t>
      </w:r>
      <w:r w:rsidR="009B6217" w:rsidRPr="007672F9">
        <w:t xml:space="preserve"> breakdown of </w:t>
      </w:r>
      <w:r w:rsidR="004F3247">
        <w:t xml:space="preserve">non-urban transport </w:t>
      </w:r>
      <w:r w:rsidR="00D47049">
        <w:t xml:space="preserve">recurrent net </w:t>
      </w:r>
      <w:r w:rsidR="009B6217" w:rsidRPr="007672F9">
        <w:t xml:space="preserve">expenses </w:t>
      </w:r>
      <w:r w:rsidR="00226CF9" w:rsidRPr="007672F9">
        <w:t>in 2020</w:t>
      </w:r>
      <w:r w:rsidR="005B0648">
        <w:t>–</w:t>
      </w:r>
      <w:r w:rsidR="00226CF9" w:rsidRPr="007672F9">
        <w:t>21</w:t>
      </w:r>
      <w:r w:rsidR="004F3247">
        <w:t>.</w:t>
      </w:r>
      <w:r w:rsidR="001C7B7C" w:rsidRPr="007672F9">
        <w:t xml:space="preserve"> </w:t>
      </w:r>
      <w:r w:rsidR="000E03B4">
        <w:t xml:space="preserve">It indicates that </w:t>
      </w:r>
      <w:r w:rsidR="003746FE">
        <w:t>most</w:t>
      </w:r>
      <w:r w:rsidR="001C7B7C" w:rsidRPr="007672F9">
        <w:t xml:space="preserve"> expenses relate to </w:t>
      </w:r>
      <w:r w:rsidR="0011789C" w:rsidRPr="007672F9">
        <w:t>heavy rail passenger services</w:t>
      </w:r>
      <w:r w:rsidR="001C7B7C" w:rsidRPr="007672F9">
        <w:t xml:space="preserve"> in New South Wales, Victoria and Queensland</w:t>
      </w:r>
      <w:r w:rsidR="004F3247">
        <w:t>.</w:t>
      </w:r>
    </w:p>
    <w:p w14:paraId="7B07AF5D" w14:textId="77777777" w:rsidR="00EE339C" w:rsidRDefault="00EE339C">
      <w:pPr>
        <w:tabs>
          <w:tab w:val="clear" w:pos="567"/>
        </w:tabs>
        <w:spacing w:before="0" w:after="200" w:line="276" w:lineRule="auto"/>
        <w:rPr>
          <w:rFonts w:ascii="Work Sans" w:hAnsi="Work Sans"/>
          <w:b/>
          <w:sz w:val="20"/>
          <w:szCs w:val="20"/>
        </w:rPr>
      </w:pPr>
      <w:bookmarkStart w:id="119" w:name="_Ref135142115"/>
      <w:bookmarkStart w:id="120" w:name="_Ref138764136"/>
      <w:bookmarkStart w:id="121" w:name="_Hlk135150912"/>
      <w:r>
        <w:rPr>
          <w:szCs w:val="20"/>
        </w:rPr>
        <w:br w:type="page"/>
      </w:r>
    </w:p>
    <w:p w14:paraId="3923FBA0" w14:textId="21E22D89" w:rsidR="001D0100" w:rsidRPr="008767F7" w:rsidRDefault="00387EFC" w:rsidP="008E2A76">
      <w:pPr>
        <w:pStyle w:val="CGC2025Caption"/>
        <w:tabs>
          <w:tab w:val="left" w:pos="1134"/>
        </w:tabs>
        <w:rPr>
          <w:szCs w:val="20"/>
        </w:rPr>
      </w:pPr>
      <w:bookmarkStart w:id="122" w:name="_Ref138774501"/>
      <w:r w:rsidRPr="008767F7">
        <w:rPr>
          <w:szCs w:val="20"/>
        </w:rPr>
        <w:lastRenderedPageBreak/>
        <w:t xml:space="preserve">Table </w:t>
      </w:r>
      <w:r w:rsidRPr="008767F7">
        <w:rPr>
          <w:szCs w:val="20"/>
        </w:rPr>
        <w:fldChar w:fldCharType="begin"/>
      </w:r>
      <w:r>
        <w:instrText>SEQ Table \* ARABIC</w:instrText>
      </w:r>
      <w:r w:rsidRPr="008767F7">
        <w:rPr>
          <w:szCs w:val="20"/>
        </w:rPr>
        <w:fldChar w:fldCharType="separate"/>
      </w:r>
      <w:r w:rsidR="00282693">
        <w:rPr>
          <w:noProof/>
        </w:rPr>
        <w:t>9</w:t>
      </w:r>
      <w:r w:rsidRPr="008767F7">
        <w:rPr>
          <w:szCs w:val="20"/>
        </w:rPr>
        <w:fldChar w:fldCharType="end"/>
      </w:r>
      <w:bookmarkEnd w:id="119"/>
      <w:bookmarkEnd w:id="120"/>
      <w:bookmarkEnd w:id="122"/>
      <w:r w:rsidR="006B656A" w:rsidRPr="008767F7">
        <w:rPr>
          <w:szCs w:val="20"/>
        </w:rPr>
        <w:tab/>
      </w:r>
      <w:r w:rsidR="008D1D1C" w:rsidRPr="008767F7">
        <w:rPr>
          <w:szCs w:val="20"/>
        </w:rPr>
        <w:t>Non-Urban Transport</w:t>
      </w:r>
      <w:r w:rsidR="00757EEA" w:rsidRPr="008767F7">
        <w:rPr>
          <w:szCs w:val="20"/>
        </w:rPr>
        <w:t xml:space="preserve"> Net</w:t>
      </w:r>
      <w:r w:rsidR="008D1D1C" w:rsidRPr="008767F7">
        <w:rPr>
          <w:szCs w:val="20"/>
        </w:rPr>
        <w:t xml:space="preserve"> Ex</w:t>
      </w:r>
      <w:r w:rsidR="0088275B" w:rsidRPr="008767F7">
        <w:rPr>
          <w:szCs w:val="20"/>
        </w:rPr>
        <w:t>penses</w:t>
      </w:r>
      <w:r w:rsidR="008D1D1C" w:rsidRPr="008767F7">
        <w:rPr>
          <w:szCs w:val="20"/>
        </w:rPr>
        <w:t xml:space="preserve"> 2020</w:t>
      </w:r>
      <w:r w:rsidR="00F05F9B">
        <w:rPr>
          <w:szCs w:val="20"/>
        </w:rPr>
        <w:noBreakHyphen/>
      </w:r>
      <w:r w:rsidR="008D1D1C" w:rsidRPr="008767F7">
        <w:rPr>
          <w:szCs w:val="20"/>
        </w:rPr>
        <w:t>21</w:t>
      </w:r>
    </w:p>
    <w:tbl>
      <w:tblPr>
        <w:tblW w:w="8959" w:type="dxa"/>
        <w:tblLook w:val="04A0" w:firstRow="1" w:lastRow="0" w:firstColumn="1" w:lastColumn="0" w:noHBand="0" w:noVBand="1"/>
      </w:tblPr>
      <w:tblGrid>
        <w:gridCol w:w="1697"/>
        <w:gridCol w:w="713"/>
        <w:gridCol w:w="729"/>
        <w:gridCol w:w="753"/>
        <w:gridCol w:w="753"/>
        <w:gridCol w:w="753"/>
        <w:gridCol w:w="753"/>
        <w:gridCol w:w="753"/>
        <w:gridCol w:w="753"/>
        <w:gridCol w:w="1302"/>
      </w:tblGrid>
      <w:tr w:rsidR="001D0100" w:rsidRPr="001D0100" w14:paraId="76C15127" w14:textId="77777777" w:rsidTr="007F4899">
        <w:trPr>
          <w:trHeight w:val="375"/>
        </w:trPr>
        <w:tc>
          <w:tcPr>
            <w:tcW w:w="1697" w:type="dxa"/>
            <w:tcBorders>
              <w:top w:val="nil"/>
              <w:left w:val="nil"/>
              <w:bottom w:val="nil"/>
              <w:right w:val="nil"/>
            </w:tcBorders>
            <w:shd w:val="clear" w:color="000000" w:fill="006991"/>
            <w:noWrap/>
            <w:vAlign w:val="center"/>
            <w:hideMark/>
          </w:tcPr>
          <w:p w14:paraId="3478EAB0" w14:textId="77777777"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D0100">
              <w:rPr>
                <w:rFonts w:ascii="Open Sans Semibold" w:eastAsia="Times New Roman" w:hAnsi="Open Sans Semibold" w:cs="Open Sans Semibold"/>
                <w:color w:val="FFFFFF"/>
                <w:sz w:val="16"/>
                <w:szCs w:val="16"/>
                <w:lang w:eastAsia="en-AU"/>
              </w:rPr>
              <w:t> </w:t>
            </w:r>
          </w:p>
        </w:tc>
        <w:tc>
          <w:tcPr>
            <w:tcW w:w="713" w:type="dxa"/>
            <w:tcBorders>
              <w:top w:val="nil"/>
              <w:left w:val="nil"/>
              <w:bottom w:val="nil"/>
              <w:right w:val="nil"/>
            </w:tcBorders>
            <w:shd w:val="clear" w:color="000000" w:fill="006991"/>
            <w:noWrap/>
            <w:vAlign w:val="center"/>
            <w:hideMark/>
          </w:tcPr>
          <w:p w14:paraId="1DD0394E" w14:textId="77777777" w:rsidR="001D0100" w:rsidRPr="001D0100" w:rsidRDefault="001D0100" w:rsidP="0097630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D0100">
              <w:rPr>
                <w:rFonts w:ascii="Open Sans Semibold" w:eastAsia="Times New Roman" w:hAnsi="Open Sans Semibold" w:cs="Open Sans Semibold"/>
                <w:color w:val="FFFFFF"/>
                <w:sz w:val="16"/>
                <w:szCs w:val="16"/>
                <w:lang w:eastAsia="en-AU"/>
              </w:rPr>
              <w:t>NSW</w:t>
            </w:r>
          </w:p>
        </w:tc>
        <w:tc>
          <w:tcPr>
            <w:tcW w:w="729" w:type="dxa"/>
            <w:tcBorders>
              <w:top w:val="nil"/>
              <w:left w:val="nil"/>
              <w:bottom w:val="nil"/>
              <w:right w:val="nil"/>
            </w:tcBorders>
            <w:shd w:val="clear" w:color="000000" w:fill="006991"/>
            <w:noWrap/>
            <w:vAlign w:val="center"/>
            <w:hideMark/>
          </w:tcPr>
          <w:p w14:paraId="5833373B" w14:textId="76ED69C2" w:rsidR="001D0100" w:rsidRPr="001D0100" w:rsidRDefault="001D0100" w:rsidP="0097630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D0100">
              <w:rPr>
                <w:rFonts w:ascii="Open Sans Semibold" w:eastAsia="Times New Roman" w:hAnsi="Open Sans Semibold" w:cs="Open Sans Semibold"/>
                <w:color w:val="FFFFFF"/>
                <w:sz w:val="16"/>
                <w:szCs w:val="16"/>
                <w:lang w:eastAsia="en-AU"/>
              </w:rPr>
              <w:t>Vic</w:t>
            </w:r>
            <w:r w:rsidR="003746FE">
              <w:rPr>
                <w:rFonts w:ascii="Open Sans Semibold" w:eastAsia="Times New Roman" w:hAnsi="Open Sans Semibold" w:cs="Open Sans Semibold"/>
                <w:color w:val="FFFFFF"/>
                <w:sz w:val="16"/>
                <w:szCs w:val="16"/>
                <w:lang w:eastAsia="en-AU"/>
              </w:rPr>
              <w:t xml:space="preserve"> </w:t>
            </w:r>
            <w:r w:rsidR="00F66DB1">
              <w:rPr>
                <w:rFonts w:ascii="Open Sans Semibold" w:eastAsia="Times New Roman" w:hAnsi="Open Sans Semibold" w:cs="Open Sans Semibold"/>
                <w:color w:val="FFFFFF"/>
                <w:sz w:val="16"/>
                <w:szCs w:val="16"/>
                <w:lang w:eastAsia="en-AU"/>
              </w:rPr>
              <w:t>(a)</w:t>
            </w:r>
          </w:p>
        </w:tc>
        <w:tc>
          <w:tcPr>
            <w:tcW w:w="753" w:type="dxa"/>
            <w:tcBorders>
              <w:top w:val="nil"/>
              <w:left w:val="nil"/>
              <w:bottom w:val="nil"/>
              <w:right w:val="nil"/>
            </w:tcBorders>
            <w:shd w:val="clear" w:color="000000" w:fill="006991"/>
            <w:noWrap/>
            <w:vAlign w:val="center"/>
            <w:hideMark/>
          </w:tcPr>
          <w:p w14:paraId="3FDAC0BA" w14:textId="77777777" w:rsidR="001D0100" w:rsidRPr="001D0100" w:rsidRDefault="001D0100" w:rsidP="0097630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D0100">
              <w:rPr>
                <w:rFonts w:ascii="Open Sans Semibold" w:eastAsia="Times New Roman" w:hAnsi="Open Sans Semibold" w:cs="Open Sans Semibold"/>
                <w:color w:val="FFFFFF"/>
                <w:sz w:val="16"/>
                <w:szCs w:val="16"/>
                <w:lang w:eastAsia="en-AU"/>
              </w:rPr>
              <w:t>QLD</w:t>
            </w:r>
          </w:p>
        </w:tc>
        <w:tc>
          <w:tcPr>
            <w:tcW w:w="753" w:type="dxa"/>
            <w:tcBorders>
              <w:top w:val="nil"/>
              <w:left w:val="nil"/>
              <w:bottom w:val="nil"/>
              <w:right w:val="nil"/>
            </w:tcBorders>
            <w:shd w:val="clear" w:color="000000" w:fill="006991"/>
            <w:noWrap/>
            <w:vAlign w:val="center"/>
            <w:hideMark/>
          </w:tcPr>
          <w:p w14:paraId="462087CC" w14:textId="77777777" w:rsidR="001D0100" w:rsidRPr="001D0100" w:rsidRDefault="001D0100" w:rsidP="0097630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D0100">
              <w:rPr>
                <w:rFonts w:ascii="Open Sans Semibold" w:eastAsia="Times New Roman" w:hAnsi="Open Sans Semibold" w:cs="Open Sans Semibold"/>
                <w:color w:val="FFFFFF"/>
                <w:sz w:val="16"/>
                <w:szCs w:val="16"/>
                <w:lang w:eastAsia="en-AU"/>
              </w:rPr>
              <w:t>WA</w:t>
            </w:r>
          </w:p>
        </w:tc>
        <w:tc>
          <w:tcPr>
            <w:tcW w:w="753" w:type="dxa"/>
            <w:tcBorders>
              <w:top w:val="nil"/>
              <w:left w:val="nil"/>
              <w:bottom w:val="nil"/>
              <w:right w:val="nil"/>
            </w:tcBorders>
            <w:shd w:val="clear" w:color="000000" w:fill="006991"/>
            <w:noWrap/>
            <w:vAlign w:val="center"/>
            <w:hideMark/>
          </w:tcPr>
          <w:p w14:paraId="690669FC" w14:textId="77777777" w:rsidR="001D0100" w:rsidRPr="001D0100" w:rsidRDefault="001D0100" w:rsidP="0097630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D0100">
              <w:rPr>
                <w:rFonts w:ascii="Open Sans Semibold" w:eastAsia="Times New Roman" w:hAnsi="Open Sans Semibold" w:cs="Open Sans Semibold"/>
                <w:color w:val="FFFFFF"/>
                <w:sz w:val="16"/>
                <w:szCs w:val="16"/>
                <w:lang w:eastAsia="en-AU"/>
              </w:rPr>
              <w:t>SA</w:t>
            </w:r>
          </w:p>
        </w:tc>
        <w:tc>
          <w:tcPr>
            <w:tcW w:w="753" w:type="dxa"/>
            <w:tcBorders>
              <w:top w:val="nil"/>
              <w:left w:val="nil"/>
              <w:bottom w:val="nil"/>
              <w:right w:val="nil"/>
            </w:tcBorders>
            <w:shd w:val="clear" w:color="000000" w:fill="006991"/>
            <w:noWrap/>
            <w:vAlign w:val="center"/>
            <w:hideMark/>
          </w:tcPr>
          <w:p w14:paraId="361CD053" w14:textId="4A3A51BF" w:rsidR="001D0100" w:rsidRPr="001D0100" w:rsidRDefault="005C0AC9" w:rsidP="0097630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Pr>
                <w:rFonts w:ascii="Open Sans Semibold" w:eastAsia="Times New Roman" w:hAnsi="Open Sans Semibold" w:cs="Open Sans Semibold"/>
                <w:color w:val="FFFFFF"/>
                <w:sz w:val="16"/>
                <w:szCs w:val="16"/>
                <w:lang w:eastAsia="en-AU"/>
              </w:rPr>
              <w:t>TAS</w:t>
            </w:r>
          </w:p>
        </w:tc>
        <w:tc>
          <w:tcPr>
            <w:tcW w:w="753" w:type="dxa"/>
            <w:tcBorders>
              <w:top w:val="nil"/>
              <w:left w:val="nil"/>
              <w:bottom w:val="nil"/>
              <w:right w:val="nil"/>
            </w:tcBorders>
            <w:shd w:val="clear" w:color="000000" w:fill="006991"/>
            <w:noWrap/>
            <w:vAlign w:val="center"/>
            <w:hideMark/>
          </w:tcPr>
          <w:p w14:paraId="0A70C996" w14:textId="1FF8F30C" w:rsidR="001D0100" w:rsidRPr="001D0100" w:rsidRDefault="005C0AC9" w:rsidP="0097630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Pr>
                <w:rFonts w:ascii="Open Sans Semibold" w:eastAsia="Times New Roman" w:hAnsi="Open Sans Semibold" w:cs="Open Sans Semibold"/>
                <w:color w:val="FFFFFF"/>
                <w:sz w:val="16"/>
                <w:szCs w:val="16"/>
                <w:lang w:eastAsia="en-AU"/>
              </w:rPr>
              <w:t>NT</w:t>
            </w:r>
          </w:p>
        </w:tc>
        <w:tc>
          <w:tcPr>
            <w:tcW w:w="753" w:type="dxa"/>
            <w:tcBorders>
              <w:top w:val="nil"/>
              <w:left w:val="nil"/>
              <w:bottom w:val="nil"/>
              <w:right w:val="nil"/>
            </w:tcBorders>
            <w:shd w:val="clear" w:color="000000" w:fill="006991"/>
            <w:noWrap/>
            <w:vAlign w:val="center"/>
            <w:hideMark/>
          </w:tcPr>
          <w:p w14:paraId="23F23345" w14:textId="77777777" w:rsidR="001D0100" w:rsidRPr="001D0100" w:rsidRDefault="001D0100" w:rsidP="0097630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001D0100">
              <w:rPr>
                <w:rFonts w:ascii="Open Sans Semibold" w:eastAsia="Times New Roman" w:hAnsi="Open Sans Semibold" w:cs="Open Sans Semibold"/>
                <w:color w:val="FFFFFF"/>
                <w:sz w:val="16"/>
                <w:szCs w:val="16"/>
                <w:lang w:eastAsia="en-AU"/>
              </w:rPr>
              <w:t>Total</w:t>
            </w:r>
          </w:p>
        </w:tc>
        <w:tc>
          <w:tcPr>
            <w:tcW w:w="1302" w:type="dxa"/>
            <w:tcBorders>
              <w:top w:val="nil"/>
              <w:left w:val="nil"/>
              <w:bottom w:val="nil"/>
              <w:right w:val="nil"/>
            </w:tcBorders>
            <w:shd w:val="clear" w:color="000000" w:fill="006991"/>
            <w:noWrap/>
            <w:vAlign w:val="center"/>
            <w:hideMark/>
          </w:tcPr>
          <w:p w14:paraId="1DA5A540" w14:textId="777C8B46" w:rsidR="001D0100" w:rsidRPr="001D0100" w:rsidRDefault="0022253A" w:rsidP="00976301">
            <w:pPr>
              <w:tabs>
                <w:tab w:val="clear" w:pos="567"/>
              </w:tabs>
              <w:spacing w:before="0" w:line="240" w:lineRule="auto"/>
              <w:jc w:val="right"/>
              <w:rPr>
                <w:rFonts w:ascii="Open Sans Semibold" w:eastAsia="Times New Roman" w:hAnsi="Open Sans Semibold" w:cs="Open Sans Semibold"/>
                <w:color w:val="FFFFFF"/>
                <w:sz w:val="16"/>
                <w:szCs w:val="16"/>
                <w:lang w:eastAsia="en-AU"/>
              </w:rPr>
            </w:pPr>
            <w:r>
              <w:rPr>
                <w:rFonts w:ascii="Open Sans Semibold" w:eastAsia="Times New Roman" w:hAnsi="Open Sans Semibold" w:cs="Open Sans Semibold"/>
                <w:color w:val="FFFFFF"/>
                <w:sz w:val="16"/>
                <w:szCs w:val="16"/>
                <w:lang w:eastAsia="en-AU"/>
              </w:rPr>
              <w:t>Share of t</w:t>
            </w:r>
            <w:r w:rsidR="001D0100" w:rsidRPr="001D0100">
              <w:rPr>
                <w:rFonts w:ascii="Open Sans Semibold" w:eastAsia="Times New Roman" w:hAnsi="Open Sans Semibold" w:cs="Open Sans Semibold"/>
                <w:color w:val="FFFFFF"/>
                <w:sz w:val="16"/>
                <w:szCs w:val="16"/>
                <w:lang w:eastAsia="en-AU"/>
              </w:rPr>
              <w:t>otal</w:t>
            </w:r>
          </w:p>
        </w:tc>
      </w:tr>
      <w:tr w:rsidR="001D0100" w:rsidRPr="001D0100" w14:paraId="30BB24AE" w14:textId="77777777" w:rsidTr="007F4899">
        <w:trPr>
          <w:trHeight w:val="259"/>
        </w:trPr>
        <w:tc>
          <w:tcPr>
            <w:tcW w:w="1697" w:type="dxa"/>
            <w:tcBorders>
              <w:top w:val="nil"/>
              <w:left w:val="nil"/>
              <w:bottom w:val="nil"/>
              <w:right w:val="nil"/>
            </w:tcBorders>
            <w:shd w:val="clear" w:color="000000" w:fill="B6D5E4"/>
            <w:noWrap/>
            <w:vAlign w:val="center"/>
            <w:hideMark/>
          </w:tcPr>
          <w:p w14:paraId="71533B41" w14:textId="77777777"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 </w:t>
            </w:r>
          </w:p>
        </w:tc>
        <w:tc>
          <w:tcPr>
            <w:tcW w:w="713" w:type="dxa"/>
            <w:tcBorders>
              <w:top w:val="nil"/>
              <w:left w:val="nil"/>
              <w:bottom w:val="nil"/>
              <w:right w:val="nil"/>
            </w:tcBorders>
            <w:shd w:val="clear" w:color="000000" w:fill="B6D5E4"/>
            <w:noWrap/>
            <w:vAlign w:val="center"/>
            <w:hideMark/>
          </w:tcPr>
          <w:p w14:paraId="211510A5" w14:textId="77777777"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$m</w:t>
            </w:r>
          </w:p>
        </w:tc>
        <w:tc>
          <w:tcPr>
            <w:tcW w:w="729" w:type="dxa"/>
            <w:tcBorders>
              <w:top w:val="nil"/>
              <w:left w:val="nil"/>
              <w:bottom w:val="nil"/>
              <w:right w:val="nil"/>
            </w:tcBorders>
            <w:shd w:val="clear" w:color="000000" w:fill="B6D5E4"/>
            <w:noWrap/>
            <w:vAlign w:val="center"/>
            <w:hideMark/>
          </w:tcPr>
          <w:p w14:paraId="402C504D" w14:textId="77777777"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$m</w:t>
            </w:r>
          </w:p>
        </w:tc>
        <w:tc>
          <w:tcPr>
            <w:tcW w:w="753" w:type="dxa"/>
            <w:tcBorders>
              <w:top w:val="nil"/>
              <w:left w:val="nil"/>
              <w:bottom w:val="nil"/>
              <w:right w:val="nil"/>
            </w:tcBorders>
            <w:shd w:val="clear" w:color="000000" w:fill="B6D5E4"/>
            <w:noWrap/>
            <w:vAlign w:val="center"/>
            <w:hideMark/>
          </w:tcPr>
          <w:p w14:paraId="7F1162F3" w14:textId="77777777"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$m</w:t>
            </w:r>
          </w:p>
        </w:tc>
        <w:tc>
          <w:tcPr>
            <w:tcW w:w="753" w:type="dxa"/>
            <w:tcBorders>
              <w:top w:val="nil"/>
              <w:left w:val="nil"/>
              <w:bottom w:val="nil"/>
              <w:right w:val="nil"/>
            </w:tcBorders>
            <w:shd w:val="clear" w:color="000000" w:fill="B6D5E4"/>
            <w:noWrap/>
            <w:vAlign w:val="center"/>
            <w:hideMark/>
          </w:tcPr>
          <w:p w14:paraId="590E0155" w14:textId="77777777"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$m</w:t>
            </w:r>
          </w:p>
        </w:tc>
        <w:tc>
          <w:tcPr>
            <w:tcW w:w="753" w:type="dxa"/>
            <w:tcBorders>
              <w:top w:val="nil"/>
              <w:left w:val="nil"/>
              <w:bottom w:val="nil"/>
              <w:right w:val="nil"/>
            </w:tcBorders>
            <w:shd w:val="clear" w:color="000000" w:fill="B6D5E4"/>
            <w:noWrap/>
            <w:vAlign w:val="center"/>
            <w:hideMark/>
          </w:tcPr>
          <w:p w14:paraId="0955F9DE" w14:textId="77777777"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$m</w:t>
            </w:r>
          </w:p>
        </w:tc>
        <w:tc>
          <w:tcPr>
            <w:tcW w:w="753" w:type="dxa"/>
            <w:tcBorders>
              <w:top w:val="nil"/>
              <w:left w:val="nil"/>
              <w:bottom w:val="nil"/>
              <w:right w:val="nil"/>
            </w:tcBorders>
            <w:shd w:val="clear" w:color="000000" w:fill="B6D5E4"/>
            <w:noWrap/>
            <w:vAlign w:val="center"/>
            <w:hideMark/>
          </w:tcPr>
          <w:p w14:paraId="425F60E9" w14:textId="77777777"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$m</w:t>
            </w:r>
          </w:p>
        </w:tc>
        <w:tc>
          <w:tcPr>
            <w:tcW w:w="753" w:type="dxa"/>
            <w:tcBorders>
              <w:top w:val="nil"/>
              <w:left w:val="nil"/>
              <w:bottom w:val="nil"/>
              <w:right w:val="nil"/>
            </w:tcBorders>
            <w:shd w:val="clear" w:color="000000" w:fill="B6D5E4"/>
            <w:noWrap/>
            <w:vAlign w:val="center"/>
            <w:hideMark/>
          </w:tcPr>
          <w:p w14:paraId="6015AB60" w14:textId="77777777"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$m</w:t>
            </w:r>
          </w:p>
        </w:tc>
        <w:tc>
          <w:tcPr>
            <w:tcW w:w="753" w:type="dxa"/>
            <w:tcBorders>
              <w:top w:val="nil"/>
              <w:left w:val="nil"/>
              <w:bottom w:val="nil"/>
              <w:right w:val="nil"/>
            </w:tcBorders>
            <w:shd w:val="clear" w:color="000000" w:fill="B6D5E4"/>
            <w:noWrap/>
            <w:vAlign w:val="center"/>
            <w:hideMark/>
          </w:tcPr>
          <w:p w14:paraId="3A5C6ED2" w14:textId="77777777"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$m</w:t>
            </w:r>
          </w:p>
        </w:tc>
        <w:tc>
          <w:tcPr>
            <w:tcW w:w="1302" w:type="dxa"/>
            <w:tcBorders>
              <w:top w:val="nil"/>
              <w:left w:val="nil"/>
              <w:bottom w:val="nil"/>
              <w:right w:val="nil"/>
            </w:tcBorders>
            <w:shd w:val="clear" w:color="000000" w:fill="B6D5E4"/>
            <w:noWrap/>
            <w:vAlign w:val="center"/>
            <w:hideMark/>
          </w:tcPr>
          <w:p w14:paraId="07144C2E" w14:textId="57F8D778" w:rsidR="001D0100" w:rsidRPr="001D0100" w:rsidRDefault="00112527"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Pr>
                <w:rFonts w:ascii="Open Sans Semibold" w:eastAsia="Times New Roman" w:hAnsi="Open Sans Semibold" w:cs="Open Sans Semibold"/>
                <w:color w:val="000000"/>
                <w:sz w:val="16"/>
                <w:szCs w:val="16"/>
                <w:lang w:eastAsia="en-AU"/>
              </w:rPr>
              <w:t>%</w:t>
            </w:r>
            <w:r w:rsidR="001D0100" w:rsidRPr="001D0100">
              <w:rPr>
                <w:rFonts w:ascii="Open Sans Semibold" w:eastAsia="Times New Roman" w:hAnsi="Open Sans Semibold" w:cs="Open Sans Semibold"/>
                <w:color w:val="000000"/>
                <w:sz w:val="16"/>
                <w:szCs w:val="16"/>
                <w:lang w:eastAsia="en-AU"/>
              </w:rPr>
              <w:t> </w:t>
            </w:r>
          </w:p>
        </w:tc>
      </w:tr>
      <w:tr w:rsidR="001D0100" w:rsidRPr="001D0100" w14:paraId="2752CCBD" w14:textId="77777777" w:rsidTr="0098777C">
        <w:trPr>
          <w:trHeight w:val="315"/>
        </w:trPr>
        <w:tc>
          <w:tcPr>
            <w:tcW w:w="1697" w:type="dxa"/>
            <w:tcBorders>
              <w:top w:val="single" w:sz="8" w:space="0" w:color="ADD6EA"/>
              <w:left w:val="nil"/>
              <w:bottom w:val="single" w:sz="8" w:space="0" w:color="ADD6EA"/>
              <w:right w:val="nil"/>
            </w:tcBorders>
            <w:shd w:val="clear" w:color="000000" w:fill="FFFFFF"/>
            <w:vAlign w:val="bottom"/>
            <w:hideMark/>
          </w:tcPr>
          <w:p w14:paraId="167AE1E2" w14:textId="75A54DC2" w:rsidR="001D0100" w:rsidRPr="001D0100" w:rsidRDefault="001D0100" w:rsidP="001D0100">
            <w:pPr>
              <w:tabs>
                <w:tab w:val="clear" w:pos="567"/>
              </w:tabs>
              <w:spacing w:before="0" w:line="240" w:lineRule="auto"/>
              <w:rPr>
                <w:rFonts w:eastAsia="Times New Roman" w:cs="Open Sans Light"/>
                <w:color w:val="000000"/>
                <w:sz w:val="16"/>
                <w:szCs w:val="16"/>
                <w:lang w:eastAsia="en-AU"/>
              </w:rPr>
            </w:pPr>
            <w:r w:rsidRPr="001D0100">
              <w:rPr>
                <w:rFonts w:eastAsia="Times New Roman" w:cs="Open Sans Light"/>
                <w:color w:val="000000"/>
                <w:sz w:val="16"/>
                <w:szCs w:val="16"/>
                <w:lang w:eastAsia="en-AU"/>
              </w:rPr>
              <w:t xml:space="preserve">Passenger </w:t>
            </w:r>
            <w:r w:rsidR="00DC63A1">
              <w:rPr>
                <w:rFonts w:eastAsia="Times New Roman" w:cs="Open Sans Light"/>
                <w:color w:val="000000"/>
                <w:sz w:val="16"/>
                <w:szCs w:val="16"/>
                <w:lang w:eastAsia="en-AU"/>
              </w:rPr>
              <w:t>r</w:t>
            </w:r>
            <w:r w:rsidRPr="001D0100">
              <w:rPr>
                <w:rFonts w:eastAsia="Times New Roman" w:cs="Open Sans Light"/>
                <w:color w:val="000000"/>
                <w:sz w:val="16"/>
                <w:szCs w:val="16"/>
                <w:lang w:eastAsia="en-AU"/>
              </w:rPr>
              <w:t>ail</w:t>
            </w:r>
          </w:p>
        </w:tc>
        <w:tc>
          <w:tcPr>
            <w:tcW w:w="713" w:type="dxa"/>
            <w:tcBorders>
              <w:top w:val="single" w:sz="8" w:space="0" w:color="ADD6EA"/>
              <w:left w:val="nil"/>
              <w:bottom w:val="single" w:sz="8" w:space="0" w:color="ADD6EA"/>
              <w:right w:val="nil"/>
            </w:tcBorders>
            <w:shd w:val="clear" w:color="000000" w:fill="FFFFFF"/>
            <w:vAlign w:val="bottom"/>
          </w:tcPr>
          <w:p w14:paraId="03385733" w14:textId="3683B4A1" w:rsidR="001D0100" w:rsidRPr="001D0100" w:rsidRDefault="00A8689A"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135</w:t>
            </w:r>
          </w:p>
        </w:tc>
        <w:tc>
          <w:tcPr>
            <w:tcW w:w="729" w:type="dxa"/>
            <w:tcBorders>
              <w:top w:val="single" w:sz="8" w:space="0" w:color="ADD6EA"/>
              <w:left w:val="nil"/>
              <w:bottom w:val="single" w:sz="8" w:space="0" w:color="ADD6EA"/>
              <w:right w:val="nil"/>
            </w:tcBorders>
            <w:shd w:val="clear" w:color="000000" w:fill="FFFFFF"/>
            <w:vAlign w:val="bottom"/>
          </w:tcPr>
          <w:p w14:paraId="2375E691" w14:textId="28816FA2" w:rsidR="001D0100" w:rsidRPr="001D0100" w:rsidRDefault="00BA72D4"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854</w:t>
            </w:r>
          </w:p>
        </w:tc>
        <w:tc>
          <w:tcPr>
            <w:tcW w:w="753" w:type="dxa"/>
            <w:tcBorders>
              <w:top w:val="single" w:sz="8" w:space="0" w:color="ADD6EA"/>
              <w:left w:val="nil"/>
              <w:bottom w:val="single" w:sz="8" w:space="0" w:color="ADD6EA"/>
              <w:right w:val="nil"/>
            </w:tcBorders>
            <w:shd w:val="clear" w:color="000000" w:fill="FFFFFF"/>
            <w:vAlign w:val="bottom"/>
          </w:tcPr>
          <w:p w14:paraId="7D1B1481" w14:textId="3FCE7E19" w:rsidR="001D0100" w:rsidRPr="001D0100" w:rsidRDefault="00BA72D4"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447</w:t>
            </w:r>
          </w:p>
        </w:tc>
        <w:tc>
          <w:tcPr>
            <w:tcW w:w="753" w:type="dxa"/>
            <w:tcBorders>
              <w:top w:val="single" w:sz="8" w:space="0" w:color="ADD6EA"/>
              <w:left w:val="nil"/>
              <w:bottom w:val="single" w:sz="8" w:space="0" w:color="ADD6EA"/>
              <w:right w:val="nil"/>
            </w:tcBorders>
            <w:shd w:val="clear" w:color="000000" w:fill="FFFFFF"/>
            <w:vAlign w:val="bottom"/>
          </w:tcPr>
          <w:p w14:paraId="12EE82D1" w14:textId="4FD07641" w:rsidR="001D0100" w:rsidRPr="001D0100" w:rsidRDefault="00976301"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16</w:t>
            </w:r>
          </w:p>
        </w:tc>
        <w:tc>
          <w:tcPr>
            <w:tcW w:w="753" w:type="dxa"/>
            <w:tcBorders>
              <w:top w:val="single" w:sz="8" w:space="0" w:color="ADD6EA"/>
              <w:left w:val="nil"/>
              <w:bottom w:val="single" w:sz="8" w:space="0" w:color="ADD6EA"/>
              <w:right w:val="nil"/>
            </w:tcBorders>
            <w:shd w:val="clear" w:color="000000" w:fill="FFFFFF"/>
            <w:vAlign w:val="bottom"/>
          </w:tcPr>
          <w:p w14:paraId="631D3968" w14:textId="4CA2B7E5" w:rsidR="001D0100" w:rsidRPr="001D0100" w:rsidRDefault="001D0100" w:rsidP="001D0100">
            <w:pPr>
              <w:tabs>
                <w:tab w:val="clear" w:pos="567"/>
              </w:tabs>
              <w:spacing w:before="0" w:line="240" w:lineRule="auto"/>
              <w:jc w:val="right"/>
              <w:rPr>
                <w:rFonts w:eastAsia="Times New Roman" w:cs="Open Sans Light"/>
                <w:color w:val="000000"/>
                <w:sz w:val="16"/>
                <w:szCs w:val="16"/>
                <w:lang w:eastAsia="en-AU"/>
              </w:rPr>
            </w:pPr>
            <w:r w:rsidRPr="001D0100">
              <w:rPr>
                <w:rFonts w:eastAsia="Times New Roman" w:cs="Open Sans Light"/>
                <w:color w:val="000000"/>
                <w:sz w:val="16"/>
                <w:szCs w:val="16"/>
                <w:lang w:eastAsia="en-AU"/>
              </w:rPr>
              <w:t>0</w:t>
            </w:r>
          </w:p>
        </w:tc>
        <w:tc>
          <w:tcPr>
            <w:tcW w:w="753" w:type="dxa"/>
            <w:tcBorders>
              <w:top w:val="single" w:sz="8" w:space="0" w:color="ADD6EA"/>
              <w:left w:val="nil"/>
              <w:bottom w:val="single" w:sz="8" w:space="0" w:color="ADD6EA"/>
              <w:right w:val="nil"/>
            </w:tcBorders>
            <w:shd w:val="clear" w:color="000000" w:fill="FFFFFF"/>
            <w:vAlign w:val="bottom"/>
          </w:tcPr>
          <w:p w14:paraId="73302E6F" w14:textId="0CB4FB4B" w:rsidR="001D0100" w:rsidRPr="001D0100" w:rsidRDefault="005A305D"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0</w:t>
            </w:r>
          </w:p>
        </w:tc>
        <w:tc>
          <w:tcPr>
            <w:tcW w:w="753" w:type="dxa"/>
            <w:tcBorders>
              <w:top w:val="single" w:sz="8" w:space="0" w:color="ADD6EA"/>
              <w:left w:val="nil"/>
              <w:bottom w:val="single" w:sz="8" w:space="0" w:color="ADD6EA"/>
              <w:right w:val="nil"/>
            </w:tcBorders>
            <w:shd w:val="clear" w:color="000000" w:fill="FFFFFF"/>
            <w:vAlign w:val="bottom"/>
          </w:tcPr>
          <w:p w14:paraId="1A72487F" w14:textId="4C48466A" w:rsidR="001D0100" w:rsidRPr="001D0100" w:rsidRDefault="001D0100" w:rsidP="001D0100">
            <w:pPr>
              <w:tabs>
                <w:tab w:val="clear" w:pos="567"/>
              </w:tabs>
              <w:spacing w:before="0" w:line="240" w:lineRule="auto"/>
              <w:jc w:val="right"/>
              <w:rPr>
                <w:rFonts w:eastAsia="Times New Roman" w:cs="Open Sans Light"/>
                <w:color w:val="000000"/>
                <w:sz w:val="16"/>
                <w:szCs w:val="16"/>
                <w:lang w:eastAsia="en-AU"/>
              </w:rPr>
            </w:pPr>
            <w:r w:rsidRPr="001D0100">
              <w:rPr>
                <w:rFonts w:eastAsia="Times New Roman" w:cs="Open Sans Light"/>
                <w:color w:val="000000"/>
                <w:sz w:val="16"/>
                <w:szCs w:val="16"/>
                <w:lang w:eastAsia="en-AU"/>
              </w:rPr>
              <w:t>0</w:t>
            </w:r>
          </w:p>
        </w:tc>
        <w:tc>
          <w:tcPr>
            <w:tcW w:w="753" w:type="dxa"/>
            <w:tcBorders>
              <w:top w:val="single" w:sz="8" w:space="0" w:color="ADD6EA"/>
              <w:left w:val="nil"/>
              <w:bottom w:val="single" w:sz="8" w:space="0" w:color="ADD6EA"/>
              <w:right w:val="nil"/>
            </w:tcBorders>
            <w:shd w:val="clear" w:color="000000" w:fill="FFFFFF"/>
            <w:vAlign w:val="bottom"/>
          </w:tcPr>
          <w:p w14:paraId="2D53E078" w14:textId="604AE2E1" w:rsidR="001D0100" w:rsidRPr="001D0100" w:rsidRDefault="001D0100" w:rsidP="001D0100">
            <w:pPr>
              <w:tabs>
                <w:tab w:val="clear" w:pos="567"/>
              </w:tabs>
              <w:spacing w:before="0" w:line="240" w:lineRule="auto"/>
              <w:jc w:val="right"/>
              <w:rPr>
                <w:rFonts w:eastAsia="Times New Roman" w:cs="Open Sans Light"/>
                <w:color w:val="000000"/>
                <w:sz w:val="16"/>
                <w:szCs w:val="16"/>
                <w:lang w:eastAsia="en-AU"/>
              </w:rPr>
            </w:pPr>
            <w:r w:rsidRPr="001D0100">
              <w:rPr>
                <w:rFonts w:eastAsia="Times New Roman" w:cs="Open Sans Light"/>
                <w:color w:val="000000"/>
                <w:sz w:val="16"/>
                <w:szCs w:val="16"/>
                <w:lang w:eastAsia="en-AU"/>
              </w:rPr>
              <w:t>1,</w:t>
            </w:r>
            <w:r w:rsidR="006F7BF7">
              <w:rPr>
                <w:rFonts w:eastAsia="Times New Roman" w:cs="Open Sans Light"/>
                <w:color w:val="000000"/>
                <w:sz w:val="16"/>
                <w:szCs w:val="16"/>
                <w:lang w:eastAsia="en-AU"/>
              </w:rPr>
              <w:t>415</w:t>
            </w:r>
          </w:p>
        </w:tc>
        <w:tc>
          <w:tcPr>
            <w:tcW w:w="1302" w:type="dxa"/>
            <w:tcBorders>
              <w:top w:val="single" w:sz="8" w:space="0" w:color="ADD6EA"/>
              <w:left w:val="nil"/>
              <w:bottom w:val="single" w:sz="8" w:space="0" w:color="ADD6EA"/>
              <w:right w:val="nil"/>
            </w:tcBorders>
            <w:shd w:val="clear" w:color="000000" w:fill="FFFFFF"/>
            <w:vAlign w:val="bottom"/>
          </w:tcPr>
          <w:p w14:paraId="05D71524" w14:textId="564889C5" w:rsidR="001D0100" w:rsidRPr="001D0100" w:rsidRDefault="006F7BF7"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81</w:t>
            </w:r>
          </w:p>
        </w:tc>
      </w:tr>
      <w:tr w:rsidR="001D0100" w:rsidRPr="001D0100" w14:paraId="2DB625E9" w14:textId="77777777" w:rsidTr="0098777C">
        <w:trPr>
          <w:trHeight w:val="315"/>
        </w:trPr>
        <w:tc>
          <w:tcPr>
            <w:tcW w:w="1697" w:type="dxa"/>
            <w:tcBorders>
              <w:top w:val="nil"/>
              <w:left w:val="nil"/>
              <w:bottom w:val="nil"/>
              <w:right w:val="nil"/>
            </w:tcBorders>
            <w:shd w:val="clear" w:color="000000" w:fill="FFFFFF"/>
            <w:vAlign w:val="bottom"/>
            <w:hideMark/>
          </w:tcPr>
          <w:p w14:paraId="2E852D27" w14:textId="6F1ECCD7" w:rsidR="001D0100" w:rsidRPr="001D0100" w:rsidRDefault="00DC63A1" w:rsidP="001D0100">
            <w:pPr>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Bus</w:t>
            </w:r>
            <w:r w:rsidR="00B12808">
              <w:rPr>
                <w:rFonts w:eastAsia="Times New Roman" w:cs="Open Sans Light"/>
                <w:color w:val="000000"/>
                <w:sz w:val="16"/>
                <w:szCs w:val="16"/>
                <w:lang w:eastAsia="en-AU"/>
              </w:rPr>
              <w:t xml:space="preserve"> </w:t>
            </w:r>
          </w:p>
        </w:tc>
        <w:tc>
          <w:tcPr>
            <w:tcW w:w="713" w:type="dxa"/>
            <w:tcBorders>
              <w:top w:val="nil"/>
              <w:left w:val="nil"/>
              <w:bottom w:val="nil"/>
              <w:right w:val="nil"/>
            </w:tcBorders>
            <w:shd w:val="clear" w:color="000000" w:fill="FFFFFF"/>
            <w:vAlign w:val="bottom"/>
          </w:tcPr>
          <w:p w14:paraId="4621F760" w14:textId="75B56777" w:rsidR="001D0100" w:rsidRPr="001D0100" w:rsidRDefault="00A8689A"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0</w:t>
            </w:r>
          </w:p>
        </w:tc>
        <w:tc>
          <w:tcPr>
            <w:tcW w:w="729" w:type="dxa"/>
            <w:tcBorders>
              <w:top w:val="nil"/>
              <w:left w:val="nil"/>
              <w:bottom w:val="nil"/>
              <w:right w:val="nil"/>
            </w:tcBorders>
            <w:shd w:val="clear" w:color="000000" w:fill="FFFFFF"/>
            <w:vAlign w:val="bottom"/>
          </w:tcPr>
          <w:p w14:paraId="201BFF49" w14:textId="08A46D07" w:rsidR="001D0100" w:rsidRPr="001D0100" w:rsidRDefault="001D0100" w:rsidP="001D0100">
            <w:pPr>
              <w:tabs>
                <w:tab w:val="clear" w:pos="567"/>
              </w:tabs>
              <w:spacing w:before="0" w:line="240" w:lineRule="auto"/>
              <w:jc w:val="right"/>
              <w:rPr>
                <w:rFonts w:eastAsia="Times New Roman" w:cs="Open Sans Light"/>
                <w:color w:val="000000"/>
                <w:sz w:val="16"/>
                <w:szCs w:val="16"/>
                <w:lang w:eastAsia="en-AU"/>
              </w:rPr>
            </w:pPr>
            <w:r w:rsidRPr="001D0100">
              <w:rPr>
                <w:rFonts w:eastAsia="Times New Roman" w:cs="Open Sans Light"/>
                <w:color w:val="000000"/>
                <w:sz w:val="16"/>
                <w:szCs w:val="16"/>
                <w:lang w:eastAsia="en-AU"/>
              </w:rPr>
              <w:t>0</w:t>
            </w:r>
          </w:p>
        </w:tc>
        <w:tc>
          <w:tcPr>
            <w:tcW w:w="753" w:type="dxa"/>
            <w:tcBorders>
              <w:top w:val="nil"/>
              <w:left w:val="nil"/>
              <w:bottom w:val="nil"/>
              <w:right w:val="nil"/>
            </w:tcBorders>
            <w:shd w:val="clear" w:color="000000" w:fill="FFFFFF"/>
            <w:vAlign w:val="bottom"/>
          </w:tcPr>
          <w:p w14:paraId="6D1D4C17" w14:textId="769AA222" w:rsidR="001D0100" w:rsidRPr="001D0100" w:rsidRDefault="00BA72D4"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93</w:t>
            </w:r>
          </w:p>
        </w:tc>
        <w:tc>
          <w:tcPr>
            <w:tcW w:w="753" w:type="dxa"/>
            <w:tcBorders>
              <w:top w:val="nil"/>
              <w:left w:val="nil"/>
              <w:bottom w:val="nil"/>
              <w:right w:val="nil"/>
            </w:tcBorders>
            <w:shd w:val="clear" w:color="000000" w:fill="FFFFFF"/>
            <w:vAlign w:val="bottom"/>
          </w:tcPr>
          <w:p w14:paraId="17FCED84" w14:textId="6AB27BDA" w:rsidR="001D0100" w:rsidRPr="001D0100" w:rsidRDefault="00976301"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33</w:t>
            </w:r>
          </w:p>
        </w:tc>
        <w:tc>
          <w:tcPr>
            <w:tcW w:w="753" w:type="dxa"/>
            <w:tcBorders>
              <w:top w:val="nil"/>
              <w:left w:val="nil"/>
              <w:bottom w:val="nil"/>
              <w:right w:val="nil"/>
            </w:tcBorders>
            <w:shd w:val="clear" w:color="000000" w:fill="FFFFFF"/>
            <w:vAlign w:val="bottom"/>
          </w:tcPr>
          <w:p w14:paraId="5D30AECD" w14:textId="67A26DF8" w:rsidR="001D0100" w:rsidRPr="001D0100" w:rsidRDefault="005C0AC9"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7</w:t>
            </w:r>
          </w:p>
        </w:tc>
        <w:tc>
          <w:tcPr>
            <w:tcW w:w="753" w:type="dxa"/>
            <w:tcBorders>
              <w:top w:val="nil"/>
              <w:left w:val="nil"/>
              <w:bottom w:val="nil"/>
              <w:right w:val="nil"/>
            </w:tcBorders>
            <w:shd w:val="clear" w:color="000000" w:fill="FFFFFF"/>
            <w:vAlign w:val="bottom"/>
          </w:tcPr>
          <w:p w14:paraId="2FAEE41D" w14:textId="16191755" w:rsidR="001D0100" w:rsidRPr="001D0100" w:rsidRDefault="005A305D"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0</w:t>
            </w:r>
          </w:p>
        </w:tc>
        <w:tc>
          <w:tcPr>
            <w:tcW w:w="753" w:type="dxa"/>
            <w:tcBorders>
              <w:top w:val="nil"/>
              <w:left w:val="nil"/>
              <w:bottom w:val="nil"/>
              <w:right w:val="nil"/>
            </w:tcBorders>
            <w:shd w:val="clear" w:color="000000" w:fill="FFFFFF"/>
            <w:vAlign w:val="bottom"/>
          </w:tcPr>
          <w:p w14:paraId="6371E6C1" w14:textId="0BC234C4" w:rsidR="001D0100" w:rsidRPr="001D0100" w:rsidRDefault="005A305D"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0</w:t>
            </w:r>
          </w:p>
        </w:tc>
        <w:tc>
          <w:tcPr>
            <w:tcW w:w="753" w:type="dxa"/>
            <w:tcBorders>
              <w:top w:val="nil"/>
              <w:left w:val="nil"/>
              <w:bottom w:val="single" w:sz="8" w:space="0" w:color="ADD6EA"/>
              <w:right w:val="nil"/>
            </w:tcBorders>
            <w:shd w:val="clear" w:color="000000" w:fill="FFFFFF"/>
            <w:vAlign w:val="bottom"/>
          </w:tcPr>
          <w:p w14:paraId="23AE5920" w14:textId="55D1CDE4" w:rsidR="001D0100" w:rsidRPr="001D0100" w:rsidRDefault="006F7BF7"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143</w:t>
            </w:r>
          </w:p>
        </w:tc>
        <w:tc>
          <w:tcPr>
            <w:tcW w:w="1302" w:type="dxa"/>
            <w:tcBorders>
              <w:top w:val="nil"/>
              <w:left w:val="nil"/>
              <w:bottom w:val="single" w:sz="8" w:space="0" w:color="ADD6EA"/>
              <w:right w:val="nil"/>
            </w:tcBorders>
            <w:shd w:val="clear" w:color="000000" w:fill="FFFFFF"/>
            <w:vAlign w:val="bottom"/>
          </w:tcPr>
          <w:p w14:paraId="729DE063" w14:textId="006EF53B" w:rsidR="001D0100" w:rsidRPr="001D0100" w:rsidRDefault="00112527"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8</w:t>
            </w:r>
          </w:p>
        </w:tc>
      </w:tr>
      <w:tr w:rsidR="001D0100" w:rsidRPr="001D0100" w14:paraId="1FEFACBC" w14:textId="77777777" w:rsidTr="0098777C">
        <w:trPr>
          <w:trHeight w:val="315"/>
        </w:trPr>
        <w:tc>
          <w:tcPr>
            <w:tcW w:w="1697" w:type="dxa"/>
            <w:tcBorders>
              <w:top w:val="single" w:sz="8" w:space="0" w:color="ADD6EA"/>
              <w:left w:val="nil"/>
              <w:bottom w:val="single" w:sz="8" w:space="0" w:color="ADD6EA"/>
              <w:right w:val="nil"/>
            </w:tcBorders>
            <w:shd w:val="clear" w:color="000000" w:fill="FFFFFF"/>
            <w:vAlign w:val="bottom"/>
            <w:hideMark/>
          </w:tcPr>
          <w:p w14:paraId="3FD91D82" w14:textId="56EDEF11" w:rsidR="001D0100" w:rsidRPr="001D0100" w:rsidRDefault="00DC63A1" w:rsidP="001D0100">
            <w:pPr>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Freight rail</w:t>
            </w:r>
          </w:p>
        </w:tc>
        <w:tc>
          <w:tcPr>
            <w:tcW w:w="713" w:type="dxa"/>
            <w:tcBorders>
              <w:top w:val="single" w:sz="8" w:space="0" w:color="ADD6EA"/>
              <w:left w:val="nil"/>
              <w:bottom w:val="single" w:sz="8" w:space="0" w:color="ADD6EA"/>
              <w:right w:val="nil"/>
            </w:tcBorders>
            <w:shd w:val="clear" w:color="000000" w:fill="FFFFFF"/>
            <w:vAlign w:val="bottom"/>
          </w:tcPr>
          <w:p w14:paraId="074DD11B" w14:textId="4B4F3E69" w:rsidR="001D0100" w:rsidRPr="001D0100" w:rsidRDefault="00A8689A"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6</w:t>
            </w:r>
          </w:p>
        </w:tc>
        <w:tc>
          <w:tcPr>
            <w:tcW w:w="729" w:type="dxa"/>
            <w:tcBorders>
              <w:top w:val="single" w:sz="8" w:space="0" w:color="ADD6EA"/>
              <w:left w:val="nil"/>
              <w:bottom w:val="single" w:sz="8" w:space="0" w:color="ADD6EA"/>
              <w:right w:val="nil"/>
            </w:tcBorders>
            <w:shd w:val="clear" w:color="000000" w:fill="FFFFFF"/>
            <w:vAlign w:val="bottom"/>
          </w:tcPr>
          <w:p w14:paraId="4F5BBA38" w14:textId="26F74A7C" w:rsidR="001D0100" w:rsidRPr="001D0100" w:rsidRDefault="001D0100" w:rsidP="001D0100">
            <w:pPr>
              <w:tabs>
                <w:tab w:val="clear" w:pos="567"/>
              </w:tabs>
              <w:spacing w:before="0" w:line="240" w:lineRule="auto"/>
              <w:jc w:val="right"/>
              <w:rPr>
                <w:rFonts w:eastAsia="Times New Roman" w:cs="Open Sans Light"/>
                <w:color w:val="000000"/>
                <w:sz w:val="16"/>
                <w:szCs w:val="16"/>
                <w:lang w:eastAsia="en-AU"/>
              </w:rPr>
            </w:pPr>
            <w:r w:rsidRPr="001D0100">
              <w:rPr>
                <w:rFonts w:eastAsia="Times New Roman" w:cs="Open Sans Light"/>
                <w:color w:val="000000"/>
                <w:sz w:val="16"/>
                <w:szCs w:val="16"/>
                <w:lang w:eastAsia="en-AU"/>
              </w:rPr>
              <w:t>0</w:t>
            </w:r>
          </w:p>
        </w:tc>
        <w:tc>
          <w:tcPr>
            <w:tcW w:w="753" w:type="dxa"/>
            <w:tcBorders>
              <w:top w:val="single" w:sz="8" w:space="0" w:color="ADD6EA"/>
              <w:left w:val="nil"/>
              <w:bottom w:val="single" w:sz="8" w:space="0" w:color="ADD6EA"/>
              <w:right w:val="nil"/>
            </w:tcBorders>
            <w:shd w:val="clear" w:color="000000" w:fill="FFFFFF"/>
            <w:vAlign w:val="bottom"/>
          </w:tcPr>
          <w:p w14:paraId="0D03E624" w14:textId="4731045E" w:rsidR="001D0100" w:rsidRPr="001D0100" w:rsidRDefault="00BA72D4"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74</w:t>
            </w:r>
          </w:p>
        </w:tc>
        <w:tc>
          <w:tcPr>
            <w:tcW w:w="753" w:type="dxa"/>
            <w:tcBorders>
              <w:top w:val="single" w:sz="8" w:space="0" w:color="ADD6EA"/>
              <w:left w:val="nil"/>
              <w:bottom w:val="single" w:sz="8" w:space="0" w:color="ADD6EA"/>
              <w:right w:val="nil"/>
            </w:tcBorders>
            <w:shd w:val="clear" w:color="000000" w:fill="FFFFFF"/>
            <w:vAlign w:val="bottom"/>
          </w:tcPr>
          <w:p w14:paraId="69A0A6DA" w14:textId="0DBF9E01" w:rsidR="001D0100" w:rsidRPr="001D0100" w:rsidRDefault="00976301"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13</w:t>
            </w:r>
          </w:p>
        </w:tc>
        <w:tc>
          <w:tcPr>
            <w:tcW w:w="753" w:type="dxa"/>
            <w:tcBorders>
              <w:top w:val="single" w:sz="8" w:space="0" w:color="ADD6EA"/>
              <w:left w:val="nil"/>
              <w:bottom w:val="single" w:sz="8" w:space="0" w:color="ADD6EA"/>
              <w:right w:val="nil"/>
            </w:tcBorders>
            <w:shd w:val="clear" w:color="000000" w:fill="FFFFFF"/>
            <w:vAlign w:val="bottom"/>
          </w:tcPr>
          <w:p w14:paraId="532DE6BD" w14:textId="073292F4" w:rsidR="001D0100" w:rsidRPr="001D0100" w:rsidRDefault="005C0AC9"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0</w:t>
            </w:r>
          </w:p>
        </w:tc>
        <w:tc>
          <w:tcPr>
            <w:tcW w:w="753" w:type="dxa"/>
            <w:tcBorders>
              <w:top w:val="single" w:sz="8" w:space="0" w:color="ADD6EA"/>
              <w:left w:val="nil"/>
              <w:bottom w:val="single" w:sz="8" w:space="0" w:color="ADD6EA"/>
              <w:right w:val="nil"/>
            </w:tcBorders>
            <w:shd w:val="clear" w:color="000000" w:fill="FFFFFF"/>
            <w:vAlign w:val="bottom"/>
          </w:tcPr>
          <w:p w14:paraId="22F9CFEE" w14:textId="4532B660" w:rsidR="001D0100" w:rsidRPr="001D0100" w:rsidRDefault="005A305D"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11</w:t>
            </w:r>
          </w:p>
        </w:tc>
        <w:tc>
          <w:tcPr>
            <w:tcW w:w="753" w:type="dxa"/>
            <w:tcBorders>
              <w:top w:val="single" w:sz="8" w:space="0" w:color="ADD6EA"/>
              <w:left w:val="nil"/>
              <w:bottom w:val="single" w:sz="8" w:space="0" w:color="ADD6EA"/>
              <w:right w:val="nil"/>
            </w:tcBorders>
            <w:shd w:val="clear" w:color="000000" w:fill="FFFFFF"/>
            <w:vAlign w:val="bottom"/>
          </w:tcPr>
          <w:p w14:paraId="64AAAD2F" w14:textId="346EF807" w:rsidR="001D0100" w:rsidRPr="001D0100" w:rsidRDefault="001D0100" w:rsidP="001D0100">
            <w:pPr>
              <w:tabs>
                <w:tab w:val="clear" w:pos="567"/>
              </w:tabs>
              <w:spacing w:before="0" w:line="240" w:lineRule="auto"/>
              <w:jc w:val="right"/>
              <w:rPr>
                <w:rFonts w:eastAsia="Times New Roman" w:cs="Open Sans Light"/>
                <w:color w:val="000000"/>
                <w:sz w:val="16"/>
                <w:szCs w:val="16"/>
                <w:lang w:eastAsia="en-AU"/>
              </w:rPr>
            </w:pPr>
            <w:r w:rsidRPr="001D0100">
              <w:rPr>
                <w:rFonts w:eastAsia="Times New Roman" w:cs="Open Sans Light"/>
                <w:color w:val="000000"/>
                <w:sz w:val="16"/>
                <w:szCs w:val="16"/>
                <w:lang w:eastAsia="en-AU"/>
              </w:rPr>
              <w:t>0</w:t>
            </w:r>
          </w:p>
        </w:tc>
        <w:tc>
          <w:tcPr>
            <w:tcW w:w="753" w:type="dxa"/>
            <w:tcBorders>
              <w:top w:val="nil"/>
              <w:left w:val="nil"/>
              <w:bottom w:val="single" w:sz="8" w:space="0" w:color="ADD6EA"/>
              <w:right w:val="nil"/>
            </w:tcBorders>
            <w:shd w:val="clear" w:color="000000" w:fill="FFFFFF"/>
            <w:vAlign w:val="bottom"/>
          </w:tcPr>
          <w:p w14:paraId="02C2C81C" w14:textId="0CF6D8E7" w:rsidR="001D0100" w:rsidRPr="001D0100" w:rsidRDefault="006F7BF7"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109</w:t>
            </w:r>
          </w:p>
        </w:tc>
        <w:tc>
          <w:tcPr>
            <w:tcW w:w="1302" w:type="dxa"/>
            <w:tcBorders>
              <w:top w:val="nil"/>
              <w:left w:val="nil"/>
              <w:bottom w:val="single" w:sz="8" w:space="0" w:color="ADD6EA"/>
              <w:right w:val="nil"/>
            </w:tcBorders>
            <w:shd w:val="clear" w:color="000000" w:fill="FFFFFF"/>
            <w:vAlign w:val="bottom"/>
          </w:tcPr>
          <w:p w14:paraId="05837A18" w14:textId="3BC29BB8" w:rsidR="001D0100" w:rsidRPr="001D0100" w:rsidRDefault="00112527"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6</w:t>
            </w:r>
          </w:p>
        </w:tc>
      </w:tr>
      <w:tr w:rsidR="001D0100" w:rsidRPr="001D0100" w14:paraId="14FAA459" w14:textId="77777777" w:rsidTr="0098777C">
        <w:trPr>
          <w:trHeight w:val="315"/>
        </w:trPr>
        <w:tc>
          <w:tcPr>
            <w:tcW w:w="1697" w:type="dxa"/>
            <w:tcBorders>
              <w:top w:val="nil"/>
              <w:left w:val="nil"/>
              <w:bottom w:val="nil"/>
              <w:right w:val="nil"/>
            </w:tcBorders>
            <w:shd w:val="clear" w:color="000000" w:fill="FFFFFF"/>
            <w:vAlign w:val="bottom"/>
            <w:hideMark/>
          </w:tcPr>
          <w:p w14:paraId="48C273BD" w14:textId="3A76C445" w:rsidR="001D0100" w:rsidRPr="001D0100" w:rsidRDefault="00DC63A1" w:rsidP="001D0100">
            <w:pPr>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Water transport</w:t>
            </w:r>
            <w:r w:rsidR="00527B3B">
              <w:rPr>
                <w:rFonts w:eastAsia="Times New Roman" w:cs="Open Sans Light"/>
                <w:color w:val="000000"/>
                <w:sz w:val="16"/>
                <w:szCs w:val="16"/>
                <w:lang w:eastAsia="en-AU"/>
              </w:rPr>
              <w:t xml:space="preserve"> (b)</w:t>
            </w:r>
          </w:p>
        </w:tc>
        <w:tc>
          <w:tcPr>
            <w:tcW w:w="713" w:type="dxa"/>
            <w:tcBorders>
              <w:top w:val="nil"/>
              <w:left w:val="nil"/>
              <w:bottom w:val="nil"/>
              <w:right w:val="nil"/>
            </w:tcBorders>
            <w:shd w:val="clear" w:color="000000" w:fill="FFFFFF"/>
            <w:vAlign w:val="bottom"/>
          </w:tcPr>
          <w:p w14:paraId="66DF073E" w14:textId="6BA461DA" w:rsidR="001D0100" w:rsidRPr="001D0100" w:rsidRDefault="00121250"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w:t>
            </w:r>
          </w:p>
        </w:tc>
        <w:tc>
          <w:tcPr>
            <w:tcW w:w="729" w:type="dxa"/>
            <w:tcBorders>
              <w:top w:val="nil"/>
              <w:left w:val="nil"/>
              <w:bottom w:val="nil"/>
              <w:right w:val="nil"/>
            </w:tcBorders>
            <w:shd w:val="clear" w:color="000000" w:fill="FFFFFF"/>
            <w:vAlign w:val="bottom"/>
          </w:tcPr>
          <w:p w14:paraId="1525B523" w14:textId="7D20E402" w:rsidR="001D0100" w:rsidRPr="001D0100" w:rsidRDefault="00BA72D4"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25</w:t>
            </w:r>
          </w:p>
        </w:tc>
        <w:tc>
          <w:tcPr>
            <w:tcW w:w="753" w:type="dxa"/>
            <w:tcBorders>
              <w:top w:val="nil"/>
              <w:left w:val="nil"/>
              <w:bottom w:val="nil"/>
              <w:right w:val="nil"/>
            </w:tcBorders>
            <w:shd w:val="clear" w:color="000000" w:fill="FFFFFF"/>
            <w:vAlign w:val="bottom"/>
          </w:tcPr>
          <w:p w14:paraId="62A2AA7F" w14:textId="71210BE0" w:rsidR="001D0100" w:rsidRPr="001D0100" w:rsidRDefault="00BA72D4"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-47</w:t>
            </w:r>
          </w:p>
        </w:tc>
        <w:tc>
          <w:tcPr>
            <w:tcW w:w="753" w:type="dxa"/>
            <w:tcBorders>
              <w:top w:val="nil"/>
              <w:left w:val="nil"/>
              <w:bottom w:val="nil"/>
              <w:right w:val="nil"/>
            </w:tcBorders>
            <w:shd w:val="clear" w:color="000000" w:fill="FFFFFF"/>
            <w:vAlign w:val="bottom"/>
          </w:tcPr>
          <w:p w14:paraId="1573BF7A" w14:textId="7BAB5256" w:rsidR="001D0100" w:rsidRPr="001D0100" w:rsidRDefault="00976301"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49</w:t>
            </w:r>
          </w:p>
        </w:tc>
        <w:tc>
          <w:tcPr>
            <w:tcW w:w="753" w:type="dxa"/>
            <w:tcBorders>
              <w:top w:val="nil"/>
              <w:left w:val="nil"/>
              <w:bottom w:val="nil"/>
              <w:right w:val="nil"/>
            </w:tcBorders>
            <w:shd w:val="clear" w:color="000000" w:fill="FFFFFF"/>
            <w:vAlign w:val="bottom"/>
          </w:tcPr>
          <w:p w14:paraId="14857008" w14:textId="3A3C523D" w:rsidR="001D0100" w:rsidRPr="001D0100" w:rsidRDefault="005C0AC9"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w:t>
            </w:r>
          </w:p>
        </w:tc>
        <w:tc>
          <w:tcPr>
            <w:tcW w:w="753" w:type="dxa"/>
            <w:tcBorders>
              <w:top w:val="nil"/>
              <w:left w:val="nil"/>
              <w:bottom w:val="nil"/>
              <w:right w:val="nil"/>
            </w:tcBorders>
            <w:shd w:val="clear" w:color="000000" w:fill="FFFFFF"/>
            <w:vAlign w:val="bottom"/>
          </w:tcPr>
          <w:p w14:paraId="5E27AC09" w14:textId="458B4B81" w:rsidR="001D0100" w:rsidRPr="001D0100" w:rsidRDefault="005A305D"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w:t>
            </w:r>
          </w:p>
        </w:tc>
        <w:tc>
          <w:tcPr>
            <w:tcW w:w="753" w:type="dxa"/>
            <w:tcBorders>
              <w:top w:val="nil"/>
              <w:left w:val="nil"/>
              <w:bottom w:val="nil"/>
              <w:right w:val="nil"/>
            </w:tcBorders>
            <w:shd w:val="clear" w:color="000000" w:fill="FFFFFF"/>
            <w:vAlign w:val="bottom"/>
          </w:tcPr>
          <w:p w14:paraId="32FFB9E6" w14:textId="202E008F" w:rsidR="001D0100" w:rsidRPr="001D0100" w:rsidRDefault="005A305D"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w:t>
            </w:r>
          </w:p>
        </w:tc>
        <w:tc>
          <w:tcPr>
            <w:tcW w:w="753" w:type="dxa"/>
            <w:tcBorders>
              <w:top w:val="nil"/>
              <w:left w:val="nil"/>
              <w:bottom w:val="single" w:sz="8" w:space="0" w:color="ADD6EA"/>
              <w:right w:val="nil"/>
            </w:tcBorders>
            <w:shd w:val="clear" w:color="000000" w:fill="FFFFFF"/>
            <w:vAlign w:val="bottom"/>
          </w:tcPr>
          <w:p w14:paraId="178B8439" w14:textId="15B0CCD2" w:rsidR="001D0100" w:rsidRPr="001D0100" w:rsidRDefault="006F7BF7"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47</w:t>
            </w:r>
          </w:p>
        </w:tc>
        <w:tc>
          <w:tcPr>
            <w:tcW w:w="1302" w:type="dxa"/>
            <w:tcBorders>
              <w:top w:val="nil"/>
              <w:left w:val="nil"/>
              <w:bottom w:val="single" w:sz="8" w:space="0" w:color="ADD6EA"/>
              <w:right w:val="nil"/>
            </w:tcBorders>
            <w:shd w:val="clear" w:color="000000" w:fill="FFFFFF"/>
            <w:vAlign w:val="bottom"/>
          </w:tcPr>
          <w:p w14:paraId="5E5C461D" w14:textId="33DCC008" w:rsidR="001D0100" w:rsidRPr="001D0100" w:rsidRDefault="00112527"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w:t>
            </w:r>
          </w:p>
        </w:tc>
      </w:tr>
      <w:tr w:rsidR="001D0100" w:rsidRPr="001D0100" w14:paraId="24EE02A3" w14:textId="77777777" w:rsidTr="0098777C">
        <w:trPr>
          <w:trHeight w:val="315"/>
        </w:trPr>
        <w:tc>
          <w:tcPr>
            <w:tcW w:w="1697" w:type="dxa"/>
            <w:tcBorders>
              <w:top w:val="single" w:sz="8" w:space="0" w:color="ADD6EA"/>
              <w:left w:val="nil"/>
              <w:bottom w:val="nil"/>
              <w:right w:val="nil"/>
            </w:tcBorders>
            <w:shd w:val="clear" w:color="000000" w:fill="FFFFFF"/>
            <w:vAlign w:val="bottom"/>
            <w:hideMark/>
          </w:tcPr>
          <w:p w14:paraId="6E7FADB1" w14:textId="77777777" w:rsidR="001D0100" w:rsidRPr="001D0100" w:rsidRDefault="001D0100" w:rsidP="001D0100">
            <w:pPr>
              <w:tabs>
                <w:tab w:val="clear" w:pos="567"/>
              </w:tabs>
              <w:spacing w:before="0" w:line="240" w:lineRule="auto"/>
              <w:rPr>
                <w:rFonts w:eastAsia="Times New Roman" w:cs="Open Sans Light"/>
                <w:color w:val="000000"/>
                <w:sz w:val="16"/>
                <w:szCs w:val="16"/>
                <w:lang w:eastAsia="en-AU"/>
              </w:rPr>
            </w:pPr>
            <w:r w:rsidRPr="001D0100">
              <w:rPr>
                <w:rFonts w:eastAsia="Times New Roman" w:cs="Open Sans Light"/>
                <w:color w:val="000000"/>
                <w:sz w:val="16"/>
                <w:szCs w:val="16"/>
                <w:lang w:eastAsia="en-AU"/>
              </w:rPr>
              <w:t>Air transport</w:t>
            </w:r>
          </w:p>
        </w:tc>
        <w:tc>
          <w:tcPr>
            <w:tcW w:w="713" w:type="dxa"/>
            <w:tcBorders>
              <w:top w:val="single" w:sz="8" w:space="0" w:color="ADD6EA"/>
              <w:left w:val="nil"/>
              <w:bottom w:val="nil"/>
              <w:right w:val="nil"/>
            </w:tcBorders>
            <w:shd w:val="clear" w:color="000000" w:fill="FFFFFF"/>
            <w:vAlign w:val="bottom"/>
          </w:tcPr>
          <w:p w14:paraId="33374475" w14:textId="7FEDAC5E" w:rsidR="001D0100" w:rsidRPr="001D0100" w:rsidRDefault="00121250"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15</w:t>
            </w:r>
          </w:p>
        </w:tc>
        <w:tc>
          <w:tcPr>
            <w:tcW w:w="729" w:type="dxa"/>
            <w:tcBorders>
              <w:top w:val="single" w:sz="8" w:space="0" w:color="ADD6EA"/>
              <w:left w:val="nil"/>
              <w:bottom w:val="nil"/>
              <w:right w:val="nil"/>
            </w:tcBorders>
            <w:shd w:val="clear" w:color="000000" w:fill="FFFFFF"/>
            <w:vAlign w:val="bottom"/>
          </w:tcPr>
          <w:p w14:paraId="6A49F85F" w14:textId="71D8196F" w:rsidR="001D0100" w:rsidRPr="001D0100" w:rsidRDefault="001D0100" w:rsidP="001D0100">
            <w:pPr>
              <w:tabs>
                <w:tab w:val="clear" w:pos="567"/>
              </w:tabs>
              <w:spacing w:before="0" w:line="240" w:lineRule="auto"/>
              <w:jc w:val="right"/>
              <w:rPr>
                <w:rFonts w:eastAsia="Times New Roman" w:cs="Open Sans Light"/>
                <w:color w:val="000000"/>
                <w:sz w:val="16"/>
                <w:szCs w:val="16"/>
                <w:lang w:eastAsia="en-AU"/>
              </w:rPr>
            </w:pPr>
            <w:r w:rsidRPr="001D0100">
              <w:rPr>
                <w:rFonts w:eastAsia="Times New Roman" w:cs="Open Sans Light"/>
                <w:color w:val="000000"/>
                <w:sz w:val="16"/>
                <w:szCs w:val="16"/>
                <w:lang w:eastAsia="en-AU"/>
              </w:rPr>
              <w:t>0</w:t>
            </w:r>
          </w:p>
        </w:tc>
        <w:tc>
          <w:tcPr>
            <w:tcW w:w="753" w:type="dxa"/>
            <w:tcBorders>
              <w:top w:val="single" w:sz="8" w:space="0" w:color="ADD6EA"/>
              <w:left w:val="nil"/>
              <w:bottom w:val="nil"/>
              <w:right w:val="nil"/>
            </w:tcBorders>
            <w:shd w:val="clear" w:color="000000" w:fill="FFFFFF"/>
            <w:vAlign w:val="bottom"/>
          </w:tcPr>
          <w:p w14:paraId="32CA335F" w14:textId="1BD18A96" w:rsidR="001D0100" w:rsidRPr="001D0100" w:rsidRDefault="001D0100" w:rsidP="001D0100">
            <w:pPr>
              <w:tabs>
                <w:tab w:val="clear" w:pos="567"/>
              </w:tabs>
              <w:spacing w:before="0" w:line="240" w:lineRule="auto"/>
              <w:jc w:val="right"/>
              <w:rPr>
                <w:rFonts w:eastAsia="Times New Roman" w:cs="Open Sans Light"/>
                <w:color w:val="000000"/>
                <w:sz w:val="16"/>
                <w:szCs w:val="16"/>
                <w:lang w:eastAsia="en-AU"/>
              </w:rPr>
            </w:pPr>
            <w:r w:rsidRPr="001D0100">
              <w:rPr>
                <w:rFonts w:eastAsia="Times New Roman" w:cs="Open Sans Light"/>
                <w:color w:val="000000"/>
                <w:sz w:val="16"/>
                <w:szCs w:val="16"/>
                <w:lang w:eastAsia="en-AU"/>
              </w:rPr>
              <w:t>0</w:t>
            </w:r>
          </w:p>
        </w:tc>
        <w:tc>
          <w:tcPr>
            <w:tcW w:w="753" w:type="dxa"/>
            <w:tcBorders>
              <w:top w:val="single" w:sz="8" w:space="0" w:color="ADD6EA"/>
              <w:left w:val="nil"/>
              <w:bottom w:val="nil"/>
              <w:right w:val="nil"/>
            </w:tcBorders>
            <w:shd w:val="clear" w:color="000000" w:fill="FFFFFF"/>
            <w:vAlign w:val="bottom"/>
          </w:tcPr>
          <w:p w14:paraId="12219BB5" w14:textId="76829E62" w:rsidR="001D0100" w:rsidRPr="001D0100" w:rsidRDefault="00976301"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2</w:t>
            </w:r>
          </w:p>
        </w:tc>
        <w:tc>
          <w:tcPr>
            <w:tcW w:w="753" w:type="dxa"/>
            <w:tcBorders>
              <w:top w:val="single" w:sz="8" w:space="0" w:color="ADD6EA"/>
              <w:left w:val="nil"/>
              <w:bottom w:val="nil"/>
              <w:right w:val="nil"/>
            </w:tcBorders>
            <w:shd w:val="clear" w:color="000000" w:fill="FFFFFF"/>
            <w:vAlign w:val="bottom"/>
          </w:tcPr>
          <w:p w14:paraId="2E5F1A37" w14:textId="372BBF75" w:rsidR="001D0100" w:rsidRPr="001D0100" w:rsidRDefault="001D0100" w:rsidP="001D0100">
            <w:pPr>
              <w:tabs>
                <w:tab w:val="clear" w:pos="567"/>
              </w:tabs>
              <w:spacing w:before="0" w:line="240" w:lineRule="auto"/>
              <w:jc w:val="right"/>
              <w:rPr>
                <w:rFonts w:eastAsia="Times New Roman" w:cs="Open Sans Light"/>
                <w:color w:val="000000"/>
                <w:sz w:val="16"/>
                <w:szCs w:val="16"/>
                <w:lang w:eastAsia="en-AU"/>
              </w:rPr>
            </w:pPr>
            <w:r w:rsidRPr="001D0100">
              <w:rPr>
                <w:rFonts w:eastAsia="Times New Roman" w:cs="Open Sans Light"/>
                <w:color w:val="000000"/>
                <w:sz w:val="16"/>
                <w:szCs w:val="16"/>
                <w:lang w:eastAsia="en-AU"/>
              </w:rPr>
              <w:t>0</w:t>
            </w:r>
          </w:p>
        </w:tc>
        <w:tc>
          <w:tcPr>
            <w:tcW w:w="753" w:type="dxa"/>
            <w:tcBorders>
              <w:top w:val="single" w:sz="8" w:space="0" w:color="ADD6EA"/>
              <w:left w:val="nil"/>
              <w:bottom w:val="nil"/>
              <w:right w:val="nil"/>
            </w:tcBorders>
            <w:shd w:val="clear" w:color="000000" w:fill="FFFFFF"/>
            <w:vAlign w:val="bottom"/>
          </w:tcPr>
          <w:p w14:paraId="117D70F2" w14:textId="21EAE9C1" w:rsidR="001D0100" w:rsidRPr="001D0100" w:rsidRDefault="005A305D"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10</w:t>
            </w:r>
          </w:p>
        </w:tc>
        <w:tc>
          <w:tcPr>
            <w:tcW w:w="753" w:type="dxa"/>
            <w:tcBorders>
              <w:top w:val="single" w:sz="8" w:space="0" w:color="ADD6EA"/>
              <w:left w:val="nil"/>
              <w:bottom w:val="nil"/>
              <w:right w:val="nil"/>
            </w:tcBorders>
            <w:shd w:val="clear" w:color="000000" w:fill="FFFFFF"/>
            <w:vAlign w:val="bottom"/>
          </w:tcPr>
          <w:p w14:paraId="1462B9E6" w14:textId="1FD82386" w:rsidR="001D0100" w:rsidRPr="001D0100" w:rsidRDefault="005A305D"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w:t>
            </w:r>
          </w:p>
        </w:tc>
        <w:tc>
          <w:tcPr>
            <w:tcW w:w="753" w:type="dxa"/>
            <w:tcBorders>
              <w:top w:val="nil"/>
              <w:left w:val="nil"/>
              <w:bottom w:val="nil"/>
              <w:right w:val="nil"/>
            </w:tcBorders>
            <w:shd w:val="clear" w:color="000000" w:fill="FFFFFF"/>
            <w:vAlign w:val="bottom"/>
          </w:tcPr>
          <w:p w14:paraId="2A82790F" w14:textId="4E4B561C" w:rsidR="001D0100" w:rsidRPr="001D0100" w:rsidRDefault="006F7BF7"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38</w:t>
            </w:r>
          </w:p>
        </w:tc>
        <w:tc>
          <w:tcPr>
            <w:tcW w:w="1302" w:type="dxa"/>
            <w:tcBorders>
              <w:top w:val="nil"/>
              <w:left w:val="nil"/>
              <w:bottom w:val="nil"/>
              <w:right w:val="nil"/>
            </w:tcBorders>
            <w:shd w:val="clear" w:color="000000" w:fill="FFFFFF"/>
            <w:vAlign w:val="bottom"/>
          </w:tcPr>
          <w:p w14:paraId="6A6AF962" w14:textId="36BFBE36" w:rsidR="001D0100" w:rsidRPr="001D0100" w:rsidRDefault="00112527" w:rsidP="001D0100">
            <w:pPr>
              <w:tabs>
                <w:tab w:val="clear" w:pos="567"/>
              </w:tabs>
              <w:spacing w:before="0" w:line="240" w:lineRule="auto"/>
              <w:jc w:val="right"/>
              <w:rPr>
                <w:rFonts w:eastAsia="Times New Roman" w:cs="Open Sans Light"/>
                <w:color w:val="000000"/>
                <w:sz w:val="16"/>
                <w:szCs w:val="16"/>
                <w:lang w:eastAsia="en-AU"/>
              </w:rPr>
            </w:pPr>
            <w:r>
              <w:rPr>
                <w:rFonts w:eastAsia="Times New Roman" w:cs="Open Sans Light"/>
                <w:color w:val="000000"/>
                <w:sz w:val="16"/>
                <w:szCs w:val="16"/>
                <w:lang w:eastAsia="en-AU"/>
              </w:rPr>
              <w:t>2</w:t>
            </w:r>
          </w:p>
        </w:tc>
      </w:tr>
      <w:tr w:rsidR="001D0100" w:rsidRPr="001D0100" w14:paraId="60EB7630" w14:textId="77777777" w:rsidTr="0098777C">
        <w:trPr>
          <w:trHeight w:val="315"/>
        </w:trPr>
        <w:tc>
          <w:tcPr>
            <w:tcW w:w="1697" w:type="dxa"/>
            <w:tcBorders>
              <w:top w:val="nil"/>
              <w:left w:val="nil"/>
              <w:bottom w:val="nil"/>
              <w:right w:val="nil"/>
            </w:tcBorders>
            <w:shd w:val="clear" w:color="000000" w:fill="D6E7F0"/>
            <w:vAlign w:val="bottom"/>
            <w:hideMark/>
          </w:tcPr>
          <w:p w14:paraId="59E7FF7B" w14:textId="77777777" w:rsidR="001D0100" w:rsidRPr="001D0100" w:rsidRDefault="001D0100" w:rsidP="001D0100">
            <w:pPr>
              <w:tabs>
                <w:tab w:val="clear" w:pos="567"/>
              </w:tabs>
              <w:spacing w:before="0" w:line="240" w:lineRule="auto"/>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Total</w:t>
            </w:r>
          </w:p>
        </w:tc>
        <w:tc>
          <w:tcPr>
            <w:tcW w:w="713" w:type="dxa"/>
            <w:tcBorders>
              <w:top w:val="nil"/>
              <w:left w:val="nil"/>
              <w:bottom w:val="nil"/>
              <w:right w:val="nil"/>
            </w:tcBorders>
            <w:shd w:val="clear" w:color="000000" w:fill="D6E7F0"/>
            <w:vAlign w:val="bottom"/>
          </w:tcPr>
          <w:p w14:paraId="3440EA7A" w14:textId="458B22DE" w:rsidR="001D0100" w:rsidRPr="001D0100" w:rsidRDefault="0012125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Pr>
                <w:rFonts w:ascii="Open Sans Semibold" w:eastAsia="Times New Roman" w:hAnsi="Open Sans Semibold" w:cs="Open Sans Semibold"/>
                <w:color w:val="000000"/>
                <w:sz w:val="16"/>
                <w:szCs w:val="16"/>
                <w:lang w:eastAsia="en-AU"/>
              </w:rPr>
              <w:t>155</w:t>
            </w:r>
          </w:p>
        </w:tc>
        <w:tc>
          <w:tcPr>
            <w:tcW w:w="729" w:type="dxa"/>
            <w:tcBorders>
              <w:top w:val="nil"/>
              <w:left w:val="nil"/>
              <w:bottom w:val="nil"/>
              <w:right w:val="nil"/>
            </w:tcBorders>
            <w:shd w:val="clear" w:color="000000" w:fill="D6E7F0"/>
            <w:vAlign w:val="bottom"/>
          </w:tcPr>
          <w:p w14:paraId="3970072A" w14:textId="59C3C5BB" w:rsidR="001D0100" w:rsidRPr="001D0100" w:rsidRDefault="00BA72D4"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Pr>
                <w:rFonts w:ascii="Open Sans Semibold" w:eastAsia="Times New Roman" w:hAnsi="Open Sans Semibold" w:cs="Open Sans Semibold"/>
                <w:color w:val="000000"/>
                <w:sz w:val="16"/>
                <w:szCs w:val="16"/>
                <w:lang w:eastAsia="en-AU"/>
              </w:rPr>
              <w:t>879</w:t>
            </w:r>
          </w:p>
        </w:tc>
        <w:tc>
          <w:tcPr>
            <w:tcW w:w="753" w:type="dxa"/>
            <w:tcBorders>
              <w:top w:val="nil"/>
              <w:left w:val="nil"/>
              <w:bottom w:val="nil"/>
              <w:right w:val="nil"/>
            </w:tcBorders>
            <w:shd w:val="clear" w:color="000000" w:fill="D6E7F0"/>
            <w:vAlign w:val="bottom"/>
          </w:tcPr>
          <w:p w14:paraId="19CF9C9E" w14:textId="25650794" w:rsidR="001D0100" w:rsidRPr="001D0100" w:rsidRDefault="00976301"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Pr>
                <w:rFonts w:ascii="Open Sans Semibold" w:eastAsia="Times New Roman" w:hAnsi="Open Sans Semibold" w:cs="Open Sans Semibold"/>
                <w:color w:val="000000"/>
                <w:sz w:val="16"/>
                <w:szCs w:val="16"/>
                <w:lang w:eastAsia="en-AU"/>
              </w:rPr>
              <w:t>567</w:t>
            </w:r>
          </w:p>
        </w:tc>
        <w:tc>
          <w:tcPr>
            <w:tcW w:w="753" w:type="dxa"/>
            <w:tcBorders>
              <w:top w:val="nil"/>
              <w:left w:val="nil"/>
              <w:bottom w:val="nil"/>
              <w:right w:val="nil"/>
            </w:tcBorders>
            <w:shd w:val="clear" w:color="000000" w:fill="D6E7F0"/>
            <w:vAlign w:val="bottom"/>
          </w:tcPr>
          <w:p w14:paraId="4CB82261" w14:textId="50D669B9" w:rsidR="001D0100" w:rsidRPr="001D0100" w:rsidRDefault="00976301"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Pr>
                <w:rFonts w:ascii="Open Sans Semibold" w:eastAsia="Times New Roman" w:hAnsi="Open Sans Semibold" w:cs="Open Sans Semibold"/>
                <w:color w:val="000000"/>
                <w:sz w:val="16"/>
                <w:szCs w:val="16"/>
                <w:lang w:eastAsia="en-AU"/>
              </w:rPr>
              <w:t>114</w:t>
            </w:r>
          </w:p>
        </w:tc>
        <w:tc>
          <w:tcPr>
            <w:tcW w:w="753" w:type="dxa"/>
            <w:tcBorders>
              <w:top w:val="nil"/>
              <w:left w:val="nil"/>
              <w:bottom w:val="nil"/>
              <w:right w:val="nil"/>
            </w:tcBorders>
            <w:shd w:val="clear" w:color="000000" w:fill="D6E7F0"/>
            <w:vAlign w:val="bottom"/>
          </w:tcPr>
          <w:p w14:paraId="4F0BB9EE" w14:textId="245CC86B" w:rsidR="001D0100" w:rsidRPr="001D0100" w:rsidRDefault="005C0AC9"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Pr>
                <w:rFonts w:ascii="Open Sans Semibold" w:eastAsia="Times New Roman" w:hAnsi="Open Sans Semibold" w:cs="Open Sans Semibold"/>
                <w:color w:val="000000"/>
                <w:sz w:val="16"/>
                <w:szCs w:val="16"/>
                <w:lang w:eastAsia="en-AU"/>
              </w:rPr>
              <w:t>9</w:t>
            </w:r>
          </w:p>
        </w:tc>
        <w:tc>
          <w:tcPr>
            <w:tcW w:w="753" w:type="dxa"/>
            <w:tcBorders>
              <w:top w:val="nil"/>
              <w:left w:val="nil"/>
              <w:bottom w:val="nil"/>
              <w:right w:val="nil"/>
            </w:tcBorders>
            <w:shd w:val="clear" w:color="000000" w:fill="D6E7F0"/>
            <w:vAlign w:val="bottom"/>
          </w:tcPr>
          <w:p w14:paraId="0FE8BF5F" w14:textId="116E3732" w:rsidR="001D0100" w:rsidRPr="001D0100" w:rsidRDefault="005A305D"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Pr>
                <w:rFonts w:ascii="Open Sans Semibold" w:eastAsia="Times New Roman" w:hAnsi="Open Sans Semibold" w:cs="Open Sans Semibold"/>
                <w:color w:val="000000"/>
                <w:sz w:val="16"/>
                <w:szCs w:val="16"/>
                <w:lang w:eastAsia="en-AU"/>
              </w:rPr>
              <w:t>25</w:t>
            </w:r>
          </w:p>
        </w:tc>
        <w:tc>
          <w:tcPr>
            <w:tcW w:w="753" w:type="dxa"/>
            <w:tcBorders>
              <w:top w:val="nil"/>
              <w:left w:val="nil"/>
              <w:bottom w:val="nil"/>
              <w:right w:val="nil"/>
            </w:tcBorders>
            <w:shd w:val="clear" w:color="000000" w:fill="D6E7F0"/>
            <w:vAlign w:val="bottom"/>
          </w:tcPr>
          <w:p w14:paraId="6F02662B" w14:textId="41D7A0A6" w:rsidR="001D0100" w:rsidRPr="001D0100" w:rsidRDefault="005A305D"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Pr>
                <w:rFonts w:ascii="Open Sans Semibold" w:eastAsia="Times New Roman" w:hAnsi="Open Sans Semibold" w:cs="Open Sans Semibold"/>
                <w:color w:val="000000"/>
                <w:sz w:val="16"/>
                <w:szCs w:val="16"/>
                <w:lang w:eastAsia="en-AU"/>
              </w:rPr>
              <w:t>4</w:t>
            </w:r>
          </w:p>
        </w:tc>
        <w:tc>
          <w:tcPr>
            <w:tcW w:w="753" w:type="dxa"/>
            <w:tcBorders>
              <w:top w:val="nil"/>
              <w:left w:val="nil"/>
              <w:bottom w:val="nil"/>
              <w:right w:val="nil"/>
            </w:tcBorders>
            <w:shd w:val="clear" w:color="000000" w:fill="D6E7F0"/>
            <w:vAlign w:val="bottom"/>
          </w:tcPr>
          <w:p w14:paraId="4A166479" w14:textId="36ED2D48" w:rsidR="001D0100" w:rsidRPr="001D0100" w:rsidRDefault="006F7BF7"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Pr>
                <w:rFonts w:ascii="Open Sans Semibold" w:eastAsia="Times New Roman" w:hAnsi="Open Sans Semibold" w:cs="Open Sans Semibold"/>
                <w:color w:val="000000"/>
                <w:sz w:val="16"/>
                <w:szCs w:val="16"/>
                <w:lang w:eastAsia="en-AU"/>
              </w:rPr>
              <w:t>1</w:t>
            </w:r>
            <w:r w:rsidR="00D951ED">
              <w:rPr>
                <w:rFonts w:ascii="Open Sans Semibold" w:eastAsia="Times New Roman" w:hAnsi="Open Sans Semibold" w:cs="Open Sans Semibold"/>
                <w:color w:val="000000"/>
                <w:sz w:val="16"/>
                <w:szCs w:val="16"/>
                <w:lang w:eastAsia="en-AU"/>
              </w:rPr>
              <w:t>,</w:t>
            </w:r>
            <w:r>
              <w:rPr>
                <w:rFonts w:ascii="Open Sans Semibold" w:eastAsia="Times New Roman" w:hAnsi="Open Sans Semibold" w:cs="Open Sans Semibold"/>
                <w:color w:val="000000"/>
                <w:sz w:val="16"/>
                <w:szCs w:val="16"/>
                <w:lang w:eastAsia="en-AU"/>
              </w:rPr>
              <w:t>752</w:t>
            </w:r>
          </w:p>
        </w:tc>
        <w:tc>
          <w:tcPr>
            <w:tcW w:w="1302" w:type="dxa"/>
            <w:tcBorders>
              <w:top w:val="nil"/>
              <w:left w:val="nil"/>
              <w:bottom w:val="nil"/>
              <w:right w:val="nil"/>
            </w:tcBorders>
            <w:shd w:val="clear" w:color="000000" w:fill="D6E7F0"/>
            <w:vAlign w:val="bottom"/>
          </w:tcPr>
          <w:p w14:paraId="581962AD" w14:textId="20E27C06" w:rsidR="001D0100" w:rsidRPr="001D0100" w:rsidRDefault="001D0100" w:rsidP="001D0100">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001D0100">
              <w:rPr>
                <w:rFonts w:ascii="Open Sans Semibold" w:eastAsia="Times New Roman" w:hAnsi="Open Sans Semibold" w:cs="Open Sans Semibold"/>
                <w:color w:val="000000"/>
                <w:sz w:val="16"/>
                <w:szCs w:val="16"/>
                <w:lang w:eastAsia="en-AU"/>
              </w:rPr>
              <w:t>100</w:t>
            </w:r>
          </w:p>
        </w:tc>
      </w:tr>
    </w:tbl>
    <w:bookmarkEnd w:id="121"/>
    <w:p w14:paraId="6DF9BCDF" w14:textId="60652F31" w:rsidR="00DE364C" w:rsidRPr="00DE3E76" w:rsidRDefault="00DE364C" w:rsidP="0098777C">
      <w:pPr>
        <w:pStyle w:val="CGCTablenote"/>
        <w:ind w:left="113" w:firstLine="0"/>
        <w:rPr>
          <w:rFonts w:ascii="Work Sans" w:hAnsi="Work Sans"/>
        </w:rPr>
      </w:pPr>
      <w:r w:rsidRPr="00DE3E76">
        <w:rPr>
          <w:rFonts w:ascii="Work Sans" w:hAnsi="Work Sans"/>
        </w:rPr>
        <w:t>(a)</w:t>
      </w:r>
      <w:r w:rsidRPr="00DE3E76">
        <w:rPr>
          <w:rFonts w:ascii="Work Sans" w:hAnsi="Work Sans"/>
        </w:rPr>
        <w:tab/>
      </w:r>
      <w:r w:rsidR="006063E4" w:rsidRPr="00DE3E76">
        <w:rPr>
          <w:rFonts w:ascii="Work Sans" w:hAnsi="Work Sans"/>
        </w:rPr>
        <w:t>V-line expenses</w:t>
      </w:r>
      <w:r w:rsidR="005B2119" w:rsidRPr="00DE3E76">
        <w:rPr>
          <w:rFonts w:ascii="Work Sans" w:hAnsi="Work Sans"/>
        </w:rPr>
        <w:t xml:space="preserve"> are included in Victoria’s </w:t>
      </w:r>
      <w:r w:rsidR="00467B12" w:rsidRPr="00DE3E76">
        <w:rPr>
          <w:rFonts w:ascii="Work Sans" w:hAnsi="Work Sans"/>
        </w:rPr>
        <w:t xml:space="preserve">passenger rail </w:t>
      </w:r>
      <w:r w:rsidR="005B2119" w:rsidRPr="00DE3E76">
        <w:rPr>
          <w:rFonts w:ascii="Work Sans" w:hAnsi="Work Sans"/>
        </w:rPr>
        <w:t>data.</w:t>
      </w:r>
    </w:p>
    <w:p w14:paraId="45E95E42" w14:textId="51E3F253" w:rsidR="00527B3B" w:rsidRPr="00DE3E76" w:rsidRDefault="00527B3B" w:rsidP="0098777C">
      <w:pPr>
        <w:pStyle w:val="CGCTablenote"/>
        <w:ind w:left="113" w:firstLine="0"/>
        <w:rPr>
          <w:rFonts w:ascii="Work Sans" w:hAnsi="Work Sans"/>
        </w:rPr>
      </w:pPr>
      <w:r w:rsidRPr="00DE3E76">
        <w:rPr>
          <w:rFonts w:ascii="Work Sans" w:hAnsi="Work Sans"/>
        </w:rPr>
        <w:t>(b)</w:t>
      </w:r>
      <w:r w:rsidR="002350CB" w:rsidRPr="00DE3E76">
        <w:rPr>
          <w:rFonts w:ascii="Work Sans" w:hAnsi="Work Sans"/>
        </w:rPr>
        <w:tab/>
        <w:t>Includes non-urban water transport</w:t>
      </w:r>
      <w:r w:rsidR="002F5561" w:rsidRPr="00DE3E76">
        <w:rPr>
          <w:rFonts w:ascii="Work Sans" w:hAnsi="Work Sans"/>
        </w:rPr>
        <w:t xml:space="preserve"> and urban </w:t>
      </w:r>
      <w:r w:rsidR="007F4899" w:rsidRPr="00DE3E76">
        <w:rPr>
          <w:rFonts w:ascii="Work Sans" w:hAnsi="Work Sans"/>
        </w:rPr>
        <w:t>freight water transport</w:t>
      </w:r>
      <w:r w:rsidR="00F81DE5" w:rsidRPr="00DE3E76">
        <w:rPr>
          <w:rFonts w:ascii="Work Sans" w:hAnsi="Work Sans"/>
        </w:rPr>
        <w:t>.</w:t>
      </w:r>
    </w:p>
    <w:p w14:paraId="082D69A7" w14:textId="4FB31C1A" w:rsidR="008E6104" w:rsidRPr="00DE3E76" w:rsidRDefault="008E6104" w:rsidP="0098777C">
      <w:pPr>
        <w:pStyle w:val="CGCTablenote"/>
        <w:ind w:left="113" w:firstLine="0"/>
        <w:rPr>
          <w:rFonts w:ascii="Work Sans" w:hAnsi="Work Sans"/>
        </w:rPr>
      </w:pPr>
      <w:r w:rsidRPr="00DE3E76">
        <w:rPr>
          <w:rFonts w:ascii="Work Sans" w:hAnsi="Work Sans"/>
        </w:rPr>
        <w:t>Note:</w:t>
      </w:r>
      <w:r w:rsidRPr="00DE3E76">
        <w:rPr>
          <w:rFonts w:ascii="Work Sans" w:hAnsi="Work Sans"/>
        </w:rPr>
        <w:tab/>
      </w:r>
      <w:r w:rsidR="007F4899" w:rsidRPr="00DE3E76">
        <w:rPr>
          <w:rFonts w:ascii="Work Sans" w:hAnsi="Work Sans"/>
        </w:rPr>
        <w:t xml:space="preserve">The </w:t>
      </w:r>
      <w:r w:rsidR="00FE18C1" w:rsidRPr="00DE3E76">
        <w:rPr>
          <w:rFonts w:ascii="Work Sans" w:hAnsi="Work Sans"/>
        </w:rPr>
        <w:t>ACT</w:t>
      </w:r>
      <w:r w:rsidR="00176F85" w:rsidRPr="00DE3E76">
        <w:rPr>
          <w:rFonts w:ascii="Work Sans" w:hAnsi="Work Sans"/>
        </w:rPr>
        <w:t xml:space="preserve"> </w:t>
      </w:r>
      <w:r w:rsidR="00E66F4B" w:rsidRPr="00DE3E76">
        <w:rPr>
          <w:rFonts w:ascii="Work Sans" w:hAnsi="Work Sans"/>
        </w:rPr>
        <w:t xml:space="preserve">does not have a non-urban transport </w:t>
      </w:r>
      <w:r w:rsidR="0022317D" w:rsidRPr="00DE3E76">
        <w:rPr>
          <w:rFonts w:ascii="Work Sans" w:hAnsi="Work Sans"/>
        </w:rPr>
        <w:t xml:space="preserve">network. </w:t>
      </w:r>
    </w:p>
    <w:p w14:paraId="4DFB1205" w14:textId="262AE3DB" w:rsidR="008D1D1C" w:rsidRPr="00DE3E76" w:rsidRDefault="00DA294C" w:rsidP="00365CD9">
      <w:pPr>
        <w:pStyle w:val="CGCTablenote"/>
        <w:ind w:left="113" w:firstLine="0"/>
        <w:rPr>
          <w:rFonts w:ascii="Work Sans" w:hAnsi="Work Sans"/>
        </w:rPr>
      </w:pPr>
      <w:r w:rsidRPr="00DE3E76">
        <w:rPr>
          <w:rFonts w:ascii="Work Sans" w:hAnsi="Work Sans"/>
        </w:rPr>
        <w:t xml:space="preserve">Source: </w:t>
      </w:r>
      <w:r w:rsidR="00211CB5" w:rsidRPr="00DE3E76">
        <w:rPr>
          <w:rFonts w:ascii="Work Sans" w:hAnsi="Work Sans"/>
        </w:rPr>
        <w:tab/>
      </w:r>
      <w:r w:rsidR="00121250" w:rsidRPr="00DE3E76">
        <w:rPr>
          <w:rFonts w:ascii="Work Sans" w:hAnsi="Work Sans"/>
        </w:rPr>
        <w:t xml:space="preserve">Commission calculation using </w:t>
      </w:r>
      <w:r w:rsidR="00F66DB1" w:rsidRPr="00DE3E76">
        <w:rPr>
          <w:rFonts w:ascii="Work Sans" w:hAnsi="Work Sans"/>
        </w:rPr>
        <w:t xml:space="preserve">recurrent </w:t>
      </w:r>
      <w:r w:rsidR="00F81DE5" w:rsidRPr="00DE3E76">
        <w:rPr>
          <w:rFonts w:ascii="Work Sans" w:hAnsi="Work Sans"/>
        </w:rPr>
        <w:t xml:space="preserve">adjusted </w:t>
      </w:r>
      <w:r w:rsidRPr="00DE3E76">
        <w:rPr>
          <w:rFonts w:ascii="Work Sans" w:hAnsi="Work Sans"/>
        </w:rPr>
        <w:t xml:space="preserve">ABS </w:t>
      </w:r>
      <w:r w:rsidR="00923D2E">
        <w:rPr>
          <w:rFonts w:ascii="Work Sans" w:hAnsi="Work Sans"/>
        </w:rPr>
        <w:t>Government Finance Statistics</w:t>
      </w:r>
      <w:r w:rsidRPr="00DE3E76">
        <w:rPr>
          <w:rFonts w:ascii="Work Sans" w:hAnsi="Work Sans"/>
        </w:rPr>
        <w:t xml:space="preserve"> </w:t>
      </w:r>
      <w:r w:rsidR="00270395">
        <w:rPr>
          <w:rFonts w:ascii="Work Sans" w:hAnsi="Work Sans"/>
        </w:rPr>
        <w:t>d</w:t>
      </w:r>
      <w:r w:rsidRPr="00DE3E76">
        <w:rPr>
          <w:rFonts w:ascii="Work Sans" w:hAnsi="Work Sans"/>
        </w:rPr>
        <w:t>at</w:t>
      </w:r>
      <w:r w:rsidR="00121250" w:rsidRPr="00DE3E76">
        <w:rPr>
          <w:rFonts w:ascii="Work Sans" w:hAnsi="Work Sans"/>
        </w:rPr>
        <w:t>a</w:t>
      </w:r>
      <w:r w:rsidR="00F81DE5" w:rsidRPr="00DE3E76">
        <w:rPr>
          <w:rFonts w:ascii="Work Sans" w:hAnsi="Work Sans"/>
        </w:rPr>
        <w:t>.</w:t>
      </w:r>
    </w:p>
    <w:p w14:paraId="7E59FFD4" w14:textId="61DA6C15" w:rsidR="00BA6635" w:rsidRPr="00687093" w:rsidRDefault="00D951ED" w:rsidP="00687093">
      <w:pPr>
        <w:pStyle w:val="CGC2025ParaNumbers"/>
      </w:pPr>
      <w:r w:rsidRPr="00687093">
        <w:t xml:space="preserve">To </w:t>
      </w:r>
      <w:r w:rsidR="002A6E6B">
        <w:t>understand</w:t>
      </w:r>
      <w:r w:rsidRPr="00687093">
        <w:t xml:space="preserve"> the need</w:t>
      </w:r>
      <w:r w:rsidR="00EB122D" w:rsidRPr="00687093">
        <w:t>s</w:t>
      </w:r>
      <w:r w:rsidRPr="00687093">
        <w:t xml:space="preserve"> associated with passenger rail services, the </w:t>
      </w:r>
      <w:r w:rsidR="580719AF" w:rsidRPr="00687093">
        <w:t xml:space="preserve">Commission </w:t>
      </w:r>
      <w:r w:rsidR="003429C3" w:rsidRPr="00687093">
        <w:t>used 20</w:t>
      </w:r>
      <w:r w:rsidRPr="00687093">
        <w:t>1</w:t>
      </w:r>
      <w:r w:rsidR="003429C3" w:rsidRPr="00687093">
        <w:t>6 Census</w:t>
      </w:r>
      <w:r w:rsidR="580719AF" w:rsidRPr="00687093">
        <w:t xml:space="preserve"> </w:t>
      </w:r>
      <w:r w:rsidR="00551B62" w:rsidRPr="00687093">
        <w:t>journey to work data to investigate</w:t>
      </w:r>
      <w:r w:rsidR="59CB7B3A" w:rsidRPr="00687093">
        <w:t xml:space="preserve"> the </w:t>
      </w:r>
      <w:r w:rsidR="5DBFE2EC" w:rsidRPr="00687093">
        <w:t xml:space="preserve">commuter </w:t>
      </w:r>
      <w:r w:rsidR="59CB7B3A" w:rsidRPr="00687093">
        <w:t xml:space="preserve">use patterns of non-urban passenger </w:t>
      </w:r>
      <w:r w:rsidR="1E79F417" w:rsidRPr="00687093">
        <w:t xml:space="preserve">rail </w:t>
      </w:r>
      <w:r w:rsidR="59CB7B3A" w:rsidRPr="00687093">
        <w:t>services</w:t>
      </w:r>
      <w:r w:rsidR="00B9471A" w:rsidRPr="00687093">
        <w:t>.</w:t>
      </w:r>
      <w:r w:rsidR="009E4647" w:rsidRPr="0052511E">
        <w:rPr>
          <w:rStyle w:val="FootnoteReference"/>
          <w:szCs w:val="24"/>
        </w:rPr>
        <w:footnoteReference w:id="18"/>
      </w:r>
      <w:r w:rsidR="00F236AA" w:rsidRPr="00687093">
        <w:t xml:space="preserve"> Th</w:t>
      </w:r>
      <w:r w:rsidR="00B9471A" w:rsidRPr="00687093">
        <w:t>e</w:t>
      </w:r>
      <w:r w:rsidR="00F236AA" w:rsidRPr="00687093">
        <w:t>s</w:t>
      </w:r>
      <w:r w:rsidR="00B9471A" w:rsidRPr="00687093">
        <w:t>e</w:t>
      </w:r>
      <w:r w:rsidR="1E79F417" w:rsidRPr="00687093">
        <w:t xml:space="preserve"> data indicate that </w:t>
      </w:r>
      <w:r w:rsidR="00551B62" w:rsidRPr="00687093">
        <w:t>most of the</w:t>
      </w:r>
      <w:r w:rsidR="1E79F417" w:rsidRPr="00687093">
        <w:t xml:space="preserve"> use on non</w:t>
      </w:r>
      <w:r w:rsidR="00D14D0E">
        <w:noBreakHyphen/>
      </w:r>
      <w:r w:rsidR="1E79F417" w:rsidRPr="00687093">
        <w:t xml:space="preserve">urban rail </w:t>
      </w:r>
      <w:r w:rsidR="15B11F1F" w:rsidRPr="00687093">
        <w:t xml:space="preserve">passenger services is </w:t>
      </w:r>
      <w:r w:rsidR="201296A5" w:rsidRPr="00687093">
        <w:t>by</w:t>
      </w:r>
      <w:r w:rsidR="15B11F1F" w:rsidRPr="00687093">
        <w:t xml:space="preserve"> </w:t>
      </w:r>
      <w:r w:rsidR="2D49EEC0" w:rsidRPr="00687093">
        <w:t xml:space="preserve">people in </w:t>
      </w:r>
      <w:r w:rsidR="1E79F417" w:rsidRPr="00687093">
        <w:t xml:space="preserve">urban </w:t>
      </w:r>
      <w:r w:rsidR="2D49EEC0" w:rsidRPr="00687093">
        <w:t>centres</w:t>
      </w:r>
      <w:r w:rsidR="18948000" w:rsidRPr="00687093">
        <w:t xml:space="preserve"> </w:t>
      </w:r>
      <w:r w:rsidR="15B11F1F" w:rsidRPr="00687093">
        <w:t>commuting</w:t>
      </w:r>
      <w:r w:rsidR="18948000" w:rsidRPr="00687093">
        <w:t xml:space="preserve"> to non</w:t>
      </w:r>
      <w:r w:rsidR="00D14D0E">
        <w:noBreakHyphen/>
      </w:r>
      <w:r w:rsidR="18948000" w:rsidRPr="00687093">
        <w:t>urban areas</w:t>
      </w:r>
      <w:r w:rsidR="009E446F" w:rsidRPr="00687093">
        <w:t xml:space="preserve"> or between urban areas</w:t>
      </w:r>
      <w:r w:rsidR="00270395">
        <w:t>.</w:t>
      </w:r>
      <w:r w:rsidR="009E446F" w:rsidRPr="0052511E">
        <w:rPr>
          <w:rStyle w:val="FootnoteReference"/>
          <w:szCs w:val="24"/>
        </w:rPr>
        <w:footnoteReference w:id="19"/>
      </w:r>
      <w:r w:rsidR="59CB7B3A" w:rsidRPr="00687093">
        <w:t xml:space="preserve"> </w:t>
      </w:r>
    </w:p>
    <w:p w14:paraId="129AE014" w14:textId="567A70D4" w:rsidR="0058279D" w:rsidRPr="00687093" w:rsidRDefault="0058279D" w:rsidP="0058279D">
      <w:pPr>
        <w:pStyle w:val="CGC2025ParaNumbers"/>
      </w:pPr>
      <w:r w:rsidRPr="009F5AA9">
        <w:t>The Commission recognises that the 2016 Census data used to undertake this analysis may not fully reflect current service use patterns, particularly in light of the observed population growth patterns since 2016. Nor does it reflect any changes in service provision that may have occurred since 2016. However, the Commission considers that, due to the fixed nature of non-urban rail networks and therefore access to services, the 2016 Census data are likely to provide a good estimate of service use until 2026 Census data are availabl</w:t>
      </w:r>
      <w:r w:rsidR="00B63455">
        <w:t>e</w:t>
      </w:r>
      <w:r w:rsidRPr="009F5AA9">
        <w:t xml:space="preserve">. </w:t>
      </w:r>
    </w:p>
    <w:p w14:paraId="787E727B" w14:textId="5B3E03C3" w:rsidR="002705FB" w:rsidRPr="009A413F" w:rsidRDefault="00BA6635" w:rsidP="008E4B22">
      <w:pPr>
        <w:pStyle w:val="CGC2025ParaNumbers"/>
        <w:spacing w:after="0"/>
      </w:pPr>
      <w:r w:rsidRPr="009A413F">
        <w:t xml:space="preserve">The Commission considered an assessment of non-urban passenger rail expenses based on non-urban passenger rail commuter data (including those residing in urban and non-urban areas), see </w:t>
      </w:r>
      <w:r w:rsidR="003356FA">
        <w:fldChar w:fldCharType="begin"/>
      </w:r>
      <w:r w:rsidR="003356FA">
        <w:instrText xml:space="preserve"> REF _Ref138764167 \h </w:instrText>
      </w:r>
      <w:r w:rsidR="003356FA">
        <w:fldChar w:fldCharType="separate"/>
      </w:r>
      <w:r w:rsidR="00282693" w:rsidRPr="00952439">
        <w:t>Table</w:t>
      </w:r>
      <w:r w:rsidR="00282693" w:rsidRPr="00A047A1">
        <w:t xml:space="preserve"> </w:t>
      </w:r>
      <w:r w:rsidR="00282693">
        <w:rPr>
          <w:noProof/>
        </w:rPr>
        <w:t>10</w:t>
      </w:r>
      <w:r w:rsidR="003356FA">
        <w:fldChar w:fldCharType="end"/>
      </w:r>
      <w:r w:rsidRPr="009A413F">
        <w:t xml:space="preserve">. </w:t>
      </w:r>
    </w:p>
    <w:p w14:paraId="780DDB8F" w14:textId="20FE8B83" w:rsidR="00A51B5D" w:rsidRPr="00A047A1" w:rsidRDefault="00A51B5D" w:rsidP="003356FA">
      <w:pPr>
        <w:pStyle w:val="CGC2025Caption"/>
        <w:tabs>
          <w:tab w:val="left" w:pos="1134"/>
        </w:tabs>
      </w:pPr>
      <w:bookmarkStart w:id="123" w:name="_Ref135658074"/>
      <w:bookmarkStart w:id="124" w:name="_Ref138764167"/>
      <w:r w:rsidRPr="00952439">
        <w:t>Table</w:t>
      </w:r>
      <w:r w:rsidRPr="00A047A1">
        <w:t xml:space="preserve"> </w:t>
      </w:r>
      <w:r w:rsidRPr="00A047A1">
        <w:fldChar w:fldCharType="begin"/>
      </w:r>
      <w:r w:rsidRPr="00830084">
        <w:instrText xml:space="preserve"> SEQ Table \* ARABIC </w:instrText>
      </w:r>
      <w:r w:rsidRPr="00A047A1">
        <w:fldChar w:fldCharType="separate"/>
      </w:r>
      <w:r w:rsidR="00282693">
        <w:rPr>
          <w:noProof/>
        </w:rPr>
        <w:t>10</w:t>
      </w:r>
      <w:r w:rsidRPr="00A047A1">
        <w:fldChar w:fldCharType="end"/>
      </w:r>
      <w:bookmarkEnd w:id="123"/>
      <w:bookmarkEnd w:id="124"/>
      <w:r w:rsidRPr="00A047A1">
        <w:tab/>
        <w:t>Non-urban train commuters by state</w:t>
      </w:r>
      <w:r w:rsidRPr="00071AAC">
        <w:rPr>
          <w:rStyle w:val="FootnoteReference"/>
        </w:rPr>
        <w:footnoteReference w:id="20"/>
      </w:r>
    </w:p>
    <w:tbl>
      <w:tblPr>
        <w:tblW w:w="8959" w:type="dxa"/>
        <w:tblLook w:val="04A0" w:firstRow="1" w:lastRow="0" w:firstColumn="1" w:lastColumn="0" w:noHBand="0" w:noVBand="1"/>
      </w:tblPr>
      <w:tblGrid>
        <w:gridCol w:w="1807"/>
        <w:gridCol w:w="894"/>
        <w:gridCol w:w="894"/>
        <w:gridCol w:w="894"/>
        <w:gridCol w:w="894"/>
        <w:gridCol w:w="894"/>
        <w:gridCol w:w="894"/>
        <w:gridCol w:w="894"/>
        <w:gridCol w:w="894"/>
      </w:tblGrid>
      <w:tr w:rsidR="00A51B5D" w:rsidRPr="002947AA" w14:paraId="66C5D821" w14:textId="77777777" w:rsidTr="7E05AE4A">
        <w:trPr>
          <w:trHeight w:val="375"/>
        </w:trPr>
        <w:tc>
          <w:tcPr>
            <w:tcW w:w="1807" w:type="dxa"/>
            <w:tcBorders>
              <w:top w:val="nil"/>
              <w:left w:val="nil"/>
              <w:bottom w:val="nil"/>
              <w:right w:val="nil"/>
            </w:tcBorders>
            <w:shd w:val="clear" w:color="auto" w:fill="006991"/>
            <w:noWrap/>
            <w:vAlign w:val="center"/>
            <w:hideMark/>
          </w:tcPr>
          <w:p w14:paraId="46ACF330"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7E05AE4A">
              <w:rPr>
                <w:rFonts w:ascii="Open Sans Semibold" w:eastAsia="Times New Roman" w:hAnsi="Open Sans Semibold" w:cs="Open Sans Semibold"/>
                <w:color w:val="FFFFFF" w:themeColor="background1"/>
                <w:sz w:val="16"/>
                <w:szCs w:val="16"/>
                <w:lang w:eastAsia="en-AU"/>
              </w:rPr>
              <w:t> </w:t>
            </w:r>
          </w:p>
        </w:tc>
        <w:tc>
          <w:tcPr>
            <w:tcW w:w="894" w:type="dxa"/>
            <w:tcBorders>
              <w:top w:val="nil"/>
              <w:left w:val="nil"/>
              <w:bottom w:val="nil"/>
              <w:right w:val="nil"/>
            </w:tcBorders>
            <w:shd w:val="clear" w:color="auto" w:fill="006991"/>
            <w:noWrap/>
            <w:vAlign w:val="center"/>
            <w:hideMark/>
          </w:tcPr>
          <w:p w14:paraId="73FA4430"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7E05AE4A">
              <w:rPr>
                <w:rFonts w:ascii="Open Sans Semibold" w:eastAsia="Times New Roman" w:hAnsi="Open Sans Semibold" w:cs="Open Sans Semibold"/>
                <w:color w:val="FFFFFF" w:themeColor="background1"/>
                <w:sz w:val="16"/>
                <w:szCs w:val="16"/>
                <w:lang w:eastAsia="en-AU"/>
              </w:rPr>
              <w:t>NSW</w:t>
            </w:r>
          </w:p>
        </w:tc>
        <w:tc>
          <w:tcPr>
            <w:tcW w:w="894" w:type="dxa"/>
            <w:tcBorders>
              <w:top w:val="nil"/>
              <w:left w:val="nil"/>
              <w:bottom w:val="nil"/>
              <w:right w:val="nil"/>
            </w:tcBorders>
            <w:shd w:val="clear" w:color="auto" w:fill="006991"/>
            <w:noWrap/>
            <w:vAlign w:val="center"/>
            <w:hideMark/>
          </w:tcPr>
          <w:p w14:paraId="6316D7C7"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7E05AE4A">
              <w:rPr>
                <w:rFonts w:ascii="Open Sans Semibold" w:eastAsia="Times New Roman" w:hAnsi="Open Sans Semibold" w:cs="Open Sans Semibold"/>
                <w:color w:val="FFFFFF" w:themeColor="background1"/>
                <w:sz w:val="16"/>
                <w:szCs w:val="16"/>
                <w:lang w:eastAsia="en-AU"/>
              </w:rPr>
              <w:t>Vic</w:t>
            </w:r>
          </w:p>
        </w:tc>
        <w:tc>
          <w:tcPr>
            <w:tcW w:w="894" w:type="dxa"/>
            <w:tcBorders>
              <w:top w:val="nil"/>
              <w:left w:val="nil"/>
              <w:bottom w:val="nil"/>
              <w:right w:val="nil"/>
            </w:tcBorders>
            <w:shd w:val="clear" w:color="auto" w:fill="006991"/>
            <w:noWrap/>
            <w:vAlign w:val="center"/>
            <w:hideMark/>
          </w:tcPr>
          <w:p w14:paraId="7E60CE52"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7E05AE4A">
              <w:rPr>
                <w:rFonts w:ascii="Open Sans Semibold" w:eastAsia="Times New Roman" w:hAnsi="Open Sans Semibold" w:cs="Open Sans Semibold"/>
                <w:color w:val="FFFFFF" w:themeColor="background1"/>
                <w:sz w:val="16"/>
                <w:szCs w:val="16"/>
                <w:lang w:eastAsia="en-AU"/>
              </w:rPr>
              <w:t>QLD</w:t>
            </w:r>
          </w:p>
        </w:tc>
        <w:tc>
          <w:tcPr>
            <w:tcW w:w="894" w:type="dxa"/>
            <w:tcBorders>
              <w:top w:val="nil"/>
              <w:left w:val="nil"/>
              <w:bottom w:val="nil"/>
              <w:right w:val="nil"/>
            </w:tcBorders>
            <w:shd w:val="clear" w:color="auto" w:fill="006991"/>
            <w:noWrap/>
            <w:vAlign w:val="center"/>
            <w:hideMark/>
          </w:tcPr>
          <w:p w14:paraId="62D8289B"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7E05AE4A">
              <w:rPr>
                <w:rFonts w:ascii="Open Sans Semibold" w:eastAsia="Times New Roman" w:hAnsi="Open Sans Semibold" w:cs="Open Sans Semibold"/>
                <w:color w:val="FFFFFF" w:themeColor="background1"/>
                <w:sz w:val="16"/>
                <w:szCs w:val="16"/>
                <w:lang w:eastAsia="en-AU"/>
              </w:rPr>
              <w:t>WA</w:t>
            </w:r>
          </w:p>
        </w:tc>
        <w:tc>
          <w:tcPr>
            <w:tcW w:w="894" w:type="dxa"/>
            <w:tcBorders>
              <w:top w:val="nil"/>
              <w:left w:val="nil"/>
              <w:bottom w:val="nil"/>
              <w:right w:val="nil"/>
            </w:tcBorders>
            <w:shd w:val="clear" w:color="auto" w:fill="006991"/>
            <w:noWrap/>
            <w:vAlign w:val="center"/>
            <w:hideMark/>
          </w:tcPr>
          <w:p w14:paraId="199AB63A"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7E05AE4A">
              <w:rPr>
                <w:rFonts w:ascii="Open Sans Semibold" w:eastAsia="Times New Roman" w:hAnsi="Open Sans Semibold" w:cs="Open Sans Semibold"/>
                <w:color w:val="FFFFFF" w:themeColor="background1"/>
                <w:sz w:val="16"/>
                <w:szCs w:val="16"/>
                <w:lang w:eastAsia="en-AU"/>
              </w:rPr>
              <w:t>SA</w:t>
            </w:r>
          </w:p>
        </w:tc>
        <w:tc>
          <w:tcPr>
            <w:tcW w:w="894" w:type="dxa"/>
            <w:tcBorders>
              <w:top w:val="nil"/>
              <w:left w:val="nil"/>
              <w:bottom w:val="nil"/>
              <w:right w:val="nil"/>
            </w:tcBorders>
            <w:shd w:val="clear" w:color="auto" w:fill="006991"/>
            <w:vAlign w:val="center"/>
          </w:tcPr>
          <w:p w14:paraId="5F4D8278"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7E05AE4A">
              <w:rPr>
                <w:rFonts w:ascii="Open Sans Semibold" w:eastAsia="Times New Roman" w:hAnsi="Open Sans Semibold" w:cs="Open Sans Semibold"/>
                <w:color w:val="FFFFFF" w:themeColor="background1"/>
                <w:sz w:val="16"/>
                <w:szCs w:val="16"/>
                <w:lang w:eastAsia="en-AU"/>
              </w:rPr>
              <w:t>TAS</w:t>
            </w:r>
          </w:p>
        </w:tc>
        <w:tc>
          <w:tcPr>
            <w:tcW w:w="894" w:type="dxa"/>
            <w:tcBorders>
              <w:top w:val="nil"/>
              <w:left w:val="nil"/>
              <w:bottom w:val="nil"/>
              <w:right w:val="nil"/>
            </w:tcBorders>
            <w:shd w:val="clear" w:color="auto" w:fill="006991"/>
            <w:noWrap/>
            <w:vAlign w:val="center"/>
            <w:hideMark/>
          </w:tcPr>
          <w:p w14:paraId="3B9326A9"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7E05AE4A">
              <w:rPr>
                <w:rFonts w:ascii="Open Sans Semibold" w:eastAsia="Times New Roman" w:hAnsi="Open Sans Semibold" w:cs="Open Sans Semibold"/>
                <w:color w:val="FFFFFF" w:themeColor="background1"/>
                <w:sz w:val="16"/>
                <w:szCs w:val="16"/>
                <w:lang w:eastAsia="en-AU"/>
              </w:rPr>
              <w:t>NT</w:t>
            </w:r>
          </w:p>
        </w:tc>
        <w:tc>
          <w:tcPr>
            <w:tcW w:w="894" w:type="dxa"/>
            <w:tcBorders>
              <w:top w:val="nil"/>
              <w:left w:val="nil"/>
              <w:bottom w:val="nil"/>
              <w:right w:val="nil"/>
            </w:tcBorders>
            <w:shd w:val="clear" w:color="auto" w:fill="006991"/>
            <w:noWrap/>
            <w:vAlign w:val="center"/>
            <w:hideMark/>
          </w:tcPr>
          <w:p w14:paraId="173EFEE8"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FFFFFF"/>
                <w:sz w:val="16"/>
                <w:szCs w:val="16"/>
                <w:lang w:eastAsia="en-AU"/>
              </w:rPr>
            </w:pPr>
            <w:r w:rsidRPr="7E05AE4A">
              <w:rPr>
                <w:rFonts w:ascii="Open Sans Semibold" w:eastAsia="Times New Roman" w:hAnsi="Open Sans Semibold" w:cs="Open Sans Semibold"/>
                <w:color w:val="FFFFFF" w:themeColor="background1"/>
                <w:sz w:val="16"/>
                <w:szCs w:val="16"/>
                <w:lang w:eastAsia="en-AU"/>
              </w:rPr>
              <w:t>Total</w:t>
            </w:r>
          </w:p>
        </w:tc>
      </w:tr>
      <w:tr w:rsidR="00A51B5D" w:rsidRPr="002947AA" w14:paraId="0E5BB7A7" w14:textId="77777777" w:rsidTr="7E05AE4A">
        <w:trPr>
          <w:trHeight w:val="259"/>
        </w:trPr>
        <w:tc>
          <w:tcPr>
            <w:tcW w:w="1807" w:type="dxa"/>
            <w:tcBorders>
              <w:top w:val="nil"/>
              <w:left w:val="nil"/>
              <w:bottom w:val="nil"/>
              <w:right w:val="nil"/>
            </w:tcBorders>
            <w:shd w:val="clear" w:color="auto" w:fill="B6D5E4"/>
            <w:noWrap/>
            <w:vAlign w:val="center"/>
            <w:hideMark/>
          </w:tcPr>
          <w:p w14:paraId="4F015FA0"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 </w:t>
            </w:r>
          </w:p>
        </w:tc>
        <w:tc>
          <w:tcPr>
            <w:tcW w:w="894" w:type="dxa"/>
            <w:tcBorders>
              <w:top w:val="nil"/>
              <w:left w:val="nil"/>
              <w:bottom w:val="nil"/>
              <w:right w:val="nil"/>
            </w:tcBorders>
            <w:shd w:val="clear" w:color="auto" w:fill="B6D5E4"/>
            <w:noWrap/>
            <w:vAlign w:val="center"/>
            <w:hideMark/>
          </w:tcPr>
          <w:p w14:paraId="02BE5DB6"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‘000</w:t>
            </w:r>
          </w:p>
        </w:tc>
        <w:tc>
          <w:tcPr>
            <w:tcW w:w="894" w:type="dxa"/>
            <w:tcBorders>
              <w:top w:val="nil"/>
              <w:left w:val="nil"/>
              <w:bottom w:val="nil"/>
              <w:right w:val="nil"/>
            </w:tcBorders>
            <w:shd w:val="clear" w:color="auto" w:fill="B6D5E4"/>
            <w:noWrap/>
            <w:vAlign w:val="center"/>
            <w:hideMark/>
          </w:tcPr>
          <w:p w14:paraId="5C1DC7C3"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‘000</w:t>
            </w:r>
          </w:p>
        </w:tc>
        <w:tc>
          <w:tcPr>
            <w:tcW w:w="894" w:type="dxa"/>
            <w:tcBorders>
              <w:top w:val="nil"/>
              <w:left w:val="nil"/>
              <w:bottom w:val="nil"/>
              <w:right w:val="nil"/>
            </w:tcBorders>
            <w:shd w:val="clear" w:color="auto" w:fill="B6D5E4"/>
            <w:noWrap/>
            <w:vAlign w:val="center"/>
            <w:hideMark/>
          </w:tcPr>
          <w:p w14:paraId="7D8569F7"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‘000</w:t>
            </w:r>
          </w:p>
        </w:tc>
        <w:tc>
          <w:tcPr>
            <w:tcW w:w="894" w:type="dxa"/>
            <w:tcBorders>
              <w:top w:val="nil"/>
              <w:left w:val="nil"/>
              <w:bottom w:val="nil"/>
              <w:right w:val="nil"/>
            </w:tcBorders>
            <w:shd w:val="clear" w:color="auto" w:fill="B6D5E4"/>
            <w:noWrap/>
            <w:vAlign w:val="center"/>
            <w:hideMark/>
          </w:tcPr>
          <w:p w14:paraId="023F2FAE"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‘000</w:t>
            </w:r>
          </w:p>
        </w:tc>
        <w:tc>
          <w:tcPr>
            <w:tcW w:w="894" w:type="dxa"/>
            <w:tcBorders>
              <w:top w:val="nil"/>
              <w:left w:val="nil"/>
              <w:bottom w:val="nil"/>
              <w:right w:val="nil"/>
            </w:tcBorders>
            <w:shd w:val="clear" w:color="auto" w:fill="B6D5E4"/>
            <w:noWrap/>
            <w:vAlign w:val="center"/>
            <w:hideMark/>
          </w:tcPr>
          <w:p w14:paraId="4D14DEEE"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‘000</w:t>
            </w:r>
          </w:p>
        </w:tc>
        <w:tc>
          <w:tcPr>
            <w:tcW w:w="894" w:type="dxa"/>
            <w:tcBorders>
              <w:top w:val="nil"/>
              <w:left w:val="nil"/>
              <w:bottom w:val="nil"/>
              <w:right w:val="nil"/>
            </w:tcBorders>
            <w:shd w:val="clear" w:color="auto" w:fill="B6D5E4"/>
            <w:vAlign w:val="center"/>
          </w:tcPr>
          <w:p w14:paraId="34B93D8F"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‘000</w:t>
            </w:r>
          </w:p>
        </w:tc>
        <w:tc>
          <w:tcPr>
            <w:tcW w:w="894" w:type="dxa"/>
            <w:tcBorders>
              <w:top w:val="nil"/>
              <w:left w:val="nil"/>
              <w:bottom w:val="nil"/>
              <w:right w:val="nil"/>
            </w:tcBorders>
            <w:shd w:val="clear" w:color="auto" w:fill="B6D5E4"/>
            <w:noWrap/>
            <w:vAlign w:val="center"/>
            <w:hideMark/>
          </w:tcPr>
          <w:p w14:paraId="417B7369"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‘000</w:t>
            </w:r>
          </w:p>
        </w:tc>
        <w:tc>
          <w:tcPr>
            <w:tcW w:w="894" w:type="dxa"/>
            <w:tcBorders>
              <w:top w:val="nil"/>
              <w:left w:val="nil"/>
              <w:bottom w:val="nil"/>
              <w:right w:val="nil"/>
            </w:tcBorders>
            <w:shd w:val="clear" w:color="auto" w:fill="B6D5E4"/>
            <w:noWrap/>
            <w:vAlign w:val="center"/>
            <w:hideMark/>
          </w:tcPr>
          <w:p w14:paraId="38076287" w14:textId="77777777" w:rsidR="00A51B5D" w:rsidRPr="00071AAC" w:rsidRDefault="00A51B5D" w:rsidP="00AE32A6">
            <w:pPr>
              <w:keepNext/>
              <w:keepLines/>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‘000</w:t>
            </w:r>
          </w:p>
        </w:tc>
      </w:tr>
      <w:tr w:rsidR="00A51B5D" w:rsidRPr="002947AA" w14:paraId="3CD218E9" w14:textId="77777777" w:rsidTr="0098777C">
        <w:trPr>
          <w:trHeight w:val="315"/>
        </w:trPr>
        <w:tc>
          <w:tcPr>
            <w:tcW w:w="1807" w:type="dxa"/>
            <w:tcBorders>
              <w:top w:val="single" w:sz="8" w:space="0" w:color="ADD6EA"/>
              <w:left w:val="nil"/>
              <w:bottom w:val="single" w:sz="8" w:space="0" w:color="ADD6EA"/>
              <w:right w:val="nil"/>
            </w:tcBorders>
            <w:shd w:val="clear" w:color="auto" w:fill="auto"/>
            <w:vAlign w:val="center"/>
            <w:hideMark/>
          </w:tcPr>
          <w:p w14:paraId="6FA136A4" w14:textId="77777777" w:rsidR="00A51B5D" w:rsidRPr="00071AAC" w:rsidRDefault="00A51B5D">
            <w:pPr>
              <w:tabs>
                <w:tab w:val="clear" w:pos="567"/>
              </w:tabs>
              <w:spacing w:before="0" w:line="240" w:lineRule="auto"/>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Non-urban train commuters</w:t>
            </w:r>
          </w:p>
        </w:tc>
        <w:tc>
          <w:tcPr>
            <w:tcW w:w="894" w:type="dxa"/>
            <w:tcBorders>
              <w:top w:val="single" w:sz="8" w:space="0" w:color="ADD6EA"/>
              <w:left w:val="nil"/>
              <w:bottom w:val="single" w:sz="8" w:space="0" w:color="ADD6EA"/>
              <w:right w:val="nil"/>
            </w:tcBorders>
            <w:shd w:val="clear" w:color="auto" w:fill="auto"/>
            <w:vAlign w:val="bottom"/>
            <w:hideMark/>
          </w:tcPr>
          <w:p w14:paraId="16BA1B88"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16.1</w:t>
            </w:r>
          </w:p>
        </w:tc>
        <w:tc>
          <w:tcPr>
            <w:tcW w:w="894" w:type="dxa"/>
            <w:tcBorders>
              <w:top w:val="single" w:sz="8" w:space="0" w:color="ADD6EA"/>
              <w:left w:val="nil"/>
              <w:bottom w:val="single" w:sz="8" w:space="0" w:color="ADD6EA"/>
              <w:right w:val="nil"/>
            </w:tcBorders>
            <w:shd w:val="clear" w:color="auto" w:fill="auto"/>
            <w:vAlign w:val="bottom"/>
            <w:hideMark/>
          </w:tcPr>
          <w:p w14:paraId="7CBEDDE2"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11.8</w:t>
            </w:r>
          </w:p>
        </w:tc>
        <w:tc>
          <w:tcPr>
            <w:tcW w:w="894" w:type="dxa"/>
            <w:tcBorders>
              <w:top w:val="single" w:sz="8" w:space="0" w:color="ADD6EA"/>
              <w:left w:val="nil"/>
              <w:bottom w:val="single" w:sz="8" w:space="0" w:color="ADD6EA"/>
              <w:right w:val="nil"/>
            </w:tcBorders>
            <w:shd w:val="clear" w:color="auto" w:fill="auto"/>
            <w:vAlign w:val="bottom"/>
            <w:hideMark/>
          </w:tcPr>
          <w:p w14:paraId="4153311F"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4.6</w:t>
            </w:r>
          </w:p>
        </w:tc>
        <w:tc>
          <w:tcPr>
            <w:tcW w:w="894" w:type="dxa"/>
            <w:tcBorders>
              <w:top w:val="single" w:sz="8" w:space="0" w:color="ADD6EA"/>
              <w:left w:val="nil"/>
              <w:bottom w:val="single" w:sz="8" w:space="0" w:color="ADD6EA"/>
              <w:right w:val="nil"/>
            </w:tcBorders>
            <w:shd w:val="clear" w:color="auto" w:fill="auto"/>
            <w:vAlign w:val="bottom"/>
            <w:hideMark/>
          </w:tcPr>
          <w:p w14:paraId="2F903C38"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0.8</w:t>
            </w:r>
          </w:p>
        </w:tc>
        <w:tc>
          <w:tcPr>
            <w:tcW w:w="894" w:type="dxa"/>
            <w:tcBorders>
              <w:top w:val="single" w:sz="8" w:space="0" w:color="ADD6EA"/>
              <w:left w:val="nil"/>
              <w:bottom w:val="single" w:sz="8" w:space="0" w:color="ADD6EA"/>
              <w:right w:val="nil"/>
            </w:tcBorders>
            <w:shd w:val="clear" w:color="auto" w:fill="auto"/>
            <w:vAlign w:val="bottom"/>
            <w:hideMark/>
          </w:tcPr>
          <w:p w14:paraId="4B62EE89"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0.3</w:t>
            </w:r>
          </w:p>
        </w:tc>
        <w:tc>
          <w:tcPr>
            <w:tcW w:w="894" w:type="dxa"/>
            <w:tcBorders>
              <w:top w:val="single" w:sz="8" w:space="0" w:color="ADD6EA"/>
              <w:left w:val="nil"/>
              <w:bottom w:val="single" w:sz="8" w:space="0" w:color="ADD6EA"/>
              <w:right w:val="nil"/>
            </w:tcBorders>
            <w:vAlign w:val="bottom"/>
          </w:tcPr>
          <w:p w14:paraId="2D65CE78"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0.01</w:t>
            </w:r>
          </w:p>
        </w:tc>
        <w:tc>
          <w:tcPr>
            <w:tcW w:w="894" w:type="dxa"/>
            <w:tcBorders>
              <w:top w:val="single" w:sz="8" w:space="0" w:color="ADD6EA"/>
              <w:left w:val="nil"/>
              <w:bottom w:val="single" w:sz="8" w:space="0" w:color="ADD6EA"/>
              <w:right w:val="nil"/>
            </w:tcBorders>
            <w:shd w:val="clear" w:color="auto" w:fill="auto"/>
            <w:vAlign w:val="bottom"/>
            <w:hideMark/>
          </w:tcPr>
          <w:p w14:paraId="35AE9D1F"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0.004</w:t>
            </w:r>
          </w:p>
        </w:tc>
        <w:tc>
          <w:tcPr>
            <w:tcW w:w="894" w:type="dxa"/>
            <w:tcBorders>
              <w:top w:val="single" w:sz="8" w:space="0" w:color="ADD6EA"/>
              <w:left w:val="nil"/>
              <w:bottom w:val="single" w:sz="8" w:space="0" w:color="ADD6EA"/>
              <w:right w:val="nil"/>
            </w:tcBorders>
            <w:shd w:val="clear" w:color="auto" w:fill="auto"/>
            <w:vAlign w:val="bottom"/>
            <w:hideMark/>
          </w:tcPr>
          <w:p w14:paraId="06CE8BB3"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33.7</w:t>
            </w:r>
          </w:p>
        </w:tc>
      </w:tr>
      <w:tr w:rsidR="00A51B5D" w:rsidRPr="002947AA" w14:paraId="3CD281BB" w14:textId="77777777" w:rsidTr="7E05AE4A">
        <w:trPr>
          <w:trHeight w:val="259"/>
        </w:trPr>
        <w:tc>
          <w:tcPr>
            <w:tcW w:w="1807" w:type="dxa"/>
            <w:tcBorders>
              <w:top w:val="nil"/>
              <w:left w:val="nil"/>
              <w:bottom w:val="nil"/>
              <w:right w:val="nil"/>
            </w:tcBorders>
            <w:shd w:val="clear" w:color="auto" w:fill="B6D5E4"/>
            <w:noWrap/>
            <w:vAlign w:val="center"/>
            <w:hideMark/>
          </w:tcPr>
          <w:p w14:paraId="6312760A" w14:textId="77777777" w:rsidR="00A51B5D" w:rsidRPr="00071AAC" w:rsidRDefault="00A51B5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 </w:t>
            </w:r>
          </w:p>
        </w:tc>
        <w:tc>
          <w:tcPr>
            <w:tcW w:w="894" w:type="dxa"/>
            <w:tcBorders>
              <w:top w:val="nil"/>
              <w:left w:val="nil"/>
              <w:bottom w:val="nil"/>
              <w:right w:val="nil"/>
            </w:tcBorders>
            <w:shd w:val="clear" w:color="auto" w:fill="B6D5E4"/>
            <w:noWrap/>
            <w:vAlign w:val="center"/>
            <w:hideMark/>
          </w:tcPr>
          <w:p w14:paraId="56473DD7" w14:textId="77777777" w:rsidR="00A51B5D" w:rsidRPr="00071AAC" w:rsidRDefault="00A51B5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w:t>
            </w:r>
          </w:p>
        </w:tc>
        <w:tc>
          <w:tcPr>
            <w:tcW w:w="894" w:type="dxa"/>
            <w:tcBorders>
              <w:top w:val="nil"/>
              <w:left w:val="nil"/>
              <w:bottom w:val="nil"/>
              <w:right w:val="nil"/>
            </w:tcBorders>
            <w:shd w:val="clear" w:color="auto" w:fill="B6D5E4"/>
            <w:noWrap/>
            <w:vAlign w:val="center"/>
            <w:hideMark/>
          </w:tcPr>
          <w:p w14:paraId="061C43A4" w14:textId="77777777" w:rsidR="00A51B5D" w:rsidRPr="00071AAC" w:rsidRDefault="00A51B5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w:t>
            </w:r>
          </w:p>
        </w:tc>
        <w:tc>
          <w:tcPr>
            <w:tcW w:w="894" w:type="dxa"/>
            <w:tcBorders>
              <w:top w:val="nil"/>
              <w:left w:val="nil"/>
              <w:bottom w:val="nil"/>
              <w:right w:val="nil"/>
            </w:tcBorders>
            <w:shd w:val="clear" w:color="auto" w:fill="B6D5E4"/>
            <w:noWrap/>
            <w:vAlign w:val="center"/>
            <w:hideMark/>
          </w:tcPr>
          <w:p w14:paraId="055B9897" w14:textId="77777777" w:rsidR="00A51B5D" w:rsidRPr="00071AAC" w:rsidRDefault="00A51B5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w:t>
            </w:r>
          </w:p>
        </w:tc>
        <w:tc>
          <w:tcPr>
            <w:tcW w:w="894" w:type="dxa"/>
            <w:tcBorders>
              <w:top w:val="nil"/>
              <w:left w:val="nil"/>
              <w:bottom w:val="nil"/>
              <w:right w:val="nil"/>
            </w:tcBorders>
            <w:shd w:val="clear" w:color="auto" w:fill="B6D5E4"/>
            <w:noWrap/>
            <w:vAlign w:val="center"/>
            <w:hideMark/>
          </w:tcPr>
          <w:p w14:paraId="25F97A33" w14:textId="77777777" w:rsidR="00A51B5D" w:rsidRPr="00071AAC" w:rsidRDefault="00A51B5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w:t>
            </w:r>
          </w:p>
        </w:tc>
        <w:tc>
          <w:tcPr>
            <w:tcW w:w="894" w:type="dxa"/>
            <w:tcBorders>
              <w:top w:val="nil"/>
              <w:left w:val="nil"/>
              <w:bottom w:val="nil"/>
              <w:right w:val="nil"/>
            </w:tcBorders>
            <w:shd w:val="clear" w:color="auto" w:fill="B6D5E4"/>
            <w:noWrap/>
            <w:vAlign w:val="center"/>
            <w:hideMark/>
          </w:tcPr>
          <w:p w14:paraId="6ED1C9D8" w14:textId="77777777" w:rsidR="00A51B5D" w:rsidRPr="00071AAC" w:rsidRDefault="00A51B5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w:t>
            </w:r>
          </w:p>
        </w:tc>
        <w:tc>
          <w:tcPr>
            <w:tcW w:w="894" w:type="dxa"/>
            <w:tcBorders>
              <w:top w:val="nil"/>
              <w:left w:val="nil"/>
              <w:bottom w:val="nil"/>
              <w:right w:val="nil"/>
            </w:tcBorders>
            <w:shd w:val="clear" w:color="auto" w:fill="B6D5E4"/>
            <w:vAlign w:val="center"/>
          </w:tcPr>
          <w:p w14:paraId="01396313" w14:textId="77777777" w:rsidR="00A51B5D" w:rsidRPr="00071AAC" w:rsidRDefault="00A51B5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w:t>
            </w:r>
          </w:p>
        </w:tc>
        <w:tc>
          <w:tcPr>
            <w:tcW w:w="894" w:type="dxa"/>
            <w:tcBorders>
              <w:top w:val="nil"/>
              <w:left w:val="nil"/>
              <w:bottom w:val="nil"/>
              <w:right w:val="nil"/>
            </w:tcBorders>
            <w:shd w:val="clear" w:color="auto" w:fill="B6D5E4"/>
            <w:noWrap/>
            <w:vAlign w:val="center"/>
            <w:hideMark/>
          </w:tcPr>
          <w:p w14:paraId="119A9045" w14:textId="77777777" w:rsidR="00A51B5D" w:rsidRPr="00071AAC" w:rsidRDefault="00A51B5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w:t>
            </w:r>
          </w:p>
        </w:tc>
        <w:tc>
          <w:tcPr>
            <w:tcW w:w="894" w:type="dxa"/>
            <w:tcBorders>
              <w:top w:val="nil"/>
              <w:left w:val="nil"/>
              <w:bottom w:val="nil"/>
              <w:right w:val="nil"/>
            </w:tcBorders>
            <w:shd w:val="clear" w:color="auto" w:fill="B6D5E4"/>
            <w:noWrap/>
            <w:vAlign w:val="center"/>
            <w:hideMark/>
          </w:tcPr>
          <w:p w14:paraId="719D5BAA" w14:textId="77777777" w:rsidR="00A51B5D" w:rsidRPr="00071AAC" w:rsidRDefault="00A51B5D">
            <w:pPr>
              <w:tabs>
                <w:tab w:val="clear" w:pos="567"/>
              </w:tabs>
              <w:spacing w:before="0" w:line="240" w:lineRule="auto"/>
              <w:jc w:val="right"/>
              <w:rPr>
                <w:rFonts w:ascii="Open Sans Semibold" w:eastAsia="Times New Roman" w:hAnsi="Open Sans Semibold" w:cs="Open Sans Semibold"/>
                <w:color w:val="000000"/>
                <w:sz w:val="16"/>
                <w:szCs w:val="16"/>
                <w:lang w:eastAsia="en-AU"/>
              </w:rPr>
            </w:pPr>
            <w:r w:rsidRPr="7E05AE4A">
              <w:rPr>
                <w:rFonts w:ascii="Open Sans Semibold" w:eastAsia="Times New Roman" w:hAnsi="Open Sans Semibold" w:cs="Open Sans Semibold"/>
                <w:color w:val="000000" w:themeColor="text1"/>
                <w:sz w:val="16"/>
                <w:szCs w:val="16"/>
                <w:lang w:eastAsia="en-AU"/>
              </w:rPr>
              <w:t>%</w:t>
            </w:r>
          </w:p>
        </w:tc>
      </w:tr>
      <w:tr w:rsidR="00A51B5D" w:rsidRPr="002947AA" w14:paraId="0A540E40" w14:textId="77777777" w:rsidTr="0098777C">
        <w:trPr>
          <w:trHeight w:val="315"/>
        </w:trPr>
        <w:tc>
          <w:tcPr>
            <w:tcW w:w="1807" w:type="dxa"/>
            <w:tcBorders>
              <w:top w:val="single" w:sz="8" w:space="0" w:color="ADD6EA"/>
              <w:left w:val="nil"/>
              <w:bottom w:val="single" w:sz="8" w:space="0" w:color="ADD6EA"/>
              <w:right w:val="nil"/>
            </w:tcBorders>
            <w:shd w:val="clear" w:color="auto" w:fill="auto"/>
            <w:vAlign w:val="center"/>
          </w:tcPr>
          <w:p w14:paraId="72C7B3A1" w14:textId="77777777" w:rsidR="00A51B5D" w:rsidRPr="00071AAC" w:rsidRDefault="00A51B5D">
            <w:pPr>
              <w:tabs>
                <w:tab w:val="clear" w:pos="567"/>
              </w:tabs>
              <w:spacing w:before="0" w:line="240" w:lineRule="auto"/>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Percentage of total non-urban train commuters</w:t>
            </w:r>
          </w:p>
        </w:tc>
        <w:tc>
          <w:tcPr>
            <w:tcW w:w="894" w:type="dxa"/>
            <w:tcBorders>
              <w:top w:val="single" w:sz="8" w:space="0" w:color="ADD6EA"/>
              <w:left w:val="nil"/>
              <w:bottom w:val="single" w:sz="8" w:space="0" w:color="ADD6EA"/>
              <w:right w:val="nil"/>
            </w:tcBorders>
            <w:shd w:val="clear" w:color="auto" w:fill="auto"/>
            <w:vAlign w:val="bottom"/>
          </w:tcPr>
          <w:p w14:paraId="72431960"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48.1</w:t>
            </w:r>
          </w:p>
        </w:tc>
        <w:tc>
          <w:tcPr>
            <w:tcW w:w="894" w:type="dxa"/>
            <w:tcBorders>
              <w:top w:val="single" w:sz="8" w:space="0" w:color="ADD6EA"/>
              <w:left w:val="nil"/>
              <w:bottom w:val="single" w:sz="8" w:space="0" w:color="ADD6EA"/>
              <w:right w:val="nil"/>
            </w:tcBorders>
            <w:shd w:val="clear" w:color="auto" w:fill="auto"/>
            <w:vAlign w:val="bottom"/>
          </w:tcPr>
          <w:p w14:paraId="13317BAD"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34.9</w:t>
            </w:r>
          </w:p>
        </w:tc>
        <w:tc>
          <w:tcPr>
            <w:tcW w:w="894" w:type="dxa"/>
            <w:tcBorders>
              <w:top w:val="single" w:sz="8" w:space="0" w:color="ADD6EA"/>
              <w:left w:val="nil"/>
              <w:bottom w:val="single" w:sz="8" w:space="0" w:color="ADD6EA"/>
              <w:right w:val="nil"/>
            </w:tcBorders>
            <w:shd w:val="clear" w:color="auto" w:fill="auto"/>
            <w:vAlign w:val="bottom"/>
          </w:tcPr>
          <w:p w14:paraId="6C6262CD"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13.8</w:t>
            </w:r>
          </w:p>
        </w:tc>
        <w:tc>
          <w:tcPr>
            <w:tcW w:w="894" w:type="dxa"/>
            <w:tcBorders>
              <w:top w:val="single" w:sz="8" w:space="0" w:color="ADD6EA"/>
              <w:left w:val="nil"/>
              <w:bottom w:val="single" w:sz="8" w:space="0" w:color="ADD6EA"/>
              <w:right w:val="nil"/>
            </w:tcBorders>
            <w:shd w:val="clear" w:color="auto" w:fill="auto"/>
            <w:vAlign w:val="bottom"/>
          </w:tcPr>
          <w:p w14:paraId="15755334"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2.2</w:t>
            </w:r>
          </w:p>
        </w:tc>
        <w:tc>
          <w:tcPr>
            <w:tcW w:w="894" w:type="dxa"/>
            <w:tcBorders>
              <w:top w:val="single" w:sz="8" w:space="0" w:color="ADD6EA"/>
              <w:left w:val="nil"/>
              <w:bottom w:val="single" w:sz="8" w:space="0" w:color="ADD6EA"/>
              <w:right w:val="nil"/>
            </w:tcBorders>
            <w:shd w:val="clear" w:color="auto" w:fill="auto"/>
            <w:vAlign w:val="bottom"/>
          </w:tcPr>
          <w:p w14:paraId="5105A7C3"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0.8</w:t>
            </w:r>
          </w:p>
        </w:tc>
        <w:tc>
          <w:tcPr>
            <w:tcW w:w="894" w:type="dxa"/>
            <w:tcBorders>
              <w:top w:val="single" w:sz="8" w:space="0" w:color="ADD6EA"/>
              <w:left w:val="nil"/>
              <w:bottom w:val="single" w:sz="8" w:space="0" w:color="ADD6EA"/>
              <w:right w:val="nil"/>
            </w:tcBorders>
            <w:vAlign w:val="bottom"/>
          </w:tcPr>
          <w:p w14:paraId="6101D4AE"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0.03</w:t>
            </w:r>
          </w:p>
        </w:tc>
        <w:tc>
          <w:tcPr>
            <w:tcW w:w="894" w:type="dxa"/>
            <w:tcBorders>
              <w:top w:val="single" w:sz="8" w:space="0" w:color="ADD6EA"/>
              <w:left w:val="nil"/>
              <w:bottom w:val="single" w:sz="8" w:space="0" w:color="ADD6EA"/>
              <w:right w:val="nil"/>
            </w:tcBorders>
            <w:shd w:val="clear" w:color="auto" w:fill="auto"/>
            <w:vAlign w:val="bottom"/>
          </w:tcPr>
          <w:p w14:paraId="1E49062F"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0.01</w:t>
            </w:r>
          </w:p>
        </w:tc>
        <w:tc>
          <w:tcPr>
            <w:tcW w:w="894" w:type="dxa"/>
            <w:tcBorders>
              <w:top w:val="single" w:sz="8" w:space="0" w:color="ADD6EA"/>
              <w:left w:val="nil"/>
              <w:bottom w:val="single" w:sz="8" w:space="0" w:color="ADD6EA"/>
              <w:right w:val="nil"/>
            </w:tcBorders>
            <w:shd w:val="clear" w:color="auto" w:fill="auto"/>
            <w:vAlign w:val="bottom"/>
          </w:tcPr>
          <w:p w14:paraId="727EECEC" w14:textId="77777777" w:rsidR="00A51B5D" w:rsidRPr="00071AAC" w:rsidRDefault="00A51B5D">
            <w:pPr>
              <w:tabs>
                <w:tab w:val="clear" w:pos="567"/>
              </w:tabs>
              <w:spacing w:before="0" w:line="240" w:lineRule="auto"/>
              <w:jc w:val="right"/>
              <w:rPr>
                <w:rFonts w:eastAsia="Times New Roman" w:cs="Open Sans Light"/>
                <w:color w:val="000000"/>
                <w:sz w:val="16"/>
                <w:szCs w:val="16"/>
                <w:lang w:eastAsia="en-AU"/>
              </w:rPr>
            </w:pPr>
            <w:r w:rsidRPr="7E05AE4A">
              <w:rPr>
                <w:rFonts w:eastAsia="Times New Roman" w:cs="Open Sans Light"/>
                <w:color w:val="000000" w:themeColor="text1"/>
                <w:sz w:val="16"/>
                <w:szCs w:val="16"/>
                <w:lang w:eastAsia="en-AU"/>
              </w:rPr>
              <w:t>100</w:t>
            </w:r>
          </w:p>
        </w:tc>
      </w:tr>
    </w:tbl>
    <w:p w14:paraId="09C163F2" w14:textId="2631EE84" w:rsidR="00A81B19" w:rsidRPr="009145F4" w:rsidRDefault="00A51B5D" w:rsidP="000327F1">
      <w:pPr>
        <w:pStyle w:val="CGCTablenote"/>
        <w:rPr>
          <w:rFonts w:ascii="Work Sans" w:hAnsi="Work Sans"/>
        </w:rPr>
      </w:pPr>
      <w:r w:rsidRPr="009145F4">
        <w:rPr>
          <w:rFonts w:ascii="Work Sans" w:hAnsi="Work Sans"/>
        </w:rPr>
        <w:t>Source: Commission calculation based on ABS 2016 Census data</w:t>
      </w:r>
      <w:r w:rsidR="003240EE" w:rsidRPr="009145F4">
        <w:rPr>
          <w:rFonts w:ascii="Work Sans" w:hAnsi="Work Sans"/>
        </w:rPr>
        <w:t>.</w:t>
      </w:r>
    </w:p>
    <w:p w14:paraId="60A85783" w14:textId="5FEFE80F" w:rsidR="00EC648E" w:rsidRPr="009A413F" w:rsidRDefault="00EC648E" w:rsidP="00AD134C">
      <w:pPr>
        <w:pStyle w:val="CGC2025ParaNumbers"/>
      </w:pPr>
      <w:r w:rsidRPr="009A413F">
        <w:t xml:space="preserve">The primary reason for the interstate pattern shown in Table 10 is the presence of large </w:t>
      </w:r>
      <w:r w:rsidR="0048170D" w:rsidRPr="009A413F">
        <w:t xml:space="preserve">populations </w:t>
      </w:r>
      <w:r w:rsidR="00AE4D53" w:rsidRPr="009A413F">
        <w:t xml:space="preserve">commuting from other </w:t>
      </w:r>
      <w:r w:rsidR="0048170D" w:rsidRPr="009A413F">
        <w:t>urban cent</w:t>
      </w:r>
      <w:r w:rsidR="00AE4D53" w:rsidRPr="009A413F">
        <w:t xml:space="preserve">res to capital cities. </w:t>
      </w:r>
      <w:r w:rsidR="004F224C" w:rsidRPr="009A413F">
        <w:t xml:space="preserve">The main </w:t>
      </w:r>
      <w:r w:rsidR="004F224C" w:rsidRPr="009A413F">
        <w:lastRenderedPageBreak/>
        <w:t xml:space="preserve">centres are </w:t>
      </w:r>
      <w:r w:rsidR="007250A3" w:rsidRPr="009A413F">
        <w:t xml:space="preserve">Central Coast and </w:t>
      </w:r>
      <w:r w:rsidR="002059C5" w:rsidRPr="009A413F">
        <w:t>Wollongong</w:t>
      </w:r>
      <w:r w:rsidR="007250A3" w:rsidRPr="009A413F">
        <w:t xml:space="preserve"> in N</w:t>
      </w:r>
      <w:r w:rsidR="00A7702D" w:rsidRPr="009A413F">
        <w:t xml:space="preserve">ew </w:t>
      </w:r>
      <w:r w:rsidR="007250A3" w:rsidRPr="009A413F">
        <w:t>S</w:t>
      </w:r>
      <w:r w:rsidR="00A7702D" w:rsidRPr="009A413F">
        <w:t xml:space="preserve">outh </w:t>
      </w:r>
      <w:r w:rsidR="007250A3" w:rsidRPr="009A413F">
        <w:t>W</w:t>
      </w:r>
      <w:r w:rsidR="00A7702D" w:rsidRPr="009A413F">
        <w:t>ales</w:t>
      </w:r>
      <w:r w:rsidR="007250A3" w:rsidRPr="009A413F">
        <w:t xml:space="preserve">, Geelong in Victoria and the Gold Coast and </w:t>
      </w:r>
      <w:r w:rsidR="00A7702D" w:rsidRPr="009A413F">
        <w:t>S</w:t>
      </w:r>
      <w:r w:rsidR="007250A3" w:rsidRPr="009A413F">
        <w:t xml:space="preserve">unshine </w:t>
      </w:r>
      <w:r w:rsidR="00A7702D" w:rsidRPr="009A413F">
        <w:t>C</w:t>
      </w:r>
      <w:r w:rsidR="007250A3" w:rsidRPr="009A413F">
        <w:t xml:space="preserve">oast in Queensland. Other </w:t>
      </w:r>
      <w:r w:rsidR="009877F4" w:rsidRPr="009A413F">
        <w:t xml:space="preserve">states do not have large urban centres </w:t>
      </w:r>
      <w:r w:rsidR="00FD4992" w:rsidRPr="009A413F">
        <w:t xml:space="preserve">within commuting distance of their capital cities. </w:t>
      </w:r>
    </w:p>
    <w:p w14:paraId="198D9D4F" w14:textId="08767951" w:rsidR="00AA4E9D" w:rsidRPr="0077225F" w:rsidRDefault="002370A8" w:rsidP="00AD134C">
      <w:pPr>
        <w:pStyle w:val="CGC2025ParaNumbers"/>
      </w:pPr>
      <w:r w:rsidRPr="0077225F">
        <w:t>T</w:t>
      </w:r>
      <w:r w:rsidR="00AD134C" w:rsidRPr="0077225F">
        <w:t>he policy neutrality of such a measure w</w:t>
      </w:r>
      <w:r w:rsidR="00F25A03" w:rsidRPr="0077225F">
        <w:t>as</w:t>
      </w:r>
      <w:r w:rsidR="00AD134C" w:rsidRPr="0077225F">
        <w:t xml:space="preserve"> considered. </w:t>
      </w:r>
      <w:r w:rsidR="00EC3608" w:rsidRPr="0077225F">
        <w:t>T</w:t>
      </w:r>
      <w:r w:rsidR="00AD134C" w:rsidRPr="0077225F">
        <w:t xml:space="preserve">he number of </w:t>
      </w:r>
      <w:r w:rsidR="00BA79F3" w:rsidRPr="0077225F">
        <w:t xml:space="preserve">non-urban </w:t>
      </w:r>
      <w:r w:rsidR="00EC3608" w:rsidRPr="0077225F">
        <w:t xml:space="preserve">passenger rail commuters </w:t>
      </w:r>
      <w:r w:rsidR="00AD134C" w:rsidRPr="0077225F">
        <w:t xml:space="preserve">was determined to be driven </w:t>
      </w:r>
      <w:r w:rsidR="00A97100" w:rsidRPr="0077225F">
        <w:t xml:space="preserve">primarily by </w:t>
      </w:r>
      <w:r w:rsidR="00DD4D83" w:rsidRPr="0077225F">
        <w:t>non-policy factors including</w:t>
      </w:r>
      <w:r w:rsidR="002802C0" w:rsidRPr="0077225F">
        <w:t>:</w:t>
      </w:r>
    </w:p>
    <w:p w14:paraId="5B048AC5" w14:textId="2B30CC98" w:rsidR="00761F1B" w:rsidRPr="0077225F" w:rsidRDefault="00AD134C" w:rsidP="00AA4E9D">
      <w:pPr>
        <w:pStyle w:val="CGC2025Bullet1"/>
      </w:pPr>
      <w:r w:rsidRPr="0077225F">
        <w:t>geographic</w:t>
      </w:r>
      <w:r w:rsidR="1E029D7A" w:rsidRPr="0077225F">
        <w:t xml:space="preserve"> </w:t>
      </w:r>
      <w:r w:rsidR="00D77844" w:rsidRPr="0077225F">
        <w:t>factors</w:t>
      </w:r>
      <w:r w:rsidR="1E029D7A" w:rsidRPr="0077225F">
        <w:t xml:space="preserve"> </w:t>
      </w:r>
      <w:r w:rsidR="6E69A04F" w:rsidRPr="0077225F">
        <w:t>such as the distance between urban fringes, density of the destination city</w:t>
      </w:r>
      <w:r w:rsidR="21DFEDCA" w:rsidRPr="0077225F">
        <w:t>,</w:t>
      </w:r>
      <w:r w:rsidR="00D77844" w:rsidRPr="0077225F">
        <w:t xml:space="preserve"> </w:t>
      </w:r>
      <w:r w:rsidR="6E69A04F" w:rsidRPr="0077225F">
        <w:t>the existing road and rail network</w:t>
      </w:r>
      <w:r w:rsidR="210CA942" w:rsidRPr="0077225F">
        <w:t xml:space="preserve"> and lifestyle factors</w:t>
      </w:r>
      <w:r w:rsidR="0077225F">
        <w:t>.</w:t>
      </w:r>
    </w:p>
    <w:p w14:paraId="0B64D196" w14:textId="22A5D975" w:rsidR="008A0CD9" w:rsidRPr="0077225F" w:rsidRDefault="00AD134C" w:rsidP="00AA4E9D">
      <w:pPr>
        <w:pStyle w:val="CGC2025Bullet1"/>
      </w:pPr>
      <w:r w:rsidRPr="0077225F">
        <w:t>economic factors</w:t>
      </w:r>
      <w:r w:rsidR="7D7F3D01" w:rsidRPr="0077225F">
        <w:t xml:space="preserve"> </w:t>
      </w:r>
      <w:r w:rsidRPr="0077225F">
        <w:t xml:space="preserve">such as </w:t>
      </w:r>
      <w:r w:rsidR="0CEBEC16" w:rsidRPr="0077225F">
        <w:t>industry mix, wage differences and housing costs</w:t>
      </w:r>
      <w:r w:rsidR="008D16E9" w:rsidRPr="0077225F">
        <w:t>.</w:t>
      </w:r>
    </w:p>
    <w:p w14:paraId="00F6AFA9" w14:textId="10B7066A" w:rsidR="00C357C9" w:rsidRPr="0077225F" w:rsidRDefault="00C357C9" w:rsidP="00AD134C">
      <w:pPr>
        <w:pStyle w:val="CGC2025ParaNumbers"/>
      </w:pPr>
      <w:r w:rsidRPr="0077225F">
        <w:t xml:space="preserve">While policy differences, such as in </w:t>
      </w:r>
      <w:r w:rsidR="00F97F63" w:rsidRPr="0077225F">
        <w:t xml:space="preserve">train timetable frequency, </w:t>
      </w:r>
      <w:r w:rsidR="00E6354A" w:rsidRPr="0077225F">
        <w:t>fares</w:t>
      </w:r>
      <w:r w:rsidR="0004735C" w:rsidRPr="0077225F">
        <w:t>, toll prices</w:t>
      </w:r>
      <w:r w:rsidR="00E6354A" w:rsidRPr="0077225F">
        <w:t xml:space="preserve"> an</w:t>
      </w:r>
      <w:r w:rsidR="001C480D" w:rsidRPr="0077225F">
        <w:t xml:space="preserve">d </w:t>
      </w:r>
      <w:r w:rsidR="00002B46" w:rsidRPr="0077225F">
        <w:t>road quality</w:t>
      </w:r>
      <w:r w:rsidR="000D620B" w:rsidRPr="0077225F">
        <w:t>,</w:t>
      </w:r>
      <w:r w:rsidR="00F97F63" w:rsidRPr="0077225F">
        <w:t xml:space="preserve"> may have some impact on passenger numbers, the non-policy factors appear to be </w:t>
      </w:r>
      <w:r w:rsidR="003836B6" w:rsidRPr="0077225F">
        <w:t xml:space="preserve">the dominant drivers. </w:t>
      </w:r>
      <w:r w:rsidR="00631E85" w:rsidRPr="0077225F">
        <w:t xml:space="preserve">The Commission considers that the policy </w:t>
      </w:r>
      <w:r w:rsidR="003643FB" w:rsidRPr="0077225F">
        <w:t>influence</w:t>
      </w:r>
      <w:r w:rsidR="00F60403" w:rsidRPr="0077225F">
        <w:t>s</w:t>
      </w:r>
      <w:r w:rsidR="003643FB" w:rsidRPr="0077225F">
        <w:t xml:space="preserve"> </w:t>
      </w:r>
      <w:r w:rsidR="00763CFD" w:rsidRPr="0077225F">
        <w:t>are</w:t>
      </w:r>
      <w:r w:rsidR="003643FB" w:rsidRPr="0077225F">
        <w:t xml:space="preserve"> relatively </w:t>
      </w:r>
      <w:r w:rsidR="0052325F" w:rsidRPr="0077225F">
        <w:t>minor</w:t>
      </w:r>
      <w:r w:rsidR="008755AA" w:rsidRPr="0077225F">
        <w:t xml:space="preserve">. </w:t>
      </w:r>
    </w:p>
    <w:p w14:paraId="7EA6D9AE" w14:textId="324D4086" w:rsidR="00AD134C" w:rsidRPr="0077225F" w:rsidRDefault="00AD134C" w:rsidP="00AD134C">
      <w:pPr>
        <w:pStyle w:val="CGC2025ParaNumbers"/>
      </w:pPr>
      <w:r w:rsidRPr="0077225F">
        <w:t>When applied to 80% of non</w:t>
      </w:r>
      <w:r w:rsidRPr="0077225F">
        <w:noBreakHyphen/>
        <w:t xml:space="preserve">urban transport expenditure </w:t>
      </w:r>
      <w:r w:rsidR="00C24488" w:rsidRPr="0077225F">
        <w:t xml:space="preserve">an assessment </w:t>
      </w:r>
      <w:r w:rsidR="00587D98" w:rsidRPr="0077225F">
        <w:t>based</w:t>
      </w:r>
      <w:r w:rsidR="003309C3" w:rsidRPr="0077225F">
        <w:t xml:space="preserve"> </w:t>
      </w:r>
      <w:r w:rsidR="0037484E" w:rsidRPr="0077225F">
        <w:t xml:space="preserve">on </w:t>
      </w:r>
      <w:r w:rsidR="003309C3" w:rsidRPr="0077225F">
        <w:t>non</w:t>
      </w:r>
      <w:r w:rsidR="00E4062E" w:rsidRPr="0077225F">
        <w:noBreakHyphen/>
      </w:r>
      <w:r w:rsidR="003309C3" w:rsidRPr="0077225F">
        <w:t>urban rail commuters</w:t>
      </w:r>
      <w:r w:rsidR="00587D98" w:rsidRPr="0077225F">
        <w:t xml:space="preserve"> results in a material</w:t>
      </w:r>
      <w:r w:rsidRPr="0077225F">
        <w:t xml:space="preserve"> difference in GST distribution</w:t>
      </w:r>
      <w:r w:rsidR="0011606D" w:rsidRPr="0077225F">
        <w:t>,</w:t>
      </w:r>
      <w:r w:rsidR="00AD6196" w:rsidRPr="0077225F">
        <w:t xml:space="preserve"> the largest </w:t>
      </w:r>
      <w:r w:rsidR="000B41DD" w:rsidRPr="0077225F">
        <w:t xml:space="preserve">increase in distribution was $31 </w:t>
      </w:r>
      <w:r w:rsidR="00F73AD7" w:rsidRPr="0077225F">
        <w:t>per capita</w:t>
      </w:r>
      <w:r w:rsidR="000B41DD" w:rsidRPr="0077225F">
        <w:t xml:space="preserve"> and the largest </w:t>
      </w:r>
      <w:r w:rsidR="00C847F5" w:rsidRPr="0077225F">
        <w:t>decrease was $71</w:t>
      </w:r>
      <w:r w:rsidR="00E612A4" w:rsidRPr="0077225F">
        <w:t> per capita</w:t>
      </w:r>
      <w:r w:rsidR="000B41DD" w:rsidRPr="0077225F">
        <w:t>.</w:t>
      </w:r>
    </w:p>
    <w:p w14:paraId="1CE25EFB" w14:textId="2FBFF7D0" w:rsidR="004C0DCF" w:rsidRPr="00721638" w:rsidRDefault="00793C9B" w:rsidP="007C61DA">
      <w:pPr>
        <w:pStyle w:val="CGC2025ParaNumbers"/>
      </w:pPr>
      <w:r w:rsidRPr="00721638">
        <w:t>The Commission’s preliminary view i</w:t>
      </w:r>
      <w:r w:rsidR="009738F2" w:rsidRPr="00721638">
        <w:t>s</w:t>
      </w:r>
      <w:r w:rsidRPr="00721638">
        <w:t xml:space="preserve"> to </w:t>
      </w:r>
      <w:r w:rsidR="00121550" w:rsidRPr="00721638">
        <w:t>assess non-urban</w:t>
      </w:r>
      <w:r w:rsidR="00C97CB0" w:rsidRPr="00721638">
        <w:t xml:space="preserve"> </w:t>
      </w:r>
      <w:r w:rsidR="00121550" w:rsidRPr="00721638">
        <w:t xml:space="preserve">passenger </w:t>
      </w:r>
      <w:r w:rsidR="00A93F5D" w:rsidRPr="00721638">
        <w:t xml:space="preserve">rail </w:t>
      </w:r>
      <w:r w:rsidR="00121550" w:rsidRPr="00721638">
        <w:t>expenses using</w:t>
      </w:r>
      <w:r w:rsidR="00C97CB0" w:rsidRPr="00721638">
        <w:t xml:space="preserve"> </w:t>
      </w:r>
      <w:r w:rsidR="003E3D9D" w:rsidRPr="00721638">
        <w:t>a measure based on</w:t>
      </w:r>
      <w:r w:rsidR="00C97CB0" w:rsidRPr="00721638">
        <w:t xml:space="preserve"> non-urban train commuters</w:t>
      </w:r>
      <w:r w:rsidR="005C7FE7" w:rsidRPr="00721638">
        <w:t xml:space="preserve"> as recorded in the 2016</w:t>
      </w:r>
      <w:r w:rsidR="000111E1">
        <w:t> </w:t>
      </w:r>
      <w:r w:rsidR="005C7FE7" w:rsidRPr="00721638">
        <w:t>Census</w:t>
      </w:r>
      <w:r w:rsidR="00A93F5D" w:rsidRPr="00721638">
        <w:t>.</w:t>
      </w:r>
      <w:r w:rsidR="00342B44" w:rsidRPr="00721638">
        <w:t xml:space="preserve"> The </w:t>
      </w:r>
      <w:r w:rsidR="003E3D9D" w:rsidRPr="00721638">
        <w:t xml:space="preserve">data </w:t>
      </w:r>
      <w:r w:rsidR="00342B44" w:rsidRPr="00721638">
        <w:t>will be updated with 2026 Census data</w:t>
      </w:r>
      <w:r w:rsidR="00FE7097" w:rsidRPr="00721638">
        <w:t xml:space="preserve"> when available</w:t>
      </w:r>
      <w:r w:rsidR="00342B44" w:rsidRPr="00721638">
        <w:t>.</w:t>
      </w:r>
      <w:r w:rsidR="0069244F" w:rsidRPr="00721638">
        <w:t xml:space="preserve"> </w:t>
      </w:r>
      <w:r w:rsidR="00A93F5D" w:rsidRPr="00721638">
        <w:t xml:space="preserve">The remaining expenses will be assessed </w:t>
      </w:r>
      <w:r w:rsidR="001B6A09" w:rsidRPr="00721638">
        <w:t>based on populations in non-urban areas</w:t>
      </w:r>
      <w:r w:rsidR="006E654D" w:rsidRPr="00721638">
        <w:t xml:space="preserve"> </w:t>
      </w:r>
      <w:r w:rsidR="00FE7097" w:rsidRPr="00721638">
        <w:t xml:space="preserve">because the majority of these services are used by populations in non-urban areas. </w:t>
      </w:r>
    </w:p>
    <w:p w14:paraId="3D557522" w14:textId="673A32D3" w:rsidR="00FC6DA3" w:rsidRPr="00E46910" w:rsidRDefault="00FC6DA3" w:rsidP="00FC6DA3">
      <w:pPr>
        <w:pStyle w:val="Heading4"/>
      </w:pPr>
      <w:r w:rsidRPr="00E124EF">
        <w:t>Consultation question</w:t>
      </w:r>
    </w:p>
    <w:p w14:paraId="42545265" w14:textId="7B38B3C8" w:rsidR="00FC6DA3" w:rsidRPr="00E53D43" w:rsidRDefault="00FC6DA3" w:rsidP="00A26215">
      <w:pPr>
        <w:pStyle w:val="CGCParaNumber"/>
        <w:ind w:left="0" w:firstLine="0"/>
      </w:pPr>
      <w:r w:rsidRPr="001C4DF3">
        <w:rPr>
          <w:noProof/>
        </w:rPr>
        <mc:AlternateContent>
          <mc:Choice Requires="wps">
            <w:drawing>
              <wp:inline distT="0" distB="0" distL="0" distR="0" wp14:anchorId="21AC16C1" wp14:editId="6ABC3E5A">
                <wp:extent cx="5688965" cy="1085850"/>
                <wp:effectExtent l="0" t="0" r="6985" b="0"/>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8965" cy="1085850"/>
                        </a:xfrm>
                        <a:prstGeom prst="rect">
                          <a:avLst/>
                        </a:prstGeom>
                        <a:solidFill>
                          <a:srgbClr val="EBF3F5"/>
                        </a:solidFill>
                        <a:ln w="25400" cap="flat" cmpd="sng" algn="ctr">
                          <a:noFill/>
                          <a:prstDash val="solid"/>
                        </a:ln>
                        <a:effectLst/>
                      </wps:spPr>
                      <wps:txbx>
                        <w:txbxContent>
                          <w:p w14:paraId="2414171B" w14:textId="77777777" w:rsidR="00672026" w:rsidRPr="004D6439" w:rsidRDefault="00912C1F" w:rsidP="00C24152">
                            <w:pPr>
                              <w:pStyle w:val="CGC2025QuestionNumbers"/>
                            </w:pPr>
                            <w:bookmarkStart w:id="125" w:name="_Hlk136603081"/>
                            <w:bookmarkStart w:id="126" w:name="_Hlk136603082"/>
                            <w:r w:rsidRPr="004D6439">
                              <w:t xml:space="preserve">Do states support </w:t>
                            </w:r>
                            <w:r w:rsidR="00672026" w:rsidRPr="004D6439">
                              <w:t>the following changes to the non-urban transport assessment:</w:t>
                            </w:r>
                          </w:p>
                          <w:p w14:paraId="18934823" w14:textId="017B7AC5" w:rsidR="00A12626" w:rsidRPr="00721638" w:rsidRDefault="00912C1F" w:rsidP="00C24152">
                            <w:pPr>
                              <w:pStyle w:val="CGC2025Bullet1"/>
                            </w:pPr>
                            <w:r w:rsidRPr="00721638">
                              <w:t>assess</w:t>
                            </w:r>
                            <w:r w:rsidR="00A0670F" w:rsidRPr="00721638">
                              <w:t>ing</w:t>
                            </w:r>
                            <w:r w:rsidRPr="00721638">
                              <w:t xml:space="preserve"> </w:t>
                            </w:r>
                            <w:r w:rsidR="00524134" w:rsidRPr="00721638">
                              <w:t xml:space="preserve">non-urban rail passenger expenses </w:t>
                            </w:r>
                            <w:r w:rsidR="002E5C8B" w:rsidRPr="00721638">
                              <w:t>based on</w:t>
                            </w:r>
                            <w:r w:rsidR="003815B8" w:rsidRPr="00721638">
                              <w:t xml:space="preserve"> </w:t>
                            </w:r>
                            <w:r w:rsidR="00C26B28" w:rsidRPr="00721638">
                              <w:t>shares of non-urban train commuters</w:t>
                            </w:r>
                            <w:r w:rsidR="00721638" w:rsidRPr="00721638">
                              <w:t>?</w:t>
                            </w:r>
                          </w:p>
                          <w:p w14:paraId="24D0F631" w14:textId="564C3979" w:rsidR="00EB286C" w:rsidRPr="004D6439" w:rsidRDefault="00435738" w:rsidP="00DF240B">
                            <w:pPr>
                              <w:pStyle w:val="CGC2025Bullet1"/>
                            </w:pPr>
                            <w:r w:rsidRPr="004D6439">
                              <w:t>assess</w:t>
                            </w:r>
                            <w:r w:rsidR="009B7DAB">
                              <w:t>ing</w:t>
                            </w:r>
                            <w:r w:rsidRPr="004D6439">
                              <w:t xml:space="preserve"> </w:t>
                            </w:r>
                            <w:r w:rsidR="00FC5ECB" w:rsidRPr="004D6439">
                              <w:t xml:space="preserve">all </w:t>
                            </w:r>
                            <w:r w:rsidR="007E250B" w:rsidRPr="004D6439">
                              <w:t>remaining expenses</w:t>
                            </w:r>
                            <w:r w:rsidR="002E5C8B" w:rsidRPr="004D6439">
                              <w:t xml:space="preserve"> based on shares of non-urban populations?</w:t>
                            </w:r>
                            <w:bookmarkEnd w:id="125"/>
                            <w:bookmarkEnd w:id="1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1AC16C1" id="Rectangle 4" o:spid="_x0000_s1039" alt="&quot;&quot;" style="width:447.95pt;height:8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" fillcolor="#ebf3f5" stroked="f" strokeweight="2pt">
                <v:textbox>
                  <w:txbxContent>
                    <w:p w14:paraId="2414171B" w14:textId="77777777" w:rsidR="00672026" w:rsidRPr="004D6439" w:rsidRDefault="00912C1F" w:rsidP="00C24152">
                      <w:pPr>
                        <w:pStyle w:val="CGC2025QuestionNumbers"/>
                      </w:pPr>
                      <w:bookmarkStart w:id="127" w:name="_Hlk136603081"/>
                      <w:bookmarkStart w:id="128" w:name="_Hlk136603082"/>
                      <w:r w:rsidRPr="004D6439">
                        <w:t xml:space="preserve">Do states support </w:t>
                      </w:r>
                      <w:r w:rsidR="00672026" w:rsidRPr="004D6439">
                        <w:t>the following changes to the non-urban transport assessment:</w:t>
                      </w:r>
                    </w:p>
                    <w:p w14:paraId="18934823" w14:textId="017B7AC5" w:rsidR="00A12626" w:rsidRPr="00721638" w:rsidRDefault="00912C1F" w:rsidP="00C24152">
                      <w:pPr>
                        <w:pStyle w:val="CGC2025Bullet1"/>
                      </w:pPr>
                      <w:r w:rsidRPr="00721638">
                        <w:t>assess</w:t>
                      </w:r>
                      <w:r w:rsidR="00A0670F" w:rsidRPr="00721638">
                        <w:t>ing</w:t>
                      </w:r>
                      <w:r w:rsidRPr="00721638">
                        <w:t xml:space="preserve"> </w:t>
                      </w:r>
                      <w:r w:rsidR="00524134" w:rsidRPr="00721638">
                        <w:t xml:space="preserve">non-urban rail passenger expenses </w:t>
                      </w:r>
                      <w:r w:rsidR="002E5C8B" w:rsidRPr="00721638">
                        <w:t>based on</w:t>
                      </w:r>
                      <w:r w:rsidR="003815B8" w:rsidRPr="00721638">
                        <w:t xml:space="preserve"> </w:t>
                      </w:r>
                      <w:r w:rsidR="00C26B28" w:rsidRPr="00721638">
                        <w:t>shares of non-urban train commuters</w:t>
                      </w:r>
                      <w:r w:rsidR="00721638" w:rsidRPr="00721638">
                        <w:t>?</w:t>
                      </w:r>
                    </w:p>
                    <w:p w14:paraId="24D0F631" w14:textId="564C3979" w:rsidR="00EB286C" w:rsidRPr="004D6439" w:rsidRDefault="00435738" w:rsidP="00DF240B">
                      <w:pPr>
                        <w:pStyle w:val="CGC2025Bullet1"/>
                      </w:pPr>
                      <w:r w:rsidRPr="004D6439">
                        <w:t>assess</w:t>
                      </w:r>
                      <w:r w:rsidR="009B7DAB">
                        <w:t>ing</w:t>
                      </w:r>
                      <w:r w:rsidRPr="004D6439">
                        <w:t xml:space="preserve"> </w:t>
                      </w:r>
                      <w:r w:rsidR="00FC5ECB" w:rsidRPr="004D6439">
                        <w:t xml:space="preserve">all </w:t>
                      </w:r>
                      <w:r w:rsidR="007E250B" w:rsidRPr="004D6439">
                        <w:t>remaining expenses</w:t>
                      </w:r>
                      <w:r w:rsidR="002E5C8B" w:rsidRPr="004D6439">
                        <w:t xml:space="preserve"> based on shares of non-urban populations?</w:t>
                      </w:r>
                      <w:bookmarkEnd w:id="127"/>
                      <w:bookmarkEnd w:id="128"/>
                    </w:p>
                  </w:txbxContent>
                </v:textbox>
                <w10:anchorlock/>
              </v:rect>
            </w:pict>
          </mc:Fallback>
        </mc:AlternateContent>
      </w:r>
    </w:p>
    <w:p w14:paraId="46CFF6F1" w14:textId="05C13471" w:rsidR="00CC4363" w:rsidRPr="00E80666" w:rsidRDefault="00215F55" w:rsidP="00E442E5">
      <w:pPr>
        <w:pStyle w:val="Heading2"/>
      </w:pPr>
      <w:bookmarkStart w:id="129" w:name="_Toc138691908"/>
      <w:r>
        <w:t>Prop</w:t>
      </w:r>
      <w:r w:rsidR="00AD0D14">
        <w:t>osed assessment</w:t>
      </w:r>
      <w:bookmarkEnd w:id="129"/>
      <w:r w:rsidR="00AD0D14">
        <w:t xml:space="preserve"> </w:t>
      </w:r>
    </w:p>
    <w:p w14:paraId="4313DF6F" w14:textId="6387CFB7" w:rsidR="00ED47FA" w:rsidRPr="004A5593" w:rsidRDefault="00ED47FA" w:rsidP="00ED47FA">
      <w:pPr>
        <w:pStyle w:val="Heading3"/>
      </w:pPr>
      <w:bookmarkStart w:id="130" w:name="_Toc138691909"/>
      <w:r w:rsidRPr="004A5593">
        <w:t>Differences from the 2020 Review approach</w:t>
      </w:r>
      <w:bookmarkEnd w:id="130"/>
    </w:p>
    <w:p w14:paraId="77111D50" w14:textId="373C552E" w:rsidR="00B86D0D" w:rsidRPr="00B86D0D" w:rsidRDefault="003275D8" w:rsidP="007C61DA">
      <w:pPr>
        <w:pStyle w:val="CGC2025ParaNumbers"/>
      </w:pPr>
      <w:r>
        <w:t>Subject to state views, t</w:t>
      </w:r>
      <w:r w:rsidRPr="00B86D0D">
        <w:t>he</w:t>
      </w:r>
      <w:r w:rsidR="00B86D0D" w:rsidRPr="00B86D0D">
        <w:t xml:space="preserve"> Commission </w:t>
      </w:r>
      <w:r w:rsidR="00FB58D6">
        <w:t>propos</w:t>
      </w:r>
      <w:r w:rsidR="006E76D1">
        <w:t>es t</w:t>
      </w:r>
      <w:r w:rsidR="00C57FD7">
        <w:t xml:space="preserve">he </w:t>
      </w:r>
      <w:r w:rsidR="00776C7B">
        <w:t>following changes from the 2020 Review approach</w:t>
      </w:r>
      <w:r w:rsidR="00B86D0D" w:rsidRPr="00B86D0D">
        <w:t>:</w:t>
      </w:r>
    </w:p>
    <w:p w14:paraId="2DE45FF0" w14:textId="7F540B1A" w:rsidR="00C678A6" w:rsidRPr="00304705" w:rsidRDefault="00BA0227" w:rsidP="004F7E37">
      <w:pPr>
        <w:pStyle w:val="CGC2025Bullet1"/>
      </w:pPr>
      <w:r w:rsidRPr="00304705">
        <w:t>u</w:t>
      </w:r>
      <w:r w:rsidR="00440855" w:rsidRPr="00304705">
        <w:t>s</w:t>
      </w:r>
      <w:r w:rsidR="006373E2">
        <w:t>e</w:t>
      </w:r>
      <w:r w:rsidR="00440855" w:rsidRPr="00304705">
        <w:t xml:space="preserve"> B</w:t>
      </w:r>
      <w:r w:rsidR="004D6439" w:rsidRPr="00304705">
        <w:t xml:space="preserve">ureau of Infrastructure and Transport </w:t>
      </w:r>
      <w:r w:rsidR="005A4D8D" w:rsidRPr="00304705">
        <w:t xml:space="preserve">Research </w:t>
      </w:r>
      <w:r w:rsidR="004D6439" w:rsidRPr="00304705">
        <w:t>Economics</w:t>
      </w:r>
      <w:r w:rsidR="00440855" w:rsidRPr="00304705">
        <w:t xml:space="preserve"> data on k</w:t>
      </w:r>
      <w:r w:rsidR="004D6439" w:rsidRPr="00304705">
        <w:t>ilometres</w:t>
      </w:r>
      <w:r w:rsidR="00440855" w:rsidRPr="00304705">
        <w:t xml:space="preserve"> travelled to </w:t>
      </w:r>
      <w:r w:rsidR="00C678A6" w:rsidRPr="00304705">
        <w:t>index Census 2016 journey to work data used to model passenger numbers</w:t>
      </w:r>
      <w:r w:rsidR="007E5AD9" w:rsidRPr="00304705">
        <w:t xml:space="preserve"> if it </w:t>
      </w:r>
      <w:r w:rsidR="00907AA0" w:rsidRPr="00907AA0">
        <w:t>remains</w:t>
      </w:r>
      <w:r w:rsidR="007E5AD9" w:rsidRPr="00304705">
        <w:t xml:space="preserve"> material</w:t>
      </w:r>
      <w:r w:rsidR="005C5813" w:rsidRPr="00304705">
        <w:t xml:space="preserve"> </w:t>
      </w:r>
      <w:r w:rsidR="00D0044E">
        <w:t>in</w:t>
      </w:r>
      <w:r w:rsidR="005C5813" w:rsidRPr="00304705">
        <w:t xml:space="preserve"> the 2025 Review</w:t>
      </w:r>
    </w:p>
    <w:p w14:paraId="2D415886" w14:textId="4132821B" w:rsidR="00C678A6" w:rsidRDefault="00C678A6" w:rsidP="004F7E37">
      <w:pPr>
        <w:pStyle w:val="CGC2025Bullet1"/>
      </w:pPr>
      <w:r>
        <w:t>updat</w:t>
      </w:r>
      <w:r w:rsidR="006373E2">
        <w:t>e</w:t>
      </w:r>
      <w:r>
        <w:t xml:space="preserve"> the data used in the regression model following the 2025 Review when state net expense data are </w:t>
      </w:r>
      <w:r w:rsidR="00735938">
        <w:t>available</w:t>
      </w:r>
    </w:p>
    <w:p w14:paraId="33BF6A55" w14:textId="41D7005F" w:rsidR="0097041A" w:rsidRPr="00B01F45" w:rsidRDefault="00C678A6" w:rsidP="004F7E37">
      <w:pPr>
        <w:pStyle w:val="CGC2025Bullet1"/>
      </w:pPr>
      <w:r w:rsidRPr="00B01F45">
        <w:lastRenderedPageBreak/>
        <w:t>us</w:t>
      </w:r>
      <w:r w:rsidR="006373E2" w:rsidRPr="00B01F45">
        <w:t>e</w:t>
      </w:r>
      <w:r w:rsidRPr="00B01F45">
        <w:t xml:space="preserve"> a regression approach to model passenger numbers</w:t>
      </w:r>
    </w:p>
    <w:p w14:paraId="5583A85D" w14:textId="03D933BE" w:rsidR="005570B1" w:rsidRPr="00B01F45" w:rsidRDefault="0032172F" w:rsidP="004F7E37">
      <w:pPr>
        <w:pStyle w:val="CGC2025Bullet1"/>
      </w:pPr>
      <w:r w:rsidRPr="00B01F45">
        <w:t>u</w:t>
      </w:r>
      <w:r w:rsidR="00925796" w:rsidRPr="00B01F45">
        <w:t xml:space="preserve">se </w:t>
      </w:r>
      <w:r w:rsidR="00360B04" w:rsidRPr="00B01F45">
        <w:t>proportion</w:t>
      </w:r>
      <w:r w:rsidRPr="00B01F45">
        <w:t xml:space="preserve"> of total commuters </w:t>
      </w:r>
      <w:r w:rsidR="00367EAF" w:rsidRPr="00B01F45">
        <w:t>using ferry services</w:t>
      </w:r>
      <w:r w:rsidR="00856FF4" w:rsidRPr="00B01F45">
        <w:t xml:space="preserve"> to capture </w:t>
      </w:r>
      <w:r w:rsidR="00850B03" w:rsidRPr="00B01F45">
        <w:t xml:space="preserve">ferry </w:t>
      </w:r>
      <w:r w:rsidR="00856FF4" w:rsidRPr="00B01F45">
        <w:t>costs</w:t>
      </w:r>
    </w:p>
    <w:p w14:paraId="29C4919B" w14:textId="295507DB" w:rsidR="00B314B9" w:rsidRPr="00304705" w:rsidRDefault="0047057E" w:rsidP="004F7E37">
      <w:pPr>
        <w:pStyle w:val="CGC2025Bullet1"/>
      </w:pPr>
      <w:r w:rsidRPr="00B01F45">
        <w:t>us</w:t>
      </w:r>
      <w:r w:rsidR="006373E2" w:rsidRPr="00B01F45">
        <w:t>e</w:t>
      </w:r>
      <w:r w:rsidRPr="00B01F45">
        <w:t xml:space="preserve"> dat</w:t>
      </w:r>
      <w:r w:rsidR="00723736" w:rsidRPr="00B01F45">
        <w:t xml:space="preserve">a on non-urban passenger </w:t>
      </w:r>
      <w:r w:rsidR="004D6439" w:rsidRPr="00B01F45">
        <w:t xml:space="preserve">rail </w:t>
      </w:r>
      <w:r w:rsidR="00723736" w:rsidRPr="00B01F45">
        <w:t>commuters</w:t>
      </w:r>
      <w:r w:rsidR="00723736" w:rsidRPr="00304705">
        <w:t xml:space="preserve"> to assess expenditure for non-urban passenger rail services with the remaining non-urban transport expenses assessed based on non-urban population share.</w:t>
      </w:r>
    </w:p>
    <w:p w14:paraId="57081BC9" w14:textId="1F43713C" w:rsidR="00E13D70" w:rsidRDefault="00E13D70" w:rsidP="00F019CC">
      <w:pPr>
        <w:pStyle w:val="Heading3"/>
      </w:pPr>
      <w:bookmarkStart w:id="131" w:name="_Toc138691910"/>
      <w:r>
        <w:t>Proposed assessment structure</w:t>
      </w:r>
      <w:bookmarkEnd w:id="131"/>
    </w:p>
    <w:p w14:paraId="01B812EF" w14:textId="55D201FB" w:rsidR="006C5C20" w:rsidRDefault="003356FA" w:rsidP="003B57CB">
      <w:pPr>
        <w:pStyle w:val="CGC2025ParaNumbers"/>
      </w:pPr>
      <w:r>
        <w:fldChar w:fldCharType="begin"/>
      </w:r>
      <w:r>
        <w:instrText xml:space="preserve"> REF _Ref138764199 \h </w:instrText>
      </w:r>
      <w:r>
        <w:fldChar w:fldCharType="separate"/>
      </w:r>
      <w:r w:rsidR="00282693" w:rsidRPr="00BE38F0">
        <w:t xml:space="preserve">Table </w:t>
      </w:r>
      <w:r w:rsidR="00282693">
        <w:rPr>
          <w:noProof/>
        </w:rPr>
        <w:t>11</w:t>
      </w:r>
      <w:r>
        <w:fldChar w:fldCharType="end"/>
      </w:r>
      <w:r w:rsidR="00F94B43">
        <w:t xml:space="preserve"> </w:t>
      </w:r>
      <w:r w:rsidR="00F25221" w:rsidRPr="00F25221">
        <w:t xml:space="preserve">shows the proposed structure of the </w:t>
      </w:r>
      <w:r w:rsidR="00201477">
        <w:t>t</w:t>
      </w:r>
      <w:r w:rsidR="00F25221" w:rsidRPr="00F25221">
        <w:t>ransport assessment for the 2025</w:t>
      </w:r>
      <w:r w:rsidR="00960849">
        <w:t> </w:t>
      </w:r>
      <w:r w:rsidR="00F25221" w:rsidRPr="00F25221">
        <w:t>Review.</w:t>
      </w:r>
    </w:p>
    <w:p w14:paraId="516B4069" w14:textId="04434E60" w:rsidR="00E13D70" w:rsidRPr="00BE38F0" w:rsidRDefault="00BE38F0" w:rsidP="003356FA">
      <w:pPr>
        <w:pStyle w:val="CGC2025Caption"/>
        <w:tabs>
          <w:tab w:val="left" w:pos="1134"/>
        </w:tabs>
      </w:pPr>
      <w:bookmarkStart w:id="132" w:name="_Ref132918052"/>
      <w:bookmarkStart w:id="133" w:name="_Ref138764199"/>
      <w:r w:rsidRPr="00BE38F0">
        <w:t xml:space="preserve">Table </w:t>
      </w:r>
      <w:r>
        <w:fldChar w:fldCharType="begin"/>
      </w:r>
      <w:r>
        <w:instrText>SEQ Table \* ARABIC</w:instrText>
      </w:r>
      <w:r>
        <w:fldChar w:fldCharType="separate"/>
      </w:r>
      <w:r w:rsidR="00282693">
        <w:rPr>
          <w:noProof/>
        </w:rPr>
        <w:t>11</w:t>
      </w:r>
      <w:r>
        <w:fldChar w:fldCharType="end"/>
      </w:r>
      <w:bookmarkEnd w:id="132"/>
      <w:bookmarkEnd w:id="133"/>
      <w:r w:rsidRPr="00BE38F0">
        <w:tab/>
      </w:r>
      <w:r w:rsidR="006C5C20" w:rsidRPr="00BE38F0">
        <w:t xml:space="preserve">Proposed </w:t>
      </w:r>
      <w:r w:rsidR="00BA47AF">
        <w:t>s</w:t>
      </w:r>
      <w:r w:rsidR="006C5C20" w:rsidRPr="00BE38F0">
        <w:t xml:space="preserve">tructure for the </w:t>
      </w:r>
      <w:r w:rsidR="00BA47AF">
        <w:t>t</w:t>
      </w:r>
      <w:r w:rsidR="006C5C20" w:rsidRPr="00BE38F0">
        <w:t xml:space="preserve">ransport </w:t>
      </w:r>
      <w:r w:rsidR="00BA47AF">
        <w:t>a</w:t>
      </w:r>
      <w:r w:rsidR="006C5C20" w:rsidRPr="00BE38F0">
        <w:t>ssessment</w:t>
      </w:r>
    </w:p>
    <w:tbl>
      <w:tblPr>
        <w:tblW w:w="9120" w:type="dxa"/>
        <w:tblLook w:val="04A0" w:firstRow="1" w:lastRow="0" w:firstColumn="1" w:lastColumn="0" w:noHBand="0" w:noVBand="1"/>
      </w:tblPr>
      <w:tblGrid>
        <w:gridCol w:w="1462"/>
        <w:gridCol w:w="290"/>
        <w:gridCol w:w="1638"/>
        <w:gridCol w:w="4195"/>
        <w:gridCol w:w="258"/>
        <w:gridCol w:w="1277"/>
      </w:tblGrid>
      <w:tr w:rsidR="00CB1B34" w:rsidRPr="008650AA" w14:paraId="6F1FEE42" w14:textId="77777777" w:rsidTr="0EE2D66B">
        <w:trPr>
          <w:trHeight w:val="600"/>
        </w:trPr>
        <w:tc>
          <w:tcPr>
            <w:tcW w:w="1462" w:type="dxa"/>
            <w:tcBorders>
              <w:top w:val="nil"/>
              <w:left w:val="nil"/>
              <w:bottom w:val="nil"/>
              <w:right w:val="nil"/>
            </w:tcBorders>
            <w:shd w:val="clear" w:color="auto" w:fill="006991"/>
            <w:vAlign w:val="center"/>
            <w:hideMark/>
          </w:tcPr>
          <w:p w14:paraId="774E0FE6" w14:textId="77777777" w:rsidR="00CB1B34" w:rsidRPr="008650AA" w:rsidRDefault="00CB1B34">
            <w:pPr>
              <w:keepNext/>
              <w:tabs>
                <w:tab w:val="clear" w:pos="567"/>
              </w:tabs>
              <w:spacing w:before="0" w:line="240" w:lineRule="auto"/>
              <w:rPr>
                <w:rFonts w:eastAsia="Times New Roman" w:cs="Open Sans Light"/>
                <w:b/>
                <w:bCs/>
                <w:color w:val="FFFFFF"/>
                <w:sz w:val="16"/>
                <w:szCs w:val="16"/>
                <w:lang w:eastAsia="en-AU"/>
              </w:rPr>
            </w:pPr>
            <w:r w:rsidRPr="008650AA">
              <w:rPr>
                <w:rFonts w:eastAsia="Times New Roman" w:cs="Open Sans Light"/>
                <w:b/>
                <w:bCs/>
                <w:color w:val="FFFFFF"/>
                <w:sz w:val="16"/>
                <w:szCs w:val="16"/>
                <w:lang w:eastAsia="en-AU"/>
              </w:rPr>
              <w:t>Component </w:t>
            </w:r>
          </w:p>
        </w:tc>
        <w:tc>
          <w:tcPr>
            <w:tcW w:w="290" w:type="dxa"/>
            <w:tcBorders>
              <w:top w:val="nil"/>
              <w:left w:val="nil"/>
              <w:bottom w:val="nil"/>
              <w:right w:val="nil"/>
            </w:tcBorders>
            <w:shd w:val="clear" w:color="auto" w:fill="006991"/>
            <w:vAlign w:val="center"/>
            <w:hideMark/>
          </w:tcPr>
          <w:p w14:paraId="08C4EA3C" w14:textId="77777777" w:rsidR="00CB1B34" w:rsidRPr="008650AA" w:rsidRDefault="00CB1B34">
            <w:pPr>
              <w:keepNext/>
              <w:tabs>
                <w:tab w:val="clear" w:pos="567"/>
              </w:tabs>
              <w:spacing w:before="0" w:line="240" w:lineRule="auto"/>
              <w:jc w:val="right"/>
              <w:rPr>
                <w:rFonts w:ascii="Arial" w:eastAsia="Times New Roman" w:hAnsi="Arial" w:cs="Arial"/>
                <w:b/>
                <w:bCs/>
                <w:color w:val="FFFFFF"/>
                <w:sz w:val="16"/>
                <w:szCs w:val="16"/>
                <w:lang w:eastAsia="en-AU"/>
              </w:rPr>
            </w:pPr>
            <w:r w:rsidRPr="008650AA">
              <w:rPr>
                <w:rFonts w:ascii="Arial" w:eastAsia="Times New Roman" w:hAnsi="Arial" w:cs="Arial"/>
                <w:b/>
                <w:bCs/>
                <w:color w:val="FFFFFF"/>
                <w:sz w:val="16"/>
                <w:szCs w:val="16"/>
                <w:lang w:eastAsia="en-AU"/>
              </w:rPr>
              <w:t> </w:t>
            </w:r>
            <w:r w:rsidRPr="008650AA">
              <w:rPr>
                <w:rFonts w:eastAsia="Times New Roman" w:cs="Open Sans Light"/>
                <w:b/>
                <w:bCs/>
                <w:color w:val="FFFFFF"/>
                <w:sz w:val="16"/>
                <w:szCs w:val="16"/>
                <w:lang w:eastAsia="en-AU"/>
              </w:rPr>
              <w:t> </w:t>
            </w:r>
          </w:p>
        </w:tc>
        <w:tc>
          <w:tcPr>
            <w:tcW w:w="1638" w:type="dxa"/>
            <w:tcBorders>
              <w:top w:val="nil"/>
              <w:left w:val="nil"/>
              <w:bottom w:val="nil"/>
              <w:right w:val="nil"/>
            </w:tcBorders>
            <w:shd w:val="clear" w:color="auto" w:fill="006991"/>
            <w:vAlign w:val="center"/>
            <w:hideMark/>
          </w:tcPr>
          <w:p w14:paraId="055AC70F" w14:textId="77777777" w:rsidR="00CB1B34" w:rsidRPr="008650AA" w:rsidRDefault="00CB1B34">
            <w:pPr>
              <w:keepNext/>
              <w:tabs>
                <w:tab w:val="clear" w:pos="567"/>
              </w:tabs>
              <w:spacing w:before="0" w:line="240" w:lineRule="auto"/>
              <w:rPr>
                <w:rFonts w:eastAsia="Times New Roman" w:cs="Open Sans Light"/>
                <w:b/>
                <w:bCs/>
                <w:color w:val="FFFFFF"/>
                <w:sz w:val="16"/>
                <w:szCs w:val="16"/>
                <w:lang w:eastAsia="en-AU"/>
              </w:rPr>
            </w:pPr>
            <w:r w:rsidRPr="008650AA">
              <w:rPr>
                <w:rFonts w:eastAsia="Times New Roman" w:cs="Open Sans Light"/>
                <w:b/>
                <w:bCs/>
                <w:color w:val="FFFFFF"/>
                <w:sz w:val="16"/>
                <w:szCs w:val="16"/>
                <w:lang w:eastAsia="en-AU"/>
              </w:rPr>
              <w:t>Driver </w:t>
            </w:r>
          </w:p>
        </w:tc>
        <w:tc>
          <w:tcPr>
            <w:tcW w:w="4195" w:type="dxa"/>
            <w:tcBorders>
              <w:top w:val="nil"/>
              <w:left w:val="nil"/>
              <w:bottom w:val="nil"/>
              <w:right w:val="nil"/>
            </w:tcBorders>
            <w:shd w:val="clear" w:color="auto" w:fill="006991"/>
            <w:vAlign w:val="center"/>
            <w:hideMark/>
          </w:tcPr>
          <w:p w14:paraId="069333F7" w14:textId="77777777" w:rsidR="00CB1B34" w:rsidRPr="008650AA" w:rsidRDefault="00CB1B34">
            <w:pPr>
              <w:keepNext/>
              <w:tabs>
                <w:tab w:val="clear" w:pos="567"/>
              </w:tabs>
              <w:spacing w:before="0" w:line="240" w:lineRule="auto"/>
              <w:rPr>
                <w:rFonts w:eastAsia="Times New Roman" w:cs="Open Sans Light"/>
                <w:b/>
                <w:bCs/>
                <w:color w:val="FFFFFF"/>
                <w:sz w:val="16"/>
                <w:szCs w:val="16"/>
                <w:lang w:eastAsia="en-AU"/>
              </w:rPr>
            </w:pPr>
            <w:r w:rsidRPr="008650AA">
              <w:rPr>
                <w:rFonts w:eastAsia="Times New Roman" w:cs="Open Sans Light"/>
                <w:b/>
                <w:bCs/>
                <w:color w:val="FFFFFF"/>
                <w:sz w:val="16"/>
                <w:szCs w:val="16"/>
                <w:lang w:eastAsia="en-AU"/>
              </w:rPr>
              <w:t>Influence measured by driver </w:t>
            </w:r>
          </w:p>
        </w:tc>
        <w:tc>
          <w:tcPr>
            <w:tcW w:w="258" w:type="dxa"/>
            <w:tcBorders>
              <w:top w:val="nil"/>
              <w:left w:val="nil"/>
              <w:bottom w:val="nil"/>
              <w:right w:val="nil"/>
            </w:tcBorders>
            <w:shd w:val="clear" w:color="auto" w:fill="006991"/>
            <w:vAlign w:val="center"/>
            <w:hideMark/>
          </w:tcPr>
          <w:p w14:paraId="583D2FF8" w14:textId="77777777" w:rsidR="00CB1B34" w:rsidRPr="008650AA" w:rsidRDefault="00CB1B34">
            <w:pPr>
              <w:keepNext/>
              <w:tabs>
                <w:tab w:val="clear" w:pos="567"/>
              </w:tabs>
              <w:spacing w:before="0" w:line="240" w:lineRule="auto"/>
              <w:rPr>
                <w:rFonts w:eastAsia="Times New Roman" w:cs="Open Sans Light"/>
                <w:b/>
                <w:bCs/>
                <w:color w:val="FFFFFF"/>
                <w:sz w:val="16"/>
                <w:szCs w:val="16"/>
                <w:lang w:eastAsia="en-AU"/>
              </w:rPr>
            </w:pPr>
            <w:r w:rsidRPr="008650AA">
              <w:rPr>
                <w:rFonts w:eastAsia="Times New Roman" w:cs="Open Sans Light"/>
                <w:b/>
                <w:bCs/>
                <w:color w:val="FFFFFF"/>
                <w:sz w:val="16"/>
                <w:szCs w:val="16"/>
                <w:lang w:eastAsia="en-AU"/>
              </w:rPr>
              <w:t> </w:t>
            </w:r>
          </w:p>
        </w:tc>
        <w:tc>
          <w:tcPr>
            <w:tcW w:w="1277" w:type="dxa"/>
            <w:tcBorders>
              <w:top w:val="nil"/>
              <w:left w:val="nil"/>
              <w:bottom w:val="nil"/>
              <w:right w:val="nil"/>
            </w:tcBorders>
            <w:shd w:val="clear" w:color="auto" w:fill="006991"/>
            <w:vAlign w:val="center"/>
            <w:hideMark/>
          </w:tcPr>
          <w:p w14:paraId="3E662180" w14:textId="77777777" w:rsidR="00CB1B34" w:rsidRPr="008650AA" w:rsidRDefault="00CB1B34">
            <w:pPr>
              <w:keepNext/>
              <w:tabs>
                <w:tab w:val="clear" w:pos="567"/>
              </w:tabs>
              <w:spacing w:before="0" w:line="240" w:lineRule="auto"/>
              <w:jc w:val="center"/>
              <w:rPr>
                <w:rFonts w:eastAsia="Times New Roman" w:cs="Open Sans Light"/>
                <w:b/>
                <w:bCs/>
                <w:color w:val="FFFFFF"/>
                <w:sz w:val="16"/>
                <w:szCs w:val="16"/>
                <w:lang w:eastAsia="en-AU"/>
              </w:rPr>
            </w:pPr>
            <w:r w:rsidRPr="008650AA">
              <w:rPr>
                <w:rFonts w:eastAsia="Times New Roman" w:cs="Open Sans Light"/>
                <w:b/>
                <w:bCs/>
                <w:color w:val="FFFFFF"/>
                <w:sz w:val="16"/>
                <w:szCs w:val="16"/>
                <w:lang w:eastAsia="en-AU"/>
              </w:rPr>
              <w:t>Change since 2020 Review?</w:t>
            </w:r>
          </w:p>
        </w:tc>
      </w:tr>
      <w:tr w:rsidR="00CB1B34" w:rsidRPr="008650AA" w14:paraId="35A6F00A" w14:textId="77777777">
        <w:trPr>
          <w:trHeight w:val="555"/>
        </w:trPr>
        <w:tc>
          <w:tcPr>
            <w:tcW w:w="1462" w:type="dxa"/>
            <w:tcBorders>
              <w:top w:val="single" w:sz="4" w:space="0" w:color="DDEBF7"/>
              <w:left w:val="nil"/>
              <w:bottom w:val="nil"/>
              <w:right w:val="nil"/>
            </w:tcBorders>
            <w:shd w:val="clear" w:color="auto" w:fill="auto"/>
            <w:hideMark/>
          </w:tcPr>
          <w:p w14:paraId="3704541C"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Urban transport</w:t>
            </w:r>
            <w:r w:rsidRPr="008650AA">
              <w:rPr>
                <w:rFonts w:eastAsia="Times New Roman" w:cs="Open Sans Light"/>
                <w:color w:val="000000"/>
                <w:sz w:val="16"/>
                <w:szCs w:val="16"/>
                <w:lang w:eastAsia="en-AU"/>
              </w:rPr>
              <w:t> </w:t>
            </w:r>
          </w:p>
        </w:tc>
        <w:tc>
          <w:tcPr>
            <w:tcW w:w="290" w:type="dxa"/>
            <w:tcBorders>
              <w:top w:val="single" w:sz="4" w:space="0" w:color="DDEBF7"/>
              <w:left w:val="nil"/>
              <w:bottom w:val="single" w:sz="4" w:space="0" w:color="DDEBF7"/>
              <w:right w:val="nil"/>
            </w:tcBorders>
            <w:shd w:val="clear" w:color="auto" w:fill="auto"/>
            <w:hideMark/>
          </w:tcPr>
          <w:p w14:paraId="3C1B9302" w14:textId="77777777" w:rsidR="00CB1B34" w:rsidRPr="008650AA" w:rsidRDefault="00CB1B34">
            <w:pPr>
              <w:keepNext/>
              <w:tabs>
                <w:tab w:val="clear" w:pos="567"/>
              </w:tabs>
              <w:spacing w:before="0" w:line="240" w:lineRule="auto"/>
              <w:jc w:val="right"/>
              <w:rPr>
                <w:rFonts w:ascii="Arial" w:eastAsia="Times New Roman" w:hAnsi="Arial" w:cs="Arial"/>
                <w:color w:val="000000"/>
                <w:sz w:val="16"/>
                <w:szCs w:val="16"/>
                <w:lang w:eastAsia="en-AU"/>
              </w:rPr>
            </w:pPr>
            <w:r w:rsidRPr="008650AA">
              <w:rPr>
                <w:rFonts w:ascii="Arial" w:eastAsia="Times New Roman" w:hAnsi="Arial" w:cs="Arial"/>
                <w:color w:val="000000"/>
                <w:sz w:val="16"/>
                <w:szCs w:val="16"/>
                <w:lang w:eastAsia="en-AU"/>
              </w:rPr>
              <w:t> </w:t>
            </w:r>
            <w:r w:rsidRPr="008650AA">
              <w:rPr>
                <w:rFonts w:eastAsia="Times New Roman" w:cs="Open Sans Light"/>
                <w:color w:val="000000"/>
                <w:sz w:val="16"/>
                <w:szCs w:val="16"/>
                <w:lang w:eastAsia="en-AU"/>
              </w:rPr>
              <w:t> </w:t>
            </w:r>
          </w:p>
        </w:tc>
        <w:tc>
          <w:tcPr>
            <w:tcW w:w="1638" w:type="dxa"/>
            <w:tcBorders>
              <w:top w:val="single" w:sz="4" w:space="0" w:color="DDEBF7"/>
              <w:left w:val="nil"/>
              <w:bottom w:val="single" w:sz="4" w:space="0" w:color="DDEBF7"/>
              <w:right w:val="nil"/>
            </w:tcBorders>
            <w:shd w:val="clear" w:color="auto" w:fill="auto"/>
            <w:hideMark/>
          </w:tcPr>
          <w:p w14:paraId="08E38F98"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Urban centre characteristics</w:t>
            </w:r>
            <w:r w:rsidRPr="008650AA">
              <w:rPr>
                <w:rFonts w:eastAsia="Times New Roman" w:cs="Open Sans Light"/>
                <w:color w:val="000000"/>
                <w:sz w:val="16"/>
                <w:szCs w:val="16"/>
                <w:lang w:eastAsia="en-AU"/>
              </w:rPr>
              <w:t> </w:t>
            </w:r>
            <w:r>
              <w:rPr>
                <w:rFonts w:eastAsia="Times New Roman" w:cs="Open Sans Light"/>
                <w:color w:val="000000"/>
                <w:sz w:val="16"/>
                <w:szCs w:val="16"/>
                <w:lang w:eastAsia="en-AU"/>
              </w:rPr>
              <w:t>(a)</w:t>
            </w:r>
          </w:p>
        </w:tc>
        <w:tc>
          <w:tcPr>
            <w:tcW w:w="4195" w:type="dxa"/>
            <w:tcBorders>
              <w:top w:val="single" w:sz="4" w:space="0" w:color="DDEBF7"/>
              <w:left w:val="nil"/>
              <w:bottom w:val="single" w:sz="4" w:space="0" w:color="DDEBF7"/>
              <w:right w:val="nil"/>
            </w:tcBorders>
            <w:shd w:val="clear" w:color="auto" w:fill="auto"/>
            <w:hideMark/>
          </w:tcPr>
          <w:p w14:paraId="1D0861DC" w14:textId="2B18D971"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 xml:space="preserve">Recognises that the use and cost of services varies by </w:t>
            </w:r>
            <w:r>
              <w:rPr>
                <w:rFonts w:eastAsia="Times New Roman" w:cs="Open Sans Light"/>
                <w:color w:val="000000"/>
                <w:sz w:val="16"/>
                <w:szCs w:val="16"/>
                <w:lang w:eastAsia="en-AU"/>
              </w:rPr>
              <w:t>population-weighted density, use and presence of a public transport mode, distance to work and topography</w:t>
            </w:r>
          </w:p>
        </w:tc>
        <w:tc>
          <w:tcPr>
            <w:tcW w:w="258" w:type="dxa"/>
            <w:tcBorders>
              <w:top w:val="single" w:sz="4" w:space="0" w:color="DDEBF7"/>
              <w:left w:val="nil"/>
              <w:bottom w:val="single" w:sz="4" w:space="0" w:color="DDEBF7"/>
              <w:right w:val="nil"/>
            </w:tcBorders>
            <w:shd w:val="clear" w:color="auto" w:fill="auto"/>
            <w:hideMark/>
          </w:tcPr>
          <w:p w14:paraId="659EEBC4"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 </w:t>
            </w:r>
          </w:p>
        </w:tc>
        <w:tc>
          <w:tcPr>
            <w:tcW w:w="1277" w:type="dxa"/>
            <w:tcBorders>
              <w:top w:val="single" w:sz="4" w:space="0" w:color="DDEBF7"/>
              <w:left w:val="nil"/>
              <w:bottom w:val="single" w:sz="4" w:space="0" w:color="DDEBF7"/>
              <w:right w:val="nil"/>
            </w:tcBorders>
            <w:shd w:val="clear" w:color="auto" w:fill="auto"/>
            <w:hideMark/>
          </w:tcPr>
          <w:p w14:paraId="1CC7BCE9" w14:textId="77777777" w:rsidR="00CB1B34" w:rsidRPr="008650AA" w:rsidRDefault="00CB1B34">
            <w:pPr>
              <w:keepNext/>
              <w:tabs>
                <w:tab w:val="clear" w:pos="567"/>
              </w:tabs>
              <w:spacing w:before="0" w:line="240" w:lineRule="auto"/>
              <w:jc w:val="center"/>
              <w:rPr>
                <w:rFonts w:eastAsia="Times New Roman" w:cs="Open Sans Light"/>
                <w:color w:val="000000"/>
                <w:sz w:val="16"/>
                <w:szCs w:val="16"/>
                <w:lang w:eastAsia="en-AU"/>
              </w:rPr>
            </w:pPr>
            <w:r>
              <w:rPr>
                <w:rFonts w:eastAsia="Times New Roman" w:cs="Open Sans Light"/>
                <w:color w:val="000000"/>
                <w:sz w:val="16"/>
                <w:szCs w:val="16"/>
                <w:lang w:eastAsia="en-AU"/>
              </w:rPr>
              <w:t>Yes</w:t>
            </w:r>
          </w:p>
        </w:tc>
      </w:tr>
      <w:tr w:rsidR="00CB1B34" w:rsidRPr="008650AA" w14:paraId="5B4C9938" w14:textId="77777777">
        <w:trPr>
          <w:trHeight w:val="555"/>
        </w:trPr>
        <w:tc>
          <w:tcPr>
            <w:tcW w:w="1462" w:type="dxa"/>
            <w:tcBorders>
              <w:top w:val="nil"/>
              <w:left w:val="nil"/>
              <w:bottom w:val="nil"/>
              <w:right w:val="nil"/>
            </w:tcBorders>
            <w:shd w:val="clear" w:color="auto" w:fill="auto"/>
            <w:hideMark/>
          </w:tcPr>
          <w:p w14:paraId="60538EB7" w14:textId="77777777" w:rsidR="00CB1B34" w:rsidRPr="008650AA" w:rsidRDefault="00CB1B34">
            <w:pPr>
              <w:keepNext/>
              <w:tabs>
                <w:tab w:val="clear" w:pos="567"/>
              </w:tabs>
              <w:spacing w:before="0" w:line="240" w:lineRule="auto"/>
              <w:jc w:val="center"/>
              <w:rPr>
                <w:rFonts w:eastAsia="Times New Roman" w:cs="Open Sans Light"/>
                <w:color w:val="000000"/>
                <w:sz w:val="16"/>
                <w:szCs w:val="16"/>
                <w:lang w:eastAsia="en-AU"/>
              </w:rPr>
            </w:pPr>
          </w:p>
        </w:tc>
        <w:tc>
          <w:tcPr>
            <w:tcW w:w="290" w:type="dxa"/>
            <w:tcBorders>
              <w:top w:val="nil"/>
              <w:left w:val="nil"/>
              <w:bottom w:val="single" w:sz="4" w:space="0" w:color="DDEBF7"/>
              <w:right w:val="nil"/>
            </w:tcBorders>
            <w:shd w:val="clear" w:color="auto" w:fill="auto"/>
            <w:hideMark/>
          </w:tcPr>
          <w:p w14:paraId="0096EF95" w14:textId="77777777" w:rsidR="00CB1B34" w:rsidRPr="008650AA" w:rsidRDefault="00CB1B34">
            <w:pPr>
              <w:keepNext/>
              <w:tabs>
                <w:tab w:val="clear" w:pos="567"/>
              </w:tabs>
              <w:spacing w:before="0" w:line="240" w:lineRule="auto"/>
              <w:jc w:val="right"/>
              <w:rPr>
                <w:rFonts w:ascii="Arial" w:eastAsia="Times New Roman" w:hAnsi="Arial" w:cs="Arial"/>
                <w:color w:val="000000"/>
                <w:sz w:val="16"/>
                <w:szCs w:val="16"/>
                <w:lang w:eastAsia="en-AU"/>
              </w:rPr>
            </w:pPr>
            <w:r w:rsidRPr="008650AA">
              <w:rPr>
                <w:rFonts w:ascii="Arial" w:eastAsia="Times New Roman" w:hAnsi="Arial" w:cs="Arial"/>
                <w:color w:val="000000"/>
                <w:sz w:val="16"/>
                <w:szCs w:val="16"/>
                <w:lang w:eastAsia="en-AU"/>
              </w:rPr>
              <w:t> </w:t>
            </w:r>
            <w:r w:rsidRPr="008650AA">
              <w:rPr>
                <w:rFonts w:eastAsia="Times New Roman" w:cs="Open Sans Light"/>
                <w:color w:val="000000"/>
                <w:sz w:val="16"/>
                <w:szCs w:val="16"/>
                <w:lang w:eastAsia="en-AU"/>
              </w:rPr>
              <w:t> </w:t>
            </w:r>
          </w:p>
        </w:tc>
        <w:tc>
          <w:tcPr>
            <w:tcW w:w="1638" w:type="dxa"/>
            <w:tcBorders>
              <w:top w:val="nil"/>
              <w:left w:val="nil"/>
              <w:bottom w:val="single" w:sz="4" w:space="0" w:color="DDEBF7"/>
              <w:right w:val="nil"/>
            </w:tcBorders>
            <w:shd w:val="clear" w:color="auto" w:fill="auto"/>
            <w:hideMark/>
          </w:tcPr>
          <w:p w14:paraId="3971C63A"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Urban population</w:t>
            </w:r>
          </w:p>
        </w:tc>
        <w:tc>
          <w:tcPr>
            <w:tcW w:w="4195" w:type="dxa"/>
            <w:tcBorders>
              <w:top w:val="nil"/>
              <w:left w:val="nil"/>
              <w:bottom w:val="single" w:sz="4" w:space="0" w:color="DDEBF7"/>
              <w:right w:val="nil"/>
            </w:tcBorders>
            <w:shd w:val="clear" w:color="auto" w:fill="auto"/>
            <w:hideMark/>
          </w:tcPr>
          <w:p w14:paraId="5CCE6128"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 xml:space="preserve">Recognises that </w:t>
            </w:r>
            <w:r>
              <w:rPr>
                <w:rFonts w:eastAsia="Times New Roman" w:cs="Open Sans Light"/>
                <w:color w:val="000000"/>
                <w:sz w:val="16"/>
                <w:szCs w:val="16"/>
                <w:lang w:eastAsia="en-AU"/>
              </w:rPr>
              <w:t>urban transport services vary by the share of the state population living in urban areas</w:t>
            </w:r>
          </w:p>
        </w:tc>
        <w:tc>
          <w:tcPr>
            <w:tcW w:w="258" w:type="dxa"/>
            <w:tcBorders>
              <w:top w:val="nil"/>
              <w:left w:val="nil"/>
              <w:bottom w:val="single" w:sz="4" w:space="0" w:color="DDEBF7"/>
              <w:right w:val="nil"/>
            </w:tcBorders>
            <w:shd w:val="clear" w:color="auto" w:fill="auto"/>
            <w:hideMark/>
          </w:tcPr>
          <w:p w14:paraId="747228C6"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 </w:t>
            </w:r>
          </w:p>
        </w:tc>
        <w:tc>
          <w:tcPr>
            <w:tcW w:w="1277" w:type="dxa"/>
            <w:tcBorders>
              <w:top w:val="nil"/>
              <w:left w:val="nil"/>
              <w:bottom w:val="single" w:sz="4" w:space="0" w:color="DDEBF7"/>
              <w:right w:val="nil"/>
            </w:tcBorders>
            <w:shd w:val="clear" w:color="auto" w:fill="auto"/>
            <w:hideMark/>
          </w:tcPr>
          <w:p w14:paraId="5A932DB0" w14:textId="77777777" w:rsidR="00CB1B34" w:rsidRPr="008650AA" w:rsidRDefault="00CB1B34">
            <w:pPr>
              <w:keepNext/>
              <w:tabs>
                <w:tab w:val="clear" w:pos="567"/>
              </w:tabs>
              <w:spacing w:before="0" w:line="240" w:lineRule="auto"/>
              <w:jc w:val="center"/>
              <w:rPr>
                <w:rFonts w:eastAsia="Times New Roman" w:cs="Open Sans Light"/>
                <w:color w:val="000000"/>
                <w:sz w:val="16"/>
                <w:szCs w:val="16"/>
                <w:lang w:eastAsia="en-AU"/>
              </w:rPr>
            </w:pPr>
            <w:r w:rsidRPr="008650AA">
              <w:rPr>
                <w:rFonts w:eastAsia="Times New Roman" w:cs="Open Sans Light"/>
                <w:color w:val="000000"/>
                <w:sz w:val="16"/>
                <w:szCs w:val="16"/>
                <w:lang w:eastAsia="en-AU"/>
              </w:rPr>
              <w:t>No</w:t>
            </w:r>
          </w:p>
        </w:tc>
      </w:tr>
      <w:tr w:rsidR="00CB1B34" w:rsidRPr="008650AA" w14:paraId="78E05885" w14:textId="77777777">
        <w:trPr>
          <w:trHeight w:val="300"/>
        </w:trPr>
        <w:tc>
          <w:tcPr>
            <w:tcW w:w="1462" w:type="dxa"/>
            <w:tcBorders>
              <w:top w:val="nil"/>
              <w:left w:val="nil"/>
              <w:bottom w:val="single" w:sz="4" w:space="0" w:color="DDEBF7"/>
              <w:right w:val="nil"/>
            </w:tcBorders>
            <w:shd w:val="clear" w:color="auto" w:fill="auto"/>
            <w:hideMark/>
          </w:tcPr>
          <w:p w14:paraId="249EE2D8"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 </w:t>
            </w:r>
          </w:p>
        </w:tc>
        <w:tc>
          <w:tcPr>
            <w:tcW w:w="290" w:type="dxa"/>
            <w:tcBorders>
              <w:top w:val="nil"/>
              <w:left w:val="nil"/>
              <w:bottom w:val="single" w:sz="4" w:space="0" w:color="DDEBF7"/>
              <w:right w:val="nil"/>
            </w:tcBorders>
            <w:shd w:val="clear" w:color="auto" w:fill="auto"/>
            <w:hideMark/>
          </w:tcPr>
          <w:p w14:paraId="7E7148B7" w14:textId="77777777" w:rsidR="00CB1B34" w:rsidRPr="008650AA" w:rsidRDefault="00CB1B34">
            <w:pPr>
              <w:keepNext/>
              <w:tabs>
                <w:tab w:val="clear" w:pos="567"/>
              </w:tabs>
              <w:spacing w:before="0" w:line="240" w:lineRule="auto"/>
              <w:jc w:val="right"/>
              <w:rPr>
                <w:rFonts w:eastAsia="Times New Roman" w:cs="Open Sans Light"/>
                <w:color w:val="000000"/>
                <w:sz w:val="16"/>
                <w:szCs w:val="16"/>
                <w:lang w:eastAsia="en-AU"/>
              </w:rPr>
            </w:pPr>
            <w:r w:rsidRPr="008650AA">
              <w:rPr>
                <w:rFonts w:eastAsia="Times New Roman" w:cs="Open Sans Light"/>
                <w:color w:val="000000"/>
                <w:sz w:val="16"/>
                <w:szCs w:val="16"/>
                <w:lang w:eastAsia="en-AU"/>
              </w:rPr>
              <w:t> </w:t>
            </w:r>
          </w:p>
        </w:tc>
        <w:tc>
          <w:tcPr>
            <w:tcW w:w="1638" w:type="dxa"/>
            <w:tcBorders>
              <w:top w:val="nil"/>
              <w:left w:val="nil"/>
              <w:bottom w:val="single" w:sz="4" w:space="0" w:color="DDEBF7"/>
              <w:right w:val="nil"/>
            </w:tcBorders>
            <w:shd w:val="clear" w:color="auto" w:fill="auto"/>
            <w:hideMark/>
          </w:tcPr>
          <w:p w14:paraId="5AFF82EC"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Wage costs</w:t>
            </w:r>
            <w:r>
              <w:rPr>
                <w:rFonts w:eastAsia="Times New Roman" w:cs="Open Sans Light"/>
                <w:color w:val="000000"/>
                <w:sz w:val="16"/>
                <w:szCs w:val="16"/>
                <w:lang w:eastAsia="en-AU"/>
              </w:rPr>
              <w:t xml:space="preserve"> (b)</w:t>
            </w:r>
            <w:r w:rsidRPr="008650AA">
              <w:rPr>
                <w:rFonts w:eastAsia="Times New Roman" w:cs="Open Sans Light"/>
                <w:color w:val="000000"/>
                <w:sz w:val="16"/>
                <w:szCs w:val="16"/>
                <w:lang w:eastAsia="en-AU"/>
              </w:rPr>
              <w:t> </w:t>
            </w:r>
          </w:p>
        </w:tc>
        <w:tc>
          <w:tcPr>
            <w:tcW w:w="4195" w:type="dxa"/>
            <w:tcBorders>
              <w:top w:val="nil"/>
              <w:left w:val="nil"/>
              <w:bottom w:val="single" w:sz="4" w:space="0" w:color="DDEBF7"/>
              <w:right w:val="nil"/>
            </w:tcBorders>
            <w:shd w:val="clear" w:color="auto" w:fill="auto"/>
            <w:hideMark/>
          </w:tcPr>
          <w:p w14:paraId="174E8E0D"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Recognises differences in wage costs between states</w:t>
            </w:r>
          </w:p>
        </w:tc>
        <w:tc>
          <w:tcPr>
            <w:tcW w:w="258" w:type="dxa"/>
            <w:tcBorders>
              <w:top w:val="nil"/>
              <w:left w:val="nil"/>
              <w:bottom w:val="single" w:sz="4" w:space="0" w:color="DDEBF7"/>
              <w:right w:val="nil"/>
            </w:tcBorders>
            <w:shd w:val="clear" w:color="auto" w:fill="auto"/>
            <w:hideMark/>
          </w:tcPr>
          <w:p w14:paraId="3BAC34EE"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 </w:t>
            </w:r>
          </w:p>
        </w:tc>
        <w:tc>
          <w:tcPr>
            <w:tcW w:w="1277" w:type="dxa"/>
            <w:tcBorders>
              <w:top w:val="nil"/>
              <w:left w:val="nil"/>
              <w:bottom w:val="single" w:sz="4" w:space="0" w:color="DDEBF7"/>
              <w:right w:val="nil"/>
            </w:tcBorders>
            <w:shd w:val="clear" w:color="auto" w:fill="auto"/>
            <w:hideMark/>
          </w:tcPr>
          <w:p w14:paraId="58776EBE" w14:textId="77777777" w:rsidR="00CB1B34" w:rsidRPr="008650AA" w:rsidRDefault="00CB1B34">
            <w:pPr>
              <w:keepNext/>
              <w:tabs>
                <w:tab w:val="clear" w:pos="567"/>
              </w:tabs>
              <w:spacing w:before="0" w:line="240" w:lineRule="auto"/>
              <w:jc w:val="center"/>
              <w:rPr>
                <w:rFonts w:eastAsia="Times New Roman" w:cs="Open Sans Light"/>
                <w:color w:val="000000"/>
                <w:sz w:val="16"/>
                <w:szCs w:val="16"/>
                <w:lang w:eastAsia="en-AU"/>
              </w:rPr>
            </w:pPr>
            <w:r w:rsidRPr="008650AA">
              <w:rPr>
                <w:rFonts w:eastAsia="Times New Roman" w:cs="Open Sans Light"/>
                <w:color w:val="000000"/>
                <w:sz w:val="16"/>
                <w:szCs w:val="16"/>
                <w:lang w:eastAsia="en-AU"/>
              </w:rPr>
              <w:t>No</w:t>
            </w:r>
          </w:p>
        </w:tc>
      </w:tr>
      <w:tr w:rsidR="00CB1B34" w:rsidRPr="008650AA" w14:paraId="5E84CA5E" w14:textId="77777777">
        <w:trPr>
          <w:trHeight w:val="555"/>
        </w:trPr>
        <w:tc>
          <w:tcPr>
            <w:tcW w:w="1462" w:type="dxa"/>
            <w:tcBorders>
              <w:top w:val="nil"/>
              <w:left w:val="nil"/>
              <w:bottom w:val="single" w:sz="4" w:space="0" w:color="DDEBF7"/>
              <w:right w:val="nil"/>
            </w:tcBorders>
            <w:shd w:val="clear" w:color="auto" w:fill="auto"/>
            <w:hideMark/>
          </w:tcPr>
          <w:p w14:paraId="51B0DCED"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Non-urban transport</w:t>
            </w:r>
            <w:r w:rsidRPr="008650AA">
              <w:rPr>
                <w:rFonts w:eastAsia="Times New Roman" w:cs="Open Sans Light"/>
                <w:color w:val="000000"/>
                <w:sz w:val="16"/>
                <w:szCs w:val="16"/>
                <w:lang w:eastAsia="en-AU"/>
              </w:rPr>
              <w:t> </w:t>
            </w:r>
          </w:p>
        </w:tc>
        <w:tc>
          <w:tcPr>
            <w:tcW w:w="290" w:type="dxa"/>
            <w:tcBorders>
              <w:top w:val="nil"/>
              <w:left w:val="nil"/>
              <w:bottom w:val="single" w:sz="4" w:space="0" w:color="DDEBF7"/>
              <w:right w:val="nil"/>
            </w:tcBorders>
            <w:shd w:val="clear" w:color="auto" w:fill="auto"/>
            <w:hideMark/>
          </w:tcPr>
          <w:p w14:paraId="09185E9F" w14:textId="77777777" w:rsidR="00CB1B34" w:rsidRPr="008650AA" w:rsidRDefault="00CB1B34">
            <w:pPr>
              <w:keepNext/>
              <w:tabs>
                <w:tab w:val="clear" w:pos="567"/>
              </w:tabs>
              <w:spacing w:before="0" w:line="240" w:lineRule="auto"/>
              <w:jc w:val="right"/>
              <w:rPr>
                <w:rFonts w:ascii="Arial" w:eastAsia="Times New Roman" w:hAnsi="Arial" w:cs="Arial"/>
                <w:color w:val="000000"/>
                <w:sz w:val="16"/>
                <w:szCs w:val="16"/>
                <w:lang w:eastAsia="en-AU"/>
              </w:rPr>
            </w:pPr>
            <w:r w:rsidRPr="008650AA">
              <w:rPr>
                <w:rFonts w:ascii="Arial" w:eastAsia="Times New Roman" w:hAnsi="Arial" w:cs="Arial"/>
                <w:color w:val="000000"/>
                <w:sz w:val="16"/>
                <w:szCs w:val="16"/>
                <w:lang w:eastAsia="en-AU"/>
              </w:rPr>
              <w:t> </w:t>
            </w:r>
            <w:r w:rsidRPr="008650AA">
              <w:rPr>
                <w:rFonts w:eastAsia="Times New Roman" w:cs="Open Sans Light"/>
                <w:color w:val="000000"/>
                <w:sz w:val="16"/>
                <w:szCs w:val="16"/>
                <w:lang w:eastAsia="en-AU"/>
              </w:rPr>
              <w:t> </w:t>
            </w:r>
          </w:p>
        </w:tc>
        <w:tc>
          <w:tcPr>
            <w:tcW w:w="1638" w:type="dxa"/>
            <w:tcBorders>
              <w:top w:val="nil"/>
              <w:left w:val="nil"/>
              <w:bottom w:val="single" w:sz="4" w:space="0" w:color="DDEBF7"/>
              <w:right w:val="nil"/>
            </w:tcBorders>
            <w:shd w:val="clear" w:color="auto" w:fill="auto"/>
            <w:hideMark/>
          </w:tcPr>
          <w:p w14:paraId="06F2AA2B" w14:textId="1B619F2F" w:rsidR="00CB1B34" w:rsidRPr="008650AA" w:rsidRDefault="001A5ACE">
            <w:pPr>
              <w:keepNext/>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N</w:t>
            </w:r>
            <w:r w:rsidR="001F291F">
              <w:rPr>
                <w:rFonts w:eastAsia="Times New Roman" w:cs="Open Sans Light"/>
                <w:color w:val="000000"/>
                <w:sz w:val="16"/>
                <w:szCs w:val="16"/>
                <w:lang w:eastAsia="en-AU"/>
              </w:rPr>
              <w:t>on -</w:t>
            </w:r>
            <w:r w:rsidR="00507082">
              <w:rPr>
                <w:rFonts w:eastAsia="Times New Roman" w:cs="Open Sans Light"/>
                <w:color w:val="000000"/>
                <w:sz w:val="16"/>
                <w:szCs w:val="16"/>
                <w:lang w:eastAsia="en-AU"/>
              </w:rPr>
              <w:t>urban rail commuter numbers</w:t>
            </w:r>
          </w:p>
        </w:tc>
        <w:tc>
          <w:tcPr>
            <w:tcW w:w="4195" w:type="dxa"/>
            <w:tcBorders>
              <w:top w:val="nil"/>
              <w:left w:val="nil"/>
              <w:bottom w:val="single" w:sz="4" w:space="0" w:color="DDEBF7"/>
              <w:right w:val="nil"/>
            </w:tcBorders>
            <w:shd w:val="clear" w:color="auto" w:fill="auto"/>
            <w:hideMark/>
          </w:tcPr>
          <w:p w14:paraId="2676F423" w14:textId="7BAA84E6" w:rsidR="00CB1B34" w:rsidRPr="00D565C7" w:rsidRDefault="00E102BB">
            <w:pPr>
              <w:keepNext/>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Recognises</w:t>
            </w:r>
            <w:r w:rsidR="002A065B">
              <w:rPr>
                <w:rFonts w:eastAsia="Times New Roman" w:cs="Open Sans Light"/>
                <w:color w:val="000000"/>
                <w:sz w:val="16"/>
                <w:szCs w:val="16"/>
                <w:lang w:eastAsia="en-AU"/>
              </w:rPr>
              <w:t xml:space="preserve"> </w:t>
            </w:r>
            <w:r w:rsidR="00D5175E">
              <w:rPr>
                <w:rFonts w:eastAsia="Times New Roman" w:cs="Open Sans Light"/>
                <w:color w:val="000000"/>
                <w:sz w:val="16"/>
                <w:szCs w:val="16"/>
                <w:lang w:eastAsia="en-AU"/>
              </w:rPr>
              <w:t xml:space="preserve">differences in </w:t>
            </w:r>
            <w:r w:rsidR="005C642D">
              <w:rPr>
                <w:rFonts w:eastAsia="Times New Roman" w:cs="Open Sans Light"/>
                <w:color w:val="000000"/>
                <w:sz w:val="16"/>
                <w:szCs w:val="16"/>
                <w:lang w:eastAsia="en-AU"/>
              </w:rPr>
              <w:t>use of non</w:t>
            </w:r>
            <w:r w:rsidR="00193B0E">
              <w:rPr>
                <w:rFonts w:eastAsia="Times New Roman" w:cs="Open Sans Light"/>
                <w:color w:val="000000"/>
                <w:sz w:val="16"/>
                <w:szCs w:val="16"/>
                <w:lang w:eastAsia="en-AU"/>
              </w:rPr>
              <w:t>-</w:t>
            </w:r>
            <w:r w:rsidR="003A0B6E">
              <w:rPr>
                <w:rFonts w:eastAsia="Times New Roman" w:cs="Open Sans Light"/>
                <w:color w:val="000000"/>
                <w:sz w:val="16"/>
                <w:szCs w:val="16"/>
                <w:lang w:eastAsia="en-AU"/>
              </w:rPr>
              <w:t xml:space="preserve">urban </w:t>
            </w:r>
            <w:r w:rsidR="00193B0E">
              <w:rPr>
                <w:rFonts w:eastAsia="Times New Roman" w:cs="Open Sans Light"/>
                <w:color w:val="000000"/>
                <w:sz w:val="16"/>
                <w:szCs w:val="16"/>
                <w:lang w:eastAsia="en-AU"/>
              </w:rPr>
              <w:t>passenger rail services between states</w:t>
            </w:r>
          </w:p>
        </w:tc>
        <w:tc>
          <w:tcPr>
            <w:tcW w:w="258" w:type="dxa"/>
            <w:tcBorders>
              <w:top w:val="nil"/>
              <w:left w:val="nil"/>
              <w:bottom w:val="single" w:sz="4" w:space="0" w:color="DDEBF7"/>
              <w:right w:val="nil"/>
            </w:tcBorders>
            <w:shd w:val="clear" w:color="auto" w:fill="auto"/>
            <w:hideMark/>
          </w:tcPr>
          <w:p w14:paraId="3C80A540"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 </w:t>
            </w:r>
          </w:p>
        </w:tc>
        <w:tc>
          <w:tcPr>
            <w:tcW w:w="1277" w:type="dxa"/>
            <w:tcBorders>
              <w:top w:val="nil"/>
              <w:left w:val="nil"/>
              <w:bottom w:val="single" w:sz="4" w:space="0" w:color="DDEBF7"/>
              <w:right w:val="nil"/>
            </w:tcBorders>
            <w:shd w:val="clear" w:color="auto" w:fill="auto"/>
            <w:hideMark/>
          </w:tcPr>
          <w:p w14:paraId="2E506D7B" w14:textId="1CB149DA" w:rsidR="00CB1B34" w:rsidRPr="008650AA" w:rsidRDefault="004D6439">
            <w:pPr>
              <w:keepNext/>
              <w:tabs>
                <w:tab w:val="clear" w:pos="567"/>
              </w:tabs>
              <w:spacing w:before="0" w:line="240" w:lineRule="auto"/>
              <w:jc w:val="center"/>
              <w:rPr>
                <w:rFonts w:eastAsia="Times New Roman" w:cs="Open Sans Light"/>
                <w:color w:val="000000"/>
                <w:sz w:val="16"/>
                <w:szCs w:val="16"/>
                <w:lang w:eastAsia="en-AU"/>
              </w:rPr>
            </w:pPr>
            <w:r>
              <w:rPr>
                <w:rFonts w:eastAsia="Times New Roman" w:cs="Open Sans Light"/>
                <w:color w:val="000000"/>
                <w:sz w:val="16"/>
                <w:szCs w:val="16"/>
                <w:lang w:eastAsia="en-AU"/>
              </w:rPr>
              <w:t>Yes</w:t>
            </w:r>
          </w:p>
        </w:tc>
      </w:tr>
      <w:tr w:rsidR="00B507F2" w:rsidRPr="008650AA" w14:paraId="76357DEA" w14:textId="77777777">
        <w:trPr>
          <w:trHeight w:val="555"/>
        </w:trPr>
        <w:tc>
          <w:tcPr>
            <w:tcW w:w="1462" w:type="dxa"/>
            <w:tcBorders>
              <w:top w:val="nil"/>
              <w:left w:val="nil"/>
              <w:bottom w:val="single" w:sz="4" w:space="0" w:color="DDEBF7"/>
              <w:right w:val="nil"/>
            </w:tcBorders>
            <w:shd w:val="clear" w:color="auto" w:fill="auto"/>
          </w:tcPr>
          <w:p w14:paraId="648B43D4" w14:textId="77777777" w:rsidR="00B507F2" w:rsidRDefault="00B507F2">
            <w:pPr>
              <w:keepNext/>
              <w:tabs>
                <w:tab w:val="clear" w:pos="567"/>
              </w:tabs>
              <w:spacing w:before="0" w:line="240" w:lineRule="auto"/>
              <w:rPr>
                <w:rFonts w:eastAsia="Times New Roman" w:cs="Open Sans Light"/>
                <w:color w:val="000000"/>
                <w:sz w:val="16"/>
                <w:szCs w:val="16"/>
                <w:lang w:eastAsia="en-AU"/>
              </w:rPr>
            </w:pPr>
          </w:p>
        </w:tc>
        <w:tc>
          <w:tcPr>
            <w:tcW w:w="290" w:type="dxa"/>
            <w:tcBorders>
              <w:top w:val="nil"/>
              <w:left w:val="nil"/>
              <w:bottom w:val="single" w:sz="4" w:space="0" w:color="DDEBF7"/>
              <w:right w:val="nil"/>
            </w:tcBorders>
            <w:shd w:val="clear" w:color="auto" w:fill="auto"/>
          </w:tcPr>
          <w:p w14:paraId="4DB6128D" w14:textId="77777777" w:rsidR="00B507F2" w:rsidRPr="008650AA" w:rsidRDefault="00B507F2">
            <w:pPr>
              <w:keepNext/>
              <w:tabs>
                <w:tab w:val="clear" w:pos="567"/>
              </w:tabs>
              <w:spacing w:before="0" w:line="240" w:lineRule="auto"/>
              <w:jc w:val="right"/>
              <w:rPr>
                <w:rFonts w:ascii="Arial" w:eastAsia="Times New Roman" w:hAnsi="Arial" w:cs="Arial"/>
                <w:color w:val="000000"/>
                <w:sz w:val="16"/>
                <w:szCs w:val="16"/>
                <w:lang w:eastAsia="en-AU"/>
              </w:rPr>
            </w:pPr>
          </w:p>
        </w:tc>
        <w:tc>
          <w:tcPr>
            <w:tcW w:w="1638" w:type="dxa"/>
            <w:tcBorders>
              <w:top w:val="nil"/>
              <w:left w:val="nil"/>
              <w:bottom w:val="single" w:sz="4" w:space="0" w:color="DDEBF7"/>
              <w:right w:val="nil"/>
            </w:tcBorders>
            <w:shd w:val="clear" w:color="auto" w:fill="auto"/>
          </w:tcPr>
          <w:p w14:paraId="5CF292B2" w14:textId="414C2C54" w:rsidR="00B507F2" w:rsidRDefault="00447EAC">
            <w:pPr>
              <w:keepNext/>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Non-urban population</w:t>
            </w:r>
          </w:p>
        </w:tc>
        <w:tc>
          <w:tcPr>
            <w:tcW w:w="4195" w:type="dxa"/>
            <w:tcBorders>
              <w:top w:val="nil"/>
              <w:left w:val="nil"/>
              <w:bottom w:val="single" w:sz="4" w:space="0" w:color="DDEBF7"/>
              <w:right w:val="nil"/>
            </w:tcBorders>
            <w:shd w:val="clear" w:color="auto" w:fill="auto"/>
          </w:tcPr>
          <w:p w14:paraId="60F2B0F2" w14:textId="230C42F4" w:rsidR="00B507F2" w:rsidRPr="00D565C7" w:rsidRDefault="004D346F">
            <w:pPr>
              <w:keepNext/>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Recognises</w:t>
            </w:r>
            <w:r w:rsidR="00893DB2">
              <w:rPr>
                <w:rFonts w:eastAsia="Times New Roman" w:cs="Open Sans Light"/>
                <w:color w:val="000000"/>
                <w:sz w:val="16"/>
                <w:szCs w:val="16"/>
                <w:lang w:eastAsia="en-AU"/>
              </w:rPr>
              <w:t xml:space="preserve"> that non-urban transport </w:t>
            </w:r>
            <w:r w:rsidR="0014346A">
              <w:rPr>
                <w:rFonts w:eastAsia="Times New Roman" w:cs="Open Sans Light"/>
                <w:color w:val="000000"/>
                <w:sz w:val="16"/>
                <w:szCs w:val="16"/>
                <w:lang w:eastAsia="en-AU"/>
              </w:rPr>
              <w:t xml:space="preserve">services, other than passenger rail, </w:t>
            </w:r>
            <w:r w:rsidR="001B23FD">
              <w:rPr>
                <w:rFonts w:eastAsia="Times New Roman" w:cs="Open Sans Light"/>
                <w:color w:val="000000"/>
                <w:sz w:val="16"/>
                <w:szCs w:val="16"/>
                <w:lang w:eastAsia="en-AU"/>
              </w:rPr>
              <w:t xml:space="preserve">vary by the </w:t>
            </w:r>
            <w:r w:rsidR="00AF4CF9">
              <w:rPr>
                <w:rFonts w:eastAsia="Times New Roman" w:cs="Open Sans Light"/>
                <w:color w:val="000000"/>
                <w:sz w:val="16"/>
                <w:szCs w:val="16"/>
                <w:lang w:eastAsia="en-AU"/>
              </w:rPr>
              <w:t>share of the state population living in urban areas.</w:t>
            </w:r>
          </w:p>
        </w:tc>
        <w:tc>
          <w:tcPr>
            <w:tcW w:w="258" w:type="dxa"/>
            <w:tcBorders>
              <w:top w:val="nil"/>
              <w:left w:val="nil"/>
              <w:bottom w:val="single" w:sz="4" w:space="0" w:color="DDEBF7"/>
              <w:right w:val="nil"/>
            </w:tcBorders>
            <w:shd w:val="clear" w:color="auto" w:fill="auto"/>
          </w:tcPr>
          <w:p w14:paraId="597B1E89" w14:textId="77777777" w:rsidR="00B507F2" w:rsidRPr="008650AA" w:rsidRDefault="00B507F2">
            <w:pPr>
              <w:keepNext/>
              <w:tabs>
                <w:tab w:val="clear" w:pos="567"/>
              </w:tabs>
              <w:spacing w:before="0" w:line="240" w:lineRule="auto"/>
              <w:rPr>
                <w:rFonts w:eastAsia="Times New Roman" w:cs="Open Sans Light"/>
                <w:color w:val="000000"/>
                <w:sz w:val="16"/>
                <w:szCs w:val="16"/>
                <w:lang w:eastAsia="en-AU"/>
              </w:rPr>
            </w:pPr>
          </w:p>
        </w:tc>
        <w:tc>
          <w:tcPr>
            <w:tcW w:w="1277" w:type="dxa"/>
            <w:tcBorders>
              <w:top w:val="nil"/>
              <w:left w:val="nil"/>
              <w:bottom w:val="single" w:sz="4" w:space="0" w:color="DDEBF7"/>
              <w:right w:val="nil"/>
            </w:tcBorders>
            <w:shd w:val="clear" w:color="auto" w:fill="auto"/>
          </w:tcPr>
          <w:p w14:paraId="634F59D0" w14:textId="736E4C91" w:rsidR="00B507F2" w:rsidRDefault="6885B608">
            <w:pPr>
              <w:keepNext/>
              <w:tabs>
                <w:tab w:val="clear" w:pos="567"/>
              </w:tabs>
              <w:spacing w:before="0" w:line="240" w:lineRule="auto"/>
              <w:jc w:val="center"/>
              <w:rPr>
                <w:rFonts w:eastAsia="Times New Roman" w:cs="Open Sans Light"/>
                <w:color w:val="000000"/>
                <w:sz w:val="16"/>
                <w:szCs w:val="16"/>
                <w:lang w:eastAsia="en-AU"/>
              </w:rPr>
            </w:pPr>
            <w:r w:rsidRPr="0EE2D66B">
              <w:rPr>
                <w:rFonts w:eastAsia="Times New Roman" w:cs="Open Sans Light"/>
                <w:color w:val="000000" w:themeColor="text1"/>
                <w:sz w:val="16"/>
                <w:szCs w:val="16"/>
                <w:lang w:eastAsia="en-AU"/>
              </w:rPr>
              <w:t>Yes</w:t>
            </w:r>
          </w:p>
        </w:tc>
      </w:tr>
      <w:tr w:rsidR="00CB1B34" w:rsidRPr="008650AA" w14:paraId="3ECF9E5D" w14:textId="77777777">
        <w:trPr>
          <w:trHeight w:val="300"/>
        </w:trPr>
        <w:tc>
          <w:tcPr>
            <w:tcW w:w="1462" w:type="dxa"/>
            <w:tcBorders>
              <w:top w:val="nil"/>
              <w:left w:val="nil"/>
              <w:bottom w:val="single" w:sz="4" w:space="0" w:color="DDEBF7"/>
              <w:right w:val="nil"/>
            </w:tcBorders>
            <w:shd w:val="clear" w:color="auto" w:fill="auto"/>
            <w:hideMark/>
          </w:tcPr>
          <w:p w14:paraId="27546B51"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 </w:t>
            </w:r>
          </w:p>
        </w:tc>
        <w:tc>
          <w:tcPr>
            <w:tcW w:w="290" w:type="dxa"/>
            <w:tcBorders>
              <w:top w:val="nil"/>
              <w:left w:val="nil"/>
              <w:bottom w:val="single" w:sz="4" w:space="0" w:color="DDEBF7"/>
              <w:right w:val="nil"/>
            </w:tcBorders>
            <w:shd w:val="clear" w:color="auto" w:fill="auto"/>
            <w:hideMark/>
          </w:tcPr>
          <w:p w14:paraId="6CA5BCDE" w14:textId="77777777" w:rsidR="00CB1B34" w:rsidRPr="008650AA" w:rsidRDefault="00CB1B34">
            <w:pPr>
              <w:keepNext/>
              <w:tabs>
                <w:tab w:val="clear" w:pos="567"/>
              </w:tabs>
              <w:spacing w:before="0" w:line="240" w:lineRule="auto"/>
              <w:jc w:val="right"/>
              <w:rPr>
                <w:rFonts w:eastAsia="Times New Roman" w:cs="Open Sans Light"/>
                <w:color w:val="000000"/>
                <w:sz w:val="16"/>
                <w:szCs w:val="16"/>
                <w:lang w:eastAsia="en-AU"/>
              </w:rPr>
            </w:pPr>
            <w:r w:rsidRPr="008650AA">
              <w:rPr>
                <w:rFonts w:eastAsia="Times New Roman" w:cs="Open Sans Light"/>
                <w:color w:val="000000"/>
                <w:sz w:val="16"/>
                <w:szCs w:val="16"/>
                <w:lang w:eastAsia="en-AU"/>
              </w:rPr>
              <w:t> </w:t>
            </w:r>
          </w:p>
        </w:tc>
        <w:tc>
          <w:tcPr>
            <w:tcW w:w="1638" w:type="dxa"/>
            <w:tcBorders>
              <w:top w:val="nil"/>
              <w:left w:val="nil"/>
              <w:bottom w:val="single" w:sz="4" w:space="0" w:color="DDEBF7"/>
              <w:right w:val="nil"/>
            </w:tcBorders>
            <w:shd w:val="clear" w:color="auto" w:fill="auto"/>
            <w:hideMark/>
          </w:tcPr>
          <w:p w14:paraId="2D4B8490" w14:textId="1371E8FE"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Wage costs</w:t>
            </w:r>
            <w:r>
              <w:rPr>
                <w:rFonts w:eastAsia="Times New Roman" w:cs="Open Sans Light"/>
                <w:color w:val="000000"/>
                <w:sz w:val="16"/>
                <w:szCs w:val="16"/>
                <w:lang w:eastAsia="en-AU"/>
              </w:rPr>
              <w:t xml:space="preserve"> and regional costs</w:t>
            </w:r>
            <w:r w:rsidRPr="008650AA">
              <w:rPr>
                <w:rFonts w:eastAsia="Times New Roman" w:cs="Open Sans Light"/>
                <w:color w:val="000000"/>
                <w:sz w:val="16"/>
                <w:szCs w:val="16"/>
                <w:lang w:eastAsia="en-AU"/>
              </w:rPr>
              <w:t> </w:t>
            </w:r>
            <w:r w:rsidR="004D6439">
              <w:rPr>
                <w:rFonts w:eastAsia="Times New Roman" w:cs="Open Sans Light"/>
                <w:color w:val="000000"/>
                <w:sz w:val="16"/>
                <w:szCs w:val="16"/>
                <w:lang w:eastAsia="en-AU"/>
              </w:rPr>
              <w:t>(b)</w:t>
            </w:r>
          </w:p>
        </w:tc>
        <w:tc>
          <w:tcPr>
            <w:tcW w:w="4195" w:type="dxa"/>
            <w:tcBorders>
              <w:top w:val="nil"/>
              <w:left w:val="nil"/>
              <w:bottom w:val="single" w:sz="4" w:space="0" w:color="DDEBF7"/>
              <w:right w:val="nil"/>
            </w:tcBorders>
            <w:shd w:val="clear" w:color="auto" w:fill="auto"/>
            <w:hideMark/>
          </w:tcPr>
          <w:p w14:paraId="45296227" w14:textId="77777777" w:rsidR="00CB1B34" w:rsidRPr="00D565C7" w:rsidRDefault="00CB1B34">
            <w:pPr>
              <w:keepNext/>
              <w:tabs>
                <w:tab w:val="clear" w:pos="567"/>
              </w:tabs>
              <w:spacing w:before="0" w:line="240" w:lineRule="auto"/>
              <w:rPr>
                <w:rFonts w:eastAsia="Times New Roman" w:cs="Open Sans Light"/>
                <w:color w:val="000000"/>
                <w:sz w:val="16"/>
                <w:szCs w:val="16"/>
                <w:lang w:eastAsia="en-AU"/>
              </w:rPr>
            </w:pPr>
            <w:r w:rsidRPr="00D565C7">
              <w:rPr>
                <w:rFonts w:eastAsia="Times New Roman" w:cs="Open Sans Light"/>
                <w:color w:val="000000"/>
                <w:sz w:val="16"/>
                <w:szCs w:val="16"/>
                <w:lang w:eastAsia="en-AU"/>
              </w:rPr>
              <w:t xml:space="preserve">Recognises differences in wage costs between states and in the costs of providing services to different areas within a </w:t>
            </w:r>
            <w:r>
              <w:rPr>
                <w:rFonts w:eastAsia="Times New Roman" w:cs="Open Sans Light"/>
                <w:color w:val="000000"/>
                <w:sz w:val="16"/>
                <w:szCs w:val="16"/>
                <w:lang w:eastAsia="en-AU"/>
              </w:rPr>
              <w:t>s</w:t>
            </w:r>
            <w:r w:rsidRPr="00D565C7">
              <w:rPr>
                <w:rFonts w:eastAsia="Times New Roman" w:cs="Open Sans Light"/>
                <w:color w:val="000000"/>
                <w:sz w:val="16"/>
                <w:szCs w:val="16"/>
                <w:lang w:eastAsia="en-AU"/>
              </w:rPr>
              <w:t>tate</w:t>
            </w:r>
          </w:p>
        </w:tc>
        <w:tc>
          <w:tcPr>
            <w:tcW w:w="258" w:type="dxa"/>
            <w:tcBorders>
              <w:top w:val="nil"/>
              <w:left w:val="nil"/>
              <w:bottom w:val="single" w:sz="4" w:space="0" w:color="DDEBF7"/>
              <w:right w:val="nil"/>
            </w:tcBorders>
            <w:shd w:val="clear" w:color="auto" w:fill="auto"/>
            <w:hideMark/>
          </w:tcPr>
          <w:p w14:paraId="5FA743D7" w14:textId="77777777" w:rsidR="00CB1B34" w:rsidRPr="008650AA" w:rsidRDefault="00CB1B34">
            <w:pPr>
              <w:keepNext/>
              <w:tabs>
                <w:tab w:val="clear" w:pos="567"/>
              </w:tabs>
              <w:spacing w:before="0" w:line="240" w:lineRule="auto"/>
              <w:rPr>
                <w:rFonts w:eastAsia="Times New Roman" w:cs="Open Sans Light"/>
                <w:color w:val="000000"/>
                <w:sz w:val="16"/>
                <w:szCs w:val="16"/>
                <w:lang w:eastAsia="en-AU"/>
              </w:rPr>
            </w:pPr>
            <w:r w:rsidRPr="008650AA">
              <w:rPr>
                <w:rFonts w:eastAsia="Times New Roman" w:cs="Open Sans Light"/>
                <w:color w:val="000000"/>
                <w:sz w:val="16"/>
                <w:szCs w:val="16"/>
                <w:lang w:eastAsia="en-AU"/>
              </w:rPr>
              <w:t> </w:t>
            </w:r>
          </w:p>
        </w:tc>
        <w:tc>
          <w:tcPr>
            <w:tcW w:w="1277" w:type="dxa"/>
            <w:tcBorders>
              <w:top w:val="nil"/>
              <w:left w:val="nil"/>
              <w:bottom w:val="single" w:sz="4" w:space="0" w:color="DDEBF7"/>
              <w:right w:val="nil"/>
            </w:tcBorders>
            <w:shd w:val="clear" w:color="auto" w:fill="auto"/>
            <w:hideMark/>
          </w:tcPr>
          <w:p w14:paraId="2EE2687F" w14:textId="77777777" w:rsidR="00CB1B34" w:rsidRPr="008650AA" w:rsidRDefault="00CB1B34">
            <w:pPr>
              <w:keepNext/>
              <w:tabs>
                <w:tab w:val="clear" w:pos="567"/>
              </w:tabs>
              <w:spacing w:before="0" w:line="240" w:lineRule="auto"/>
              <w:jc w:val="center"/>
              <w:rPr>
                <w:rFonts w:eastAsia="Times New Roman" w:cs="Open Sans Light"/>
                <w:color w:val="000000"/>
                <w:sz w:val="16"/>
                <w:szCs w:val="16"/>
                <w:lang w:eastAsia="en-AU"/>
              </w:rPr>
            </w:pPr>
            <w:r w:rsidRPr="008650AA">
              <w:rPr>
                <w:rFonts w:eastAsia="Times New Roman" w:cs="Open Sans Light"/>
                <w:color w:val="000000"/>
                <w:sz w:val="16"/>
                <w:szCs w:val="16"/>
                <w:lang w:eastAsia="en-AU"/>
              </w:rPr>
              <w:t>No</w:t>
            </w:r>
          </w:p>
        </w:tc>
      </w:tr>
    </w:tbl>
    <w:p w14:paraId="2F6C236B" w14:textId="0DB1D83D" w:rsidR="00171BD9" w:rsidRPr="00152501" w:rsidRDefault="00987665" w:rsidP="00152501">
      <w:pPr>
        <w:pStyle w:val="CGCTablenote"/>
        <w:rPr>
          <w:rFonts w:ascii="Work Sans" w:hAnsi="Work Sans"/>
        </w:rPr>
      </w:pPr>
      <w:r w:rsidRPr="00152501">
        <w:rPr>
          <w:rFonts w:ascii="Work Sans" w:hAnsi="Work Sans"/>
        </w:rPr>
        <w:t>(</w:t>
      </w:r>
      <w:r w:rsidR="00191B7C" w:rsidRPr="00152501">
        <w:rPr>
          <w:rFonts w:ascii="Work Sans" w:hAnsi="Work Sans"/>
        </w:rPr>
        <w:t>a)</w:t>
      </w:r>
      <w:r w:rsidR="000327F1" w:rsidRPr="00152501">
        <w:rPr>
          <w:rFonts w:ascii="Work Sans" w:hAnsi="Work Sans"/>
        </w:rPr>
        <w:tab/>
      </w:r>
      <w:r w:rsidR="002B41E5" w:rsidRPr="00152501">
        <w:rPr>
          <w:rFonts w:ascii="Work Sans" w:hAnsi="Work Sans"/>
        </w:rPr>
        <w:t xml:space="preserve">The Commission proposes to </w:t>
      </w:r>
      <w:r w:rsidR="006A5005" w:rsidRPr="00152501">
        <w:rPr>
          <w:rFonts w:ascii="Work Sans" w:hAnsi="Work Sans"/>
        </w:rPr>
        <w:t>update the</w:t>
      </w:r>
      <w:r w:rsidR="00FA26F5" w:rsidRPr="00152501">
        <w:rPr>
          <w:rFonts w:ascii="Work Sans" w:hAnsi="Work Sans"/>
        </w:rPr>
        <w:t xml:space="preserve"> inputs into</w:t>
      </w:r>
      <w:r w:rsidR="00BB676A" w:rsidRPr="00152501">
        <w:rPr>
          <w:rFonts w:ascii="Work Sans" w:hAnsi="Work Sans"/>
        </w:rPr>
        <w:t xml:space="preserve"> </w:t>
      </w:r>
      <w:r w:rsidR="00BC2178" w:rsidRPr="00152501">
        <w:rPr>
          <w:rFonts w:ascii="Work Sans" w:hAnsi="Work Sans"/>
        </w:rPr>
        <w:t xml:space="preserve">urban centre characteristics model </w:t>
      </w:r>
      <w:r w:rsidR="00FB24F0" w:rsidRPr="00152501">
        <w:rPr>
          <w:rFonts w:ascii="Work Sans" w:hAnsi="Work Sans"/>
        </w:rPr>
        <w:t>when reliable data are available.</w:t>
      </w:r>
      <w:r w:rsidR="00C37480" w:rsidRPr="00152501">
        <w:rPr>
          <w:rFonts w:ascii="Work Sans" w:hAnsi="Work Sans"/>
        </w:rPr>
        <w:t xml:space="preserve"> </w:t>
      </w:r>
      <w:r w:rsidR="00AC0D99" w:rsidRPr="00152501">
        <w:rPr>
          <w:rFonts w:ascii="Work Sans" w:hAnsi="Work Sans"/>
        </w:rPr>
        <w:t>The Commission also propos</w:t>
      </w:r>
      <w:r w:rsidR="00BC7EC0" w:rsidRPr="00152501">
        <w:rPr>
          <w:rFonts w:ascii="Work Sans" w:hAnsi="Work Sans"/>
        </w:rPr>
        <w:t>es</w:t>
      </w:r>
      <w:r w:rsidR="00AC0D99" w:rsidRPr="00152501">
        <w:rPr>
          <w:rFonts w:ascii="Work Sans" w:hAnsi="Work Sans"/>
        </w:rPr>
        <w:t xml:space="preserve"> to </w:t>
      </w:r>
      <w:r w:rsidR="00D5242D" w:rsidRPr="00152501">
        <w:rPr>
          <w:rFonts w:ascii="Work Sans" w:hAnsi="Work Sans"/>
        </w:rPr>
        <w:t>us</w:t>
      </w:r>
      <w:r w:rsidR="00BC7EC0" w:rsidRPr="00152501">
        <w:rPr>
          <w:rFonts w:ascii="Work Sans" w:hAnsi="Work Sans"/>
        </w:rPr>
        <w:t>e</w:t>
      </w:r>
      <w:r w:rsidR="00D5242D" w:rsidRPr="00152501">
        <w:rPr>
          <w:rFonts w:ascii="Work Sans" w:hAnsi="Work Sans"/>
        </w:rPr>
        <w:t xml:space="preserve"> a regression to determine a</w:t>
      </w:r>
      <w:r w:rsidR="00C37480" w:rsidRPr="00152501">
        <w:rPr>
          <w:rFonts w:ascii="Work Sans" w:hAnsi="Work Sans"/>
        </w:rPr>
        <w:t xml:space="preserve"> policy neutral </w:t>
      </w:r>
      <w:r w:rsidR="00D5242D" w:rsidRPr="00152501">
        <w:rPr>
          <w:rFonts w:ascii="Work Sans" w:hAnsi="Work Sans"/>
        </w:rPr>
        <w:t xml:space="preserve">estimate of </w:t>
      </w:r>
      <w:r w:rsidR="00C60F05" w:rsidRPr="00152501">
        <w:rPr>
          <w:rFonts w:ascii="Work Sans" w:hAnsi="Work Sans"/>
        </w:rPr>
        <w:t xml:space="preserve">public transport users in each </w:t>
      </w:r>
      <w:r w:rsidR="00D620D8" w:rsidRPr="00152501">
        <w:rPr>
          <w:rFonts w:ascii="Work Sans" w:hAnsi="Work Sans"/>
        </w:rPr>
        <w:t xml:space="preserve">state. </w:t>
      </w:r>
    </w:p>
    <w:p w14:paraId="4CDA8C88" w14:textId="7AC159D3" w:rsidR="00CB1B34" w:rsidRPr="00152501" w:rsidRDefault="00171BD9" w:rsidP="00152501">
      <w:pPr>
        <w:pStyle w:val="CGCTablenote"/>
        <w:rPr>
          <w:rFonts w:ascii="Work Sans" w:hAnsi="Work Sans"/>
        </w:rPr>
      </w:pPr>
      <w:r w:rsidRPr="00152501">
        <w:rPr>
          <w:rFonts w:ascii="Work Sans" w:hAnsi="Work Sans"/>
        </w:rPr>
        <w:t>(b)</w:t>
      </w:r>
      <w:r w:rsidR="00E21C24" w:rsidRPr="00152501">
        <w:rPr>
          <w:rFonts w:ascii="Work Sans" w:hAnsi="Work Sans"/>
        </w:rPr>
        <w:tab/>
      </w:r>
      <w:r w:rsidRPr="00152501">
        <w:rPr>
          <w:rFonts w:ascii="Work Sans" w:hAnsi="Work Sans"/>
        </w:rPr>
        <w:t xml:space="preserve">The Commission will separately consult with states on the wages </w:t>
      </w:r>
      <w:r w:rsidR="004D6439" w:rsidRPr="00152501">
        <w:rPr>
          <w:rFonts w:ascii="Work Sans" w:hAnsi="Work Sans"/>
        </w:rPr>
        <w:t>and regional costs</w:t>
      </w:r>
      <w:r w:rsidRPr="00152501">
        <w:rPr>
          <w:rFonts w:ascii="Work Sans" w:hAnsi="Work Sans"/>
        </w:rPr>
        <w:t xml:space="preserve"> assessment.</w:t>
      </w:r>
    </w:p>
    <w:p w14:paraId="6794254E" w14:textId="3249525E" w:rsidR="00E21C24" w:rsidRPr="00152501" w:rsidRDefault="00C744A1" w:rsidP="00DE39CA">
      <w:pPr>
        <w:pStyle w:val="CGCTablenote"/>
        <w:rPr>
          <w:rFonts w:ascii="Work Sans" w:hAnsi="Work Sans"/>
        </w:rPr>
      </w:pPr>
      <w:r w:rsidRPr="00152501">
        <w:rPr>
          <w:rFonts w:ascii="Work Sans" w:hAnsi="Work Sans"/>
        </w:rPr>
        <w:t xml:space="preserve">Source: Commission </w:t>
      </w:r>
      <w:r w:rsidR="00C2715B" w:rsidRPr="00152501">
        <w:rPr>
          <w:rFonts w:ascii="Work Sans" w:hAnsi="Work Sans"/>
        </w:rPr>
        <w:t>c</w:t>
      </w:r>
      <w:r w:rsidRPr="00152501">
        <w:rPr>
          <w:rFonts w:ascii="Work Sans" w:hAnsi="Work Sans"/>
        </w:rPr>
        <w:t>alculation</w:t>
      </w:r>
      <w:r w:rsidR="00C2715B" w:rsidRPr="00152501">
        <w:rPr>
          <w:rFonts w:ascii="Work Sans" w:hAnsi="Work Sans"/>
        </w:rPr>
        <w:t>.</w:t>
      </w:r>
    </w:p>
    <w:p w14:paraId="5890B480" w14:textId="41F45FB3" w:rsidR="00092DF6" w:rsidRPr="000961C7" w:rsidRDefault="00F019CC" w:rsidP="00F019CC">
      <w:pPr>
        <w:pStyle w:val="Heading3"/>
      </w:pPr>
      <w:bookmarkStart w:id="134" w:name="_Toc138691911"/>
      <w:r w:rsidRPr="00F019CC">
        <w:t>New data requirements</w:t>
      </w:r>
      <w:bookmarkEnd w:id="134"/>
    </w:p>
    <w:p w14:paraId="6CD6AA63" w14:textId="049B5ECF" w:rsidR="001E1350" w:rsidRDefault="001E1350" w:rsidP="0099700C">
      <w:pPr>
        <w:pStyle w:val="CGC2025ParaNumbers"/>
      </w:pPr>
      <w:r w:rsidRPr="00E01F39">
        <w:t xml:space="preserve">Data to update the regression will be </w:t>
      </w:r>
      <w:r w:rsidR="00094316" w:rsidRPr="00094316">
        <w:t>required</w:t>
      </w:r>
      <w:r w:rsidRPr="00094316">
        <w:t>.</w:t>
      </w:r>
      <w:r w:rsidRPr="00E01F39">
        <w:t xml:space="preserve"> T</w:t>
      </w:r>
      <w:r w:rsidR="006559D2">
        <w:t>h</w:t>
      </w:r>
      <w:r w:rsidR="00250840">
        <w:t>i</w:t>
      </w:r>
      <w:r w:rsidR="005A4BCD">
        <w:t>s</w:t>
      </w:r>
      <w:r w:rsidRPr="00E01F39">
        <w:t xml:space="preserve"> include</w:t>
      </w:r>
      <w:r w:rsidR="00250840">
        <w:t>s</w:t>
      </w:r>
      <w:r w:rsidRPr="00E01F39">
        <w:t>:</w:t>
      </w:r>
    </w:p>
    <w:p w14:paraId="01B4664D" w14:textId="5FFD7B44" w:rsidR="001E1350" w:rsidRPr="007A5C1D" w:rsidRDefault="001E1350" w:rsidP="007A5C1D">
      <w:pPr>
        <w:pStyle w:val="CGC2025Bullet1"/>
      </w:pPr>
      <w:r w:rsidRPr="007A5C1D">
        <w:t xml:space="preserve">urban transport net expense data (general government and </w:t>
      </w:r>
      <w:r w:rsidR="002C2BEF" w:rsidRPr="007A5C1D">
        <w:t xml:space="preserve">public non-financial </w:t>
      </w:r>
      <w:r w:rsidR="00735938" w:rsidRPr="007A5C1D">
        <w:t>corporation)</w:t>
      </w:r>
      <w:r w:rsidRPr="007A5C1D">
        <w:t xml:space="preserve"> from the states (see</w:t>
      </w:r>
      <w:r w:rsidR="00A56CA5" w:rsidRPr="007A5C1D">
        <w:t xml:space="preserve"> </w:t>
      </w:r>
      <w:hyperlink w:anchor="_Attachment_B:_Indicative" w:history="1">
        <w:r w:rsidR="002E0806" w:rsidRPr="002E0806">
          <w:rPr>
            <w:rStyle w:val="Hyperlink"/>
            <w:color w:val="auto"/>
            <w:u w:val="none"/>
          </w:rPr>
          <w:t>Attachment B</w:t>
        </w:r>
      </w:hyperlink>
      <w:r w:rsidRPr="007A5C1D">
        <w:t xml:space="preserve">). </w:t>
      </w:r>
    </w:p>
    <w:p w14:paraId="4870934D" w14:textId="5A52BD39" w:rsidR="00355123" w:rsidRPr="007A5C1D" w:rsidRDefault="001E1350" w:rsidP="007A5C1D">
      <w:pPr>
        <w:pStyle w:val="CGC2025Bullet1"/>
      </w:pPr>
      <w:r w:rsidRPr="007A5C1D">
        <w:t>data on urban area topography will be requested from Geoscience Australia to update the urban transport regression.</w:t>
      </w:r>
    </w:p>
    <w:p w14:paraId="78A4CD72" w14:textId="39EB0C73" w:rsidR="00CC1A7F" w:rsidRPr="00304705" w:rsidRDefault="00983F93" w:rsidP="001C16A3">
      <w:pPr>
        <w:pStyle w:val="CGC2025ParaNumbers"/>
      </w:pPr>
      <w:r>
        <w:t xml:space="preserve">Information on the timing of </w:t>
      </w:r>
      <w:r w:rsidR="027B3D60">
        <w:t>state</w:t>
      </w:r>
      <w:r w:rsidR="00CC1A7F" w:rsidRPr="00304705">
        <w:t xml:space="preserve"> data </w:t>
      </w:r>
      <w:r w:rsidR="008A3BF4">
        <w:t xml:space="preserve">requests </w:t>
      </w:r>
      <w:r w:rsidR="00CC1A7F" w:rsidRPr="00304705">
        <w:t xml:space="preserve">will </w:t>
      </w:r>
      <w:r w:rsidR="00BB544A" w:rsidRPr="00304705">
        <w:t xml:space="preserve">be </w:t>
      </w:r>
      <w:r w:rsidR="008A3BF4">
        <w:t>provided</w:t>
      </w:r>
      <w:r w:rsidR="00E51CE9" w:rsidRPr="00304705">
        <w:t xml:space="preserve"> in </w:t>
      </w:r>
      <w:r w:rsidR="00CF4FCE">
        <w:t>July 2023</w:t>
      </w:r>
      <w:r w:rsidR="007A384B">
        <w:t xml:space="preserve"> (see </w:t>
      </w:r>
      <w:hyperlink w:anchor="_Attachment_B:_Indicative" w:history="1">
        <w:r w:rsidR="007A384B" w:rsidRPr="00526498">
          <w:rPr>
            <w:rStyle w:val="Hyperlink"/>
            <w:color w:val="auto"/>
            <w:u w:val="none"/>
          </w:rPr>
          <w:t>Attachment</w:t>
        </w:r>
        <w:r w:rsidR="00D13780" w:rsidRPr="00526498">
          <w:rPr>
            <w:rStyle w:val="Hyperlink"/>
            <w:color w:val="auto"/>
            <w:u w:val="none"/>
          </w:rPr>
          <w:t> </w:t>
        </w:r>
        <w:r w:rsidR="007A384B" w:rsidRPr="00526498">
          <w:rPr>
            <w:rStyle w:val="Hyperlink"/>
            <w:color w:val="auto"/>
            <w:u w:val="none"/>
          </w:rPr>
          <w:t>B</w:t>
        </w:r>
      </w:hyperlink>
      <w:r w:rsidR="002B5413">
        <w:t>)</w:t>
      </w:r>
      <w:r w:rsidR="00094316" w:rsidRPr="00304705">
        <w:t>.</w:t>
      </w:r>
    </w:p>
    <w:p w14:paraId="3B4882AF" w14:textId="0AC3CFC7" w:rsidR="00385AB5" w:rsidRDefault="00F71806" w:rsidP="00693FFB">
      <w:pPr>
        <w:pStyle w:val="CGC2025ParaNumbers"/>
      </w:pPr>
      <w:r w:rsidRPr="00304705">
        <w:t>If</w:t>
      </w:r>
      <w:r w:rsidR="00931B81" w:rsidRPr="00304705">
        <w:t xml:space="preserve"> </w:t>
      </w:r>
      <w:r w:rsidR="00686411" w:rsidRPr="00304705">
        <w:t xml:space="preserve">reliable net expense </w:t>
      </w:r>
      <w:r w:rsidRPr="00304705">
        <w:t xml:space="preserve">data from all states </w:t>
      </w:r>
      <w:r w:rsidR="009218E2">
        <w:t>are</w:t>
      </w:r>
      <w:r w:rsidRPr="00304705">
        <w:t xml:space="preserve"> received by June 2024</w:t>
      </w:r>
      <w:r w:rsidR="00AE0649" w:rsidRPr="00304705">
        <w:t xml:space="preserve">, </w:t>
      </w:r>
      <w:r w:rsidR="009218E2">
        <w:t>they</w:t>
      </w:r>
      <w:r w:rsidR="00AE0649" w:rsidRPr="00304705">
        <w:t xml:space="preserve"> may be able to be reflected in the 2025 Review.</w:t>
      </w:r>
    </w:p>
    <w:p w14:paraId="46CE4DE6" w14:textId="77777777" w:rsidR="00EE339C" w:rsidRDefault="00EE339C">
      <w:pPr>
        <w:tabs>
          <w:tab w:val="clear" w:pos="567"/>
        </w:tabs>
        <w:spacing w:before="0" w:after="200" w:line="276" w:lineRule="auto"/>
        <w:rPr>
          <w:rFonts w:ascii="Work Sans" w:eastAsia="Times New Roman" w:hAnsi="Work Sans" w:cs="Open Sans"/>
          <w:b/>
          <w:bCs/>
          <w:color w:val="006991"/>
          <w:sz w:val="36"/>
          <w:szCs w:val="36"/>
        </w:rPr>
      </w:pPr>
      <w:bookmarkStart w:id="135" w:name="_Toc138691912"/>
      <w:r>
        <w:br w:type="page"/>
      </w:r>
    </w:p>
    <w:p w14:paraId="19F5E7CB" w14:textId="70DF6FBB" w:rsidR="00385AB5" w:rsidRDefault="00844984" w:rsidP="006B2D0F">
      <w:pPr>
        <w:pStyle w:val="Heading2"/>
      </w:pPr>
      <w:r>
        <w:lastRenderedPageBreak/>
        <w:t>Consultation</w:t>
      </w:r>
      <w:bookmarkEnd w:id="135"/>
    </w:p>
    <w:p w14:paraId="77D09690" w14:textId="075B3A7E" w:rsidR="00844984" w:rsidRPr="008E4B22" w:rsidRDefault="00844984" w:rsidP="008E4B22">
      <w:pPr>
        <w:pStyle w:val="CGC2025ParaNumbers"/>
      </w:pPr>
      <w:r w:rsidRPr="004515A0">
        <w:t xml:space="preserve">The Commission welcomes state views on the consultation questions identified in this paper (outlined below) and the proposed assessment. State </w:t>
      </w:r>
      <w:r w:rsidR="00FD2C71">
        <w:t>submissions</w:t>
      </w:r>
      <w:r w:rsidR="00FD2C71" w:rsidRPr="004515A0">
        <w:t xml:space="preserve"> </w:t>
      </w:r>
      <w:r w:rsidRPr="004515A0">
        <w:t xml:space="preserve">should </w:t>
      </w:r>
      <w:r w:rsidR="00FD2C71">
        <w:t>accord</w:t>
      </w:r>
      <w:r w:rsidRPr="004515A0">
        <w:t xml:space="preserve"> with the 2025 Review framework. States are welcome to raise other relevant issues with the Commission.</w:t>
      </w:r>
    </w:p>
    <w:p w14:paraId="0E32774D" w14:textId="25603EA4" w:rsidR="00844984" w:rsidRDefault="00841E10" w:rsidP="00BE3D2A">
      <w:pPr>
        <w:pStyle w:val="CGCBulletlist"/>
        <w:numPr>
          <w:ilvl w:val="0"/>
          <w:numId w:val="0"/>
        </w:numPr>
      </w:pPr>
      <w:r w:rsidRPr="001C4DF3">
        <w:rPr>
          <w:noProof/>
        </w:rPr>
        <mc:AlternateContent>
          <mc:Choice Requires="wps">
            <w:drawing>
              <wp:inline distT="0" distB="0" distL="0" distR="0" wp14:anchorId="784FEFF8" wp14:editId="2BC8B7F2">
                <wp:extent cx="5688965" cy="6478954"/>
                <wp:effectExtent l="0" t="0" r="6985" b="0"/>
                <wp:docPr id="37" name="Rectangl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8965" cy="6478954"/>
                        </a:xfrm>
                        <a:prstGeom prst="rect">
                          <a:avLst/>
                        </a:prstGeom>
                        <a:solidFill>
                          <a:srgbClr val="EBF3F5"/>
                        </a:solidFill>
                        <a:ln w="25400" cap="flat" cmpd="sng" algn="ctr">
                          <a:noFill/>
                          <a:prstDash val="solid"/>
                        </a:ln>
                        <a:effectLst/>
                      </wps:spPr>
                      <wps:txbx>
                        <w:txbxContent>
                          <w:p w14:paraId="223BA9BA" w14:textId="575A94FF" w:rsidR="003E4644" w:rsidDel="003A0942" w:rsidRDefault="003E4644" w:rsidP="003E4644">
                            <w:pPr>
                              <w:pStyle w:val="Heading4"/>
                            </w:pPr>
                            <w:r w:rsidRPr="00D90085">
                              <w:t>To what extent has the experience of COVID-19 challenged the underlying assumptions of the urb</w:t>
                            </w:r>
                            <w:r w:rsidRPr="00D90085" w:rsidDel="003A0942">
                              <w:t>an transport assessment</w:t>
                            </w:r>
                            <w:r w:rsidDel="003A0942">
                              <w:t>?</w:t>
                            </w:r>
                          </w:p>
                          <w:p w14:paraId="65EB1A10" w14:textId="0A2A0F45" w:rsidR="003E4644" w:rsidRPr="00304EFD" w:rsidDel="003A0942" w:rsidRDefault="00D1633A" w:rsidP="00D1633A">
                            <w:pPr>
                              <w:pStyle w:val="CGC2025Questionsnumbers2"/>
                              <w:rPr>
                                <w:sz w:val="20"/>
                                <w:szCs w:val="20"/>
                              </w:rPr>
                            </w:pPr>
                            <w:r w:rsidRPr="00304EFD">
                              <w:rPr>
                                <w:sz w:val="20"/>
                                <w:szCs w:val="20"/>
                              </w:rPr>
                              <w:t xml:space="preserve">Do states agree that </w:t>
                            </w:r>
                            <w:r w:rsidR="00C03FEB" w:rsidRPr="00304EFD">
                              <w:rPr>
                                <w:sz w:val="20"/>
                                <w:szCs w:val="20"/>
                              </w:rPr>
                              <w:t>the</w:t>
                            </w:r>
                            <w:r w:rsidRPr="00304EFD">
                              <w:rPr>
                                <w:sz w:val="20"/>
                                <w:szCs w:val="20"/>
                              </w:rPr>
                              <w:t xml:space="preserve"> 2020 Review model for assessing urban transport needs remains </w:t>
                            </w:r>
                            <w:r w:rsidR="00C03FEB" w:rsidRPr="00304EFD">
                              <w:rPr>
                                <w:sz w:val="20"/>
                                <w:szCs w:val="20"/>
                              </w:rPr>
                              <w:t>appropriate</w:t>
                            </w:r>
                            <w:r w:rsidRPr="00304EFD">
                              <w:rPr>
                                <w:sz w:val="20"/>
                                <w:szCs w:val="20"/>
                              </w:rPr>
                              <w:t>?</w:t>
                            </w:r>
                          </w:p>
                          <w:p w14:paraId="0753BB52" w14:textId="689CC08E" w:rsidR="003E4644" w:rsidRDefault="003E4644" w:rsidP="003E4644">
                            <w:pPr>
                              <w:pStyle w:val="Heading4"/>
                            </w:pPr>
                            <w:r>
                              <w:t xml:space="preserve">Are </w:t>
                            </w:r>
                            <w:r w:rsidRPr="00313523">
                              <w:t>reliable data available to update the assessment of urban transport needs</w:t>
                            </w:r>
                            <w:r>
                              <w:t>?</w:t>
                            </w:r>
                          </w:p>
                          <w:p w14:paraId="4A4916CF" w14:textId="5F6EE87C" w:rsidR="00D26C6E" w:rsidRPr="00304EFD" w:rsidRDefault="00D26C6E" w:rsidP="00D26C6E">
                            <w:pPr>
                              <w:pStyle w:val="CGC2025Questionsnumbers2"/>
                              <w:rPr>
                                <w:sz w:val="20"/>
                                <w:szCs w:val="20"/>
                              </w:rPr>
                            </w:pPr>
                            <w:r w:rsidRPr="00304EFD">
                              <w:rPr>
                                <w:sz w:val="20"/>
                                <w:szCs w:val="20"/>
                              </w:rPr>
                              <w:t>Do states consider the urban transport net expense data from 2019–20 to 2021</w:t>
                            </w:r>
                            <w:r w:rsidR="004C6E31" w:rsidRPr="00304EFD">
                              <w:rPr>
                                <w:sz w:val="20"/>
                                <w:szCs w:val="20"/>
                              </w:rPr>
                              <w:noBreakHyphen/>
                            </w:r>
                            <w:r w:rsidRPr="00304EFD">
                              <w:rPr>
                                <w:sz w:val="20"/>
                                <w:szCs w:val="20"/>
                              </w:rPr>
                              <w:t xml:space="preserve">22 are likely to be overstated? </w:t>
                            </w:r>
                          </w:p>
                          <w:p w14:paraId="70FCE85A" w14:textId="5CAA9BE9" w:rsidR="00D26C6E" w:rsidRPr="00304EFD" w:rsidRDefault="00D26C6E" w:rsidP="00D26C6E">
                            <w:pPr>
                              <w:pStyle w:val="CGC2025Questionsnumbers2"/>
                              <w:rPr>
                                <w:sz w:val="20"/>
                                <w:szCs w:val="20"/>
                              </w:rPr>
                            </w:pPr>
                            <w:r w:rsidRPr="00304EFD">
                              <w:rPr>
                                <w:sz w:val="20"/>
                                <w:szCs w:val="20"/>
                              </w:rPr>
                              <w:t>If 2019–20 to 2021–22 data are not fit for purpose, do states support updating the regression with data from 2022–23</w:t>
                            </w:r>
                            <w:r w:rsidR="00903E81" w:rsidRPr="00304EFD">
                              <w:rPr>
                                <w:sz w:val="20"/>
                                <w:szCs w:val="20"/>
                              </w:rPr>
                              <w:t>?</w:t>
                            </w:r>
                            <w:r w:rsidRPr="00304EFD">
                              <w:rPr>
                                <w:sz w:val="20"/>
                                <w:szCs w:val="20"/>
                              </w:rPr>
                              <w:t xml:space="preserve"> Can states provide an indication of when this data could be provided to </w:t>
                            </w:r>
                            <w:r w:rsidR="00E62C46" w:rsidRPr="00304EFD">
                              <w:rPr>
                                <w:sz w:val="20"/>
                                <w:szCs w:val="20"/>
                              </w:rPr>
                              <w:t xml:space="preserve">the </w:t>
                            </w:r>
                            <w:r w:rsidRPr="00304EFD">
                              <w:rPr>
                                <w:sz w:val="20"/>
                                <w:szCs w:val="20"/>
                              </w:rPr>
                              <w:t>Commission</w:t>
                            </w:r>
                            <w:r w:rsidR="00903E81" w:rsidRPr="00304EFD">
                              <w:rPr>
                                <w:sz w:val="20"/>
                                <w:szCs w:val="20"/>
                              </w:rPr>
                              <w:t>?</w:t>
                            </w:r>
                            <w:r w:rsidRPr="00304EFD">
                              <w:rPr>
                                <w:sz w:val="20"/>
                                <w:szCs w:val="20"/>
                              </w:rPr>
                              <w:t xml:space="preserve"> (</w:t>
                            </w:r>
                            <w:r w:rsidR="00903E81" w:rsidRPr="00304EFD">
                              <w:rPr>
                                <w:sz w:val="20"/>
                                <w:szCs w:val="20"/>
                              </w:rPr>
                              <w:t>S</w:t>
                            </w:r>
                            <w:r w:rsidRPr="00304EFD">
                              <w:rPr>
                                <w:sz w:val="20"/>
                                <w:szCs w:val="20"/>
                              </w:rPr>
                              <w:t xml:space="preserve">ee </w:t>
                            </w:r>
                            <w:hyperlink w:anchor="_Attachment_B:_Indicative" w:history="1">
                              <w:r w:rsidRPr="00F45DF5">
                                <w:rPr>
                                  <w:rStyle w:val="Hyperlink"/>
                                  <w:color w:val="auto"/>
                                  <w:sz w:val="20"/>
                                  <w:szCs w:val="20"/>
                                  <w:u w:val="none"/>
                                </w:rPr>
                                <w:t>Attachment B</w:t>
                              </w:r>
                            </w:hyperlink>
                            <w:r w:rsidRPr="00304EFD">
                              <w:rPr>
                                <w:sz w:val="20"/>
                                <w:szCs w:val="20"/>
                              </w:rPr>
                              <w:t>)</w:t>
                            </w:r>
                            <w:r w:rsidR="00903E81" w:rsidRPr="00304EFD">
                              <w:rPr>
                                <w:sz w:val="20"/>
                                <w:szCs w:val="20"/>
                              </w:rPr>
                              <w:t>.</w:t>
                            </w:r>
                          </w:p>
                          <w:p w14:paraId="316AA6C7" w14:textId="77777777" w:rsidR="00D26C6E" w:rsidRPr="00304EFD" w:rsidRDefault="00D26C6E" w:rsidP="00D26C6E">
                            <w:pPr>
                              <w:pStyle w:val="CGC2025Questionsnumbers2"/>
                              <w:rPr>
                                <w:sz w:val="20"/>
                                <w:szCs w:val="20"/>
                              </w:rPr>
                            </w:pPr>
                            <w:r w:rsidRPr="00304EFD">
                              <w:rPr>
                                <w:sz w:val="20"/>
                                <w:szCs w:val="20"/>
                              </w:rPr>
                              <w:t>If 2022–23 data are considered fit for purpose but are not available for inclusion in the 2025 Review, do states support updating the assessment in an update following the 2025 Review?</w:t>
                            </w:r>
                          </w:p>
                          <w:p w14:paraId="25E04820" w14:textId="719DDDC0" w:rsidR="006A196B" w:rsidRPr="00304EFD" w:rsidRDefault="003E4644" w:rsidP="00F202DA">
                            <w:pPr>
                              <w:pStyle w:val="CGC2025Questionsnumbers2"/>
                              <w:rPr>
                                <w:sz w:val="20"/>
                                <w:szCs w:val="20"/>
                              </w:rPr>
                            </w:pPr>
                            <w:r w:rsidRPr="00304EFD">
                              <w:rPr>
                                <w:sz w:val="20"/>
                                <w:szCs w:val="20"/>
                              </w:rPr>
                              <w:t>Do states support retaining the 2020 Review proxy variable data in the regression model until fit for purpose net expense data are available?</w:t>
                            </w:r>
                          </w:p>
                          <w:p w14:paraId="67BAA41F" w14:textId="77777777" w:rsidR="00B14E00" w:rsidRPr="006A196B" w:rsidRDefault="00B14E00" w:rsidP="00B14E00">
                            <w:pPr>
                              <w:pStyle w:val="Heading5"/>
                            </w:pPr>
                            <w:r w:rsidRPr="006A196B">
                              <w:t>When expense data are available to update the regression</w:t>
                            </w:r>
                          </w:p>
                          <w:p w14:paraId="7E372F1F" w14:textId="77777777" w:rsidR="00B14E00" w:rsidRPr="00304EFD" w:rsidRDefault="00B14E00" w:rsidP="00D1633A">
                            <w:pPr>
                              <w:pStyle w:val="CGC2025Questionsnumbers2"/>
                              <w:rPr>
                                <w:sz w:val="20"/>
                                <w:szCs w:val="20"/>
                              </w:rPr>
                            </w:pPr>
                            <w:r w:rsidRPr="00304EFD">
                              <w:rPr>
                                <w:sz w:val="20"/>
                                <w:szCs w:val="20"/>
                              </w:rPr>
                              <w:t>Do states agree that the 2021 Census journey to work data were distorted by the COVID-19 lockdowns and are not a fit for purpose measure of current passenger numbers?</w:t>
                            </w:r>
                          </w:p>
                          <w:p w14:paraId="265BDE0E" w14:textId="136AFC34" w:rsidR="00874C85" w:rsidRPr="00304EFD" w:rsidRDefault="00B14E00" w:rsidP="00D1633A">
                            <w:pPr>
                              <w:pStyle w:val="CGC2025Questionsnumbers2"/>
                              <w:rPr>
                                <w:sz w:val="20"/>
                                <w:szCs w:val="20"/>
                              </w:rPr>
                            </w:pPr>
                            <w:r w:rsidRPr="00304EFD">
                              <w:rPr>
                                <w:sz w:val="20"/>
                                <w:szCs w:val="20"/>
                              </w:rPr>
                              <w:t>If the 2021 Census journey to work data are not fit for purpose, do states support the continued use of 2016 Census journey to work data in the model?</w:t>
                            </w:r>
                          </w:p>
                          <w:p w14:paraId="01B39B48" w14:textId="5D9DE618" w:rsidR="00B14E00" w:rsidRDefault="00874C85" w:rsidP="00D1633A">
                            <w:pPr>
                              <w:pStyle w:val="CGC2025Questionsnumbers2"/>
                              <w:rPr>
                                <w:sz w:val="20"/>
                                <w:szCs w:val="20"/>
                              </w:rPr>
                            </w:pPr>
                            <w:r w:rsidRPr="00304EFD">
                              <w:rPr>
                                <w:sz w:val="20"/>
                                <w:szCs w:val="20"/>
                              </w:rPr>
                              <w:t>Do states agree that 2021 Census distance travelled to work data were not significantly distorted by COVID-19 lockdowns and are a reliable measure of network complexity?</w:t>
                            </w:r>
                          </w:p>
                          <w:p w14:paraId="414DF471" w14:textId="77777777" w:rsidR="00BC7098" w:rsidRPr="000E6A9F" w:rsidRDefault="00BC7098" w:rsidP="00BC7098">
                            <w:pPr>
                              <w:pStyle w:val="Heading5"/>
                            </w:pPr>
                            <w:r w:rsidRPr="000E6A9F">
                              <w:t>When modelling passenger numbers to apply to regression coefficients</w:t>
                            </w:r>
                          </w:p>
                          <w:p w14:paraId="2417E6DC" w14:textId="6B33DBE4" w:rsidR="000B13B6" w:rsidRPr="00615AE0" w:rsidRDefault="00BC7098" w:rsidP="00E94B42">
                            <w:pPr>
                              <w:pStyle w:val="CGC2025Questionsnumbers2"/>
                              <w:rPr>
                                <w:sz w:val="20"/>
                                <w:szCs w:val="20"/>
                              </w:rPr>
                            </w:pPr>
                            <w:r w:rsidRPr="00FB1B5C">
                              <w:rPr>
                                <w:sz w:val="20"/>
                                <w:szCs w:val="20"/>
                              </w:rPr>
                              <w:t>Do states agree that, if material, 2016 Census journey to work data should be adjusted using the Bureau of Infrastructure and Transport Research Economics measure of passenger kilometres travelled until the 2026 Census data are available.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84FEFF8" id="Rectangle 37" o:spid="_x0000_s1040" alt="&quot;&quot;" style="width:447.95pt;height:510.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" fillcolor="#ebf3f5" stroked="f" strokeweight="2pt">
                <v:textbox>
                  <w:txbxContent>
                    <w:p w14:paraId="223BA9BA" w14:textId="575A94FF" w:rsidR="003E4644" w:rsidDel="003A0942" w:rsidRDefault="003E4644" w:rsidP="003E4644">
                      <w:pPr>
                        <w:pStyle w:val="Heading4"/>
                      </w:pPr>
                      <w:r w:rsidRPr="00D90085">
                        <w:t>To what extent has the experience of COVID-19 challenged the underlying assumptions of the urb</w:t>
                      </w:r>
                      <w:r w:rsidRPr="00D90085" w:rsidDel="003A0942">
                        <w:t>an transport assessment</w:t>
                      </w:r>
                      <w:r w:rsidDel="003A0942">
                        <w:t>?</w:t>
                      </w:r>
                    </w:p>
                    <w:p w14:paraId="65EB1A10" w14:textId="0A2A0F45" w:rsidR="003E4644" w:rsidRPr="00304EFD" w:rsidDel="003A0942" w:rsidRDefault="00D1633A" w:rsidP="00D1633A">
                      <w:pPr>
                        <w:pStyle w:val="CGC2025Questionsnumbers2"/>
                        <w:rPr>
                          <w:sz w:val="20"/>
                          <w:szCs w:val="20"/>
                        </w:rPr>
                      </w:pPr>
                      <w:r w:rsidRPr="00304EFD">
                        <w:rPr>
                          <w:sz w:val="20"/>
                          <w:szCs w:val="20"/>
                        </w:rPr>
                        <w:t xml:space="preserve">Do states agree that </w:t>
                      </w:r>
                      <w:r w:rsidR="00C03FEB" w:rsidRPr="00304EFD">
                        <w:rPr>
                          <w:sz w:val="20"/>
                          <w:szCs w:val="20"/>
                        </w:rPr>
                        <w:t>the</w:t>
                      </w:r>
                      <w:r w:rsidRPr="00304EFD">
                        <w:rPr>
                          <w:sz w:val="20"/>
                          <w:szCs w:val="20"/>
                        </w:rPr>
                        <w:t xml:space="preserve"> 2020 Review model for assessing urban transport needs remains </w:t>
                      </w:r>
                      <w:r w:rsidR="00C03FEB" w:rsidRPr="00304EFD">
                        <w:rPr>
                          <w:sz w:val="20"/>
                          <w:szCs w:val="20"/>
                        </w:rPr>
                        <w:t>appropriate</w:t>
                      </w:r>
                      <w:r w:rsidRPr="00304EFD">
                        <w:rPr>
                          <w:sz w:val="20"/>
                          <w:szCs w:val="20"/>
                        </w:rPr>
                        <w:t>?</w:t>
                      </w:r>
                    </w:p>
                    <w:p w14:paraId="0753BB52" w14:textId="689CC08E" w:rsidR="003E4644" w:rsidRDefault="003E4644" w:rsidP="003E4644">
                      <w:pPr>
                        <w:pStyle w:val="Heading4"/>
                      </w:pPr>
                      <w:r>
                        <w:t xml:space="preserve">Are </w:t>
                      </w:r>
                      <w:r w:rsidRPr="00313523">
                        <w:t>reliable data available to update the assessment of urban transport needs</w:t>
                      </w:r>
                      <w:r>
                        <w:t>?</w:t>
                      </w:r>
                    </w:p>
                    <w:p w14:paraId="4A4916CF" w14:textId="5F6EE87C" w:rsidR="00D26C6E" w:rsidRPr="00304EFD" w:rsidRDefault="00D26C6E" w:rsidP="00D26C6E">
                      <w:pPr>
                        <w:pStyle w:val="CGC2025Questionsnumbers2"/>
                        <w:rPr>
                          <w:sz w:val="20"/>
                          <w:szCs w:val="20"/>
                        </w:rPr>
                      </w:pPr>
                      <w:r w:rsidRPr="00304EFD">
                        <w:rPr>
                          <w:sz w:val="20"/>
                          <w:szCs w:val="20"/>
                        </w:rPr>
                        <w:t>Do states consider the urban transport net expense data from 2019–20 to 2021</w:t>
                      </w:r>
                      <w:r w:rsidR="004C6E31" w:rsidRPr="00304EFD">
                        <w:rPr>
                          <w:sz w:val="20"/>
                          <w:szCs w:val="20"/>
                        </w:rPr>
                        <w:noBreakHyphen/>
                      </w:r>
                      <w:r w:rsidRPr="00304EFD">
                        <w:rPr>
                          <w:sz w:val="20"/>
                          <w:szCs w:val="20"/>
                        </w:rPr>
                        <w:t xml:space="preserve">22 are likely to be overstated? </w:t>
                      </w:r>
                    </w:p>
                    <w:p w14:paraId="70FCE85A" w14:textId="5CAA9BE9" w:rsidR="00D26C6E" w:rsidRPr="00304EFD" w:rsidRDefault="00D26C6E" w:rsidP="00D26C6E">
                      <w:pPr>
                        <w:pStyle w:val="CGC2025Questionsnumbers2"/>
                        <w:rPr>
                          <w:sz w:val="20"/>
                          <w:szCs w:val="20"/>
                        </w:rPr>
                      </w:pPr>
                      <w:r w:rsidRPr="00304EFD">
                        <w:rPr>
                          <w:sz w:val="20"/>
                          <w:szCs w:val="20"/>
                        </w:rPr>
                        <w:t>If 2019–20 to 2021–22 data are not fit for purpose, do states support updating the regression with data from 2022–23</w:t>
                      </w:r>
                      <w:r w:rsidR="00903E81" w:rsidRPr="00304EFD">
                        <w:rPr>
                          <w:sz w:val="20"/>
                          <w:szCs w:val="20"/>
                        </w:rPr>
                        <w:t>?</w:t>
                      </w:r>
                      <w:r w:rsidRPr="00304EFD">
                        <w:rPr>
                          <w:sz w:val="20"/>
                          <w:szCs w:val="20"/>
                        </w:rPr>
                        <w:t xml:space="preserve"> Can states provide an indication of when this data could be provided to </w:t>
                      </w:r>
                      <w:r w:rsidR="00E62C46" w:rsidRPr="00304EFD">
                        <w:rPr>
                          <w:sz w:val="20"/>
                          <w:szCs w:val="20"/>
                        </w:rPr>
                        <w:t xml:space="preserve">the </w:t>
                      </w:r>
                      <w:r w:rsidRPr="00304EFD">
                        <w:rPr>
                          <w:sz w:val="20"/>
                          <w:szCs w:val="20"/>
                        </w:rPr>
                        <w:t>Commission</w:t>
                      </w:r>
                      <w:r w:rsidR="00903E81" w:rsidRPr="00304EFD">
                        <w:rPr>
                          <w:sz w:val="20"/>
                          <w:szCs w:val="20"/>
                        </w:rPr>
                        <w:t>?</w:t>
                      </w:r>
                      <w:r w:rsidRPr="00304EFD">
                        <w:rPr>
                          <w:sz w:val="20"/>
                          <w:szCs w:val="20"/>
                        </w:rPr>
                        <w:t xml:space="preserve"> (</w:t>
                      </w:r>
                      <w:r w:rsidR="00903E81" w:rsidRPr="00304EFD">
                        <w:rPr>
                          <w:sz w:val="20"/>
                          <w:szCs w:val="20"/>
                        </w:rPr>
                        <w:t>S</w:t>
                      </w:r>
                      <w:r w:rsidRPr="00304EFD">
                        <w:rPr>
                          <w:sz w:val="20"/>
                          <w:szCs w:val="20"/>
                        </w:rPr>
                        <w:t xml:space="preserve">ee </w:t>
                      </w:r>
                      <w:hyperlink w:anchor="_Attachment_B:_Indicative" w:history="1">
                        <w:r w:rsidRPr="00F45DF5">
                          <w:rPr>
                            <w:rStyle w:val="Hyperlink"/>
                            <w:color w:val="auto"/>
                            <w:sz w:val="20"/>
                            <w:szCs w:val="20"/>
                            <w:u w:val="none"/>
                          </w:rPr>
                          <w:t>Attachment B</w:t>
                        </w:r>
                      </w:hyperlink>
                      <w:r w:rsidRPr="00304EFD">
                        <w:rPr>
                          <w:sz w:val="20"/>
                          <w:szCs w:val="20"/>
                        </w:rPr>
                        <w:t>)</w:t>
                      </w:r>
                      <w:r w:rsidR="00903E81" w:rsidRPr="00304EFD">
                        <w:rPr>
                          <w:sz w:val="20"/>
                          <w:szCs w:val="20"/>
                        </w:rPr>
                        <w:t>.</w:t>
                      </w:r>
                    </w:p>
                    <w:p w14:paraId="316AA6C7" w14:textId="77777777" w:rsidR="00D26C6E" w:rsidRPr="00304EFD" w:rsidRDefault="00D26C6E" w:rsidP="00D26C6E">
                      <w:pPr>
                        <w:pStyle w:val="CGC2025Questionsnumbers2"/>
                        <w:rPr>
                          <w:sz w:val="20"/>
                          <w:szCs w:val="20"/>
                        </w:rPr>
                      </w:pPr>
                      <w:r w:rsidRPr="00304EFD">
                        <w:rPr>
                          <w:sz w:val="20"/>
                          <w:szCs w:val="20"/>
                        </w:rPr>
                        <w:t>If 2022–23 data are considered fit for purpose but are not available for inclusion in the 2025 Review, do states support updating the assessment in an update following the 2025 Review?</w:t>
                      </w:r>
                    </w:p>
                    <w:p w14:paraId="25E04820" w14:textId="719DDDC0" w:rsidR="006A196B" w:rsidRPr="00304EFD" w:rsidRDefault="003E4644" w:rsidP="00F202DA">
                      <w:pPr>
                        <w:pStyle w:val="CGC2025Questionsnumbers2"/>
                        <w:rPr>
                          <w:sz w:val="20"/>
                          <w:szCs w:val="20"/>
                        </w:rPr>
                      </w:pPr>
                      <w:r w:rsidRPr="00304EFD">
                        <w:rPr>
                          <w:sz w:val="20"/>
                          <w:szCs w:val="20"/>
                        </w:rPr>
                        <w:t>Do states support retaining the 2020 Review proxy variable data in the regression model until fit for purpose net expense data are available?</w:t>
                      </w:r>
                    </w:p>
                    <w:p w14:paraId="67BAA41F" w14:textId="77777777" w:rsidR="00B14E00" w:rsidRPr="006A196B" w:rsidRDefault="00B14E00" w:rsidP="00B14E00">
                      <w:pPr>
                        <w:pStyle w:val="Heading5"/>
                      </w:pPr>
                      <w:r w:rsidRPr="006A196B">
                        <w:t>When expense data are available to update the regression</w:t>
                      </w:r>
                    </w:p>
                    <w:p w14:paraId="7E372F1F" w14:textId="77777777" w:rsidR="00B14E00" w:rsidRPr="00304EFD" w:rsidRDefault="00B14E00" w:rsidP="00D1633A">
                      <w:pPr>
                        <w:pStyle w:val="CGC2025Questionsnumbers2"/>
                        <w:rPr>
                          <w:sz w:val="20"/>
                          <w:szCs w:val="20"/>
                        </w:rPr>
                      </w:pPr>
                      <w:r w:rsidRPr="00304EFD">
                        <w:rPr>
                          <w:sz w:val="20"/>
                          <w:szCs w:val="20"/>
                        </w:rPr>
                        <w:t>Do states agree that the 2021 Census journey to work data were distorted by the COVID-19 lockdowns and are not a fit for purpose measure of current passenger numbers?</w:t>
                      </w:r>
                    </w:p>
                    <w:p w14:paraId="265BDE0E" w14:textId="136AFC34" w:rsidR="00874C85" w:rsidRPr="00304EFD" w:rsidRDefault="00B14E00" w:rsidP="00D1633A">
                      <w:pPr>
                        <w:pStyle w:val="CGC2025Questionsnumbers2"/>
                        <w:rPr>
                          <w:sz w:val="20"/>
                          <w:szCs w:val="20"/>
                        </w:rPr>
                      </w:pPr>
                      <w:r w:rsidRPr="00304EFD">
                        <w:rPr>
                          <w:sz w:val="20"/>
                          <w:szCs w:val="20"/>
                        </w:rPr>
                        <w:t>If the 2021 Census journey to work data are not fit for purpose, do states support the continued use of 2016 Census journey to work data in the model?</w:t>
                      </w:r>
                    </w:p>
                    <w:p w14:paraId="01B39B48" w14:textId="5D9DE618" w:rsidR="00B14E00" w:rsidRDefault="00874C85" w:rsidP="00D1633A">
                      <w:pPr>
                        <w:pStyle w:val="CGC2025Questionsnumbers2"/>
                        <w:rPr>
                          <w:sz w:val="20"/>
                          <w:szCs w:val="20"/>
                        </w:rPr>
                      </w:pPr>
                      <w:r w:rsidRPr="00304EFD">
                        <w:rPr>
                          <w:sz w:val="20"/>
                          <w:szCs w:val="20"/>
                        </w:rPr>
                        <w:t>Do states agree that 2021 Census distance travelled to work data were not significantly distorted by COVID-19 lockdowns and are a reliable measure of network complexity?</w:t>
                      </w:r>
                    </w:p>
                    <w:p w14:paraId="414DF471" w14:textId="77777777" w:rsidR="00BC7098" w:rsidRPr="000E6A9F" w:rsidRDefault="00BC7098" w:rsidP="00BC7098">
                      <w:pPr>
                        <w:pStyle w:val="Heading5"/>
                      </w:pPr>
                      <w:r w:rsidRPr="000E6A9F">
                        <w:t>When modelling passenger numbers to apply to regression coefficients</w:t>
                      </w:r>
                    </w:p>
                    <w:p w14:paraId="2417E6DC" w14:textId="6B33DBE4" w:rsidR="000B13B6" w:rsidRPr="00615AE0" w:rsidRDefault="00BC7098" w:rsidP="00E94B42">
                      <w:pPr>
                        <w:pStyle w:val="CGC2025Questionsnumbers2"/>
                        <w:rPr>
                          <w:sz w:val="20"/>
                          <w:szCs w:val="20"/>
                        </w:rPr>
                      </w:pPr>
                      <w:r w:rsidRPr="00FB1B5C">
                        <w:rPr>
                          <w:sz w:val="20"/>
                          <w:szCs w:val="20"/>
                        </w:rPr>
                        <w:t>Do states agree that, if material, 2016 Census journey to work data should be adjusted using the Bureau of Infrastructure and Transport Research Economics measure of passenger kilometres travelled until the 2026 Census data are available.</w:t>
                      </w:r>
                    </w:p>
                  </w:txbxContent>
                </v:textbox>
                <w10:anchorlock/>
              </v:rect>
            </w:pict>
          </mc:Fallback>
        </mc:AlternateContent>
      </w:r>
    </w:p>
    <w:p w14:paraId="76321B3A" w14:textId="77777777" w:rsidR="00844984" w:rsidRPr="00F019CC" w:rsidRDefault="00844984" w:rsidP="00BE3D2A">
      <w:pPr>
        <w:pStyle w:val="CGCBulletlist"/>
        <w:numPr>
          <w:ilvl w:val="0"/>
          <w:numId w:val="0"/>
        </w:numPr>
      </w:pPr>
    </w:p>
    <w:p w14:paraId="207C4C12" w14:textId="60D1696E" w:rsidR="00844984" w:rsidRPr="00844984" w:rsidRDefault="00BE26DD" w:rsidP="00844984">
      <w:pPr>
        <w:pStyle w:val="Heading4"/>
        <w:sectPr w:rsidR="00844984" w:rsidRPr="00844984" w:rsidSect="00EA2A66">
          <w:footerReference w:type="default" r:id="rId30"/>
          <w:footerReference w:type="first" r:id="rId31"/>
          <w:footnotePr>
            <w:numRestart w:val="eachSect"/>
          </w:footnotePr>
          <w:type w:val="continuous"/>
          <w:pgSz w:w="11907" w:h="16840" w:code="9"/>
          <w:pgMar w:top="1418" w:right="1474" w:bottom="1418" w:left="1474" w:header="567" w:footer="567" w:gutter="0"/>
          <w:pgNumType w:start="2"/>
          <w:cols w:space="720"/>
          <w:titlePg/>
          <w:docGrid w:linePitch="360"/>
        </w:sectPr>
      </w:pPr>
      <w:bookmarkStart w:id="136" w:name="_Toc106707732"/>
      <w:bookmarkStart w:id="137" w:name="_Toc155675943"/>
      <w:bookmarkStart w:id="138" w:name="_Toc174415778"/>
      <w:bookmarkStart w:id="139" w:name="_Toc174415943"/>
      <w:bookmarkStart w:id="140" w:name="_Toc174416628"/>
      <w:bookmarkStart w:id="141" w:name="_Toc174416670"/>
      <w:bookmarkStart w:id="142" w:name="_Hlk76473161"/>
      <w:r w:rsidRPr="001C4DF3">
        <w:rPr>
          <w:noProof/>
        </w:rPr>
        <w:lastRenderedPageBreak/>
        <mc:AlternateContent>
          <mc:Choice Requires="wps">
            <w:drawing>
              <wp:inline distT="0" distB="0" distL="0" distR="0" wp14:anchorId="6E0E491C" wp14:editId="214ACAD6">
                <wp:extent cx="5688965" cy="4556369"/>
                <wp:effectExtent l="0" t="0" r="6985" b="0"/>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8965" cy="4556369"/>
                        </a:xfrm>
                        <a:prstGeom prst="rect">
                          <a:avLst/>
                        </a:prstGeom>
                        <a:solidFill>
                          <a:srgbClr val="EBF3F5"/>
                        </a:solidFill>
                        <a:ln w="25400" cap="flat" cmpd="sng" algn="ctr">
                          <a:noFill/>
                          <a:prstDash val="solid"/>
                        </a:ln>
                        <a:effectLst/>
                      </wps:spPr>
                      <wps:txbx>
                        <w:txbxContent>
                          <w:p w14:paraId="331DE2C4" w14:textId="77777777" w:rsidR="00615AE0" w:rsidRPr="00F202DA" w:rsidRDefault="00615AE0" w:rsidP="00615AE0">
                            <w:pPr>
                              <w:pStyle w:val="Heading5"/>
                            </w:pPr>
                            <w:r w:rsidRPr="00F202DA">
                              <w:t>When updating actual passenger numbers in the regression</w:t>
                            </w:r>
                          </w:p>
                          <w:p w14:paraId="1C913C1E" w14:textId="112B2C8C" w:rsidR="00615AE0" w:rsidRPr="00FB1B5C" w:rsidRDefault="00615AE0" w:rsidP="00615AE0">
                            <w:pPr>
                              <w:pStyle w:val="CGC2025Questionsnumbers2"/>
                              <w:rPr>
                                <w:sz w:val="20"/>
                                <w:szCs w:val="20"/>
                              </w:rPr>
                            </w:pPr>
                            <w:r w:rsidRPr="00FB1B5C">
                              <w:rPr>
                                <w:sz w:val="20"/>
                                <w:szCs w:val="20"/>
                              </w:rPr>
                              <w:t xml:space="preserve">Do states agree that </w:t>
                            </w:r>
                            <w:r w:rsidR="00566F39">
                              <w:rPr>
                                <w:sz w:val="20"/>
                                <w:szCs w:val="20"/>
                              </w:rPr>
                              <w:t>i</w:t>
                            </w:r>
                            <w:r w:rsidRPr="00FB1B5C">
                              <w:rPr>
                                <w:sz w:val="20"/>
                                <w:szCs w:val="20"/>
                              </w:rPr>
                              <w:t xml:space="preserve">f net expense data are available before the 2026 Census passenger numbers it is appropriate to use </w:t>
                            </w:r>
                            <w:r w:rsidRPr="00F04409">
                              <w:rPr>
                                <w:sz w:val="20"/>
                              </w:rPr>
                              <w:t>Bureau of Infrastructure and Transport Research Economics</w:t>
                            </w:r>
                            <w:r w:rsidRPr="00FB1B5C">
                              <w:rPr>
                                <w:sz w:val="20"/>
                                <w:szCs w:val="20"/>
                              </w:rPr>
                              <w:t xml:space="preserve"> data to index actual passenger numbers?</w:t>
                            </w:r>
                          </w:p>
                          <w:p w14:paraId="0ABC063F" w14:textId="77777777" w:rsidR="00615AE0" w:rsidRPr="00FB1B5C" w:rsidRDefault="00615AE0" w:rsidP="00615AE0">
                            <w:pPr>
                              <w:pStyle w:val="CGC2025Questionsnumbers2"/>
                              <w:rPr>
                                <w:sz w:val="20"/>
                                <w:szCs w:val="20"/>
                              </w:rPr>
                            </w:pPr>
                            <w:r w:rsidRPr="00FB1B5C">
                              <w:rPr>
                                <w:sz w:val="20"/>
                                <w:szCs w:val="20"/>
                              </w:rPr>
                              <w:t>Do states support retaining the 2020 Review blending ratio for the urban transport assessment.</w:t>
                            </w:r>
                          </w:p>
                          <w:p w14:paraId="1CB5D58D" w14:textId="77777777" w:rsidR="008E4B22" w:rsidRDefault="008E4B22" w:rsidP="008E4B22">
                            <w:pPr>
                              <w:pStyle w:val="Heading4"/>
                            </w:pPr>
                            <w:r>
                              <w:t xml:space="preserve">What </w:t>
                            </w:r>
                            <w:r w:rsidRPr="00165E33">
                              <w:t>are the implications of additions to networks and new modes of transport</w:t>
                            </w:r>
                            <w:r>
                              <w:t>?</w:t>
                            </w:r>
                          </w:p>
                          <w:p w14:paraId="06CE358D" w14:textId="77777777" w:rsidR="008E4B22" w:rsidRPr="00FB1B5C" w:rsidRDefault="008E4B22" w:rsidP="008E4B22">
                            <w:pPr>
                              <w:pStyle w:val="CGC2025Questionsnumbers2"/>
                              <w:rPr>
                                <w:sz w:val="20"/>
                                <w:szCs w:val="20"/>
                              </w:rPr>
                            </w:pPr>
                            <w:r w:rsidRPr="00FB1B5C">
                              <w:rPr>
                                <w:sz w:val="20"/>
                                <w:szCs w:val="20"/>
                              </w:rPr>
                              <w:t>Do states support replacing the ferry dummy variable in the urban transport model with the proportion of total commuters using ferry services?</w:t>
                            </w:r>
                          </w:p>
                          <w:p w14:paraId="3C9E5A1B" w14:textId="6CB079EC" w:rsidR="00BE26DD" w:rsidRDefault="00BE26DD" w:rsidP="00BE26DD">
                            <w:pPr>
                              <w:pStyle w:val="Heading4"/>
                            </w:pPr>
                            <w:r>
                              <w:t xml:space="preserve">What </w:t>
                            </w:r>
                            <w:r w:rsidRPr="00491B54">
                              <w:t>are the implications of changes to urban centre sizes and populations</w:t>
                            </w:r>
                            <w:r>
                              <w:t>?</w:t>
                            </w:r>
                          </w:p>
                          <w:p w14:paraId="5E30EFD2" w14:textId="0F364B79" w:rsidR="00BE26DD" w:rsidRPr="00FB1B5C" w:rsidRDefault="00BE26DD" w:rsidP="00D1633A">
                            <w:pPr>
                              <w:pStyle w:val="CGC2025Questionsnumbers2"/>
                              <w:rPr>
                                <w:sz w:val="20"/>
                                <w:szCs w:val="20"/>
                              </w:rPr>
                            </w:pPr>
                            <w:r w:rsidRPr="00FB1B5C">
                              <w:rPr>
                                <w:sz w:val="20"/>
                                <w:szCs w:val="20"/>
                              </w:rPr>
                              <w:t xml:space="preserve">Do states agree that using a regression model to recognise the growth in passenger numbers in urban areas </w:t>
                            </w:r>
                            <w:r w:rsidR="00D352FD" w:rsidRPr="00FB1B5C">
                              <w:rPr>
                                <w:sz w:val="20"/>
                                <w:szCs w:val="20"/>
                              </w:rPr>
                              <w:t xml:space="preserve">is </w:t>
                            </w:r>
                            <w:r w:rsidRPr="00FB1B5C">
                              <w:rPr>
                                <w:sz w:val="20"/>
                                <w:szCs w:val="20"/>
                              </w:rPr>
                              <w:t>a more suitable method for modelling passenger numbers?</w:t>
                            </w:r>
                          </w:p>
                          <w:p w14:paraId="1A667D76" w14:textId="43B40855" w:rsidR="00BE26DD" w:rsidRDefault="00BE26DD" w:rsidP="00BE26DD">
                            <w:pPr>
                              <w:pStyle w:val="Heading4"/>
                            </w:pPr>
                            <w:r>
                              <w:t xml:space="preserve">What </w:t>
                            </w:r>
                            <w:r w:rsidRPr="00491B54">
                              <w:t xml:space="preserve">are the implications of </w:t>
                            </w:r>
                            <w:r>
                              <w:t>changing non-urban populations?</w:t>
                            </w:r>
                          </w:p>
                          <w:p w14:paraId="6F2A0E58" w14:textId="77777777" w:rsidR="00BE26DD" w:rsidRPr="00FB1B5C" w:rsidRDefault="00BE26DD" w:rsidP="00BE26DD">
                            <w:pPr>
                              <w:pStyle w:val="CGC2025Questionsnumbers2"/>
                              <w:rPr>
                                <w:sz w:val="20"/>
                                <w:szCs w:val="20"/>
                              </w:rPr>
                            </w:pPr>
                            <w:r w:rsidRPr="00FB1B5C">
                              <w:rPr>
                                <w:sz w:val="20"/>
                                <w:szCs w:val="20"/>
                              </w:rPr>
                              <w:t>Do states support the following changes to the non-urban transport assessment:</w:t>
                            </w:r>
                          </w:p>
                          <w:p w14:paraId="3B754665" w14:textId="77777777" w:rsidR="00BE26DD" w:rsidRDefault="00BE26DD" w:rsidP="00952439">
                            <w:pPr>
                              <w:pStyle w:val="CGC2025Bullet1"/>
                            </w:pPr>
                            <w:r>
                              <w:t>assessing non-urban rail passenger expenses based on shares of non-urban train commuters?</w:t>
                            </w:r>
                          </w:p>
                          <w:p w14:paraId="1D1A776C" w14:textId="77777777" w:rsidR="00BE26DD" w:rsidRDefault="00BE26DD" w:rsidP="00952439">
                            <w:pPr>
                              <w:pStyle w:val="CGC2025Bullet1"/>
                            </w:pPr>
                            <w:r>
                              <w:t>assessing all remaining expenses based on shares of non-urban populations?</w:t>
                            </w:r>
                          </w:p>
                          <w:p w14:paraId="61FE166D" w14:textId="3081F36B" w:rsidR="00BE26DD" w:rsidRPr="000B13B6" w:rsidRDefault="00BE26DD" w:rsidP="00BE26DD">
                            <w:pPr>
                              <w:pStyle w:val="CGC2025Questionsnumbers2"/>
                              <w:numPr>
                                <w:ilvl w:val="0"/>
                                <w:numId w:val="0"/>
                              </w:numPr>
                              <w:ind w:left="720" w:hanging="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E0E491C" id="Rectangle 6" o:spid="_x0000_s1041" alt="&quot;&quot;" style="width:447.95pt;height:358.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" fillcolor="#ebf3f5" stroked="f" strokeweight="2pt">
                <v:textbox>
                  <w:txbxContent>
                    <w:p w14:paraId="331DE2C4" w14:textId="77777777" w:rsidR="00615AE0" w:rsidRPr="00F202DA" w:rsidRDefault="00615AE0" w:rsidP="00615AE0">
                      <w:pPr>
                        <w:pStyle w:val="Heading5"/>
                      </w:pPr>
                      <w:r w:rsidRPr="00F202DA">
                        <w:t>When updating actual passenger numbers in the regression</w:t>
                      </w:r>
                    </w:p>
                    <w:p w14:paraId="1C913C1E" w14:textId="112B2C8C" w:rsidR="00615AE0" w:rsidRPr="00FB1B5C" w:rsidRDefault="00615AE0" w:rsidP="00615AE0">
                      <w:pPr>
                        <w:pStyle w:val="CGC2025Questionsnumbers2"/>
                        <w:rPr>
                          <w:sz w:val="20"/>
                          <w:szCs w:val="20"/>
                        </w:rPr>
                      </w:pPr>
                      <w:r w:rsidRPr="00FB1B5C">
                        <w:rPr>
                          <w:sz w:val="20"/>
                          <w:szCs w:val="20"/>
                        </w:rPr>
                        <w:t xml:space="preserve">Do states agree that </w:t>
                      </w:r>
                      <w:r w:rsidR="00566F39">
                        <w:rPr>
                          <w:sz w:val="20"/>
                          <w:szCs w:val="20"/>
                        </w:rPr>
                        <w:t>i</w:t>
                      </w:r>
                      <w:r w:rsidRPr="00FB1B5C">
                        <w:rPr>
                          <w:sz w:val="20"/>
                          <w:szCs w:val="20"/>
                        </w:rPr>
                        <w:t xml:space="preserve">f net expense data are available before the 2026 Census passenger numbers it is appropriate to use </w:t>
                      </w:r>
                      <w:r w:rsidRPr="00F04409">
                        <w:rPr>
                          <w:sz w:val="20"/>
                        </w:rPr>
                        <w:t>Bureau of Infrastructure and Transport Research Economics</w:t>
                      </w:r>
                      <w:r w:rsidRPr="00FB1B5C">
                        <w:rPr>
                          <w:sz w:val="20"/>
                          <w:szCs w:val="20"/>
                        </w:rPr>
                        <w:t xml:space="preserve"> data to index actual passenger numbers?</w:t>
                      </w:r>
                    </w:p>
                    <w:p w14:paraId="0ABC063F" w14:textId="77777777" w:rsidR="00615AE0" w:rsidRPr="00FB1B5C" w:rsidRDefault="00615AE0" w:rsidP="00615AE0">
                      <w:pPr>
                        <w:pStyle w:val="CGC2025Questionsnumbers2"/>
                        <w:rPr>
                          <w:sz w:val="20"/>
                          <w:szCs w:val="20"/>
                        </w:rPr>
                      </w:pPr>
                      <w:r w:rsidRPr="00FB1B5C">
                        <w:rPr>
                          <w:sz w:val="20"/>
                          <w:szCs w:val="20"/>
                        </w:rPr>
                        <w:t>Do states support retaining the 2020 Review blending ratio for the urban transport assessment.</w:t>
                      </w:r>
                    </w:p>
                    <w:p w14:paraId="1CB5D58D" w14:textId="77777777" w:rsidR="008E4B22" w:rsidRDefault="008E4B22" w:rsidP="008E4B22">
                      <w:pPr>
                        <w:pStyle w:val="Heading4"/>
                      </w:pPr>
                      <w:r>
                        <w:t xml:space="preserve">What </w:t>
                      </w:r>
                      <w:r w:rsidRPr="00165E33">
                        <w:t>are the implications of additions to networks and new modes of transport</w:t>
                      </w:r>
                      <w:r>
                        <w:t>?</w:t>
                      </w:r>
                    </w:p>
                    <w:p w14:paraId="06CE358D" w14:textId="77777777" w:rsidR="008E4B22" w:rsidRPr="00FB1B5C" w:rsidRDefault="008E4B22" w:rsidP="008E4B22">
                      <w:pPr>
                        <w:pStyle w:val="CGC2025Questionsnumbers2"/>
                        <w:rPr>
                          <w:sz w:val="20"/>
                          <w:szCs w:val="20"/>
                        </w:rPr>
                      </w:pPr>
                      <w:r w:rsidRPr="00FB1B5C">
                        <w:rPr>
                          <w:sz w:val="20"/>
                          <w:szCs w:val="20"/>
                        </w:rPr>
                        <w:t>Do states support replacing the ferry dummy variable in the urban transport model with the proportion of total commuters using ferry services?</w:t>
                      </w:r>
                    </w:p>
                    <w:p w14:paraId="3C9E5A1B" w14:textId="6CB079EC" w:rsidR="00BE26DD" w:rsidRDefault="00BE26DD" w:rsidP="00BE26DD">
                      <w:pPr>
                        <w:pStyle w:val="Heading4"/>
                      </w:pPr>
                      <w:r>
                        <w:t xml:space="preserve">What </w:t>
                      </w:r>
                      <w:r w:rsidRPr="00491B54">
                        <w:t>are the implications of changes to urban centre sizes and populations</w:t>
                      </w:r>
                      <w:r>
                        <w:t>?</w:t>
                      </w:r>
                    </w:p>
                    <w:p w14:paraId="5E30EFD2" w14:textId="0F364B79" w:rsidR="00BE26DD" w:rsidRPr="00FB1B5C" w:rsidRDefault="00BE26DD" w:rsidP="00D1633A">
                      <w:pPr>
                        <w:pStyle w:val="CGC2025Questionsnumbers2"/>
                        <w:rPr>
                          <w:sz w:val="20"/>
                          <w:szCs w:val="20"/>
                        </w:rPr>
                      </w:pPr>
                      <w:r w:rsidRPr="00FB1B5C">
                        <w:rPr>
                          <w:sz w:val="20"/>
                          <w:szCs w:val="20"/>
                        </w:rPr>
                        <w:t xml:space="preserve">Do states agree that using a regression model to recognise the growth in passenger numbers in urban areas </w:t>
                      </w:r>
                      <w:r w:rsidR="00D352FD" w:rsidRPr="00FB1B5C">
                        <w:rPr>
                          <w:sz w:val="20"/>
                          <w:szCs w:val="20"/>
                        </w:rPr>
                        <w:t xml:space="preserve">is </w:t>
                      </w:r>
                      <w:r w:rsidRPr="00FB1B5C">
                        <w:rPr>
                          <w:sz w:val="20"/>
                          <w:szCs w:val="20"/>
                        </w:rPr>
                        <w:t>a more suitable method for modelling passenger numbers?</w:t>
                      </w:r>
                    </w:p>
                    <w:p w14:paraId="1A667D76" w14:textId="43B40855" w:rsidR="00BE26DD" w:rsidRDefault="00BE26DD" w:rsidP="00BE26DD">
                      <w:pPr>
                        <w:pStyle w:val="Heading4"/>
                      </w:pPr>
                      <w:r>
                        <w:t xml:space="preserve">What </w:t>
                      </w:r>
                      <w:r w:rsidRPr="00491B54">
                        <w:t xml:space="preserve">are the implications of </w:t>
                      </w:r>
                      <w:r>
                        <w:t>changing non-urban populations?</w:t>
                      </w:r>
                    </w:p>
                    <w:p w14:paraId="6F2A0E58" w14:textId="77777777" w:rsidR="00BE26DD" w:rsidRPr="00FB1B5C" w:rsidRDefault="00BE26DD" w:rsidP="00BE26DD">
                      <w:pPr>
                        <w:pStyle w:val="CGC2025Questionsnumbers2"/>
                        <w:rPr>
                          <w:sz w:val="20"/>
                          <w:szCs w:val="20"/>
                        </w:rPr>
                      </w:pPr>
                      <w:r w:rsidRPr="00FB1B5C">
                        <w:rPr>
                          <w:sz w:val="20"/>
                          <w:szCs w:val="20"/>
                        </w:rPr>
                        <w:t>Do states support the following changes to the non-urban transport assessment:</w:t>
                      </w:r>
                    </w:p>
                    <w:p w14:paraId="3B754665" w14:textId="77777777" w:rsidR="00BE26DD" w:rsidRDefault="00BE26DD" w:rsidP="00952439">
                      <w:pPr>
                        <w:pStyle w:val="CGC2025Bullet1"/>
                      </w:pPr>
                      <w:r>
                        <w:t>assessing non-urban rail passenger expenses based on shares of non-urban train commuters?</w:t>
                      </w:r>
                    </w:p>
                    <w:p w14:paraId="1D1A776C" w14:textId="77777777" w:rsidR="00BE26DD" w:rsidRDefault="00BE26DD" w:rsidP="00952439">
                      <w:pPr>
                        <w:pStyle w:val="CGC2025Bullet1"/>
                      </w:pPr>
                      <w:r>
                        <w:t>assessing all remaining expenses based on shares of non-urban populations?</w:t>
                      </w:r>
                    </w:p>
                    <w:p w14:paraId="61FE166D" w14:textId="3081F36B" w:rsidR="00BE26DD" w:rsidRPr="000B13B6" w:rsidRDefault="00BE26DD" w:rsidP="00BE26DD">
                      <w:pPr>
                        <w:pStyle w:val="CGC2025Questionsnumbers2"/>
                        <w:numPr>
                          <w:ilvl w:val="0"/>
                          <w:numId w:val="0"/>
                        </w:numPr>
                        <w:ind w:left="720" w:hanging="360"/>
                      </w:pPr>
                    </w:p>
                  </w:txbxContent>
                </v:textbox>
                <w10:anchorlock/>
              </v:rect>
            </w:pict>
          </mc:Fallback>
        </mc:AlternateContent>
      </w:r>
    </w:p>
    <w:p w14:paraId="45B4F6CA" w14:textId="1B0FB29F" w:rsidR="00AA3B49" w:rsidRPr="001044E3" w:rsidRDefault="006E50E1" w:rsidP="001044E3">
      <w:pPr>
        <w:pStyle w:val="Heading2"/>
        <w:rPr>
          <w:rStyle w:val="Heading1Char"/>
          <w:b/>
        </w:rPr>
      </w:pPr>
      <w:bookmarkStart w:id="143" w:name="_Ref132914869"/>
      <w:bookmarkStart w:id="144" w:name="_Toc138691913"/>
      <w:r w:rsidRPr="001044E3">
        <w:rPr>
          <w:rStyle w:val="Heading1Char"/>
          <w:b/>
        </w:rPr>
        <w:lastRenderedPageBreak/>
        <w:t>Attachment A</w:t>
      </w:r>
      <w:r w:rsidR="00B45CB6">
        <w:rPr>
          <w:rStyle w:val="Heading1Char"/>
          <w:b/>
        </w:rPr>
        <w:t>:</w:t>
      </w:r>
      <w:r w:rsidR="00C1386F" w:rsidRPr="00C1386F">
        <w:rPr>
          <w:rStyle w:val="Heading1Char"/>
          <w:b/>
        </w:rPr>
        <w:t xml:space="preserve"> </w:t>
      </w:r>
      <w:r w:rsidR="00C1386F" w:rsidRPr="0092246C">
        <w:rPr>
          <w:rStyle w:val="Heading1Char"/>
        </w:rPr>
        <w:t>Technical note</w:t>
      </w:r>
      <w:bookmarkEnd w:id="143"/>
      <w:bookmarkEnd w:id="144"/>
    </w:p>
    <w:p w14:paraId="255B9751" w14:textId="7EBFB36E" w:rsidR="00400F31" w:rsidRDefault="00400F31" w:rsidP="00400F31">
      <w:pPr>
        <w:pStyle w:val="Heading3"/>
      </w:pPr>
      <w:bookmarkStart w:id="145" w:name="_Toc138691914"/>
      <w:bookmarkEnd w:id="136"/>
      <w:bookmarkEnd w:id="137"/>
      <w:bookmarkEnd w:id="138"/>
      <w:bookmarkEnd w:id="139"/>
      <w:bookmarkEnd w:id="140"/>
      <w:bookmarkEnd w:id="141"/>
      <w:bookmarkEnd w:id="142"/>
      <w:r>
        <w:t xml:space="preserve">Regression </w:t>
      </w:r>
      <w:r w:rsidR="006F02B5">
        <w:t>—</w:t>
      </w:r>
      <w:r w:rsidR="00127256">
        <w:t xml:space="preserve"> urban c</w:t>
      </w:r>
      <w:r>
        <w:t xml:space="preserve">entre </w:t>
      </w:r>
      <w:r w:rsidR="00127256">
        <w:t>c</w:t>
      </w:r>
      <w:r>
        <w:t>haracteristics</w:t>
      </w:r>
      <w:bookmarkEnd w:id="145"/>
      <w:r>
        <w:t xml:space="preserve"> </w:t>
      </w:r>
    </w:p>
    <w:p w14:paraId="4EF470AE" w14:textId="1C512530" w:rsidR="00493E07" w:rsidRPr="00104642" w:rsidRDefault="00493E07" w:rsidP="00591DC8">
      <w:pPr>
        <w:pStyle w:val="CGC2025ParaNumbers"/>
      </w:pPr>
      <w:r w:rsidRPr="00104642">
        <w:t xml:space="preserve">In the 2020 Review </w:t>
      </w:r>
      <w:r w:rsidR="002372B5" w:rsidRPr="00104642">
        <w:t>the Commission</w:t>
      </w:r>
      <w:r w:rsidRPr="00104642">
        <w:t xml:space="preserve"> engaged a consultant, Jacobs and Synergies economic consulting, to identify a measure of urban transport needs. The model proposed by the consultant and adopted by the Commission identifies the effect on urban centre characteristics on the level of net per capita expenditure.</w:t>
      </w:r>
    </w:p>
    <w:p w14:paraId="1AFF1CF5" w14:textId="77777777" w:rsidR="00570BFD" w:rsidRPr="00104642" w:rsidRDefault="00570BFD" w:rsidP="00073696">
      <w:pPr>
        <w:pStyle w:val="CGC2025ParaNumbers"/>
      </w:pPr>
      <w:r w:rsidRPr="00104642">
        <w:t>The model of urban transport characteristics is specified below.</w:t>
      </w:r>
    </w:p>
    <w:p w14:paraId="477A302B" w14:textId="397F0A44" w:rsidR="00570BFD" w:rsidRPr="00570BFD" w:rsidRDefault="00000000" w:rsidP="00925ED9">
      <w:pPr>
        <w:pStyle w:val="CGCParaNumber"/>
        <w:ind w:left="360" w:firstLine="0"/>
      </w:pPr>
      <m:oMathPara>
        <m:oMath>
          <m:sSub>
            <m:sSubPr>
              <m:ctrlPr>
                <w:rPr>
                  <w:rFonts w:ascii="Cambria Math" w:hAnsi="Cambria Math"/>
                </w:rPr>
              </m:ctrlPr>
            </m:sSubPr>
            <m:e>
              <m:r>
                <w:rPr>
                  <w:rFonts w:ascii="Cambria Math" w:hAnsi="Cambria Math"/>
                </w:rPr>
                <m:t>exp</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sSub>
            <m:sSubPr>
              <m:ctrlPr>
                <w:rPr>
                  <w:rFonts w:ascii="Cambria Math" w:hAnsi="Cambria Math"/>
                </w:rPr>
              </m:ctrlPr>
            </m:sSubPr>
            <m:e>
              <m:r>
                <w:rPr>
                  <w:rFonts w:ascii="Cambria Math" w:hAnsi="Cambria Math"/>
                </w:rPr>
                <m:t>dense</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sSub>
            <m:sSubPr>
              <m:ctrlPr>
                <w:rPr>
                  <w:rFonts w:ascii="Cambria Math" w:hAnsi="Cambria Math"/>
                </w:rPr>
              </m:ctrlPr>
            </m:sSubPr>
            <m:e>
              <m:r>
                <w:rPr>
                  <w:rFonts w:ascii="Cambria Math" w:hAnsi="Cambria Math"/>
                </w:rPr>
                <m:t>dist</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3</m:t>
              </m:r>
            </m:sub>
          </m:sSub>
          <m:sSub>
            <m:sSubPr>
              <m:ctrlPr>
                <w:rPr>
                  <w:rFonts w:ascii="Cambria Math" w:hAnsi="Cambria Math"/>
                </w:rPr>
              </m:ctrlPr>
            </m:sSubPr>
            <m:e>
              <m:r>
                <w:rPr>
                  <w:rFonts w:ascii="Cambria Math" w:hAnsi="Cambria Math"/>
                </w:rPr>
                <m:t>slope</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ln⁡(</m:t>
              </m:r>
              <m:r>
                <w:rPr>
                  <w:rFonts w:ascii="Cambria Math" w:hAnsi="Cambria Math"/>
                </w:rPr>
                <m:t>pax</m:t>
              </m:r>
            </m:e>
            <m:sub>
              <m:r>
                <w:rPr>
                  <w:rFonts w:ascii="Cambria Math" w:hAnsi="Cambria Math"/>
                </w:rPr>
                <m:t>i</m:t>
              </m:r>
              <m:r>
                <m:rPr>
                  <m:sty m:val="p"/>
                </m:rPr>
                <w:rPr>
                  <w:rFonts w:ascii="Cambria Math" w:hAnsi="Cambria Math"/>
                </w:rPr>
                <m:t>,</m:t>
              </m:r>
              <m:r>
                <w:rPr>
                  <w:rFonts w:ascii="Cambria Math" w:hAnsi="Cambria Math"/>
                </w:rPr>
                <m:t>train</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5</m:t>
              </m:r>
            </m:sub>
          </m:sSub>
          <m:sSub>
            <m:sSubPr>
              <m:ctrlPr>
                <w:rPr>
                  <w:rFonts w:ascii="Cambria Math" w:hAnsi="Cambria Math"/>
                </w:rPr>
              </m:ctrlPr>
            </m:sSubPr>
            <m:e>
              <m:r>
                <m:rPr>
                  <m:sty m:val="p"/>
                </m:rPr>
                <w:rPr>
                  <w:rFonts w:ascii="Cambria Math" w:hAnsi="Cambria Math"/>
                </w:rPr>
                <m:t>ln⁡(</m:t>
              </m:r>
              <m:r>
                <w:rPr>
                  <w:rFonts w:ascii="Cambria Math" w:hAnsi="Cambria Math"/>
                </w:rPr>
                <m:t>pax</m:t>
              </m:r>
            </m:e>
            <m:sub>
              <m:r>
                <w:rPr>
                  <w:rFonts w:ascii="Cambria Math" w:hAnsi="Cambria Math"/>
                </w:rPr>
                <m:t>i</m:t>
              </m:r>
              <m:r>
                <m:rPr>
                  <m:sty m:val="p"/>
                </m:rPr>
                <w:rPr>
                  <w:rFonts w:ascii="Cambria Math" w:hAnsi="Cambria Math"/>
                </w:rPr>
                <m:t>,</m:t>
              </m:r>
              <m:r>
                <w:rPr>
                  <w:rFonts w:ascii="Cambria Math" w:hAnsi="Cambria Math"/>
                </w:rPr>
                <m:t>bus</m:t>
              </m:r>
              <m:r>
                <m:rPr>
                  <m:sty m:val="p"/>
                </m:rPr>
                <w:rPr>
                  <w:rFonts w:ascii="Cambria Math" w:hAnsi="Cambria Math"/>
                </w:rPr>
                <m:t>+</m:t>
              </m:r>
              <m:r>
                <w:rPr>
                  <w:rFonts w:ascii="Cambria Math" w:hAnsi="Cambria Math"/>
                </w:rPr>
                <m:t>lig</m:t>
              </m:r>
              <m:r>
                <w:rPr>
                  <w:rFonts w:ascii="Cambria Math" w:hAnsi="Cambria Math"/>
                </w:rPr>
                <m:t>h</m:t>
              </m:r>
              <m:r>
                <w:rPr>
                  <w:rFonts w:ascii="Cambria Math" w:hAnsi="Cambria Math"/>
                </w:rPr>
                <m:t>t</m:t>
              </m:r>
              <m:r>
                <m:rPr>
                  <m:sty m:val="p"/>
                </m:rPr>
                <w:rPr>
                  <w:rFonts w:ascii="Cambria Math" w:hAnsi="Cambria Math"/>
                </w:rPr>
                <m:t xml:space="preserve"> </m:t>
              </m:r>
              <m:r>
                <w:rPr>
                  <w:rFonts w:ascii="Cambria Math" w:hAnsi="Cambria Math"/>
                </w:rPr>
                <m:t>rail</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6</m:t>
              </m:r>
            </m:sub>
          </m:sSub>
          <m:sSub>
            <m:sSubPr>
              <m:ctrlPr>
                <w:rPr>
                  <w:rFonts w:ascii="Cambria Math" w:hAnsi="Cambria Math"/>
                </w:rPr>
              </m:ctrlPr>
            </m:sSubPr>
            <m:e>
              <m:r>
                <w:rPr>
                  <w:rFonts w:ascii="Cambria Math" w:hAnsi="Cambria Math"/>
                </w:rPr>
                <m:t>D</m:t>
              </m:r>
            </m:e>
            <m:sub>
              <m:r>
                <w:rPr>
                  <w:rFonts w:ascii="Cambria Math" w:hAnsi="Cambria Math"/>
                </w:rPr>
                <m:t>i</m:t>
              </m:r>
              <m:r>
                <m:rPr>
                  <m:sty m:val="p"/>
                </m:rPr>
                <w:rPr>
                  <w:rFonts w:ascii="Cambria Math" w:hAnsi="Cambria Math"/>
                </w:rPr>
                <m:t>,</m:t>
              </m:r>
              <m:r>
                <w:rPr>
                  <w:rFonts w:ascii="Cambria Math" w:hAnsi="Cambria Math"/>
                </w:rPr>
                <m:t>ferry</m:t>
              </m:r>
            </m:sub>
          </m:sSub>
        </m:oMath>
      </m:oMathPara>
    </w:p>
    <w:p w14:paraId="433D1686" w14:textId="25B3AB91" w:rsidR="00570BFD" w:rsidRDefault="000844E3" w:rsidP="00941FB6">
      <w:pPr>
        <w:pStyle w:val="CGC2025ParaNumbers"/>
      </w:pPr>
      <w:r>
        <w:t xml:space="preserve">Where </w:t>
      </w:r>
      <m:oMath>
        <m:sSub>
          <m:sSubPr>
            <m:ctrlPr>
              <w:rPr>
                <w:rFonts w:ascii="Cambria Math" w:hAnsi="Cambria Math"/>
                <w:i/>
              </w:rPr>
            </m:ctrlPr>
          </m:sSubPr>
          <m:e>
            <m:r>
              <w:rPr>
                <w:rFonts w:ascii="Cambria Math" w:hAnsi="Cambria Math"/>
              </w:rPr>
              <m:t>exp</m:t>
            </m:r>
          </m:e>
          <m:sub>
            <m:r>
              <w:rPr>
                <w:rFonts w:ascii="Cambria Math" w:hAnsi="Cambria Math"/>
              </w:rPr>
              <m:t>i</m:t>
            </m:r>
          </m:sub>
        </m:sSub>
      </m:oMath>
      <w:r>
        <w:t xml:space="preserve"> is net per capita state expenses on public transport by urban centres</w:t>
      </w:r>
      <w:r w:rsidR="00570BFD">
        <w:t xml:space="preserve">. </w:t>
      </w:r>
    </w:p>
    <w:p w14:paraId="10A8009E" w14:textId="2325E931" w:rsidR="003D76F3" w:rsidRPr="008F4782" w:rsidRDefault="003D76F3" w:rsidP="00BE3D2A">
      <w:pPr>
        <w:pStyle w:val="CGC2025Bullet1"/>
      </w:pPr>
      <w:r>
        <w:t>Population weighted density (</w:t>
      </w:r>
      <m:oMath>
        <m:sSub>
          <m:sSubPr>
            <m:ctrlPr>
              <w:rPr>
                <w:rFonts w:ascii="Cambria Math" w:hAnsi="Cambria Math"/>
                <w:i/>
              </w:rPr>
            </m:ctrlPr>
          </m:sSubPr>
          <m:e>
            <m:r>
              <w:rPr>
                <w:rFonts w:ascii="Cambria Math" w:hAnsi="Cambria Math"/>
              </w:rPr>
              <m:t>dense</m:t>
            </m:r>
          </m:e>
          <m:sub>
            <m:r>
              <w:rPr>
                <w:rFonts w:ascii="Cambria Math" w:hAnsi="Cambria Math"/>
              </w:rPr>
              <m:t>i</m:t>
            </m:r>
          </m:sub>
        </m:sSub>
      </m:oMath>
      <w:r>
        <w:t>) is a proxy used to represent demand for public transport</w:t>
      </w:r>
      <w:r w:rsidRPr="00C31A93">
        <w:t>. It is calculated as the sum of density of each Statistical Area Level 1 (SA1) in all urban centres and localities (UCL</w:t>
      </w:r>
      <w:r w:rsidR="007F749A">
        <w:t>)</w:t>
      </w:r>
      <w:r w:rsidRPr="00C31A93">
        <w:t xml:space="preserve"> within a </w:t>
      </w:r>
      <w:r w:rsidR="00065212">
        <w:t>S</w:t>
      </w:r>
      <w:r w:rsidRPr="00C31A93">
        <w:t xml:space="preserve">ignificant </w:t>
      </w:r>
      <w:r w:rsidR="00065212">
        <w:t>U</w:t>
      </w:r>
      <w:r w:rsidRPr="00C31A93">
        <w:t xml:space="preserve">rban </w:t>
      </w:r>
      <w:r w:rsidR="00065212">
        <w:t>A</w:t>
      </w:r>
      <w:r w:rsidRPr="00C31A93">
        <w:t>rea (SUA) weighted by the SA1 population share of the UCLs in the SUA.</w:t>
      </w:r>
    </w:p>
    <w:p w14:paraId="270FC275" w14:textId="30DC86F1" w:rsidR="00570BFD" w:rsidRDefault="000403DB" w:rsidP="00BE3D2A">
      <w:pPr>
        <w:pStyle w:val="CGC2025Bullet1"/>
      </w:pPr>
      <w:r>
        <w:t>M</w:t>
      </w:r>
      <w:r w:rsidR="009638B8">
        <w:t>edian commuter distance to work (</w:t>
      </w:r>
      <m:oMath>
        <m:sSub>
          <m:sSubPr>
            <m:ctrlPr>
              <w:rPr>
                <w:rFonts w:ascii="Cambria Math" w:hAnsi="Cambria Math"/>
                <w:i/>
              </w:rPr>
            </m:ctrlPr>
          </m:sSubPr>
          <m:e>
            <m:r>
              <w:rPr>
                <w:rFonts w:ascii="Cambria Math" w:hAnsi="Cambria Math"/>
              </w:rPr>
              <m:t>dist</m:t>
            </m:r>
          </m:e>
          <m:sub>
            <m:r>
              <w:rPr>
                <w:rFonts w:ascii="Cambria Math" w:hAnsi="Cambria Math"/>
              </w:rPr>
              <m:t>i</m:t>
            </m:r>
          </m:sub>
        </m:sSub>
      </m:oMath>
      <w:r w:rsidR="009638B8">
        <w:t>) is a proxy representing network complexity</w:t>
      </w:r>
      <w:r w:rsidR="009638B8" w:rsidRPr="00C31A93">
        <w:t>. It is derived using 2016 Census data on the distance travelled (shortest path of the road network) between an individual’s usual residence and place of work</w:t>
      </w:r>
      <w:r w:rsidR="00570BFD">
        <w:t>.</w:t>
      </w:r>
    </w:p>
    <w:p w14:paraId="22A3C3C5" w14:textId="5507160A" w:rsidR="00570BFD" w:rsidRDefault="000B4F8E" w:rsidP="00BE3D2A">
      <w:pPr>
        <w:pStyle w:val="CGC2025Bullet1"/>
      </w:pPr>
      <w:r w:rsidRPr="00C31A93">
        <w:t>Mean</w:t>
      </w:r>
      <w:r>
        <w:t xml:space="preserve"> land slope (</w:t>
      </w:r>
      <m:oMath>
        <m:sSub>
          <m:sSubPr>
            <m:ctrlPr>
              <w:rPr>
                <w:rFonts w:ascii="Cambria Math" w:hAnsi="Cambria Math"/>
                <w:i/>
              </w:rPr>
            </m:ctrlPr>
          </m:sSubPr>
          <m:e>
            <m:r>
              <w:rPr>
                <w:rFonts w:ascii="Cambria Math" w:hAnsi="Cambria Math"/>
              </w:rPr>
              <m:t>slope</m:t>
            </m:r>
          </m:e>
          <m:sub>
            <m:r>
              <w:rPr>
                <w:rFonts w:ascii="Cambria Math" w:hAnsi="Cambria Math"/>
              </w:rPr>
              <m:t>i</m:t>
            </m:r>
          </m:sub>
        </m:sSub>
      </m:oMath>
      <w:r>
        <w:t>) represents the topography of urban centres</w:t>
      </w:r>
      <w:r w:rsidRPr="00C31A93">
        <w:t>, as measured by the average mean slope of the urban areas. The data w</w:t>
      </w:r>
      <w:r w:rsidR="00357B48">
        <w:t>as</w:t>
      </w:r>
      <w:r w:rsidRPr="00C31A93">
        <w:t xml:space="preserve"> generated from a spatial analysis process developed by Geoscience Australia</w:t>
      </w:r>
      <w:r w:rsidR="008032FB">
        <w:t>.</w:t>
      </w:r>
    </w:p>
    <w:p w14:paraId="7F9A180E" w14:textId="6A74B5A1" w:rsidR="00570BFD" w:rsidRDefault="00850532" w:rsidP="00BE3D2A">
      <w:pPr>
        <w:pStyle w:val="CGC2025Bullet1"/>
      </w:pPr>
      <w:r w:rsidRPr="00C31A93">
        <w:t>The</w:t>
      </w:r>
      <w:r>
        <w:t xml:space="preserve"> logarithm of passenger numbers </w:t>
      </w:r>
      <w:r w:rsidRPr="00C31A93">
        <w:t xml:space="preserve">by public transport mode </w:t>
      </w:r>
      <m:oMath>
        <m:r>
          <w:rPr>
            <w:rFonts w:ascii="Cambria Math" w:hAnsi="Cambria Math"/>
          </w:rPr>
          <m:t>(</m:t>
        </m:r>
        <m:sSub>
          <m:sSubPr>
            <m:ctrlPr>
              <w:rPr>
                <w:rFonts w:ascii="Cambria Math" w:hAnsi="Cambria Math"/>
                <w:i/>
              </w:rPr>
            </m:ctrlPr>
          </m:sSubPr>
          <m:e>
            <m:r>
              <w:rPr>
                <w:rFonts w:ascii="Cambria Math" w:hAnsi="Cambria Math"/>
              </w:rPr>
              <m:t>pax</m:t>
            </m:r>
          </m:e>
          <m:sub>
            <m:r>
              <w:rPr>
                <w:rFonts w:ascii="Cambria Math" w:hAnsi="Cambria Math"/>
              </w:rPr>
              <m:t>i,train</m:t>
            </m:r>
          </m:sub>
        </m:sSub>
      </m:oMath>
      <w:r>
        <w:t xml:space="preserve"> and </w:t>
      </w:r>
      <m:oMath>
        <m:sSub>
          <m:sSubPr>
            <m:ctrlPr>
              <w:rPr>
                <w:rFonts w:ascii="Cambria Math" w:hAnsi="Cambria Math"/>
                <w:i/>
              </w:rPr>
            </m:ctrlPr>
          </m:sSubPr>
          <m:e>
            <m:r>
              <w:rPr>
                <w:rFonts w:ascii="Cambria Math" w:hAnsi="Cambria Math"/>
              </w:rPr>
              <m:t>pax</m:t>
            </m:r>
          </m:e>
          <m:sub>
            <m:r>
              <w:rPr>
                <w:rFonts w:ascii="Cambria Math" w:hAnsi="Cambria Math"/>
              </w:rPr>
              <m:t>i,bus+light rail</m:t>
            </m:r>
          </m:sub>
        </m:sSub>
      </m:oMath>
      <w:r>
        <w:t xml:space="preserve">) is a proxy which accounts for the supply of public </w:t>
      </w:r>
      <w:r w:rsidRPr="00C31A93">
        <w:t>transport and congestion. Heavy rail passengers are considered separately from bus and light rail passengers. These data are derived using 2016 Census method of travel to work data</w:t>
      </w:r>
      <w:r w:rsidR="00570BFD">
        <w:t xml:space="preserve">. </w:t>
      </w:r>
    </w:p>
    <w:p w14:paraId="22EF7191" w14:textId="38316A60" w:rsidR="00AB54F0" w:rsidRDefault="008B6C0C" w:rsidP="003B57CB">
      <w:pPr>
        <w:pStyle w:val="CGC2025Bullet1"/>
      </w:pPr>
      <w:r>
        <w:t>D</w:t>
      </w:r>
      <w:r w:rsidR="00570BFD">
        <w:t xml:space="preserve">ummy </w:t>
      </w:r>
      <w:r w:rsidR="00AB54F0">
        <w:t>variable is included to control for the presence or absence of ferry services as a mode of transport (</w:t>
      </w:r>
      <m:oMath>
        <m:sSub>
          <m:sSubPr>
            <m:ctrlPr>
              <w:rPr>
                <w:rFonts w:ascii="Cambria Math" w:hAnsi="Cambria Math"/>
                <w:i/>
              </w:rPr>
            </m:ctrlPr>
          </m:sSubPr>
          <m:e>
            <m:r>
              <w:rPr>
                <w:rFonts w:ascii="Cambria Math" w:hAnsi="Cambria Math"/>
              </w:rPr>
              <m:t>D</m:t>
            </m:r>
          </m:e>
          <m:sub>
            <m:r>
              <w:rPr>
                <w:rFonts w:ascii="Cambria Math" w:hAnsi="Cambria Math"/>
              </w:rPr>
              <m:t>i,ferry</m:t>
            </m:r>
          </m:sub>
        </m:sSub>
      </m:oMath>
      <w:r w:rsidR="00AB54F0">
        <w:t>).</w:t>
      </w:r>
    </w:p>
    <w:p w14:paraId="26D65200" w14:textId="77777777" w:rsidR="00C6409A" w:rsidRDefault="00C6409A" w:rsidP="00C6409A">
      <w:pPr>
        <w:pStyle w:val="Heading3"/>
      </w:pPr>
      <w:bookmarkStart w:id="146" w:name="_Toc132825513"/>
      <w:bookmarkStart w:id="147" w:name="_Toc138691915"/>
      <w:r>
        <w:t>Measure of urban areas</w:t>
      </w:r>
      <w:bookmarkEnd w:id="146"/>
      <w:bookmarkEnd w:id="147"/>
    </w:p>
    <w:p w14:paraId="0FB57522" w14:textId="66A15A6C" w:rsidR="00400F31" w:rsidRDefault="004E1953" w:rsidP="00941FB6">
      <w:pPr>
        <w:pStyle w:val="CGC2025ParaNumbers"/>
      </w:pPr>
      <w:r w:rsidRPr="004E1953">
        <w:t xml:space="preserve">The </w:t>
      </w:r>
      <w:r w:rsidR="005819F3">
        <w:t>Australian Bureau of Statistics (</w:t>
      </w:r>
      <w:r w:rsidRPr="004E1953">
        <w:t>ABS</w:t>
      </w:r>
      <w:r w:rsidR="008110AD">
        <w:t>)</w:t>
      </w:r>
      <w:r w:rsidRPr="004E1953">
        <w:t xml:space="preserve"> definition of an urban centre, Urban centre</w:t>
      </w:r>
      <w:r w:rsidR="004C7339">
        <w:t>s and</w:t>
      </w:r>
      <w:r w:rsidRPr="004E1953">
        <w:t xml:space="preserve"> localities (UCLs) contained within </w:t>
      </w:r>
      <w:r w:rsidR="00065212">
        <w:t>S</w:t>
      </w:r>
      <w:r w:rsidR="008506F4">
        <w:t>i</w:t>
      </w:r>
      <w:r w:rsidR="00065212">
        <w:t>gnificant</w:t>
      </w:r>
      <w:r w:rsidRPr="004E1953">
        <w:t xml:space="preserve"> Urban Areas (SUAs), is used to define urban areas for the purposes of the transport assessment</w:t>
      </w:r>
      <w:r>
        <w:t>.</w:t>
      </w:r>
    </w:p>
    <w:p w14:paraId="24A1F93E" w14:textId="6797ACC9" w:rsidR="004E1953" w:rsidRDefault="00AD290E" w:rsidP="00941FB6">
      <w:pPr>
        <w:pStyle w:val="CGC2025ParaNumbers"/>
      </w:pPr>
      <w:r>
        <w:t xml:space="preserve">The Commission </w:t>
      </w:r>
      <w:r w:rsidR="00FD19D9">
        <w:t>defines</w:t>
      </w:r>
      <w:r>
        <w:t xml:space="preserve"> u</w:t>
      </w:r>
      <w:r w:rsidR="00CA68DB" w:rsidRPr="00CA68DB">
        <w:t>rban areas that have a highly integrated labour market with a neighbouring capital city as satellite cities. These cities are included as a part of the larger urban area in our calculations</w:t>
      </w:r>
      <w:r w:rsidR="00CA68DB">
        <w:t>.</w:t>
      </w:r>
    </w:p>
    <w:p w14:paraId="115F9912" w14:textId="77777777" w:rsidR="00127256" w:rsidRDefault="00127256" w:rsidP="00941FB6">
      <w:pPr>
        <w:pStyle w:val="CGC2025ParaNumbers"/>
      </w:pPr>
      <w:r>
        <w:t>An SUA is considered a satellite to a capital city if:</w:t>
      </w:r>
    </w:p>
    <w:p w14:paraId="1B80025C" w14:textId="77777777" w:rsidR="00127256" w:rsidRDefault="00127256" w:rsidP="00BE3D2A">
      <w:pPr>
        <w:pStyle w:val="CGC2025Bullet1"/>
      </w:pPr>
      <w:r>
        <w:t>it has a relatively high outside SUA dependency index value (that is, a high proportion of people working outside the SUA)</w:t>
      </w:r>
    </w:p>
    <w:p w14:paraId="47F49E91" w14:textId="3E251932" w:rsidR="00CA68DB" w:rsidRDefault="00127256" w:rsidP="00BE3D2A">
      <w:pPr>
        <w:pStyle w:val="CGC2025Bullet1"/>
      </w:pPr>
      <w:r>
        <w:t>it has a relatively high dependency to the capital city index value (that is, a high proportion of people working within the capital city SUA).</w:t>
      </w:r>
    </w:p>
    <w:p w14:paraId="59CED131" w14:textId="2430AE8E" w:rsidR="00127256" w:rsidRDefault="00127256" w:rsidP="00C241AF">
      <w:pPr>
        <w:pStyle w:val="Heading3"/>
      </w:pPr>
      <w:bookmarkStart w:id="148" w:name="_Toc138691916"/>
      <w:r>
        <w:lastRenderedPageBreak/>
        <w:t>Actual and modelled urban passenger numbers</w:t>
      </w:r>
      <w:bookmarkEnd w:id="148"/>
    </w:p>
    <w:p w14:paraId="698DD25F" w14:textId="7E103FD4" w:rsidR="00C241AF" w:rsidRDefault="00C241AF" w:rsidP="00941FB6">
      <w:pPr>
        <w:pStyle w:val="CGC2025ParaNumbers"/>
      </w:pPr>
      <w:r>
        <w:t xml:space="preserve">The passenger variables used in the regression model of urban centre characteristics are based on </w:t>
      </w:r>
      <w:r w:rsidR="005819F3">
        <w:t>ABS</w:t>
      </w:r>
      <w:r>
        <w:t xml:space="preserve"> Census data on the modes of transport used by commuters. These actual passenger numbers from the Census are used to calculate the estimated regression coefficients.</w:t>
      </w:r>
    </w:p>
    <w:p w14:paraId="00CC7A6E" w14:textId="5FD5739E" w:rsidR="00C241AF" w:rsidRDefault="00C241AF" w:rsidP="00941FB6">
      <w:pPr>
        <w:pStyle w:val="CGC2025ParaNumbers"/>
      </w:pPr>
      <w:r>
        <w:t>However, when applying the variables to the regression coefficients the Commission uses modelled passenger numbers. This is necessary to account for the use of public transport for reasons other than work, such as recreational and school travel. It also removes the effect of policy choices on passenger numbers.</w:t>
      </w:r>
    </w:p>
    <w:p w14:paraId="3F81815D" w14:textId="7E916992" w:rsidR="00C241AF" w:rsidRDefault="00C241AF" w:rsidP="00941FB6">
      <w:pPr>
        <w:pStyle w:val="CGC2025ParaNumbers"/>
      </w:pPr>
      <w:r>
        <w:t>In the 2020 Review</w:t>
      </w:r>
      <w:r w:rsidR="003B2304">
        <w:t>,</w:t>
      </w:r>
      <w:r>
        <w:t xml:space="preserve"> the approach allocated urban areas to groups based on population ranges and the presence or absence of heavy rail. The average use of heavy rail, bus or light rail as a proportion of total commuters for </w:t>
      </w:r>
      <w:r w:rsidR="0005127C">
        <w:t xml:space="preserve">urban areas in </w:t>
      </w:r>
      <w:r>
        <w:t>each population range was calculated. The average use rate is then multiplied by the total population in each urban area to obtain a measure of modelled passenger numbers.</w:t>
      </w:r>
    </w:p>
    <w:p w14:paraId="059EF8C6" w14:textId="2CF5D4BA" w:rsidR="00F824DC" w:rsidRDefault="00C241AF" w:rsidP="00941FB6">
      <w:pPr>
        <w:pStyle w:val="CGC2025ParaNumbers"/>
      </w:pPr>
      <w:r>
        <w:t>Multiplying by total population results in higher modelled passenger numbers across all urban areas to account for non-work travel. The use of average rates for each population range also removes the effect of policy choices in individual urban areas.</w:t>
      </w:r>
    </w:p>
    <w:p w14:paraId="6F407E75" w14:textId="3A4673FB" w:rsidR="0099497B" w:rsidRDefault="0099497B">
      <w:pPr>
        <w:tabs>
          <w:tab w:val="clear" w:pos="567"/>
        </w:tabs>
        <w:spacing w:before="0" w:after="200" w:line="276" w:lineRule="auto"/>
        <w:rPr>
          <w:rFonts w:ascii="Work Sans" w:hAnsi="Work Sans"/>
          <w:szCs w:val="24"/>
        </w:rPr>
      </w:pPr>
      <w:r>
        <w:br w:type="page"/>
      </w:r>
    </w:p>
    <w:p w14:paraId="6D9A1276" w14:textId="13C3B526" w:rsidR="009D0DA2" w:rsidRDefault="00236E58" w:rsidP="00EC5AEC">
      <w:pPr>
        <w:pStyle w:val="Heading3"/>
      </w:pPr>
      <w:bookmarkStart w:id="149" w:name="_Toc138691917"/>
      <w:r w:rsidRPr="00AC7586">
        <w:lastRenderedPageBreak/>
        <w:t>Data requirement</w:t>
      </w:r>
      <w:r w:rsidR="00D079D5" w:rsidRPr="00AC7586">
        <w:t>s</w:t>
      </w:r>
      <w:bookmarkEnd w:id="149"/>
    </w:p>
    <w:p w14:paraId="7795BE95" w14:textId="605FCD7D" w:rsidR="00323FEF" w:rsidRPr="00952439" w:rsidRDefault="00EC5AEC" w:rsidP="00952439">
      <w:pPr>
        <w:pStyle w:val="CGC2025Caption"/>
        <w:tabs>
          <w:tab w:val="left" w:pos="1134"/>
        </w:tabs>
      </w:pPr>
      <w:r w:rsidRPr="00952439">
        <w:t xml:space="preserve">Table </w:t>
      </w:r>
      <w:r w:rsidR="00702CBD">
        <w:t>A1</w:t>
      </w:r>
      <w:r w:rsidRPr="00952439">
        <w:tab/>
        <w:t xml:space="preserve">Required data to update the </w:t>
      </w:r>
      <w:r w:rsidR="00702CBD" w:rsidRPr="00952439">
        <w:t xml:space="preserve">urban </w:t>
      </w:r>
      <w:r w:rsidRPr="00952439">
        <w:t xml:space="preserve">transport </w:t>
      </w:r>
      <w:r w:rsidR="00702CBD" w:rsidRPr="00952439">
        <w:t>model</w:t>
      </w:r>
    </w:p>
    <w:tbl>
      <w:tblPr>
        <w:tblW w:w="8959" w:type="dxa"/>
        <w:tblLook w:val="04A0" w:firstRow="1" w:lastRow="0" w:firstColumn="1" w:lastColumn="0" w:noHBand="0" w:noVBand="1"/>
      </w:tblPr>
      <w:tblGrid>
        <w:gridCol w:w="2651"/>
        <w:gridCol w:w="1113"/>
        <w:gridCol w:w="1154"/>
        <w:gridCol w:w="958"/>
        <w:gridCol w:w="905"/>
        <w:gridCol w:w="1125"/>
        <w:gridCol w:w="1053"/>
      </w:tblGrid>
      <w:tr w:rsidR="00841223" w:rsidRPr="00EC5AEC" w14:paraId="3CD3E950" w14:textId="77777777" w:rsidTr="008E7694">
        <w:trPr>
          <w:trHeight w:val="555"/>
        </w:trPr>
        <w:tc>
          <w:tcPr>
            <w:tcW w:w="2483" w:type="dxa"/>
            <w:tcBorders>
              <w:top w:val="nil"/>
              <w:left w:val="nil"/>
              <w:bottom w:val="nil"/>
              <w:right w:val="nil"/>
            </w:tcBorders>
            <w:shd w:val="clear" w:color="auto" w:fill="006991"/>
            <w:noWrap/>
            <w:vAlign w:val="center"/>
            <w:hideMark/>
          </w:tcPr>
          <w:p w14:paraId="152BA1CA" w14:textId="77777777" w:rsidR="00EC5AEC" w:rsidRPr="00EC5AEC" w:rsidRDefault="00EC5AEC" w:rsidP="00EC5AEC">
            <w:pPr>
              <w:tabs>
                <w:tab w:val="clear" w:pos="567"/>
              </w:tabs>
              <w:spacing w:before="0" w:line="240" w:lineRule="auto"/>
              <w:rPr>
                <w:rFonts w:ascii="Open Sans Semibold" w:eastAsia="Times New Roman" w:hAnsi="Open Sans Semibold" w:cs="Open Sans Semibold"/>
                <w:color w:val="FFFFFF"/>
                <w:sz w:val="16"/>
                <w:szCs w:val="16"/>
                <w:lang w:eastAsia="en-AU"/>
              </w:rPr>
            </w:pPr>
            <w:r w:rsidRPr="00EC5AEC">
              <w:rPr>
                <w:rFonts w:ascii="Open Sans Semibold" w:eastAsia="Times New Roman" w:hAnsi="Open Sans Semibold" w:cs="Open Sans Semibold"/>
                <w:color w:val="FFFFFF"/>
                <w:sz w:val="16"/>
                <w:szCs w:val="16"/>
                <w:lang w:eastAsia="en-AU"/>
              </w:rPr>
              <w:t xml:space="preserve">Data </w:t>
            </w:r>
          </w:p>
        </w:tc>
        <w:tc>
          <w:tcPr>
            <w:tcW w:w="1022" w:type="dxa"/>
            <w:tcBorders>
              <w:top w:val="nil"/>
              <w:left w:val="nil"/>
              <w:bottom w:val="nil"/>
              <w:right w:val="nil"/>
            </w:tcBorders>
            <w:shd w:val="clear" w:color="auto" w:fill="006991"/>
            <w:vAlign w:val="center"/>
            <w:hideMark/>
          </w:tcPr>
          <w:p w14:paraId="45EA84B2" w14:textId="77777777" w:rsidR="00EC5AEC" w:rsidRPr="00EC5AEC" w:rsidRDefault="00EC5AEC" w:rsidP="00EC5AEC">
            <w:pPr>
              <w:tabs>
                <w:tab w:val="clear" w:pos="567"/>
              </w:tabs>
              <w:spacing w:before="0" w:line="240" w:lineRule="auto"/>
              <w:rPr>
                <w:rFonts w:ascii="Open Sans Semibold" w:eastAsia="Times New Roman" w:hAnsi="Open Sans Semibold" w:cs="Open Sans Semibold"/>
                <w:color w:val="FFFFFF"/>
                <w:sz w:val="16"/>
                <w:szCs w:val="16"/>
                <w:lang w:eastAsia="en-AU"/>
              </w:rPr>
            </w:pPr>
            <w:r w:rsidRPr="00EC5AEC">
              <w:rPr>
                <w:rFonts w:ascii="Open Sans Semibold" w:eastAsia="Times New Roman" w:hAnsi="Open Sans Semibold" w:cs="Open Sans Semibold"/>
                <w:color w:val="FFFFFF"/>
                <w:sz w:val="16"/>
                <w:szCs w:val="16"/>
                <w:lang w:eastAsia="en-AU"/>
              </w:rPr>
              <w:t>Data provider</w:t>
            </w:r>
          </w:p>
        </w:tc>
        <w:tc>
          <w:tcPr>
            <w:tcW w:w="1276" w:type="dxa"/>
            <w:tcBorders>
              <w:top w:val="nil"/>
              <w:left w:val="nil"/>
              <w:bottom w:val="nil"/>
              <w:right w:val="nil"/>
            </w:tcBorders>
            <w:shd w:val="clear" w:color="auto" w:fill="006991"/>
            <w:vAlign w:val="center"/>
            <w:hideMark/>
          </w:tcPr>
          <w:p w14:paraId="50F170FD" w14:textId="77777777" w:rsidR="00EC5AEC" w:rsidRPr="00EC5AEC" w:rsidRDefault="00EC5AEC" w:rsidP="00EC5AEC">
            <w:pPr>
              <w:tabs>
                <w:tab w:val="clear" w:pos="567"/>
              </w:tabs>
              <w:spacing w:before="0" w:line="240" w:lineRule="auto"/>
              <w:jc w:val="center"/>
              <w:rPr>
                <w:rFonts w:ascii="Open Sans Semibold" w:eastAsia="Times New Roman" w:hAnsi="Open Sans Semibold" w:cs="Open Sans Semibold"/>
                <w:color w:val="FFFFFF"/>
                <w:sz w:val="16"/>
                <w:szCs w:val="16"/>
                <w:lang w:eastAsia="en-AU"/>
              </w:rPr>
            </w:pPr>
            <w:r w:rsidRPr="00EC5AEC">
              <w:rPr>
                <w:rFonts w:ascii="Open Sans Semibold" w:eastAsia="Times New Roman" w:hAnsi="Open Sans Semibold" w:cs="Open Sans Semibold"/>
                <w:color w:val="FFFFFF"/>
                <w:sz w:val="16"/>
                <w:szCs w:val="16"/>
                <w:lang w:eastAsia="en-AU"/>
              </w:rPr>
              <w:t>Held constant</w:t>
            </w:r>
          </w:p>
        </w:tc>
        <w:tc>
          <w:tcPr>
            <w:tcW w:w="918" w:type="dxa"/>
            <w:tcBorders>
              <w:top w:val="nil"/>
              <w:left w:val="nil"/>
              <w:bottom w:val="nil"/>
              <w:right w:val="nil"/>
            </w:tcBorders>
            <w:shd w:val="clear" w:color="auto" w:fill="006991"/>
            <w:vAlign w:val="center"/>
            <w:hideMark/>
          </w:tcPr>
          <w:p w14:paraId="598868F5" w14:textId="77777777" w:rsidR="00EC5AEC" w:rsidRPr="00EC5AEC" w:rsidRDefault="00EC5AEC" w:rsidP="00EC5AEC">
            <w:pPr>
              <w:tabs>
                <w:tab w:val="clear" w:pos="567"/>
              </w:tabs>
              <w:spacing w:before="0" w:line="240" w:lineRule="auto"/>
              <w:jc w:val="center"/>
              <w:rPr>
                <w:rFonts w:ascii="Open Sans Semibold" w:eastAsia="Times New Roman" w:hAnsi="Open Sans Semibold" w:cs="Open Sans Semibold"/>
                <w:color w:val="FFFFFF"/>
                <w:sz w:val="16"/>
                <w:szCs w:val="16"/>
                <w:lang w:eastAsia="en-AU"/>
              </w:rPr>
            </w:pPr>
            <w:r w:rsidRPr="00EC5AEC">
              <w:rPr>
                <w:rFonts w:ascii="Open Sans Semibold" w:eastAsia="Times New Roman" w:hAnsi="Open Sans Semibold" w:cs="Open Sans Semibold"/>
                <w:color w:val="FFFFFF"/>
                <w:sz w:val="16"/>
                <w:szCs w:val="16"/>
                <w:lang w:eastAsia="en-AU"/>
              </w:rPr>
              <w:t>Updated yearly</w:t>
            </w:r>
          </w:p>
        </w:tc>
        <w:tc>
          <w:tcPr>
            <w:tcW w:w="937" w:type="dxa"/>
            <w:tcBorders>
              <w:top w:val="nil"/>
              <w:left w:val="nil"/>
              <w:bottom w:val="nil"/>
              <w:right w:val="nil"/>
            </w:tcBorders>
            <w:shd w:val="clear" w:color="auto" w:fill="006991"/>
            <w:vAlign w:val="center"/>
            <w:hideMark/>
          </w:tcPr>
          <w:p w14:paraId="612F710B" w14:textId="77777777" w:rsidR="00EC5AEC" w:rsidRPr="00EC5AEC" w:rsidRDefault="00EC5AEC" w:rsidP="00EC5AEC">
            <w:pPr>
              <w:tabs>
                <w:tab w:val="clear" w:pos="567"/>
              </w:tabs>
              <w:spacing w:before="0" w:line="240" w:lineRule="auto"/>
              <w:jc w:val="center"/>
              <w:rPr>
                <w:rFonts w:ascii="Open Sans Semibold" w:eastAsia="Times New Roman" w:hAnsi="Open Sans Semibold" w:cs="Open Sans Semibold"/>
                <w:color w:val="FFFFFF"/>
                <w:sz w:val="16"/>
                <w:szCs w:val="16"/>
                <w:lang w:eastAsia="en-AU"/>
              </w:rPr>
            </w:pPr>
            <w:r w:rsidRPr="00EC5AEC">
              <w:rPr>
                <w:rFonts w:ascii="Open Sans Semibold" w:eastAsia="Times New Roman" w:hAnsi="Open Sans Semibold" w:cs="Open Sans Semibold"/>
                <w:color w:val="FFFFFF"/>
                <w:sz w:val="16"/>
                <w:szCs w:val="16"/>
                <w:lang w:eastAsia="en-AU"/>
              </w:rPr>
              <w:t xml:space="preserve">COVID-19 </w:t>
            </w:r>
          </w:p>
        </w:tc>
        <w:tc>
          <w:tcPr>
            <w:tcW w:w="1210" w:type="dxa"/>
            <w:tcBorders>
              <w:top w:val="nil"/>
              <w:left w:val="nil"/>
              <w:bottom w:val="nil"/>
              <w:right w:val="nil"/>
            </w:tcBorders>
            <w:shd w:val="clear" w:color="auto" w:fill="006991"/>
            <w:vAlign w:val="center"/>
            <w:hideMark/>
          </w:tcPr>
          <w:p w14:paraId="74109E5E" w14:textId="77777777" w:rsidR="00EC5AEC" w:rsidRPr="00EC5AEC" w:rsidRDefault="00EC5AEC" w:rsidP="00EC5AEC">
            <w:pPr>
              <w:tabs>
                <w:tab w:val="clear" w:pos="567"/>
              </w:tabs>
              <w:spacing w:before="0" w:line="240" w:lineRule="auto"/>
              <w:jc w:val="center"/>
              <w:rPr>
                <w:rFonts w:ascii="Open Sans Semibold" w:eastAsia="Times New Roman" w:hAnsi="Open Sans Semibold" w:cs="Open Sans Semibold"/>
                <w:color w:val="FFFFFF"/>
                <w:sz w:val="16"/>
                <w:szCs w:val="16"/>
                <w:lang w:eastAsia="en-AU"/>
              </w:rPr>
            </w:pPr>
            <w:r w:rsidRPr="00EC5AEC">
              <w:rPr>
                <w:rFonts w:ascii="Open Sans Semibold" w:eastAsia="Times New Roman" w:hAnsi="Open Sans Semibold" w:cs="Open Sans Semibold"/>
                <w:color w:val="FFFFFF"/>
                <w:sz w:val="16"/>
                <w:szCs w:val="16"/>
                <w:lang w:eastAsia="en-AU"/>
              </w:rPr>
              <w:t>Next available data</w:t>
            </w:r>
          </w:p>
        </w:tc>
        <w:tc>
          <w:tcPr>
            <w:tcW w:w="1113" w:type="dxa"/>
            <w:tcBorders>
              <w:top w:val="nil"/>
              <w:left w:val="nil"/>
              <w:bottom w:val="nil"/>
              <w:right w:val="nil"/>
            </w:tcBorders>
            <w:shd w:val="clear" w:color="auto" w:fill="006991"/>
            <w:vAlign w:val="center"/>
            <w:hideMark/>
          </w:tcPr>
          <w:p w14:paraId="3C986127" w14:textId="77777777" w:rsidR="00EC5AEC" w:rsidRPr="00EC5AEC" w:rsidRDefault="00EC5AEC" w:rsidP="00EC5AEC">
            <w:pPr>
              <w:tabs>
                <w:tab w:val="clear" w:pos="567"/>
              </w:tabs>
              <w:spacing w:before="0" w:line="240" w:lineRule="auto"/>
              <w:jc w:val="center"/>
              <w:rPr>
                <w:rFonts w:ascii="Open Sans Semibold" w:eastAsia="Times New Roman" w:hAnsi="Open Sans Semibold" w:cs="Open Sans Semibold"/>
                <w:color w:val="FFFFFF"/>
                <w:sz w:val="16"/>
                <w:szCs w:val="16"/>
                <w:lang w:eastAsia="en-AU"/>
              </w:rPr>
            </w:pPr>
            <w:r w:rsidRPr="00EC5AEC">
              <w:rPr>
                <w:rFonts w:ascii="Open Sans Semibold" w:eastAsia="Times New Roman" w:hAnsi="Open Sans Semibold" w:cs="Open Sans Semibold"/>
                <w:color w:val="FFFFFF"/>
                <w:sz w:val="16"/>
                <w:szCs w:val="16"/>
                <w:lang w:eastAsia="en-AU"/>
              </w:rPr>
              <w:t xml:space="preserve">When it could be updated in model </w:t>
            </w:r>
          </w:p>
        </w:tc>
      </w:tr>
      <w:tr w:rsidR="00EC5AEC" w:rsidRPr="00EC5AEC" w14:paraId="2F463FC1" w14:textId="77777777" w:rsidTr="4A614AE0">
        <w:trPr>
          <w:trHeight w:val="315"/>
        </w:trPr>
        <w:tc>
          <w:tcPr>
            <w:tcW w:w="8959" w:type="dxa"/>
            <w:gridSpan w:val="7"/>
            <w:tcBorders>
              <w:top w:val="nil"/>
              <w:left w:val="nil"/>
              <w:bottom w:val="nil"/>
              <w:right w:val="nil"/>
            </w:tcBorders>
            <w:shd w:val="clear" w:color="auto" w:fill="B6D5E4"/>
            <w:vAlign w:val="center"/>
            <w:hideMark/>
          </w:tcPr>
          <w:p w14:paraId="28AA7B3B" w14:textId="77777777" w:rsidR="00EC5AEC" w:rsidRPr="00EC5AEC" w:rsidRDefault="00EC5AEC" w:rsidP="00EC5AEC">
            <w:pPr>
              <w:tabs>
                <w:tab w:val="clear" w:pos="567"/>
              </w:tabs>
              <w:spacing w:before="0" w:line="240" w:lineRule="auto"/>
              <w:rPr>
                <w:rFonts w:ascii="Open Sans Semibold" w:eastAsia="Times New Roman" w:hAnsi="Open Sans Semibold" w:cs="Open Sans Semibold"/>
                <w:color w:val="000000"/>
                <w:sz w:val="16"/>
                <w:szCs w:val="16"/>
                <w:lang w:eastAsia="en-AU"/>
              </w:rPr>
            </w:pPr>
            <w:r w:rsidRPr="00EC5AEC">
              <w:rPr>
                <w:rFonts w:ascii="Open Sans Semibold" w:eastAsia="Times New Roman" w:hAnsi="Open Sans Semibold" w:cs="Open Sans Semibold"/>
                <w:color w:val="000000"/>
                <w:sz w:val="16"/>
                <w:szCs w:val="16"/>
                <w:lang w:eastAsia="en-AU"/>
              </w:rPr>
              <w:t xml:space="preserve">Urban transport regression </w:t>
            </w:r>
          </w:p>
        </w:tc>
      </w:tr>
      <w:tr w:rsidR="00841223" w:rsidRPr="00EC5AEC" w14:paraId="2F60CC31" w14:textId="77777777" w:rsidTr="008E7694">
        <w:trPr>
          <w:trHeight w:val="555"/>
        </w:trPr>
        <w:tc>
          <w:tcPr>
            <w:tcW w:w="2483" w:type="dxa"/>
            <w:tcBorders>
              <w:top w:val="nil"/>
              <w:left w:val="nil"/>
              <w:bottom w:val="nil"/>
              <w:right w:val="nil"/>
            </w:tcBorders>
            <w:shd w:val="clear" w:color="auto" w:fill="auto"/>
            <w:vAlign w:val="center"/>
            <w:hideMark/>
          </w:tcPr>
          <w:p w14:paraId="3508A73B"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Net expenses on public transport by urban area and mode</w:t>
            </w:r>
          </w:p>
        </w:tc>
        <w:tc>
          <w:tcPr>
            <w:tcW w:w="1022" w:type="dxa"/>
            <w:tcBorders>
              <w:top w:val="nil"/>
              <w:left w:val="single" w:sz="8" w:space="0" w:color="B6D5E4"/>
              <w:bottom w:val="nil"/>
              <w:right w:val="single" w:sz="8" w:space="0" w:color="B6D5E4"/>
            </w:tcBorders>
            <w:shd w:val="clear" w:color="auto" w:fill="auto"/>
            <w:vAlign w:val="center"/>
            <w:hideMark/>
          </w:tcPr>
          <w:p w14:paraId="28044D4A"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States</w:t>
            </w:r>
          </w:p>
        </w:tc>
        <w:tc>
          <w:tcPr>
            <w:tcW w:w="1276" w:type="dxa"/>
            <w:tcBorders>
              <w:top w:val="nil"/>
              <w:left w:val="nil"/>
              <w:bottom w:val="nil"/>
              <w:right w:val="nil"/>
            </w:tcBorders>
            <w:shd w:val="clear" w:color="auto" w:fill="auto"/>
            <w:vAlign w:val="center"/>
            <w:hideMark/>
          </w:tcPr>
          <w:p w14:paraId="4815D4F7"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18" w:type="dxa"/>
            <w:tcBorders>
              <w:top w:val="nil"/>
              <w:left w:val="single" w:sz="8" w:space="0" w:color="B6D5E4"/>
              <w:bottom w:val="nil"/>
              <w:right w:val="single" w:sz="8" w:space="0" w:color="B6D5E4"/>
            </w:tcBorders>
            <w:shd w:val="clear" w:color="auto" w:fill="auto"/>
            <w:vAlign w:val="center"/>
            <w:hideMark/>
          </w:tcPr>
          <w:p w14:paraId="0897F3B5"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37" w:type="dxa"/>
            <w:tcBorders>
              <w:top w:val="nil"/>
              <w:left w:val="nil"/>
              <w:bottom w:val="nil"/>
              <w:right w:val="nil"/>
            </w:tcBorders>
            <w:shd w:val="clear" w:color="auto" w:fill="auto"/>
            <w:vAlign w:val="center"/>
            <w:hideMark/>
          </w:tcPr>
          <w:p w14:paraId="486D106A"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1210" w:type="dxa"/>
            <w:tcBorders>
              <w:top w:val="nil"/>
              <w:left w:val="single" w:sz="8" w:space="0" w:color="B6D5E4"/>
              <w:bottom w:val="nil"/>
              <w:right w:val="single" w:sz="8" w:space="0" w:color="B6D5E4"/>
            </w:tcBorders>
            <w:shd w:val="clear" w:color="auto" w:fill="auto"/>
            <w:vAlign w:val="center"/>
            <w:hideMark/>
          </w:tcPr>
          <w:p w14:paraId="1B1B8C0D"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2022-23</w:t>
            </w:r>
          </w:p>
        </w:tc>
        <w:tc>
          <w:tcPr>
            <w:tcW w:w="1113" w:type="dxa"/>
            <w:tcBorders>
              <w:top w:val="nil"/>
              <w:left w:val="nil"/>
              <w:bottom w:val="nil"/>
              <w:right w:val="nil"/>
            </w:tcBorders>
            <w:shd w:val="clear" w:color="auto" w:fill="auto"/>
            <w:vAlign w:val="center"/>
            <w:hideMark/>
          </w:tcPr>
          <w:p w14:paraId="0AD88486" w14:textId="31CC09F5"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41ECBAFD">
              <w:rPr>
                <w:rFonts w:eastAsia="Times New Roman" w:cs="Open Sans Light"/>
                <w:color w:val="000000" w:themeColor="text1"/>
                <w:sz w:val="16"/>
                <w:szCs w:val="16"/>
                <w:lang w:eastAsia="en-AU"/>
              </w:rPr>
              <w:t xml:space="preserve">R2025 or U2026 </w:t>
            </w:r>
          </w:p>
        </w:tc>
      </w:tr>
      <w:tr w:rsidR="00841223" w:rsidRPr="00EC5AEC" w14:paraId="7832F250" w14:textId="77777777" w:rsidTr="008E7694">
        <w:trPr>
          <w:trHeight w:val="555"/>
        </w:trPr>
        <w:tc>
          <w:tcPr>
            <w:tcW w:w="2483" w:type="dxa"/>
            <w:tcBorders>
              <w:top w:val="nil"/>
              <w:left w:val="nil"/>
              <w:bottom w:val="nil"/>
              <w:right w:val="nil"/>
            </w:tcBorders>
            <w:shd w:val="clear" w:color="auto" w:fill="auto"/>
            <w:vAlign w:val="center"/>
            <w:hideMark/>
          </w:tcPr>
          <w:p w14:paraId="2F864087"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Actual transport passenger numbers (supply)</w:t>
            </w:r>
          </w:p>
        </w:tc>
        <w:tc>
          <w:tcPr>
            <w:tcW w:w="1022" w:type="dxa"/>
            <w:tcBorders>
              <w:top w:val="nil"/>
              <w:left w:val="single" w:sz="8" w:space="0" w:color="B6D5E4"/>
              <w:bottom w:val="nil"/>
              <w:right w:val="single" w:sz="8" w:space="0" w:color="B6D5E4"/>
            </w:tcBorders>
            <w:shd w:val="clear" w:color="auto" w:fill="auto"/>
            <w:vAlign w:val="center"/>
            <w:hideMark/>
          </w:tcPr>
          <w:p w14:paraId="4C6654E2"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xml:space="preserve">ABS </w:t>
            </w:r>
          </w:p>
        </w:tc>
        <w:tc>
          <w:tcPr>
            <w:tcW w:w="1276" w:type="dxa"/>
            <w:tcBorders>
              <w:top w:val="nil"/>
              <w:left w:val="nil"/>
              <w:bottom w:val="nil"/>
              <w:right w:val="nil"/>
            </w:tcBorders>
            <w:shd w:val="clear" w:color="auto" w:fill="auto"/>
            <w:vAlign w:val="center"/>
            <w:hideMark/>
          </w:tcPr>
          <w:p w14:paraId="0CD333C7"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18" w:type="dxa"/>
            <w:tcBorders>
              <w:top w:val="nil"/>
              <w:left w:val="single" w:sz="8" w:space="0" w:color="B6D5E4"/>
              <w:bottom w:val="nil"/>
              <w:right w:val="single" w:sz="8" w:space="0" w:color="B6D5E4"/>
            </w:tcBorders>
            <w:shd w:val="clear" w:color="auto" w:fill="auto"/>
            <w:vAlign w:val="center"/>
            <w:hideMark/>
          </w:tcPr>
          <w:p w14:paraId="1D760C52"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37" w:type="dxa"/>
            <w:tcBorders>
              <w:top w:val="nil"/>
              <w:left w:val="nil"/>
              <w:bottom w:val="nil"/>
              <w:right w:val="nil"/>
            </w:tcBorders>
            <w:shd w:val="clear" w:color="auto" w:fill="auto"/>
            <w:vAlign w:val="center"/>
            <w:hideMark/>
          </w:tcPr>
          <w:p w14:paraId="54C37403"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1210" w:type="dxa"/>
            <w:tcBorders>
              <w:top w:val="nil"/>
              <w:left w:val="single" w:sz="8" w:space="0" w:color="B6D5E4"/>
              <w:bottom w:val="nil"/>
              <w:right w:val="nil"/>
            </w:tcBorders>
            <w:shd w:val="clear" w:color="auto" w:fill="auto"/>
            <w:vAlign w:val="center"/>
            <w:hideMark/>
          </w:tcPr>
          <w:p w14:paraId="69468934"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2026 Census</w:t>
            </w:r>
          </w:p>
        </w:tc>
        <w:tc>
          <w:tcPr>
            <w:tcW w:w="1113" w:type="dxa"/>
            <w:tcBorders>
              <w:top w:val="nil"/>
              <w:left w:val="single" w:sz="8" w:space="0" w:color="B6D5E4"/>
              <w:bottom w:val="nil"/>
              <w:right w:val="nil"/>
            </w:tcBorders>
            <w:shd w:val="clear" w:color="auto" w:fill="auto"/>
            <w:vAlign w:val="center"/>
            <w:hideMark/>
          </w:tcPr>
          <w:p w14:paraId="520A823B"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U2028</w:t>
            </w:r>
          </w:p>
        </w:tc>
      </w:tr>
      <w:tr w:rsidR="00841223" w:rsidRPr="00EC5AEC" w14:paraId="34062C98" w14:textId="77777777" w:rsidTr="008E7694">
        <w:trPr>
          <w:trHeight w:val="350"/>
        </w:trPr>
        <w:tc>
          <w:tcPr>
            <w:tcW w:w="2483" w:type="dxa"/>
            <w:tcBorders>
              <w:top w:val="nil"/>
              <w:left w:val="nil"/>
              <w:bottom w:val="nil"/>
              <w:right w:val="nil"/>
            </w:tcBorders>
            <w:shd w:val="clear" w:color="auto" w:fill="auto"/>
            <w:vAlign w:val="center"/>
            <w:hideMark/>
          </w:tcPr>
          <w:p w14:paraId="5586E1F2"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Population weighted density</w:t>
            </w:r>
          </w:p>
        </w:tc>
        <w:tc>
          <w:tcPr>
            <w:tcW w:w="1022" w:type="dxa"/>
            <w:tcBorders>
              <w:top w:val="nil"/>
              <w:left w:val="single" w:sz="8" w:space="0" w:color="B6D5E4"/>
              <w:bottom w:val="nil"/>
              <w:right w:val="single" w:sz="8" w:space="0" w:color="B6D5E4"/>
            </w:tcBorders>
            <w:shd w:val="clear" w:color="auto" w:fill="auto"/>
            <w:vAlign w:val="center"/>
            <w:hideMark/>
          </w:tcPr>
          <w:p w14:paraId="3296D68F"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w:t>
            </w:r>
          </w:p>
        </w:tc>
        <w:tc>
          <w:tcPr>
            <w:tcW w:w="1276" w:type="dxa"/>
            <w:tcBorders>
              <w:top w:val="nil"/>
              <w:left w:val="nil"/>
              <w:bottom w:val="nil"/>
              <w:right w:val="nil"/>
            </w:tcBorders>
            <w:shd w:val="clear" w:color="auto" w:fill="auto"/>
            <w:vAlign w:val="center"/>
            <w:hideMark/>
          </w:tcPr>
          <w:p w14:paraId="5FB1F707"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18" w:type="dxa"/>
            <w:tcBorders>
              <w:top w:val="nil"/>
              <w:left w:val="single" w:sz="8" w:space="0" w:color="B6D5E4"/>
              <w:bottom w:val="nil"/>
              <w:right w:val="single" w:sz="8" w:space="0" w:color="B6D5E4"/>
            </w:tcBorders>
            <w:shd w:val="clear" w:color="auto" w:fill="auto"/>
            <w:vAlign w:val="center"/>
            <w:hideMark/>
          </w:tcPr>
          <w:p w14:paraId="495EA188"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37" w:type="dxa"/>
            <w:tcBorders>
              <w:top w:val="nil"/>
              <w:left w:val="nil"/>
              <w:bottom w:val="nil"/>
              <w:right w:val="nil"/>
            </w:tcBorders>
            <w:shd w:val="clear" w:color="auto" w:fill="auto"/>
            <w:vAlign w:val="center"/>
            <w:hideMark/>
          </w:tcPr>
          <w:p w14:paraId="4E67BE04"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p>
        </w:tc>
        <w:tc>
          <w:tcPr>
            <w:tcW w:w="1210" w:type="dxa"/>
            <w:tcBorders>
              <w:top w:val="nil"/>
              <w:left w:val="single" w:sz="8" w:space="0" w:color="B6D5E4"/>
              <w:bottom w:val="nil"/>
              <w:right w:val="nil"/>
            </w:tcBorders>
            <w:shd w:val="clear" w:color="auto" w:fill="auto"/>
            <w:vAlign w:val="center"/>
            <w:hideMark/>
          </w:tcPr>
          <w:p w14:paraId="7CF17099"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w:t>
            </w:r>
          </w:p>
        </w:tc>
        <w:tc>
          <w:tcPr>
            <w:tcW w:w="1113" w:type="dxa"/>
            <w:tcBorders>
              <w:top w:val="nil"/>
              <w:left w:val="single" w:sz="8" w:space="0" w:color="B6D5E4"/>
              <w:bottom w:val="nil"/>
              <w:right w:val="nil"/>
            </w:tcBorders>
            <w:shd w:val="clear" w:color="auto" w:fill="auto"/>
            <w:vAlign w:val="center"/>
            <w:hideMark/>
          </w:tcPr>
          <w:p w14:paraId="557992EB"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w:t>
            </w:r>
          </w:p>
        </w:tc>
      </w:tr>
      <w:tr w:rsidR="00841223" w:rsidRPr="00EC5AEC" w14:paraId="2FD4CCC2" w14:textId="77777777" w:rsidTr="008E7694">
        <w:trPr>
          <w:trHeight w:val="350"/>
        </w:trPr>
        <w:tc>
          <w:tcPr>
            <w:tcW w:w="2483" w:type="dxa"/>
            <w:tcBorders>
              <w:top w:val="nil"/>
              <w:left w:val="nil"/>
              <w:bottom w:val="nil"/>
              <w:right w:val="nil"/>
            </w:tcBorders>
            <w:shd w:val="clear" w:color="auto" w:fill="auto"/>
            <w:vAlign w:val="center"/>
            <w:hideMark/>
          </w:tcPr>
          <w:p w14:paraId="6BE99A48" w14:textId="77777777" w:rsidR="00EC5AEC" w:rsidRPr="00EC5AEC" w:rsidRDefault="00EC5AEC" w:rsidP="00EC5AEC">
            <w:pPr>
              <w:tabs>
                <w:tab w:val="clear" w:pos="567"/>
              </w:tabs>
              <w:spacing w:before="0" w:line="240" w:lineRule="auto"/>
              <w:ind w:firstLineChars="100" w:firstLine="160"/>
              <w:rPr>
                <w:rFonts w:eastAsia="Times New Roman" w:cs="Open Sans Light"/>
                <w:color w:val="000000"/>
                <w:sz w:val="16"/>
                <w:szCs w:val="16"/>
                <w:lang w:eastAsia="en-AU"/>
              </w:rPr>
            </w:pPr>
            <w:r w:rsidRPr="00EC5AEC">
              <w:rPr>
                <w:rFonts w:eastAsia="Times New Roman" w:cs="Open Sans Light"/>
                <w:color w:val="000000"/>
                <w:sz w:val="16"/>
                <w:szCs w:val="16"/>
                <w:lang w:eastAsia="en-AU"/>
              </w:rPr>
              <w:t xml:space="preserve">Urban area population </w:t>
            </w:r>
          </w:p>
        </w:tc>
        <w:tc>
          <w:tcPr>
            <w:tcW w:w="1022" w:type="dxa"/>
            <w:tcBorders>
              <w:top w:val="nil"/>
              <w:left w:val="single" w:sz="8" w:space="0" w:color="B6D5E4"/>
              <w:bottom w:val="nil"/>
              <w:right w:val="single" w:sz="8" w:space="0" w:color="B6D5E4"/>
            </w:tcBorders>
            <w:shd w:val="clear" w:color="auto" w:fill="auto"/>
            <w:vAlign w:val="center"/>
            <w:hideMark/>
          </w:tcPr>
          <w:p w14:paraId="7BD0BEE7"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xml:space="preserve">ABS </w:t>
            </w:r>
          </w:p>
        </w:tc>
        <w:tc>
          <w:tcPr>
            <w:tcW w:w="1276" w:type="dxa"/>
            <w:tcBorders>
              <w:top w:val="nil"/>
              <w:left w:val="nil"/>
              <w:bottom w:val="nil"/>
              <w:right w:val="nil"/>
            </w:tcBorders>
            <w:shd w:val="clear" w:color="auto" w:fill="auto"/>
            <w:vAlign w:val="center"/>
            <w:hideMark/>
          </w:tcPr>
          <w:p w14:paraId="1238A2C6"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18" w:type="dxa"/>
            <w:tcBorders>
              <w:top w:val="nil"/>
              <w:left w:val="single" w:sz="8" w:space="0" w:color="B6D5E4"/>
              <w:bottom w:val="nil"/>
              <w:right w:val="single" w:sz="8" w:space="0" w:color="B6D5E4"/>
            </w:tcBorders>
            <w:shd w:val="clear" w:color="auto" w:fill="auto"/>
            <w:vAlign w:val="center"/>
            <w:hideMark/>
          </w:tcPr>
          <w:p w14:paraId="21C94D57"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37" w:type="dxa"/>
            <w:tcBorders>
              <w:top w:val="nil"/>
              <w:left w:val="nil"/>
              <w:bottom w:val="nil"/>
              <w:right w:val="single" w:sz="8" w:space="0" w:color="B6D5E4"/>
            </w:tcBorders>
            <w:shd w:val="clear" w:color="auto" w:fill="auto"/>
            <w:vAlign w:val="center"/>
            <w:hideMark/>
          </w:tcPr>
          <w:p w14:paraId="42A8BA0D"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1210" w:type="dxa"/>
            <w:tcBorders>
              <w:top w:val="nil"/>
              <w:left w:val="nil"/>
              <w:bottom w:val="nil"/>
              <w:right w:val="single" w:sz="8" w:space="0" w:color="B6D5E4"/>
            </w:tcBorders>
            <w:shd w:val="clear" w:color="auto" w:fill="auto"/>
            <w:vAlign w:val="center"/>
            <w:hideMark/>
          </w:tcPr>
          <w:p w14:paraId="5DF66E72"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Yearly ERP</w:t>
            </w:r>
          </w:p>
        </w:tc>
        <w:tc>
          <w:tcPr>
            <w:tcW w:w="1113" w:type="dxa"/>
            <w:tcBorders>
              <w:top w:val="nil"/>
              <w:left w:val="nil"/>
              <w:bottom w:val="nil"/>
              <w:right w:val="nil"/>
            </w:tcBorders>
            <w:shd w:val="clear" w:color="auto" w:fill="auto"/>
            <w:vAlign w:val="center"/>
            <w:hideMark/>
          </w:tcPr>
          <w:p w14:paraId="51F7F091"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w:t>
            </w:r>
          </w:p>
        </w:tc>
      </w:tr>
      <w:tr w:rsidR="00841223" w:rsidRPr="00EC5AEC" w14:paraId="4E787933" w14:textId="77777777" w:rsidTr="008E7694">
        <w:trPr>
          <w:trHeight w:val="350"/>
        </w:trPr>
        <w:tc>
          <w:tcPr>
            <w:tcW w:w="2483" w:type="dxa"/>
            <w:tcBorders>
              <w:top w:val="nil"/>
              <w:left w:val="nil"/>
              <w:bottom w:val="nil"/>
              <w:right w:val="nil"/>
            </w:tcBorders>
            <w:shd w:val="clear" w:color="auto" w:fill="auto"/>
            <w:vAlign w:val="center"/>
            <w:hideMark/>
          </w:tcPr>
          <w:p w14:paraId="11BFFF67" w14:textId="77777777" w:rsidR="00EC5AEC" w:rsidRPr="00EC5AEC" w:rsidRDefault="00EC5AEC" w:rsidP="00EC5AEC">
            <w:pPr>
              <w:tabs>
                <w:tab w:val="clear" w:pos="567"/>
              </w:tabs>
              <w:spacing w:before="0" w:line="240" w:lineRule="auto"/>
              <w:ind w:firstLineChars="100" w:firstLine="160"/>
              <w:rPr>
                <w:rFonts w:eastAsia="Times New Roman" w:cs="Open Sans Light"/>
                <w:color w:val="000000"/>
                <w:sz w:val="16"/>
                <w:szCs w:val="16"/>
                <w:lang w:eastAsia="en-AU"/>
              </w:rPr>
            </w:pPr>
            <w:r w:rsidRPr="00EC5AEC">
              <w:rPr>
                <w:rFonts w:eastAsia="Times New Roman" w:cs="Open Sans Light"/>
                <w:color w:val="000000"/>
                <w:sz w:val="16"/>
                <w:szCs w:val="16"/>
                <w:lang w:eastAsia="en-AU"/>
              </w:rPr>
              <w:t>Urban area size</w:t>
            </w:r>
          </w:p>
        </w:tc>
        <w:tc>
          <w:tcPr>
            <w:tcW w:w="1022" w:type="dxa"/>
            <w:tcBorders>
              <w:top w:val="nil"/>
              <w:left w:val="single" w:sz="8" w:space="0" w:color="B6D5E4"/>
              <w:bottom w:val="nil"/>
              <w:right w:val="single" w:sz="8" w:space="0" w:color="B6D5E4"/>
            </w:tcBorders>
            <w:shd w:val="clear" w:color="auto" w:fill="auto"/>
            <w:vAlign w:val="center"/>
            <w:hideMark/>
          </w:tcPr>
          <w:p w14:paraId="0DB5CC7E"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xml:space="preserve">ABS </w:t>
            </w:r>
          </w:p>
        </w:tc>
        <w:tc>
          <w:tcPr>
            <w:tcW w:w="1276" w:type="dxa"/>
            <w:tcBorders>
              <w:top w:val="nil"/>
              <w:left w:val="nil"/>
              <w:bottom w:val="nil"/>
              <w:right w:val="nil"/>
            </w:tcBorders>
            <w:shd w:val="clear" w:color="auto" w:fill="auto"/>
            <w:vAlign w:val="center"/>
            <w:hideMark/>
          </w:tcPr>
          <w:p w14:paraId="1272A87C"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18" w:type="dxa"/>
            <w:tcBorders>
              <w:top w:val="nil"/>
              <w:left w:val="single" w:sz="8" w:space="0" w:color="B6D5E4"/>
              <w:bottom w:val="nil"/>
              <w:right w:val="single" w:sz="8" w:space="0" w:color="B6D5E4"/>
            </w:tcBorders>
            <w:shd w:val="clear" w:color="auto" w:fill="auto"/>
            <w:vAlign w:val="center"/>
            <w:hideMark/>
          </w:tcPr>
          <w:p w14:paraId="53B6650D"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37" w:type="dxa"/>
            <w:tcBorders>
              <w:top w:val="nil"/>
              <w:left w:val="nil"/>
              <w:bottom w:val="nil"/>
              <w:right w:val="single" w:sz="8" w:space="0" w:color="B6D5E4"/>
            </w:tcBorders>
            <w:shd w:val="clear" w:color="auto" w:fill="auto"/>
            <w:vAlign w:val="center"/>
            <w:hideMark/>
          </w:tcPr>
          <w:p w14:paraId="174F92EB"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1210" w:type="dxa"/>
            <w:tcBorders>
              <w:top w:val="nil"/>
              <w:left w:val="nil"/>
              <w:bottom w:val="nil"/>
              <w:right w:val="single" w:sz="8" w:space="0" w:color="B6D5E4"/>
            </w:tcBorders>
            <w:shd w:val="clear" w:color="auto" w:fill="auto"/>
            <w:vAlign w:val="center"/>
            <w:hideMark/>
          </w:tcPr>
          <w:p w14:paraId="62C40A20"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2021 Census</w:t>
            </w:r>
          </w:p>
        </w:tc>
        <w:tc>
          <w:tcPr>
            <w:tcW w:w="1113" w:type="dxa"/>
            <w:tcBorders>
              <w:top w:val="nil"/>
              <w:left w:val="nil"/>
              <w:bottom w:val="nil"/>
              <w:right w:val="nil"/>
            </w:tcBorders>
            <w:shd w:val="clear" w:color="auto" w:fill="auto"/>
            <w:vAlign w:val="center"/>
            <w:hideMark/>
          </w:tcPr>
          <w:p w14:paraId="15C555C7"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w:t>
            </w:r>
          </w:p>
        </w:tc>
      </w:tr>
      <w:tr w:rsidR="00841223" w:rsidRPr="00EC5AEC" w14:paraId="25A1B37E" w14:textId="77777777" w:rsidTr="008E7694">
        <w:trPr>
          <w:trHeight w:val="555"/>
        </w:trPr>
        <w:tc>
          <w:tcPr>
            <w:tcW w:w="2483" w:type="dxa"/>
            <w:tcBorders>
              <w:top w:val="nil"/>
              <w:left w:val="nil"/>
              <w:bottom w:val="nil"/>
              <w:right w:val="nil"/>
            </w:tcBorders>
            <w:shd w:val="clear" w:color="auto" w:fill="auto"/>
            <w:vAlign w:val="center"/>
            <w:hideMark/>
          </w:tcPr>
          <w:p w14:paraId="7ECE856C"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Distance to work (network complexity)</w:t>
            </w:r>
          </w:p>
        </w:tc>
        <w:tc>
          <w:tcPr>
            <w:tcW w:w="1022" w:type="dxa"/>
            <w:tcBorders>
              <w:top w:val="nil"/>
              <w:left w:val="single" w:sz="8" w:space="0" w:color="B6D5E4"/>
              <w:bottom w:val="nil"/>
              <w:right w:val="single" w:sz="8" w:space="0" w:color="B6D5E4"/>
            </w:tcBorders>
            <w:shd w:val="clear" w:color="auto" w:fill="auto"/>
            <w:vAlign w:val="center"/>
            <w:hideMark/>
          </w:tcPr>
          <w:p w14:paraId="53E16FA7"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ABS</w:t>
            </w:r>
          </w:p>
        </w:tc>
        <w:tc>
          <w:tcPr>
            <w:tcW w:w="1276" w:type="dxa"/>
            <w:tcBorders>
              <w:top w:val="nil"/>
              <w:left w:val="nil"/>
              <w:bottom w:val="nil"/>
              <w:right w:val="single" w:sz="8" w:space="0" w:color="B6D5E4"/>
            </w:tcBorders>
            <w:shd w:val="clear" w:color="auto" w:fill="auto"/>
            <w:vAlign w:val="center"/>
            <w:hideMark/>
          </w:tcPr>
          <w:p w14:paraId="0A853768"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18" w:type="dxa"/>
            <w:tcBorders>
              <w:top w:val="nil"/>
              <w:left w:val="nil"/>
              <w:bottom w:val="nil"/>
              <w:right w:val="single" w:sz="8" w:space="0" w:color="B6D5E4"/>
            </w:tcBorders>
            <w:shd w:val="clear" w:color="auto" w:fill="auto"/>
            <w:vAlign w:val="center"/>
            <w:hideMark/>
          </w:tcPr>
          <w:p w14:paraId="33AB4D2D"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37" w:type="dxa"/>
            <w:tcBorders>
              <w:top w:val="nil"/>
              <w:left w:val="nil"/>
              <w:bottom w:val="nil"/>
              <w:right w:val="single" w:sz="8" w:space="0" w:color="B6D5E4"/>
            </w:tcBorders>
            <w:shd w:val="clear" w:color="auto" w:fill="auto"/>
            <w:vAlign w:val="center"/>
            <w:hideMark/>
          </w:tcPr>
          <w:p w14:paraId="4DBC7A42" w14:textId="4A6DA76C" w:rsidR="00EC5AEC" w:rsidRPr="00EC5AEC" w:rsidRDefault="004006D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EBA145"/>
                <w:sz w:val="28"/>
                <w:szCs w:val="28"/>
                <w:lang w:eastAsia="en-AU"/>
              </w:rPr>
              <w:t>û</w:t>
            </w:r>
          </w:p>
        </w:tc>
        <w:tc>
          <w:tcPr>
            <w:tcW w:w="1210" w:type="dxa"/>
            <w:tcBorders>
              <w:top w:val="nil"/>
              <w:left w:val="nil"/>
              <w:bottom w:val="nil"/>
              <w:right w:val="single" w:sz="8" w:space="0" w:color="B6D5E4"/>
            </w:tcBorders>
            <w:shd w:val="clear" w:color="auto" w:fill="auto"/>
            <w:vAlign w:val="center"/>
            <w:hideMark/>
          </w:tcPr>
          <w:p w14:paraId="52AB17AF" w14:textId="40578A4D"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202</w:t>
            </w:r>
            <w:r w:rsidR="004006DC">
              <w:rPr>
                <w:rFonts w:eastAsia="Times New Roman" w:cs="Open Sans Light"/>
                <w:color w:val="000000"/>
                <w:sz w:val="16"/>
                <w:szCs w:val="16"/>
                <w:lang w:eastAsia="en-AU"/>
              </w:rPr>
              <w:t>1</w:t>
            </w:r>
            <w:r w:rsidRPr="00EC5AEC">
              <w:rPr>
                <w:rFonts w:eastAsia="Times New Roman" w:cs="Open Sans Light"/>
                <w:color w:val="000000"/>
                <w:sz w:val="16"/>
                <w:szCs w:val="16"/>
                <w:lang w:eastAsia="en-AU"/>
              </w:rPr>
              <w:t xml:space="preserve"> Census</w:t>
            </w:r>
          </w:p>
        </w:tc>
        <w:tc>
          <w:tcPr>
            <w:tcW w:w="1113" w:type="dxa"/>
            <w:tcBorders>
              <w:top w:val="nil"/>
              <w:left w:val="nil"/>
              <w:bottom w:val="nil"/>
              <w:right w:val="nil"/>
            </w:tcBorders>
            <w:shd w:val="clear" w:color="auto" w:fill="auto"/>
            <w:vAlign w:val="center"/>
            <w:hideMark/>
          </w:tcPr>
          <w:p w14:paraId="08B86906" w14:textId="2CD5F40E" w:rsidR="00EC5AEC" w:rsidRPr="00EC5AEC" w:rsidRDefault="004006DC" w:rsidP="00EC5AEC">
            <w:pPr>
              <w:tabs>
                <w:tab w:val="clear" w:pos="567"/>
              </w:tabs>
              <w:spacing w:before="0" w:line="240" w:lineRule="auto"/>
              <w:rPr>
                <w:rFonts w:eastAsia="Times New Roman" w:cs="Open Sans Light"/>
                <w:color w:val="000000"/>
                <w:sz w:val="16"/>
                <w:szCs w:val="16"/>
                <w:lang w:eastAsia="en-AU"/>
              </w:rPr>
            </w:pPr>
            <w:r>
              <w:rPr>
                <w:rFonts w:eastAsia="Times New Roman" w:cs="Open Sans Light"/>
                <w:color w:val="000000"/>
                <w:sz w:val="16"/>
                <w:szCs w:val="16"/>
                <w:lang w:eastAsia="en-AU"/>
              </w:rPr>
              <w:t>*</w:t>
            </w:r>
          </w:p>
        </w:tc>
      </w:tr>
      <w:tr w:rsidR="00841223" w:rsidRPr="00EC5AEC" w14:paraId="723E1618" w14:textId="77777777" w:rsidTr="008E7694">
        <w:trPr>
          <w:trHeight w:val="555"/>
        </w:trPr>
        <w:tc>
          <w:tcPr>
            <w:tcW w:w="2483" w:type="dxa"/>
            <w:tcBorders>
              <w:top w:val="nil"/>
              <w:left w:val="nil"/>
              <w:bottom w:val="nil"/>
              <w:right w:val="nil"/>
            </w:tcBorders>
            <w:shd w:val="clear" w:color="auto" w:fill="auto"/>
            <w:vAlign w:val="center"/>
            <w:hideMark/>
          </w:tcPr>
          <w:p w14:paraId="476FB7F9"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Slope of area (topography)</w:t>
            </w:r>
          </w:p>
        </w:tc>
        <w:tc>
          <w:tcPr>
            <w:tcW w:w="1022" w:type="dxa"/>
            <w:tcBorders>
              <w:top w:val="nil"/>
              <w:left w:val="single" w:sz="8" w:space="0" w:color="B6D5E4"/>
              <w:bottom w:val="nil"/>
              <w:right w:val="single" w:sz="8" w:space="0" w:color="B6D5E4"/>
            </w:tcBorders>
            <w:shd w:val="clear" w:color="auto" w:fill="auto"/>
            <w:vAlign w:val="center"/>
            <w:hideMark/>
          </w:tcPr>
          <w:p w14:paraId="23F1A513"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Geoscience</w:t>
            </w:r>
          </w:p>
        </w:tc>
        <w:tc>
          <w:tcPr>
            <w:tcW w:w="1276" w:type="dxa"/>
            <w:tcBorders>
              <w:top w:val="nil"/>
              <w:left w:val="nil"/>
              <w:bottom w:val="nil"/>
              <w:right w:val="nil"/>
            </w:tcBorders>
            <w:shd w:val="clear" w:color="auto" w:fill="auto"/>
            <w:vAlign w:val="center"/>
            <w:hideMark/>
          </w:tcPr>
          <w:p w14:paraId="085686AC"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18" w:type="dxa"/>
            <w:tcBorders>
              <w:top w:val="nil"/>
              <w:left w:val="single" w:sz="8" w:space="0" w:color="B6D5E4"/>
              <w:bottom w:val="nil"/>
              <w:right w:val="single" w:sz="8" w:space="0" w:color="B6D5E4"/>
            </w:tcBorders>
            <w:shd w:val="clear" w:color="auto" w:fill="auto"/>
            <w:vAlign w:val="center"/>
            <w:hideMark/>
          </w:tcPr>
          <w:p w14:paraId="7A7933DF"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37" w:type="dxa"/>
            <w:tcBorders>
              <w:top w:val="nil"/>
              <w:left w:val="nil"/>
              <w:bottom w:val="nil"/>
              <w:right w:val="single" w:sz="8" w:space="0" w:color="B6D5E4"/>
            </w:tcBorders>
            <w:shd w:val="clear" w:color="auto" w:fill="auto"/>
            <w:vAlign w:val="center"/>
            <w:hideMark/>
          </w:tcPr>
          <w:p w14:paraId="16C7E57B"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1210" w:type="dxa"/>
            <w:tcBorders>
              <w:top w:val="nil"/>
              <w:left w:val="nil"/>
              <w:bottom w:val="nil"/>
              <w:right w:val="single" w:sz="8" w:space="0" w:color="B6D5E4"/>
            </w:tcBorders>
            <w:shd w:val="clear" w:color="auto" w:fill="auto"/>
            <w:vAlign w:val="center"/>
            <w:hideMark/>
          </w:tcPr>
          <w:p w14:paraId="0DBB4FB7" w14:textId="4E342AD4"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Available for all years</w:t>
            </w:r>
          </w:p>
        </w:tc>
        <w:tc>
          <w:tcPr>
            <w:tcW w:w="1113" w:type="dxa"/>
            <w:tcBorders>
              <w:top w:val="nil"/>
              <w:left w:val="nil"/>
              <w:bottom w:val="nil"/>
              <w:right w:val="nil"/>
            </w:tcBorders>
            <w:shd w:val="clear" w:color="auto" w:fill="auto"/>
            <w:vAlign w:val="center"/>
            <w:hideMark/>
          </w:tcPr>
          <w:p w14:paraId="65EDE383"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w:t>
            </w:r>
          </w:p>
        </w:tc>
      </w:tr>
      <w:tr w:rsidR="00EC5AEC" w:rsidRPr="00EC5AEC" w14:paraId="5571FF58" w14:textId="77777777" w:rsidTr="4A614AE0">
        <w:trPr>
          <w:trHeight w:val="315"/>
        </w:trPr>
        <w:tc>
          <w:tcPr>
            <w:tcW w:w="8959" w:type="dxa"/>
            <w:gridSpan w:val="7"/>
            <w:tcBorders>
              <w:top w:val="nil"/>
              <w:left w:val="nil"/>
              <w:bottom w:val="nil"/>
              <w:right w:val="nil"/>
            </w:tcBorders>
            <w:shd w:val="clear" w:color="auto" w:fill="B6D5E4"/>
            <w:vAlign w:val="center"/>
            <w:hideMark/>
          </w:tcPr>
          <w:p w14:paraId="52E27A13" w14:textId="77777777" w:rsidR="00EC5AEC" w:rsidRPr="00EC5AEC" w:rsidRDefault="00EC5AEC" w:rsidP="00EC5AEC">
            <w:pPr>
              <w:tabs>
                <w:tab w:val="clear" w:pos="567"/>
              </w:tabs>
              <w:spacing w:before="0" w:line="240" w:lineRule="auto"/>
              <w:rPr>
                <w:rFonts w:ascii="Open Sans Semibold" w:eastAsia="Times New Roman" w:hAnsi="Open Sans Semibold" w:cs="Open Sans Semibold"/>
                <w:color w:val="000000"/>
                <w:sz w:val="16"/>
                <w:szCs w:val="16"/>
                <w:lang w:eastAsia="en-AU"/>
              </w:rPr>
            </w:pPr>
            <w:r w:rsidRPr="00EC5AEC">
              <w:rPr>
                <w:rFonts w:ascii="Open Sans Semibold" w:eastAsia="Times New Roman" w:hAnsi="Open Sans Semibold" w:cs="Open Sans Semibold"/>
                <w:color w:val="000000"/>
                <w:sz w:val="16"/>
                <w:szCs w:val="16"/>
                <w:lang w:eastAsia="en-AU"/>
              </w:rPr>
              <w:t>Variables applied to coefficients</w:t>
            </w:r>
          </w:p>
        </w:tc>
      </w:tr>
      <w:tr w:rsidR="00841223" w:rsidRPr="00EC5AEC" w14:paraId="2FF9BEAD" w14:textId="77777777" w:rsidTr="008E7694">
        <w:trPr>
          <w:trHeight w:val="350"/>
        </w:trPr>
        <w:tc>
          <w:tcPr>
            <w:tcW w:w="2483" w:type="dxa"/>
            <w:tcBorders>
              <w:top w:val="nil"/>
              <w:left w:val="nil"/>
              <w:bottom w:val="nil"/>
              <w:right w:val="nil"/>
            </w:tcBorders>
            <w:shd w:val="clear" w:color="auto" w:fill="auto"/>
            <w:vAlign w:val="center"/>
            <w:hideMark/>
          </w:tcPr>
          <w:p w14:paraId="115DC803"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xml:space="preserve">Modelled passenger numbers </w:t>
            </w:r>
          </w:p>
        </w:tc>
        <w:tc>
          <w:tcPr>
            <w:tcW w:w="1022" w:type="dxa"/>
            <w:tcBorders>
              <w:top w:val="nil"/>
              <w:left w:val="single" w:sz="8" w:space="0" w:color="B6D5E4"/>
              <w:bottom w:val="nil"/>
              <w:right w:val="single" w:sz="8" w:space="0" w:color="B6D5E4"/>
            </w:tcBorders>
            <w:shd w:val="clear" w:color="auto" w:fill="auto"/>
            <w:vAlign w:val="center"/>
            <w:hideMark/>
          </w:tcPr>
          <w:p w14:paraId="55CEC3ED"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w:t>
            </w:r>
          </w:p>
        </w:tc>
        <w:tc>
          <w:tcPr>
            <w:tcW w:w="1276" w:type="dxa"/>
            <w:tcBorders>
              <w:top w:val="nil"/>
              <w:left w:val="nil"/>
              <w:bottom w:val="nil"/>
              <w:right w:val="single" w:sz="8" w:space="0" w:color="B6D5E4"/>
            </w:tcBorders>
            <w:shd w:val="clear" w:color="auto" w:fill="auto"/>
            <w:vAlign w:val="center"/>
            <w:hideMark/>
          </w:tcPr>
          <w:p w14:paraId="783F34B5"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18" w:type="dxa"/>
            <w:tcBorders>
              <w:top w:val="nil"/>
              <w:left w:val="nil"/>
              <w:bottom w:val="nil"/>
              <w:right w:val="nil"/>
            </w:tcBorders>
            <w:shd w:val="clear" w:color="auto" w:fill="auto"/>
            <w:vAlign w:val="center"/>
            <w:hideMark/>
          </w:tcPr>
          <w:p w14:paraId="2BD60D40"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37" w:type="dxa"/>
            <w:tcBorders>
              <w:top w:val="nil"/>
              <w:left w:val="single" w:sz="8" w:space="0" w:color="B6D5E4"/>
              <w:bottom w:val="nil"/>
              <w:right w:val="single" w:sz="8" w:space="0" w:color="B6D5E4"/>
            </w:tcBorders>
            <w:shd w:val="clear" w:color="auto" w:fill="auto"/>
            <w:vAlign w:val="center"/>
            <w:hideMark/>
          </w:tcPr>
          <w:p w14:paraId="4DC70FB7"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Times New Roman" w:cs="Times New Roman"/>
                <w:color w:val="EBA145"/>
                <w:sz w:val="28"/>
                <w:szCs w:val="28"/>
                <w:lang w:eastAsia="en-AU"/>
              </w:rPr>
              <w:t> </w:t>
            </w:r>
          </w:p>
        </w:tc>
        <w:tc>
          <w:tcPr>
            <w:tcW w:w="1210" w:type="dxa"/>
            <w:tcBorders>
              <w:top w:val="nil"/>
              <w:left w:val="nil"/>
              <w:bottom w:val="nil"/>
              <w:right w:val="single" w:sz="8" w:space="0" w:color="B6D5E4"/>
            </w:tcBorders>
            <w:shd w:val="clear" w:color="auto" w:fill="auto"/>
            <w:vAlign w:val="center"/>
            <w:hideMark/>
          </w:tcPr>
          <w:p w14:paraId="68B2B38C"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w:t>
            </w:r>
          </w:p>
        </w:tc>
        <w:tc>
          <w:tcPr>
            <w:tcW w:w="1113" w:type="dxa"/>
            <w:tcBorders>
              <w:top w:val="nil"/>
              <w:left w:val="nil"/>
              <w:bottom w:val="nil"/>
              <w:right w:val="nil"/>
            </w:tcBorders>
            <w:shd w:val="clear" w:color="auto" w:fill="auto"/>
            <w:vAlign w:val="center"/>
            <w:hideMark/>
          </w:tcPr>
          <w:p w14:paraId="2A9EFA6C"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w:t>
            </w:r>
          </w:p>
        </w:tc>
      </w:tr>
      <w:tr w:rsidR="00841223" w:rsidRPr="00EC5AEC" w14:paraId="50185DFF" w14:textId="77777777" w:rsidTr="008E7694">
        <w:trPr>
          <w:trHeight w:val="350"/>
        </w:trPr>
        <w:tc>
          <w:tcPr>
            <w:tcW w:w="2483" w:type="dxa"/>
            <w:tcBorders>
              <w:top w:val="nil"/>
              <w:left w:val="nil"/>
              <w:bottom w:val="nil"/>
              <w:right w:val="nil"/>
            </w:tcBorders>
            <w:shd w:val="clear" w:color="auto" w:fill="auto"/>
            <w:vAlign w:val="center"/>
            <w:hideMark/>
          </w:tcPr>
          <w:p w14:paraId="1B14CA97" w14:textId="77777777" w:rsidR="00EC5AEC" w:rsidRPr="00EC5AEC" w:rsidRDefault="00EC5AEC" w:rsidP="00EC5AEC">
            <w:pPr>
              <w:tabs>
                <w:tab w:val="clear" w:pos="567"/>
              </w:tabs>
              <w:spacing w:before="0" w:line="240" w:lineRule="auto"/>
              <w:ind w:firstLineChars="100" w:firstLine="160"/>
              <w:rPr>
                <w:rFonts w:eastAsia="Times New Roman" w:cs="Open Sans Light"/>
                <w:color w:val="000000"/>
                <w:sz w:val="16"/>
                <w:szCs w:val="16"/>
                <w:lang w:eastAsia="en-AU"/>
              </w:rPr>
            </w:pPr>
            <w:r w:rsidRPr="00EC5AEC">
              <w:rPr>
                <w:rFonts w:eastAsia="Times New Roman" w:cs="Open Sans Light"/>
                <w:color w:val="000000"/>
                <w:sz w:val="16"/>
                <w:szCs w:val="16"/>
                <w:lang w:eastAsia="en-AU"/>
              </w:rPr>
              <w:t>Actual passenger numbers</w:t>
            </w:r>
          </w:p>
        </w:tc>
        <w:tc>
          <w:tcPr>
            <w:tcW w:w="1022" w:type="dxa"/>
            <w:tcBorders>
              <w:top w:val="nil"/>
              <w:left w:val="single" w:sz="8" w:space="0" w:color="B6D5E4"/>
              <w:bottom w:val="nil"/>
              <w:right w:val="single" w:sz="8" w:space="0" w:color="B6D5E4"/>
            </w:tcBorders>
            <w:shd w:val="clear" w:color="auto" w:fill="auto"/>
            <w:vAlign w:val="center"/>
            <w:hideMark/>
          </w:tcPr>
          <w:p w14:paraId="07ACD13C"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ABS</w:t>
            </w:r>
          </w:p>
        </w:tc>
        <w:tc>
          <w:tcPr>
            <w:tcW w:w="1276" w:type="dxa"/>
            <w:tcBorders>
              <w:top w:val="nil"/>
              <w:left w:val="nil"/>
              <w:bottom w:val="nil"/>
              <w:right w:val="nil"/>
            </w:tcBorders>
            <w:shd w:val="clear" w:color="auto" w:fill="auto"/>
            <w:vAlign w:val="center"/>
            <w:hideMark/>
          </w:tcPr>
          <w:p w14:paraId="0BE39E20"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18" w:type="dxa"/>
            <w:tcBorders>
              <w:top w:val="nil"/>
              <w:left w:val="single" w:sz="8" w:space="0" w:color="B6D5E4"/>
              <w:bottom w:val="nil"/>
              <w:right w:val="single" w:sz="8" w:space="0" w:color="B6D5E4"/>
            </w:tcBorders>
            <w:shd w:val="clear" w:color="auto" w:fill="auto"/>
            <w:vAlign w:val="center"/>
            <w:hideMark/>
          </w:tcPr>
          <w:p w14:paraId="3635F55C"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37" w:type="dxa"/>
            <w:tcBorders>
              <w:top w:val="nil"/>
              <w:left w:val="nil"/>
              <w:bottom w:val="nil"/>
              <w:right w:val="nil"/>
            </w:tcBorders>
            <w:shd w:val="clear" w:color="auto" w:fill="auto"/>
            <w:vAlign w:val="center"/>
            <w:hideMark/>
          </w:tcPr>
          <w:p w14:paraId="4F12AC0E"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1210" w:type="dxa"/>
            <w:tcBorders>
              <w:top w:val="nil"/>
              <w:left w:val="single" w:sz="8" w:space="0" w:color="B6D5E4"/>
              <w:bottom w:val="nil"/>
              <w:right w:val="single" w:sz="8" w:space="0" w:color="B6D5E4"/>
            </w:tcBorders>
            <w:shd w:val="clear" w:color="auto" w:fill="auto"/>
            <w:vAlign w:val="center"/>
            <w:hideMark/>
          </w:tcPr>
          <w:p w14:paraId="1A5F6290"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2026 Census</w:t>
            </w:r>
          </w:p>
        </w:tc>
        <w:tc>
          <w:tcPr>
            <w:tcW w:w="1113" w:type="dxa"/>
            <w:tcBorders>
              <w:top w:val="nil"/>
              <w:left w:val="nil"/>
              <w:bottom w:val="nil"/>
              <w:right w:val="nil"/>
            </w:tcBorders>
            <w:shd w:val="clear" w:color="auto" w:fill="auto"/>
            <w:vAlign w:val="center"/>
            <w:hideMark/>
          </w:tcPr>
          <w:p w14:paraId="5855011B"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U2028</w:t>
            </w:r>
          </w:p>
        </w:tc>
      </w:tr>
      <w:tr w:rsidR="00841223" w:rsidRPr="00EC5AEC" w14:paraId="35F8D86C" w14:textId="77777777" w:rsidTr="008E7694">
        <w:trPr>
          <w:trHeight w:val="350"/>
        </w:trPr>
        <w:tc>
          <w:tcPr>
            <w:tcW w:w="2483" w:type="dxa"/>
            <w:tcBorders>
              <w:top w:val="nil"/>
              <w:left w:val="nil"/>
              <w:bottom w:val="nil"/>
              <w:right w:val="nil"/>
            </w:tcBorders>
            <w:shd w:val="clear" w:color="auto" w:fill="auto"/>
            <w:vAlign w:val="center"/>
            <w:hideMark/>
          </w:tcPr>
          <w:p w14:paraId="51DADCC6" w14:textId="77777777" w:rsidR="00EC5AEC" w:rsidRPr="00EC5AEC" w:rsidRDefault="00EC5AEC" w:rsidP="00EC5AEC">
            <w:pPr>
              <w:tabs>
                <w:tab w:val="clear" w:pos="567"/>
              </w:tabs>
              <w:spacing w:before="0" w:line="240" w:lineRule="auto"/>
              <w:ind w:firstLineChars="100" w:firstLine="160"/>
              <w:rPr>
                <w:rFonts w:eastAsia="Times New Roman" w:cs="Open Sans Light"/>
                <w:color w:val="000000"/>
                <w:sz w:val="16"/>
                <w:szCs w:val="16"/>
                <w:lang w:eastAsia="en-AU"/>
              </w:rPr>
            </w:pPr>
            <w:r w:rsidRPr="00EC5AEC">
              <w:rPr>
                <w:rFonts w:eastAsia="Times New Roman" w:cs="Open Sans Light"/>
                <w:color w:val="000000"/>
                <w:sz w:val="16"/>
                <w:szCs w:val="16"/>
                <w:lang w:eastAsia="en-AU"/>
              </w:rPr>
              <w:t>Urban area population</w:t>
            </w:r>
          </w:p>
        </w:tc>
        <w:tc>
          <w:tcPr>
            <w:tcW w:w="1022" w:type="dxa"/>
            <w:tcBorders>
              <w:top w:val="nil"/>
              <w:left w:val="single" w:sz="8" w:space="0" w:color="B6D5E4"/>
              <w:bottom w:val="nil"/>
              <w:right w:val="single" w:sz="8" w:space="0" w:color="B6D5E4"/>
            </w:tcBorders>
            <w:shd w:val="clear" w:color="auto" w:fill="auto"/>
            <w:vAlign w:val="center"/>
            <w:hideMark/>
          </w:tcPr>
          <w:p w14:paraId="5454694D"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ABS</w:t>
            </w:r>
          </w:p>
        </w:tc>
        <w:tc>
          <w:tcPr>
            <w:tcW w:w="1276" w:type="dxa"/>
            <w:tcBorders>
              <w:top w:val="nil"/>
              <w:left w:val="nil"/>
              <w:bottom w:val="nil"/>
              <w:right w:val="single" w:sz="8" w:space="0" w:color="B6D5E4"/>
            </w:tcBorders>
            <w:shd w:val="clear" w:color="auto" w:fill="auto"/>
            <w:vAlign w:val="center"/>
            <w:hideMark/>
          </w:tcPr>
          <w:p w14:paraId="455892DA"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18" w:type="dxa"/>
            <w:tcBorders>
              <w:top w:val="nil"/>
              <w:left w:val="nil"/>
              <w:bottom w:val="nil"/>
              <w:right w:val="nil"/>
            </w:tcBorders>
            <w:shd w:val="clear" w:color="auto" w:fill="auto"/>
            <w:vAlign w:val="center"/>
            <w:hideMark/>
          </w:tcPr>
          <w:p w14:paraId="720693E7"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37" w:type="dxa"/>
            <w:tcBorders>
              <w:top w:val="nil"/>
              <w:left w:val="single" w:sz="8" w:space="0" w:color="B6D5E4"/>
              <w:bottom w:val="nil"/>
              <w:right w:val="single" w:sz="8" w:space="0" w:color="B6D5E4"/>
            </w:tcBorders>
            <w:shd w:val="clear" w:color="auto" w:fill="auto"/>
            <w:vAlign w:val="center"/>
            <w:hideMark/>
          </w:tcPr>
          <w:p w14:paraId="0164F58A"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1210" w:type="dxa"/>
            <w:tcBorders>
              <w:top w:val="nil"/>
              <w:left w:val="nil"/>
              <w:bottom w:val="nil"/>
              <w:right w:val="single" w:sz="8" w:space="0" w:color="B6D5E4"/>
            </w:tcBorders>
            <w:shd w:val="clear" w:color="auto" w:fill="auto"/>
            <w:vAlign w:val="center"/>
            <w:hideMark/>
          </w:tcPr>
          <w:p w14:paraId="192C62E9"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Yearly ERP</w:t>
            </w:r>
          </w:p>
        </w:tc>
        <w:tc>
          <w:tcPr>
            <w:tcW w:w="1113" w:type="dxa"/>
            <w:tcBorders>
              <w:top w:val="nil"/>
              <w:left w:val="nil"/>
              <w:bottom w:val="nil"/>
              <w:right w:val="nil"/>
            </w:tcBorders>
            <w:shd w:val="clear" w:color="auto" w:fill="auto"/>
            <w:vAlign w:val="center"/>
            <w:hideMark/>
          </w:tcPr>
          <w:p w14:paraId="56DB4BD4"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xml:space="preserve">Yearly </w:t>
            </w:r>
          </w:p>
        </w:tc>
      </w:tr>
      <w:tr w:rsidR="00841223" w:rsidRPr="00EC5AEC" w14:paraId="0367257B" w14:textId="77777777" w:rsidTr="008E7694">
        <w:trPr>
          <w:trHeight w:val="350"/>
        </w:trPr>
        <w:tc>
          <w:tcPr>
            <w:tcW w:w="2483" w:type="dxa"/>
            <w:tcBorders>
              <w:top w:val="nil"/>
              <w:left w:val="nil"/>
              <w:bottom w:val="nil"/>
              <w:right w:val="nil"/>
            </w:tcBorders>
            <w:shd w:val="clear" w:color="auto" w:fill="auto"/>
            <w:vAlign w:val="center"/>
            <w:hideMark/>
          </w:tcPr>
          <w:p w14:paraId="269385A5"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Population weighted density</w:t>
            </w:r>
          </w:p>
        </w:tc>
        <w:tc>
          <w:tcPr>
            <w:tcW w:w="1022" w:type="dxa"/>
            <w:tcBorders>
              <w:top w:val="nil"/>
              <w:left w:val="single" w:sz="8" w:space="0" w:color="B6D5E4"/>
              <w:bottom w:val="nil"/>
              <w:right w:val="single" w:sz="8" w:space="0" w:color="B6D5E4"/>
            </w:tcBorders>
            <w:shd w:val="clear" w:color="auto" w:fill="auto"/>
            <w:vAlign w:val="center"/>
            <w:hideMark/>
          </w:tcPr>
          <w:p w14:paraId="047ADFB0"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w:t>
            </w:r>
          </w:p>
        </w:tc>
        <w:tc>
          <w:tcPr>
            <w:tcW w:w="1276" w:type="dxa"/>
            <w:tcBorders>
              <w:top w:val="nil"/>
              <w:left w:val="nil"/>
              <w:bottom w:val="nil"/>
              <w:right w:val="single" w:sz="8" w:space="0" w:color="B6D5E4"/>
            </w:tcBorders>
            <w:shd w:val="clear" w:color="auto" w:fill="auto"/>
            <w:vAlign w:val="center"/>
            <w:hideMark/>
          </w:tcPr>
          <w:p w14:paraId="78E4271E"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18" w:type="dxa"/>
            <w:tcBorders>
              <w:top w:val="nil"/>
              <w:left w:val="nil"/>
              <w:bottom w:val="nil"/>
              <w:right w:val="nil"/>
            </w:tcBorders>
            <w:shd w:val="clear" w:color="auto" w:fill="auto"/>
            <w:vAlign w:val="center"/>
            <w:hideMark/>
          </w:tcPr>
          <w:p w14:paraId="63BDB557"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37" w:type="dxa"/>
            <w:tcBorders>
              <w:top w:val="nil"/>
              <w:left w:val="single" w:sz="8" w:space="0" w:color="B6D5E4"/>
              <w:bottom w:val="nil"/>
              <w:right w:val="single" w:sz="8" w:space="0" w:color="B6D5E4"/>
            </w:tcBorders>
            <w:shd w:val="clear" w:color="auto" w:fill="auto"/>
            <w:vAlign w:val="center"/>
            <w:hideMark/>
          </w:tcPr>
          <w:p w14:paraId="7FE2A5CA"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Times New Roman" w:cs="Times New Roman"/>
                <w:color w:val="EBA145"/>
                <w:sz w:val="28"/>
                <w:szCs w:val="28"/>
                <w:lang w:eastAsia="en-AU"/>
              </w:rPr>
              <w:t> </w:t>
            </w:r>
          </w:p>
        </w:tc>
        <w:tc>
          <w:tcPr>
            <w:tcW w:w="1210" w:type="dxa"/>
            <w:tcBorders>
              <w:top w:val="nil"/>
              <w:left w:val="nil"/>
              <w:bottom w:val="nil"/>
              <w:right w:val="single" w:sz="8" w:space="0" w:color="B6D5E4"/>
            </w:tcBorders>
            <w:shd w:val="clear" w:color="auto" w:fill="auto"/>
            <w:vAlign w:val="center"/>
            <w:hideMark/>
          </w:tcPr>
          <w:p w14:paraId="34FF38C2"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w:t>
            </w:r>
          </w:p>
        </w:tc>
        <w:tc>
          <w:tcPr>
            <w:tcW w:w="1113" w:type="dxa"/>
            <w:tcBorders>
              <w:top w:val="nil"/>
              <w:left w:val="nil"/>
              <w:bottom w:val="nil"/>
              <w:right w:val="nil"/>
            </w:tcBorders>
            <w:shd w:val="clear" w:color="auto" w:fill="auto"/>
            <w:vAlign w:val="center"/>
            <w:hideMark/>
          </w:tcPr>
          <w:p w14:paraId="3E31466A"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w:t>
            </w:r>
          </w:p>
        </w:tc>
      </w:tr>
      <w:tr w:rsidR="00841223" w:rsidRPr="00EC5AEC" w14:paraId="669E148F" w14:textId="77777777" w:rsidTr="008E7694">
        <w:trPr>
          <w:trHeight w:val="350"/>
        </w:trPr>
        <w:tc>
          <w:tcPr>
            <w:tcW w:w="2483" w:type="dxa"/>
            <w:tcBorders>
              <w:top w:val="nil"/>
              <w:left w:val="nil"/>
              <w:bottom w:val="nil"/>
              <w:right w:val="nil"/>
            </w:tcBorders>
            <w:shd w:val="clear" w:color="auto" w:fill="auto"/>
            <w:vAlign w:val="center"/>
            <w:hideMark/>
          </w:tcPr>
          <w:p w14:paraId="27159269" w14:textId="77777777" w:rsidR="00EC5AEC" w:rsidRPr="00EC5AEC" w:rsidRDefault="00EC5AEC" w:rsidP="00EC5AEC">
            <w:pPr>
              <w:tabs>
                <w:tab w:val="clear" w:pos="567"/>
              </w:tabs>
              <w:spacing w:before="0" w:line="240" w:lineRule="auto"/>
              <w:ind w:firstLineChars="100" w:firstLine="160"/>
              <w:rPr>
                <w:rFonts w:eastAsia="Times New Roman" w:cs="Open Sans Light"/>
                <w:color w:val="000000"/>
                <w:sz w:val="16"/>
                <w:szCs w:val="16"/>
                <w:lang w:eastAsia="en-AU"/>
              </w:rPr>
            </w:pPr>
            <w:r w:rsidRPr="00EC5AEC">
              <w:rPr>
                <w:rFonts w:eastAsia="Times New Roman" w:cs="Open Sans Light"/>
                <w:color w:val="000000"/>
                <w:sz w:val="16"/>
                <w:szCs w:val="16"/>
                <w:lang w:eastAsia="en-AU"/>
              </w:rPr>
              <w:t>Urban area size</w:t>
            </w:r>
          </w:p>
        </w:tc>
        <w:tc>
          <w:tcPr>
            <w:tcW w:w="1022" w:type="dxa"/>
            <w:tcBorders>
              <w:top w:val="nil"/>
              <w:left w:val="single" w:sz="8" w:space="0" w:color="B6D5E4"/>
              <w:bottom w:val="nil"/>
              <w:right w:val="single" w:sz="8" w:space="0" w:color="B6D5E4"/>
            </w:tcBorders>
            <w:shd w:val="clear" w:color="auto" w:fill="auto"/>
            <w:vAlign w:val="center"/>
            <w:hideMark/>
          </w:tcPr>
          <w:p w14:paraId="019E9EDD"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ABS</w:t>
            </w:r>
          </w:p>
        </w:tc>
        <w:tc>
          <w:tcPr>
            <w:tcW w:w="1276" w:type="dxa"/>
            <w:tcBorders>
              <w:top w:val="nil"/>
              <w:left w:val="nil"/>
              <w:bottom w:val="nil"/>
              <w:right w:val="nil"/>
            </w:tcBorders>
            <w:shd w:val="clear" w:color="auto" w:fill="auto"/>
            <w:vAlign w:val="center"/>
            <w:hideMark/>
          </w:tcPr>
          <w:p w14:paraId="3D413A29"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18" w:type="dxa"/>
            <w:tcBorders>
              <w:top w:val="nil"/>
              <w:left w:val="single" w:sz="8" w:space="0" w:color="B6D5E4"/>
              <w:bottom w:val="nil"/>
              <w:right w:val="single" w:sz="8" w:space="0" w:color="B6D5E4"/>
            </w:tcBorders>
            <w:shd w:val="clear" w:color="auto" w:fill="auto"/>
            <w:vAlign w:val="center"/>
            <w:hideMark/>
          </w:tcPr>
          <w:p w14:paraId="0A610161"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37" w:type="dxa"/>
            <w:tcBorders>
              <w:top w:val="nil"/>
              <w:left w:val="nil"/>
              <w:bottom w:val="nil"/>
              <w:right w:val="single" w:sz="8" w:space="0" w:color="B6D5E4"/>
            </w:tcBorders>
            <w:shd w:val="clear" w:color="auto" w:fill="auto"/>
            <w:vAlign w:val="center"/>
            <w:hideMark/>
          </w:tcPr>
          <w:p w14:paraId="467E93F2"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1210" w:type="dxa"/>
            <w:tcBorders>
              <w:top w:val="nil"/>
              <w:left w:val="nil"/>
              <w:bottom w:val="nil"/>
              <w:right w:val="single" w:sz="8" w:space="0" w:color="B6D5E4"/>
            </w:tcBorders>
            <w:shd w:val="clear" w:color="auto" w:fill="auto"/>
            <w:vAlign w:val="center"/>
            <w:hideMark/>
          </w:tcPr>
          <w:p w14:paraId="00FE7D1D"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2021 Census</w:t>
            </w:r>
          </w:p>
        </w:tc>
        <w:tc>
          <w:tcPr>
            <w:tcW w:w="1113" w:type="dxa"/>
            <w:tcBorders>
              <w:top w:val="nil"/>
              <w:left w:val="nil"/>
              <w:bottom w:val="nil"/>
              <w:right w:val="nil"/>
            </w:tcBorders>
            <w:shd w:val="clear" w:color="auto" w:fill="auto"/>
            <w:vAlign w:val="center"/>
            <w:hideMark/>
          </w:tcPr>
          <w:p w14:paraId="3E127EFA"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U2024</w:t>
            </w:r>
          </w:p>
        </w:tc>
      </w:tr>
      <w:tr w:rsidR="00841223" w:rsidRPr="00EC5AEC" w14:paraId="648BD39A" w14:textId="77777777" w:rsidTr="008E7694">
        <w:trPr>
          <w:trHeight w:val="350"/>
        </w:trPr>
        <w:tc>
          <w:tcPr>
            <w:tcW w:w="2483" w:type="dxa"/>
            <w:tcBorders>
              <w:top w:val="nil"/>
              <w:left w:val="nil"/>
              <w:bottom w:val="nil"/>
              <w:right w:val="nil"/>
            </w:tcBorders>
            <w:shd w:val="clear" w:color="auto" w:fill="auto"/>
            <w:vAlign w:val="center"/>
            <w:hideMark/>
          </w:tcPr>
          <w:p w14:paraId="5987B226" w14:textId="77777777" w:rsidR="00EC5AEC" w:rsidRPr="00EC5AEC" w:rsidRDefault="00EC5AEC" w:rsidP="00EC5AEC">
            <w:pPr>
              <w:tabs>
                <w:tab w:val="clear" w:pos="567"/>
              </w:tabs>
              <w:spacing w:before="0" w:line="240" w:lineRule="auto"/>
              <w:ind w:firstLineChars="100" w:firstLine="160"/>
              <w:rPr>
                <w:rFonts w:eastAsia="Times New Roman" w:cs="Open Sans Light"/>
                <w:color w:val="000000"/>
                <w:sz w:val="16"/>
                <w:szCs w:val="16"/>
                <w:lang w:eastAsia="en-AU"/>
              </w:rPr>
            </w:pPr>
            <w:r w:rsidRPr="00EC5AEC">
              <w:rPr>
                <w:rFonts w:eastAsia="Times New Roman" w:cs="Open Sans Light"/>
                <w:color w:val="000000"/>
                <w:sz w:val="16"/>
                <w:szCs w:val="16"/>
                <w:lang w:eastAsia="en-AU"/>
              </w:rPr>
              <w:t xml:space="preserve">Urban area population </w:t>
            </w:r>
          </w:p>
        </w:tc>
        <w:tc>
          <w:tcPr>
            <w:tcW w:w="1022" w:type="dxa"/>
            <w:tcBorders>
              <w:top w:val="nil"/>
              <w:left w:val="single" w:sz="8" w:space="0" w:color="B6D5E4"/>
              <w:bottom w:val="nil"/>
              <w:right w:val="single" w:sz="8" w:space="0" w:color="B6D5E4"/>
            </w:tcBorders>
            <w:shd w:val="clear" w:color="auto" w:fill="auto"/>
            <w:vAlign w:val="center"/>
            <w:hideMark/>
          </w:tcPr>
          <w:p w14:paraId="45CA53D7"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ABS</w:t>
            </w:r>
          </w:p>
        </w:tc>
        <w:tc>
          <w:tcPr>
            <w:tcW w:w="1276" w:type="dxa"/>
            <w:tcBorders>
              <w:top w:val="nil"/>
              <w:left w:val="nil"/>
              <w:bottom w:val="nil"/>
              <w:right w:val="single" w:sz="8" w:space="0" w:color="B6D5E4"/>
            </w:tcBorders>
            <w:shd w:val="clear" w:color="auto" w:fill="auto"/>
            <w:vAlign w:val="center"/>
            <w:hideMark/>
          </w:tcPr>
          <w:p w14:paraId="7DFF387E"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18" w:type="dxa"/>
            <w:tcBorders>
              <w:top w:val="nil"/>
              <w:left w:val="nil"/>
              <w:bottom w:val="nil"/>
              <w:right w:val="nil"/>
            </w:tcBorders>
            <w:shd w:val="clear" w:color="auto" w:fill="auto"/>
            <w:vAlign w:val="center"/>
            <w:hideMark/>
          </w:tcPr>
          <w:p w14:paraId="43272E5D"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37" w:type="dxa"/>
            <w:tcBorders>
              <w:top w:val="nil"/>
              <w:left w:val="single" w:sz="8" w:space="0" w:color="B6D5E4"/>
              <w:bottom w:val="nil"/>
              <w:right w:val="single" w:sz="8" w:space="0" w:color="B6D5E4"/>
            </w:tcBorders>
            <w:shd w:val="clear" w:color="auto" w:fill="auto"/>
            <w:vAlign w:val="center"/>
            <w:hideMark/>
          </w:tcPr>
          <w:p w14:paraId="512A7189"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1210" w:type="dxa"/>
            <w:tcBorders>
              <w:top w:val="nil"/>
              <w:left w:val="nil"/>
              <w:bottom w:val="nil"/>
              <w:right w:val="single" w:sz="8" w:space="0" w:color="B6D5E4"/>
            </w:tcBorders>
            <w:shd w:val="clear" w:color="auto" w:fill="auto"/>
            <w:vAlign w:val="center"/>
            <w:hideMark/>
          </w:tcPr>
          <w:p w14:paraId="6452871C"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Yearly ERP</w:t>
            </w:r>
          </w:p>
        </w:tc>
        <w:tc>
          <w:tcPr>
            <w:tcW w:w="1113" w:type="dxa"/>
            <w:tcBorders>
              <w:top w:val="nil"/>
              <w:left w:val="nil"/>
              <w:bottom w:val="nil"/>
              <w:right w:val="nil"/>
            </w:tcBorders>
            <w:shd w:val="clear" w:color="auto" w:fill="auto"/>
            <w:vAlign w:val="center"/>
            <w:hideMark/>
          </w:tcPr>
          <w:p w14:paraId="4D161E0E"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xml:space="preserve">Yearly </w:t>
            </w:r>
          </w:p>
        </w:tc>
      </w:tr>
      <w:tr w:rsidR="00841223" w:rsidRPr="00EC5AEC" w14:paraId="0B48455A" w14:textId="77777777" w:rsidTr="008E7694">
        <w:trPr>
          <w:trHeight w:val="555"/>
        </w:trPr>
        <w:tc>
          <w:tcPr>
            <w:tcW w:w="2483" w:type="dxa"/>
            <w:tcBorders>
              <w:top w:val="nil"/>
              <w:left w:val="nil"/>
              <w:bottom w:val="single" w:sz="8" w:space="0" w:color="B6D5E4"/>
              <w:right w:val="nil"/>
            </w:tcBorders>
            <w:shd w:val="clear" w:color="auto" w:fill="auto"/>
            <w:vAlign w:val="center"/>
            <w:hideMark/>
          </w:tcPr>
          <w:p w14:paraId="6341B6F3"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The addition of a ferry (public transport modes)</w:t>
            </w:r>
          </w:p>
        </w:tc>
        <w:tc>
          <w:tcPr>
            <w:tcW w:w="1022" w:type="dxa"/>
            <w:tcBorders>
              <w:top w:val="nil"/>
              <w:left w:val="single" w:sz="8" w:space="0" w:color="B6D5E4"/>
              <w:bottom w:val="single" w:sz="8" w:space="0" w:color="B6D5E4"/>
              <w:right w:val="single" w:sz="8" w:space="0" w:color="B6D5E4"/>
            </w:tcBorders>
            <w:shd w:val="clear" w:color="auto" w:fill="auto"/>
            <w:vAlign w:val="center"/>
            <w:hideMark/>
          </w:tcPr>
          <w:p w14:paraId="6B1479B7"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States</w:t>
            </w:r>
          </w:p>
        </w:tc>
        <w:tc>
          <w:tcPr>
            <w:tcW w:w="1276" w:type="dxa"/>
            <w:tcBorders>
              <w:top w:val="nil"/>
              <w:left w:val="nil"/>
              <w:bottom w:val="single" w:sz="8" w:space="0" w:color="B6D5E4"/>
              <w:right w:val="single" w:sz="8" w:space="0" w:color="B6D5E4"/>
            </w:tcBorders>
            <w:shd w:val="clear" w:color="auto" w:fill="auto"/>
            <w:vAlign w:val="center"/>
            <w:hideMark/>
          </w:tcPr>
          <w:p w14:paraId="0B8E61D6"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918" w:type="dxa"/>
            <w:tcBorders>
              <w:top w:val="nil"/>
              <w:left w:val="nil"/>
              <w:bottom w:val="single" w:sz="8" w:space="0" w:color="B6D5E4"/>
              <w:right w:val="single" w:sz="8" w:space="0" w:color="B6D5E4"/>
            </w:tcBorders>
            <w:shd w:val="clear" w:color="auto" w:fill="auto"/>
            <w:vAlign w:val="center"/>
            <w:hideMark/>
          </w:tcPr>
          <w:p w14:paraId="704C080F"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00CE87"/>
                <w:sz w:val="28"/>
                <w:szCs w:val="28"/>
                <w:lang w:eastAsia="en-AU"/>
              </w:rPr>
            </w:pPr>
            <w:r w:rsidRPr="00EC5AEC">
              <w:rPr>
                <w:rFonts w:ascii="Wingdings" w:eastAsia="Times New Roman" w:hAnsi="Wingdings" w:cs="Times New Roman"/>
                <w:color w:val="00CE87"/>
                <w:sz w:val="28"/>
                <w:szCs w:val="28"/>
                <w:lang w:eastAsia="en-AU"/>
              </w:rPr>
              <w:t>ü</w:t>
            </w:r>
          </w:p>
        </w:tc>
        <w:tc>
          <w:tcPr>
            <w:tcW w:w="937" w:type="dxa"/>
            <w:tcBorders>
              <w:top w:val="nil"/>
              <w:left w:val="nil"/>
              <w:bottom w:val="single" w:sz="8" w:space="0" w:color="B6D5E4"/>
              <w:right w:val="single" w:sz="8" w:space="0" w:color="B6D5E4"/>
            </w:tcBorders>
            <w:shd w:val="clear" w:color="auto" w:fill="auto"/>
            <w:vAlign w:val="center"/>
            <w:hideMark/>
          </w:tcPr>
          <w:p w14:paraId="2FDE25EE" w14:textId="77777777" w:rsidR="00EC5AEC" w:rsidRPr="00EC5AEC" w:rsidRDefault="00EC5AEC" w:rsidP="00EC5AEC">
            <w:pPr>
              <w:tabs>
                <w:tab w:val="clear" w:pos="567"/>
              </w:tabs>
              <w:spacing w:before="0" w:line="240" w:lineRule="auto"/>
              <w:jc w:val="center"/>
              <w:rPr>
                <w:rFonts w:ascii="Wingdings" w:eastAsia="Times New Roman" w:hAnsi="Wingdings" w:cs="Times New Roman"/>
                <w:color w:val="EBA145"/>
                <w:sz w:val="28"/>
                <w:szCs w:val="28"/>
                <w:lang w:eastAsia="en-AU"/>
              </w:rPr>
            </w:pPr>
            <w:r w:rsidRPr="00EC5AEC">
              <w:rPr>
                <w:rFonts w:ascii="Wingdings" w:eastAsia="Times New Roman" w:hAnsi="Wingdings" w:cs="Times New Roman"/>
                <w:color w:val="EBA145"/>
                <w:sz w:val="28"/>
                <w:szCs w:val="28"/>
                <w:lang w:eastAsia="en-AU"/>
              </w:rPr>
              <w:t>û</w:t>
            </w:r>
          </w:p>
        </w:tc>
        <w:tc>
          <w:tcPr>
            <w:tcW w:w="1210" w:type="dxa"/>
            <w:tcBorders>
              <w:top w:val="nil"/>
              <w:left w:val="nil"/>
              <w:bottom w:val="single" w:sz="8" w:space="0" w:color="B6D5E4"/>
              <w:right w:val="single" w:sz="8" w:space="0" w:color="B6D5E4"/>
            </w:tcBorders>
            <w:shd w:val="clear" w:color="auto" w:fill="auto"/>
            <w:vAlign w:val="center"/>
            <w:hideMark/>
          </w:tcPr>
          <w:p w14:paraId="7861E650"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xml:space="preserve">Yearly </w:t>
            </w:r>
          </w:p>
        </w:tc>
        <w:tc>
          <w:tcPr>
            <w:tcW w:w="1113" w:type="dxa"/>
            <w:tcBorders>
              <w:top w:val="nil"/>
              <w:left w:val="nil"/>
              <w:bottom w:val="single" w:sz="8" w:space="0" w:color="B6D5E4"/>
              <w:right w:val="nil"/>
            </w:tcBorders>
            <w:shd w:val="clear" w:color="auto" w:fill="auto"/>
            <w:vAlign w:val="center"/>
            <w:hideMark/>
          </w:tcPr>
          <w:p w14:paraId="5ECD7682" w14:textId="77777777" w:rsidR="00EC5AEC" w:rsidRPr="00EC5AEC" w:rsidRDefault="00EC5AEC" w:rsidP="00EC5AEC">
            <w:pPr>
              <w:tabs>
                <w:tab w:val="clear" w:pos="567"/>
              </w:tabs>
              <w:spacing w:before="0" w:line="240" w:lineRule="auto"/>
              <w:rPr>
                <w:rFonts w:eastAsia="Times New Roman" w:cs="Open Sans Light"/>
                <w:color w:val="000000"/>
                <w:sz w:val="16"/>
                <w:szCs w:val="16"/>
                <w:lang w:eastAsia="en-AU"/>
              </w:rPr>
            </w:pPr>
            <w:r w:rsidRPr="00EC5AEC">
              <w:rPr>
                <w:rFonts w:eastAsia="Times New Roman" w:cs="Open Sans Light"/>
                <w:color w:val="000000"/>
                <w:sz w:val="16"/>
                <w:szCs w:val="16"/>
                <w:lang w:eastAsia="en-AU"/>
              </w:rPr>
              <w:t xml:space="preserve">Yearly </w:t>
            </w:r>
          </w:p>
        </w:tc>
      </w:tr>
      <w:tr w:rsidR="00EC5AEC" w:rsidRPr="00EC5AEC" w14:paraId="09041F8C" w14:textId="77777777" w:rsidTr="4A614AE0">
        <w:trPr>
          <w:trHeight w:val="315"/>
        </w:trPr>
        <w:tc>
          <w:tcPr>
            <w:tcW w:w="8959" w:type="dxa"/>
            <w:gridSpan w:val="7"/>
            <w:tcBorders>
              <w:top w:val="single" w:sz="8" w:space="0" w:color="B6D5E4"/>
              <w:left w:val="nil"/>
              <w:bottom w:val="nil"/>
              <w:right w:val="nil"/>
            </w:tcBorders>
            <w:shd w:val="clear" w:color="auto" w:fill="auto"/>
            <w:vAlign w:val="center"/>
            <w:hideMark/>
          </w:tcPr>
          <w:p w14:paraId="26C87E9F" w14:textId="425BEC52" w:rsidR="00EC5AEC" w:rsidRPr="009145F4" w:rsidRDefault="00EC5AEC" w:rsidP="00382412">
            <w:pPr>
              <w:widowControl w:val="0"/>
              <w:tabs>
                <w:tab w:val="clear" w:pos="567"/>
              </w:tabs>
              <w:spacing w:before="0" w:line="240" w:lineRule="auto"/>
              <w:ind w:left="113"/>
              <w:rPr>
                <w:rFonts w:ascii="Work Sans" w:eastAsia="Times New Roman" w:hAnsi="Work Sans" w:cs="Open Sans Light"/>
                <w:color w:val="000000"/>
                <w:sz w:val="14"/>
                <w:szCs w:val="14"/>
                <w:lang w:eastAsia="en-AU"/>
              </w:rPr>
            </w:pPr>
            <w:r w:rsidRPr="009145F4">
              <w:rPr>
                <w:rFonts w:ascii="Work Sans" w:eastAsia="Times New Roman" w:hAnsi="Work Sans" w:cs="Open Sans Light"/>
                <w:color w:val="000000"/>
                <w:sz w:val="14"/>
                <w:szCs w:val="14"/>
                <w:lang w:eastAsia="en-AU"/>
              </w:rPr>
              <w:t xml:space="preserve">* data can only be updated when net expense data are updated. </w:t>
            </w:r>
          </w:p>
          <w:p w14:paraId="24C804CF" w14:textId="64FBB8E9" w:rsidR="00E54077" w:rsidRPr="00D96525" w:rsidRDefault="00E54077" w:rsidP="00D96525">
            <w:pPr>
              <w:pStyle w:val="CGCTablenote"/>
              <w:rPr>
                <w:rFonts w:ascii="Work Sans" w:hAnsi="Work Sans"/>
              </w:rPr>
            </w:pPr>
            <w:r w:rsidRPr="007676DF">
              <w:rPr>
                <w:rFonts w:ascii="Work Sans" w:hAnsi="Work Sans"/>
              </w:rPr>
              <w:t xml:space="preserve">Source: </w:t>
            </w:r>
            <w:r w:rsidR="00E01F5C">
              <w:rPr>
                <w:rFonts w:ascii="Work Sans" w:hAnsi="Work Sans"/>
              </w:rPr>
              <w:t>The</w:t>
            </w:r>
            <w:r w:rsidRPr="007676DF">
              <w:rPr>
                <w:rFonts w:ascii="Work Sans" w:hAnsi="Work Sans"/>
              </w:rPr>
              <w:t xml:space="preserve"> Commission</w:t>
            </w:r>
            <w:r w:rsidR="00E01F5C">
              <w:rPr>
                <w:rFonts w:ascii="Work Sans" w:hAnsi="Work Sans"/>
              </w:rPr>
              <w:t>.</w:t>
            </w:r>
          </w:p>
          <w:p w14:paraId="416B4474" w14:textId="77777777" w:rsidR="00064696" w:rsidRDefault="00064696" w:rsidP="00A147F0">
            <w:pPr>
              <w:widowControl w:val="0"/>
              <w:tabs>
                <w:tab w:val="clear" w:pos="567"/>
              </w:tabs>
              <w:spacing w:before="0" w:line="240" w:lineRule="auto"/>
              <w:rPr>
                <w:rFonts w:eastAsia="Times New Roman" w:cs="Open Sans Light"/>
                <w:color w:val="000000"/>
                <w:sz w:val="16"/>
                <w:szCs w:val="16"/>
                <w:lang w:eastAsia="en-AU"/>
              </w:rPr>
            </w:pPr>
          </w:p>
          <w:p w14:paraId="70CEE2B5" w14:textId="77777777" w:rsidR="00584154" w:rsidRDefault="00584154" w:rsidP="00584154">
            <w:pPr>
              <w:pStyle w:val="Heading3"/>
            </w:pPr>
            <w:bookmarkStart w:id="150" w:name="_Toc138691918"/>
            <w:r w:rsidRPr="00317BDB">
              <w:t>Alternative measure of ferry services</w:t>
            </w:r>
            <w:bookmarkEnd w:id="150"/>
          </w:p>
          <w:p w14:paraId="4BDC33D0" w14:textId="5761951E" w:rsidR="00584154" w:rsidRPr="00702CBD" w:rsidRDefault="00584154" w:rsidP="00584154">
            <w:pPr>
              <w:pStyle w:val="CGC2025ParaNumbers"/>
            </w:pPr>
            <w:r w:rsidRPr="00702CBD">
              <w:t>To model differences in the scale and availability of ferry services the ferry dummy can be replaced by a variable measuring the proportion of public transport commuters in each urban area which use ferry services.</w:t>
            </w:r>
          </w:p>
          <w:p w14:paraId="59BC885B" w14:textId="77777777" w:rsidR="00584154" w:rsidRPr="00955B55" w:rsidRDefault="00000000" w:rsidP="00584154">
            <w:pPr>
              <w:pStyle w:val="CGCParaNumber"/>
              <w:ind w:left="360" w:firstLine="0"/>
            </w:pPr>
            <m:oMathPara>
              <m:oMath>
                <m:sSub>
                  <m:sSubPr>
                    <m:ctrlPr>
                      <w:rPr>
                        <w:rFonts w:ascii="Cambria Math" w:hAnsi="Cambria Math"/>
                      </w:rPr>
                    </m:ctrlPr>
                  </m:sSubPr>
                  <m:e>
                    <m:r>
                      <w:rPr>
                        <w:rFonts w:ascii="Cambria Math" w:hAnsi="Cambria Math"/>
                      </w:rPr>
                      <m:t>exp</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1</m:t>
                    </m:r>
                  </m:sub>
                </m:sSub>
                <m:sSub>
                  <m:sSubPr>
                    <m:ctrlPr>
                      <w:rPr>
                        <w:rFonts w:ascii="Cambria Math" w:hAnsi="Cambria Math"/>
                      </w:rPr>
                    </m:ctrlPr>
                  </m:sSubPr>
                  <m:e>
                    <m:r>
                      <w:rPr>
                        <w:rFonts w:ascii="Cambria Math" w:hAnsi="Cambria Math"/>
                      </w:rPr>
                      <m:t>dense</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sSub>
                  <m:sSubPr>
                    <m:ctrlPr>
                      <w:rPr>
                        <w:rFonts w:ascii="Cambria Math" w:hAnsi="Cambria Math"/>
                      </w:rPr>
                    </m:ctrlPr>
                  </m:sSubPr>
                  <m:e>
                    <m:r>
                      <w:rPr>
                        <w:rFonts w:ascii="Cambria Math" w:hAnsi="Cambria Math"/>
                      </w:rPr>
                      <m:t>dist</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3</m:t>
                    </m:r>
                  </m:sub>
                </m:sSub>
                <m:sSub>
                  <m:sSubPr>
                    <m:ctrlPr>
                      <w:rPr>
                        <w:rFonts w:ascii="Cambria Math" w:hAnsi="Cambria Math"/>
                      </w:rPr>
                    </m:ctrlPr>
                  </m:sSubPr>
                  <m:e>
                    <m:r>
                      <w:rPr>
                        <w:rFonts w:ascii="Cambria Math" w:hAnsi="Cambria Math"/>
                      </w:rPr>
                      <m:t>slope</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ln⁡(</m:t>
                    </m:r>
                    <m:r>
                      <w:rPr>
                        <w:rFonts w:ascii="Cambria Math" w:hAnsi="Cambria Math"/>
                      </w:rPr>
                      <m:t>pax</m:t>
                    </m:r>
                  </m:e>
                  <m:sub>
                    <m:r>
                      <w:rPr>
                        <w:rFonts w:ascii="Cambria Math" w:hAnsi="Cambria Math"/>
                      </w:rPr>
                      <m:t>i</m:t>
                    </m:r>
                    <m:r>
                      <m:rPr>
                        <m:sty m:val="p"/>
                      </m:rPr>
                      <w:rPr>
                        <w:rFonts w:ascii="Cambria Math" w:hAnsi="Cambria Math"/>
                      </w:rPr>
                      <m:t>,</m:t>
                    </m:r>
                    <m:r>
                      <w:rPr>
                        <w:rFonts w:ascii="Cambria Math" w:hAnsi="Cambria Math"/>
                      </w:rPr>
                      <m:t>train</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5</m:t>
                    </m:r>
                  </m:sub>
                </m:sSub>
                <m:sSub>
                  <m:sSubPr>
                    <m:ctrlPr>
                      <w:rPr>
                        <w:rFonts w:ascii="Cambria Math" w:hAnsi="Cambria Math"/>
                      </w:rPr>
                    </m:ctrlPr>
                  </m:sSubPr>
                  <m:e>
                    <m:r>
                      <m:rPr>
                        <m:sty m:val="p"/>
                      </m:rPr>
                      <w:rPr>
                        <w:rFonts w:ascii="Cambria Math" w:hAnsi="Cambria Math"/>
                      </w:rPr>
                      <m:t>ln⁡(</m:t>
                    </m:r>
                    <m:r>
                      <w:rPr>
                        <w:rFonts w:ascii="Cambria Math" w:hAnsi="Cambria Math"/>
                      </w:rPr>
                      <m:t>pax</m:t>
                    </m:r>
                  </m:e>
                  <m:sub>
                    <m:r>
                      <w:rPr>
                        <w:rFonts w:ascii="Cambria Math" w:hAnsi="Cambria Math"/>
                      </w:rPr>
                      <m:t>i</m:t>
                    </m:r>
                    <m:r>
                      <m:rPr>
                        <m:sty m:val="p"/>
                      </m:rPr>
                      <w:rPr>
                        <w:rFonts w:ascii="Cambria Math" w:hAnsi="Cambria Math"/>
                      </w:rPr>
                      <m:t>,</m:t>
                    </m:r>
                    <m:r>
                      <w:rPr>
                        <w:rFonts w:ascii="Cambria Math" w:hAnsi="Cambria Math"/>
                      </w:rPr>
                      <m:t>bus</m:t>
                    </m:r>
                    <m:r>
                      <m:rPr>
                        <m:sty m:val="p"/>
                      </m:rPr>
                      <w:rPr>
                        <w:rFonts w:ascii="Cambria Math" w:hAnsi="Cambria Math"/>
                      </w:rPr>
                      <m:t>+</m:t>
                    </m:r>
                    <m:r>
                      <w:rPr>
                        <w:rFonts w:ascii="Cambria Math" w:hAnsi="Cambria Math"/>
                      </w:rPr>
                      <m:t>lig</m:t>
                    </m:r>
                    <m:r>
                      <w:rPr>
                        <w:rFonts w:ascii="Cambria Math" w:hAnsi="Cambria Math"/>
                      </w:rPr>
                      <m:t>h</m:t>
                    </m:r>
                    <m:r>
                      <w:rPr>
                        <w:rFonts w:ascii="Cambria Math" w:hAnsi="Cambria Math"/>
                      </w:rPr>
                      <m:t>t</m:t>
                    </m:r>
                    <m:r>
                      <m:rPr>
                        <m:sty m:val="p"/>
                      </m:rPr>
                      <w:rPr>
                        <w:rFonts w:ascii="Cambria Math" w:hAnsi="Cambria Math"/>
                      </w:rPr>
                      <m:t xml:space="preserve"> </m:t>
                    </m:r>
                    <m:r>
                      <w:rPr>
                        <w:rFonts w:ascii="Cambria Math" w:hAnsi="Cambria Math"/>
                      </w:rPr>
                      <m:t>rail</m:t>
                    </m:r>
                  </m:sub>
                </m:sSub>
                <m:r>
                  <m:rPr>
                    <m:sty m:val="p"/>
                  </m:rPr>
                  <w:rPr>
                    <w:rFonts w:ascii="Cambria Math" w:hAnsi="Cambria Math"/>
                  </w:rPr>
                  <m:t>)+</m:t>
                </m:r>
                <m:sSub>
                  <m:sSubPr>
                    <m:ctrlPr>
                      <w:rPr>
                        <w:rFonts w:ascii="Cambria Math" w:hAnsi="Cambria Math"/>
                      </w:rPr>
                    </m:ctrlPr>
                  </m:sSubPr>
                  <m:e>
                    <m:r>
                      <w:rPr>
                        <w:rFonts w:ascii="Cambria Math" w:hAnsi="Cambria Math"/>
                      </w:rPr>
                      <m:t>β</m:t>
                    </m:r>
                  </m:e>
                  <m:sub>
                    <m:r>
                      <m:rPr>
                        <m:sty m:val="p"/>
                      </m:rPr>
                      <w:rPr>
                        <w:rFonts w:ascii="Cambria Math" w:hAnsi="Cambria Math"/>
                      </w:rPr>
                      <m:t>6</m:t>
                    </m:r>
                  </m:sub>
                </m:sSub>
                <m:sSub>
                  <m:sSubPr>
                    <m:ctrlPr>
                      <w:rPr>
                        <w:rFonts w:ascii="Cambria Math" w:hAnsi="Cambria Math"/>
                      </w:rPr>
                    </m:ctrlPr>
                  </m:sSubPr>
                  <m:e>
                    <m:r>
                      <w:rPr>
                        <w:rFonts w:ascii="Cambria Math" w:hAnsi="Cambria Math"/>
                      </w:rPr>
                      <m:t>proportion</m:t>
                    </m:r>
                  </m:e>
                  <m:sub>
                    <m:r>
                      <w:rPr>
                        <w:rFonts w:ascii="Cambria Math" w:hAnsi="Cambria Math"/>
                      </w:rPr>
                      <m:t>i</m:t>
                    </m:r>
                    <m:r>
                      <m:rPr>
                        <m:sty m:val="p"/>
                      </m:rPr>
                      <w:rPr>
                        <w:rFonts w:ascii="Cambria Math" w:hAnsi="Cambria Math"/>
                      </w:rPr>
                      <m:t>,</m:t>
                    </m:r>
                    <m:r>
                      <w:rPr>
                        <w:rFonts w:ascii="Cambria Math" w:hAnsi="Cambria Math"/>
                      </w:rPr>
                      <m:t>ferry</m:t>
                    </m:r>
                  </m:sub>
                </m:sSub>
              </m:oMath>
            </m:oMathPara>
          </w:p>
          <w:p w14:paraId="30C7E413" w14:textId="07F550DB" w:rsidR="00584154" w:rsidRPr="00702CBD" w:rsidRDefault="00584154" w:rsidP="00584154">
            <w:pPr>
              <w:pStyle w:val="CGC2025ParaNumbers"/>
            </w:pPr>
            <w:r w:rsidRPr="00702CBD">
              <w:t xml:space="preserve">To identify the impacts on the GST distribution of using modelled ferry passengers the regression model was re-run. </w:t>
            </w:r>
            <w:r w:rsidR="00D97D71">
              <w:t xml:space="preserve">The model </w:t>
            </w:r>
            <w:r w:rsidR="0098162B">
              <w:t xml:space="preserve">using ferry proportions was compared with the </w:t>
            </w:r>
            <w:r w:rsidR="002F69FC">
              <w:t xml:space="preserve">ferry dummy variable </w:t>
            </w:r>
            <w:r w:rsidR="008E4375">
              <w:t>model</w:t>
            </w:r>
            <w:r w:rsidR="002F69FC">
              <w:t xml:space="preserve"> with updated coefficients to account for the introduction</w:t>
            </w:r>
            <w:r w:rsidR="00B913B7">
              <w:t xml:space="preserve"> of</w:t>
            </w:r>
            <w:r w:rsidR="002F69FC">
              <w:t xml:space="preserve"> Hobart’s ferry service. </w:t>
            </w:r>
            <w:r w:rsidRPr="00702CBD">
              <w:t xml:space="preserve">The estimated coefficients from the model are included in </w:t>
            </w:r>
            <w:r w:rsidR="002E0806">
              <w:t>Table A2</w:t>
            </w:r>
            <w:r w:rsidRPr="00702CBD">
              <w:t>.</w:t>
            </w:r>
          </w:p>
          <w:p w14:paraId="04E8CF88" w14:textId="77777777" w:rsidR="003A6BEE" w:rsidRDefault="003A6BEE" w:rsidP="00584154">
            <w:pPr>
              <w:tabs>
                <w:tab w:val="clear" w:pos="567"/>
              </w:tabs>
              <w:spacing w:before="0" w:after="200" w:line="276" w:lineRule="auto"/>
              <w:rPr>
                <w:szCs w:val="20"/>
              </w:rPr>
            </w:pPr>
          </w:p>
          <w:p w14:paraId="1BB7802F" w14:textId="52054D36" w:rsidR="00584154" w:rsidRPr="00702CBD" w:rsidRDefault="00584154" w:rsidP="00F05F9B">
            <w:pPr>
              <w:pStyle w:val="CGC2025Caption"/>
              <w:tabs>
                <w:tab w:val="left" w:pos="1165"/>
              </w:tabs>
              <w:ind w:left="1165" w:hanging="1165"/>
            </w:pPr>
            <w:r w:rsidRPr="00952439">
              <w:lastRenderedPageBreak/>
              <w:t>Table</w:t>
            </w:r>
            <w:r w:rsidRPr="00702CBD">
              <w:t xml:space="preserve"> A2</w:t>
            </w:r>
            <w:r w:rsidRPr="00E9655A">
              <w:tab/>
              <w:t>E</w:t>
            </w:r>
            <w:r w:rsidRPr="00702CBD">
              <w:t>stimated coefficients, ferry commuter percentage model</w:t>
            </w:r>
            <w:r w:rsidR="00E140C8">
              <w:t xml:space="preserve"> </w:t>
            </w:r>
            <w:r w:rsidR="00F51D4A">
              <w:t>compared with ferry dummy model</w:t>
            </w:r>
          </w:p>
          <w:tbl>
            <w:tblPr>
              <w:tblW w:w="8942" w:type="dxa"/>
              <w:tblLook w:val="04A0" w:firstRow="1" w:lastRow="0" w:firstColumn="1" w:lastColumn="0" w:noHBand="0" w:noVBand="1"/>
            </w:tblPr>
            <w:tblGrid>
              <w:gridCol w:w="3392"/>
              <w:gridCol w:w="2775"/>
              <w:gridCol w:w="2775"/>
            </w:tblGrid>
            <w:tr w:rsidR="00584154" w:rsidRPr="002947AA" w14:paraId="77CB7D3E" w14:textId="77777777" w:rsidTr="00531C43">
              <w:trPr>
                <w:trHeight w:val="375"/>
              </w:trPr>
              <w:tc>
                <w:tcPr>
                  <w:tcW w:w="3118" w:type="dxa"/>
                  <w:tcBorders>
                    <w:top w:val="nil"/>
                    <w:left w:val="nil"/>
                    <w:bottom w:val="single" w:sz="4" w:space="0" w:color="B6D5E4"/>
                    <w:right w:val="nil"/>
                  </w:tcBorders>
                  <w:shd w:val="clear" w:color="000000" w:fill="006991"/>
                  <w:noWrap/>
                  <w:vAlign w:val="center"/>
                  <w:hideMark/>
                </w:tcPr>
                <w:p w14:paraId="69BD5134" w14:textId="77777777" w:rsidR="00584154" w:rsidRPr="00205315" w:rsidRDefault="00584154" w:rsidP="00584154">
                  <w:pPr>
                    <w:keepNext/>
                    <w:keepLines/>
                    <w:widowControl w:val="0"/>
                    <w:tabs>
                      <w:tab w:val="clear" w:pos="567"/>
                    </w:tabs>
                    <w:spacing w:before="0" w:line="240" w:lineRule="auto"/>
                    <w:rPr>
                      <w:rFonts w:ascii="Open Sans Semibold" w:eastAsia="Times New Roman" w:hAnsi="Open Sans Semibold" w:cs="Open Sans Semibold"/>
                      <w:b/>
                      <w:color w:val="FFFFFF"/>
                      <w:sz w:val="16"/>
                      <w:szCs w:val="16"/>
                      <w:lang w:eastAsia="en-AU"/>
                    </w:rPr>
                  </w:pPr>
                  <w:r w:rsidRPr="00205315">
                    <w:rPr>
                      <w:rFonts w:ascii="Open Sans Semibold" w:eastAsia="Times New Roman" w:hAnsi="Open Sans Semibold" w:cs="Open Sans Semibold"/>
                      <w:b/>
                      <w:color w:val="FFFFFF"/>
                      <w:sz w:val="16"/>
                      <w:szCs w:val="16"/>
                      <w:lang w:eastAsia="en-AU"/>
                    </w:rPr>
                    <w:t>Variable</w:t>
                  </w:r>
                </w:p>
              </w:tc>
              <w:tc>
                <w:tcPr>
                  <w:tcW w:w="2551" w:type="dxa"/>
                  <w:tcBorders>
                    <w:top w:val="nil"/>
                    <w:left w:val="nil"/>
                    <w:bottom w:val="single" w:sz="4" w:space="0" w:color="B6D5E4"/>
                    <w:right w:val="nil"/>
                  </w:tcBorders>
                  <w:shd w:val="clear" w:color="000000" w:fill="006991"/>
                  <w:noWrap/>
                  <w:vAlign w:val="center"/>
                  <w:hideMark/>
                </w:tcPr>
                <w:p w14:paraId="1EE138B2" w14:textId="77777777" w:rsidR="006B6B71" w:rsidRPr="00205315" w:rsidRDefault="006B6B71" w:rsidP="00584154">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205315">
                    <w:rPr>
                      <w:rFonts w:ascii="Open Sans Semibold" w:eastAsia="Times New Roman" w:hAnsi="Open Sans Semibold" w:cs="Open Sans Semibold"/>
                      <w:b/>
                      <w:color w:val="FFFFFF"/>
                      <w:sz w:val="16"/>
                      <w:szCs w:val="16"/>
                      <w:lang w:eastAsia="en-AU"/>
                    </w:rPr>
                    <w:t>Coefficients</w:t>
                  </w:r>
                </w:p>
                <w:p w14:paraId="4148C15B" w14:textId="77777777" w:rsidR="00584154" w:rsidRPr="00205315" w:rsidRDefault="006B6B71" w:rsidP="00584154">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205315">
                    <w:rPr>
                      <w:rFonts w:ascii="Open Sans Semibold" w:eastAsia="Times New Roman" w:hAnsi="Open Sans Semibold" w:cs="Open Sans Semibold"/>
                      <w:b/>
                      <w:color w:val="FFFFFF"/>
                      <w:sz w:val="16"/>
                      <w:szCs w:val="16"/>
                      <w:lang w:eastAsia="en-AU"/>
                    </w:rPr>
                    <w:t>(ferry com</w:t>
                  </w:r>
                  <w:r w:rsidR="005E1A28" w:rsidRPr="00205315">
                    <w:rPr>
                      <w:rFonts w:ascii="Open Sans Semibold" w:eastAsia="Times New Roman" w:hAnsi="Open Sans Semibold" w:cs="Open Sans Semibold"/>
                      <w:b/>
                      <w:color w:val="FFFFFF"/>
                      <w:sz w:val="16"/>
                      <w:szCs w:val="16"/>
                      <w:lang w:eastAsia="en-AU"/>
                    </w:rPr>
                    <w:t>muter model)</w:t>
                  </w:r>
                </w:p>
              </w:tc>
              <w:tc>
                <w:tcPr>
                  <w:tcW w:w="2551" w:type="dxa"/>
                  <w:tcBorders>
                    <w:top w:val="nil"/>
                    <w:left w:val="nil"/>
                    <w:bottom w:val="single" w:sz="4" w:space="0" w:color="B6D5E4"/>
                    <w:right w:val="nil"/>
                  </w:tcBorders>
                  <w:shd w:val="clear" w:color="000000" w:fill="006991"/>
                  <w:vAlign w:val="bottom"/>
                </w:tcPr>
                <w:p w14:paraId="1F2E9ED8" w14:textId="77777777" w:rsidR="005E1A28" w:rsidRPr="00205315" w:rsidRDefault="005E1A28" w:rsidP="005E1A28">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205315">
                    <w:rPr>
                      <w:rFonts w:ascii="Open Sans Semibold" w:eastAsia="Times New Roman" w:hAnsi="Open Sans Semibold" w:cs="Open Sans Semibold"/>
                      <w:b/>
                      <w:color w:val="FFFFFF"/>
                      <w:sz w:val="16"/>
                      <w:szCs w:val="16"/>
                      <w:lang w:eastAsia="en-AU"/>
                    </w:rPr>
                    <w:t xml:space="preserve">Coefficients </w:t>
                  </w:r>
                </w:p>
                <w:p w14:paraId="5A9095B1" w14:textId="77777777" w:rsidR="005E1A28" w:rsidRPr="00205315" w:rsidRDefault="005E1A28" w:rsidP="005E1A28">
                  <w:pPr>
                    <w:keepNext/>
                    <w:keepLines/>
                    <w:widowControl w:val="0"/>
                    <w:tabs>
                      <w:tab w:val="clear" w:pos="567"/>
                    </w:tabs>
                    <w:spacing w:before="0" w:line="240" w:lineRule="auto"/>
                    <w:jc w:val="right"/>
                    <w:rPr>
                      <w:rFonts w:ascii="Open Sans Semibold" w:eastAsia="Times New Roman" w:hAnsi="Open Sans Semibold" w:cs="Open Sans Semibold"/>
                      <w:b/>
                      <w:color w:val="FFFFFF"/>
                      <w:sz w:val="16"/>
                      <w:szCs w:val="16"/>
                      <w:lang w:eastAsia="en-AU"/>
                    </w:rPr>
                  </w:pPr>
                  <w:r w:rsidRPr="00205315">
                    <w:rPr>
                      <w:rFonts w:ascii="Open Sans Semibold" w:eastAsia="Times New Roman" w:hAnsi="Open Sans Semibold" w:cs="Open Sans Semibold"/>
                      <w:b/>
                      <w:color w:val="FFFFFF"/>
                      <w:sz w:val="16"/>
                      <w:szCs w:val="16"/>
                      <w:lang w:eastAsia="en-AU"/>
                    </w:rPr>
                    <w:t>(ferry dummy model)</w:t>
                  </w:r>
                </w:p>
              </w:tc>
            </w:tr>
            <w:tr w:rsidR="00B87122" w:rsidRPr="00C94975" w14:paraId="00F7CA2A" w14:textId="77777777" w:rsidTr="00205315">
              <w:trPr>
                <w:trHeight w:val="315"/>
              </w:trPr>
              <w:tc>
                <w:tcPr>
                  <w:tcW w:w="3118" w:type="dxa"/>
                  <w:tcBorders>
                    <w:top w:val="single" w:sz="4" w:space="0" w:color="ADD6EA"/>
                    <w:left w:val="nil"/>
                    <w:bottom w:val="nil"/>
                    <w:right w:val="nil"/>
                  </w:tcBorders>
                  <w:shd w:val="clear" w:color="auto" w:fill="auto"/>
                  <w:vAlign w:val="bottom"/>
                  <w:hideMark/>
                </w:tcPr>
                <w:p w14:paraId="0F08C06B" w14:textId="77777777" w:rsidR="00B87122" w:rsidRPr="00702CBD" w:rsidRDefault="00B87122" w:rsidP="00B87122">
                  <w:pPr>
                    <w:keepNext/>
                    <w:keepLines/>
                    <w:widowControl w:val="0"/>
                    <w:tabs>
                      <w:tab w:val="clear" w:pos="567"/>
                    </w:tabs>
                    <w:spacing w:before="0" w:line="240" w:lineRule="auto"/>
                    <w:rPr>
                      <w:rFonts w:eastAsia="Times New Roman" w:cs="Open Sans Light"/>
                      <w:sz w:val="16"/>
                      <w:szCs w:val="16"/>
                      <w:lang w:eastAsia="en-AU"/>
                    </w:rPr>
                  </w:pPr>
                  <w:r w:rsidRPr="00702CBD">
                    <w:rPr>
                      <w:rFonts w:cs="Open Sans Light"/>
                      <w:color w:val="000000"/>
                      <w:sz w:val="16"/>
                      <w:szCs w:val="16"/>
                    </w:rPr>
                    <w:t>Intercept</w:t>
                  </w:r>
                </w:p>
              </w:tc>
              <w:tc>
                <w:tcPr>
                  <w:tcW w:w="2551" w:type="dxa"/>
                  <w:tcBorders>
                    <w:top w:val="single" w:sz="4" w:space="0" w:color="ADD6EA"/>
                    <w:left w:val="nil"/>
                    <w:bottom w:val="nil"/>
                    <w:right w:val="nil"/>
                  </w:tcBorders>
                  <w:shd w:val="clear" w:color="auto" w:fill="auto"/>
                  <w:vAlign w:val="bottom"/>
                  <w:hideMark/>
                </w:tcPr>
                <w:p w14:paraId="5DCA7AB2" w14:textId="77777777" w:rsidR="00B87122" w:rsidRPr="00702CBD" w:rsidRDefault="00B87122" w:rsidP="00B87122">
                  <w:pPr>
                    <w:keepNext/>
                    <w:keepLines/>
                    <w:widowControl w:val="0"/>
                    <w:tabs>
                      <w:tab w:val="clear" w:pos="567"/>
                    </w:tabs>
                    <w:spacing w:before="0" w:line="240" w:lineRule="auto"/>
                    <w:jc w:val="right"/>
                    <w:rPr>
                      <w:rFonts w:eastAsia="Times New Roman" w:cs="Open Sans Light"/>
                      <w:sz w:val="16"/>
                      <w:szCs w:val="16"/>
                      <w:lang w:eastAsia="en-AU"/>
                    </w:rPr>
                  </w:pPr>
                  <w:r w:rsidRPr="008603E4">
                    <w:rPr>
                      <w:rFonts w:cs="Open Sans Light"/>
                      <w:color w:val="000000"/>
                      <w:sz w:val="16"/>
                      <w:szCs w:val="16"/>
                    </w:rPr>
                    <w:t>-127.621</w:t>
                  </w:r>
                </w:p>
              </w:tc>
              <w:tc>
                <w:tcPr>
                  <w:tcW w:w="2551" w:type="dxa"/>
                  <w:tcBorders>
                    <w:top w:val="single" w:sz="4" w:space="0" w:color="ADD6EA"/>
                    <w:left w:val="nil"/>
                    <w:bottom w:val="nil"/>
                    <w:right w:val="nil"/>
                  </w:tcBorders>
                  <w:vAlign w:val="bottom"/>
                </w:tcPr>
                <w:p w14:paraId="3BD1F6DA" w14:textId="77777777" w:rsidR="00B87122" w:rsidRPr="00C94975" w:rsidRDefault="00B87122" w:rsidP="00B87122">
                  <w:pPr>
                    <w:keepNext/>
                    <w:keepLines/>
                    <w:widowControl w:val="0"/>
                    <w:tabs>
                      <w:tab w:val="clear" w:pos="567"/>
                    </w:tabs>
                    <w:spacing w:before="0" w:line="240" w:lineRule="auto"/>
                    <w:jc w:val="right"/>
                    <w:rPr>
                      <w:rFonts w:cs="Open Sans Light"/>
                      <w:color w:val="000000"/>
                      <w:sz w:val="16"/>
                      <w:szCs w:val="16"/>
                    </w:rPr>
                  </w:pPr>
                  <w:r w:rsidRPr="00F44901">
                    <w:rPr>
                      <w:rFonts w:cs="Open Sans Light"/>
                      <w:color w:val="000000"/>
                      <w:sz w:val="16"/>
                      <w:szCs w:val="16"/>
                    </w:rPr>
                    <w:t>-128.112</w:t>
                  </w:r>
                </w:p>
              </w:tc>
            </w:tr>
            <w:tr w:rsidR="00B87122" w:rsidRPr="00702CBD" w14:paraId="4DCDC5C0" w14:textId="77777777" w:rsidTr="00205315">
              <w:trPr>
                <w:trHeight w:val="317"/>
              </w:trPr>
              <w:tc>
                <w:tcPr>
                  <w:tcW w:w="3118" w:type="dxa"/>
                  <w:tcBorders>
                    <w:top w:val="single" w:sz="4" w:space="0" w:color="B6D5E4"/>
                    <w:left w:val="nil"/>
                    <w:bottom w:val="single" w:sz="4" w:space="0" w:color="B6D5E4"/>
                    <w:right w:val="nil"/>
                  </w:tcBorders>
                  <w:shd w:val="clear" w:color="auto" w:fill="auto"/>
                  <w:vAlign w:val="bottom"/>
                  <w:hideMark/>
                </w:tcPr>
                <w:p w14:paraId="3D134CE1" w14:textId="77777777" w:rsidR="00B87122" w:rsidRPr="00702CBD" w:rsidRDefault="00B87122" w:rsidP="00B87122">
                  <w:pPr>
                    <w:keepNext/>
                    <w:keepLines/>
                    <w:widowControl w:val="0"/>
                    <w:tabs>
                      <w:tab w:val="clear" w:pos="567"/>
                    </w:tabs>
                    <w:spacing w:before="0" w:line="240" w:lineRule="auto"/>
                    <w:rPr>
                      <w:rFonts w:eastAsia="Times New Roman" w:cs="Open Sans Light"/>
                      <w:sz w:val="16"/>
                      <w:szCs w:val="16"/>
                      <w:lang w:eastAsia="en-AU"/>
                    </w:rPr>
                  </w:pPr>
                  <w:r w:rsidRPr="00702CBD">
                    <w:rPr>
                      <w:rFonts w:eastAsia="Times New Roman" w:cs="Open Sans Light"/>
                      <w:sz w:val="16"/>
                      <w:szCs w:val="16"/>
                      <w:lang w:eastAsia="en-AU"/>
                    </w:rPr>
                    <w:t>Ferry proportions</w:t>
                  </w:r>
                </w:p>
              </w:tc>
              <w:tc>
                <w:tcPr>
                  <w:tcW w:w="2551" w:type="dxa"/>
                  <w:tcBorders>
                    <w:top w:val="single" w:sz="4" w:space="0" w:color="B6D5E4"/>
                    <w:left w:val="nil"/>
                    <w:bottom w:val="single" w:sz="4" w:space="0" w:color="B6D5E4"/>
                    <w:right w:val="nil"/>
                  </w:tcBorders>
                  <w:shd w:val="clear" w:color="auto" w:fill="auto"/>
                  <w:vAlign w:val="bottom"/>
                  <w:hideMark/>
                </w:tcPr>
                <w:p w14:paraId="2879203E" w14:textId="77777777" w:rsidR="00B87122" w:rsidRPr="00702CBD" w:rsidRDefault="00B87122" w:rsidP="00B87122">
                  <w:pPr>
                    <w:keepNext/>
                    <w:keepLines/>
                    <w:widowControl w:val="0"/>
                    <w:tabs>
                      <w:tab w:val="clear" w:pos="567"/>
                    </w:tabs>
                    <w:spacing w:before="0" w:line="240" w:lineRule="auto"/>
                    <w:jc w:val="right"/>
                    <w:rPr>
                      <w:rFonts w:eastAsia="Times New Roman" w:cs="Open Sans Light"/>
                      <w:sz w:val="16"/>
                      <w:szCs w:val="16"/>
                      <w:lang w:eastAsia="en-AU"/>
                    </w:rPr>
                  </w:pPr>
                  <w:r w:rsidRPr="00F864B7">
                    <w:rPr>
                      <w:rFonts w:eastAsia="Times New Roman" w:cs="Open Sans Light"/>
                      <w:sz w:val="16"/>
                      <w:szCs w:val="16"/>
                      <w:lang w:eastAsia="en-AU"/>
                    </w:rPr>
                    <w:t>4.261</w:t>
                  </w:r>
                </w:p>
              </w:tc>
              <w:tc>
                <w:tcPr>
                  <w:tcW w:w="2551" w:type="dxa"/>
                  <w:tcBorders>
                    <w:top w:val="single" w:sz="4" w:space="0" w:color="B6D5E4"/>
                    <w:left w:val="nil"/>
                    <w:bottom w:val="single" w:sz="4" w:space="0" w:color="B6D5E4"/>
                    <w:right w:val="nil"/>
                  </w:tcBorders>
                  <w:vAlign w:val="bottom"/>
                </w:tcPr>
                <w:p w14:paraId="49D6BAEC" w14:textId="77777777" w:rsidR="00B87122" w:rsidRPr="00702CBD" w:rsidRDefault="00B87122" w:rsidP="00B87122">
                  <w:pPr>
                    <w:keepNext/>
                    <w:keepLines/>
                    <w:widowControl w:val="0"/>
                    <w:tabs>
                      <w:tab w:val="clear" w:pos="567"/>
                    </w:tabs>
                    <w:spacing w:before="0" w:line="240" w:lineRule="auto"/>
                    <w:jc w:val="right"/>
                    <w:rPr>
                      <w:rFonts w:eastAsia="Times New Roman" w:cs="Open Sans Light"/>
                      <w:sz w:val="16"/>
                      <w:szCs w:val="16"/>
                      <w:lang w:eastAsia="en-AU"/>
                    </w:rPr>
                  </w:pPr>
                </w:p>
              </w:tc>
            </w:tr>
            <w:tr w:rsidR="00B87122" w:rsidRPr="00702CBD" w14:paraId="63451CE4" w14:textId="77777777" w:rsidTr="00205315">
              <w:trPr>
                <w:trHeight w:val="317"/>
              </w:trPr>
              <w:tc>
                <w:tcPr>
                  <w:tcW w:w="3118" w:type="dxa"/>
                  <w:tcBorders>
                    <w:top w:val="single" w:sz="4" w:space="0" w:color="B6D5E4"/>
                    <w:left w:val="nil"/>
                    <w:bottom w:val="single" w:sz="4" w:space="0" w:color="B6D5E4"/>
                    <w:right w:val="nil"/>
                  </w:tcBorders>
                  <w:shd w:val="clear" w:color="auto" w:fill="auto"/>
                  <w:vAlign w:val="bottom"/>
                </w:tcPr>
                <w:p w14:paraId="6A2844AB" w14:textId="77777777" w:rsidR="00B87122" w:rsidRPr="00702CBD" w:rsidRDefault="00B87122" w:rsidP="00B87122">
                  <w:pPr>
                    <w:keepNext/>
                    <w:keepLines/>
                    <w:widowControl w:val="0"/>
                    <w:tabs>
                      <w:tab w:val="clear" w:pos="567"/>
                    </w:tabs>
                    <w:spacing w:before="0" w:line="240" w:lineRule="auto"/>
                    <w:rPr>
                      <w:rFonts w:eastAsia="Times New Roman" w:cs="Open Sans Light"/>
                      <w:sz w:val="16"/>
                      <w:szCs w:val="16"/>
                      <w:lang w:eastAsia="en-AU"/>
                    </w:rPr>
                  </w:pPr>
                  <w:r>
                    <w:rPr>
                      <w:rFonts w:eastAsia="Times New Roman" w:cs="Open Sans Light"/>
                      <w:sz w:val="16"/>
                      <w:szCs w:val="16"/>
                      <w:lang w:eastAsia="en-AU"/>
                    </w:rPr>
                    <w:t>Ferry dummy</w:t>
                  </w:r>
                </w:p>
              </w:tc>
              <w:tc>
                <w:tcPr>
                  <w:tcW w:w="2551" w:type="dxa"/>
                  <w:tcBorders>
                    <w:top w:val="single" w:sz="4" w:space="0" w:color="B6D5E4"/>
                    <w:left w:val="nil"/>
                    <w:bottom w:val="single" w:sz="4" w:space="0" w:color="B6D5E4"/>
                    <w:right w:val="nil"/>
                  </w:tcBorders>
                  <w:shd w:val="clear" w:color="auto" w:fill="auto"/>
                  <w:vAlign w:val="bottom"/>
                </w:tcPr>
                <w:p w14:paraId="25DF3FDF" w14:textId="77777777" w:rsidR="00B87122" w:rsidRPr="00702CBD" w:rsidRDefault="00B87122" w:rsidP="00B87122">
                  <w:pPr>
                    <w:keepNext/>
                    <w:keepLines/>
                    <w:widowControl w:val="0"/>
                    <w:tabs>
                      <w:tab w:val="clear" w:pos="567"/>
                    </w:tabs>
                    <w:spacing w:before="0" w:line="240" w:lineRule="auto"/>
                    <w:jc w:val="right"/>
                    <w:rPr>
                      <w:rFonts w:eastAsia="Times New Roman" w:cs="Open Sans Light"/>
                      <w:sz w:val="16"/>
                      <w:szCs w:val="16"/>
                      <w:lang w:eastAsia="en-AU"/>
                    </w:rPr>
                  </w:pPr>
                </w:p>
              </w:tc>
              <w:tc>
                <w:tcPr>
                  <w:tcW w:w="2551" w:type="dxa"/>
                  <w:tcBorders>
                    <w:top w:val="single" w:sz="4" w:space="0" w:color="B6D5E4"/>
                    <w:left w:val="nil"/>
                    <w:bottom w:val="single" w:sz="4" w:space="0" w:color="B6D5E4"/>
                    <w:right w:val="nil"/>
                  </w:tcBorders>
                  <w:vAlign w:val="bottom"/>
                </w:tcPr>
                <w:p w14:paraId="00A20922" w14:textId="77777777" w:rsidR="00B87122" w:rsidRPr="00702CBD" w:rsidRDefault="00B87122" w:rsidP="00B87122">
                  <w:pPr>
                    <w:keepNext/>
                    <w:keepLines/>
                    <w:widowControl w:val="0"/>
                    <w:tabs>
                      <w:tab w:val="clear" w:pos="567"/>
                    </w:tabs>
                    <w:spacing w:before="0" w:line="240" w:lineRule="auto"/>
                    <w:jc w:val="right"/>
                    <w:rPr>
                      <w:rFonts w:eastAsia="Times New Roman" w:cs="Open Sans Light"/>
                      <w:sz w:val="16"/>
                      <w:szCs w:val="16"/>
                      <w:lang w:eastAsia="en-AU"/>
                    </w:rPr>
                  </w:pPr>
                  <w:r w:rsidRPr="00817D35">
                    <w:rPr>
                      <w:rFonts w:eastAsia="Times New Roman" w:cs="Open Sans Light"/>
                      <w:sz w:val="16"/>
                      <w:szCs w:val="16"/>
                      <w:lang w:eastAsia="en-AU"/>
                    </w:rPr>
                    <w:t>9.529</w:t>
                  </w:r>
                </w:p>
              </w:tc>
            </w:tr>
            <w:tr w:rsidR="00B87122" w:rsidRPr="00445527" w14:paraId="6D3BF353" w14:textId="77777777" w:rsidTr="00205315">
              <w:trPr>
                <w:trHeight w:val="317"/>
              </w:trPr>
              <w:tc>
                <w:tcPr>
                  <w:tcW w:w="3118" w:type="dxa"/>
                  <w:tcBorders>
                    <w:top w:val="single" w:sz="4" w:space="0" w:color="ADD6EA"/>
                    <w:left w:val="nil"/>
                    <w:bottom w:val="nil"/>
                    <w:right w:val="nil"/>
                  </w:tcBorders>
                  <w:shd w:val="clear" w:color="auto" w:fill="auto"/>
                  <w:vAlign w:val="bottom"/>
                  <w:hideMark/>
                </w:tcPr>
                <w:p w14:paraId="6D7231DD" w14:textId="77777777" w:rsidR="00B87122" w:rsidRPr="00702CBD" w:rsidRDefault="00B87122" w:rsidP="00B87122">
                  <w:pPr>
                    <w:keepNext/>
                    <w:keepLines/>
                    <w:widowControl w:val="0"/>
                    <w:tabs>
                      <w:tab w:val="clear" w:pos="567"/>
                    </w:tabs>
                    <w:spacing w:before="0" w:line="240" w:lineRule="auto"/>
                    <w:rPr>
                      <w:rFonts w:eastAsia="Times New Roman" w:cs="Open Sans Light"/>
                      <w:sz w:val="16"/>
                      <w:szCs w:val="16"/>
                      <w:lang w:eastAsia="en-AU"/>
                    </w:rPr>
                  </w:pPr>
                  <w:r w:rsidRPr="00702CBD">
                    <w:rPr>
                      <w:rFonts w:cs="Open Sans Light"/>
                      <w:color w:val="000000"/>
                      <w:sz w:val="16"/>
                      <w:szCs w:val="16"/>
                    </w:rPr>
                    <w:t>Heavy rail passengers</w:t>
                  </w:r>
                </w:p>
              </w:tc>
              <w:tc>
                <w:tcPr>
                  <w:tcW w:w="2551" w:type="dxa"/>
                  <w:tcBorders>
                    <w:top w:val="single" w:sz="4" w:space="0" w:color="ADD6EA"/>
                    <w:left w:val="nil"/>
                    <w:bottom w:val="nil"/>
                    <w:right w:val="nil"/>
                  </w:tcBorders>
                  <w:shd w:val="clear" w:color="auto" w:fill="auto"/>
                  <w:vAlign w:val="bottom"/>
                  <w:hideMark/>
                </w:tcPr>
                <w:p w14:paraId="50EFEB30" w14:textId="77777777" w:rsidR="00B87122" w:rsidRPr="00702CBD" w:rsidRDefault="00B87122" w:rsidP="00B87122">
                  <w:pPr>
                    <w:keepNext/>
                    <w:keepLines/>
                    <w:widowControl w:val="0"/>
                    <w:tabs>
                      <w:tab w:val="clear" w:pos="567"/>
                    </w:tabs>
                    <w:spacing w:before="0" w:line="240" w:lineRule="auto"/>
                    <w:jc w:val="right"/>
                    <w:rPr>
                      <w:rFonts w:eastAsia="Times New Roman" w:cs="Open Sans Light"/>
                      <w:sz w:val="16"/>
                      <w:szCs w:val="16"/>
                      <w:lang w:eastAsia="en-AU"/>
                    </w:rPr>
                  </w:pPr>
                  <w:r w:rsidRPr="00F864B7">
                    <w:rPr>
                      <w:rFonts w:cs="Open Sans Light"/>
                      <w:color w:val="000000"/>
                      <w:sz w:val="16"/>
                      <w:szCs w:val="16"/>
                    </w:rPr>
                    <w:t>12.729</w:t>
                  </w:r>
                </w:p>
              </w:tc>
              <w:tc>
                <w:tcPr>
                  <w:tcW w:w="2551" w:type="dxa"/>
                  <w:tcBorders>
                    <w:top w:val="single" w:sz="4" w:space="0" w:color="ADD6EA"/>
                    <w:left w:val="nil"/>
                    <w:bottom w:val="nil"/>
                    <w:right w:val="nil"/>
                  </w:tcBorders>
                  <w:vAlign w:val="bottom"/>
                </w:tcPr>
                <w:p w14:paraId="1F1E6CAD" w14:textId="77777777" w:rsidR="00B87122" w:rsidRPr="00445527" w:rsidRDefault="00B87122" w:rsidP="00B87122">
                  <w:pPr>
                    <w:keepNext/>
                    <w:keepLines/>
                    <w:widowControl w:val="0"/>
                    <w:tabs>
                      <w:tab w:val="clear" w:pos="567"/>
                    </w:tabs>
                    <w:spacing w:before="0" w:line="240" w:lineRule="auto"/>
                    <w:jc w:val="right"/>
                    <w:rPr>
                      <w:rFonts w:cs="Open Sans Light"/>
                      <w:color w:val="000000"/>
                      <w:sz w:val="16"/>
                      <w:szCs w:val="16"/>
                    </w:rPr>
                  </w:pPr>
                  <w:r w:rsidRPr="00817D35">
                    <w:rPr>
                      <w:rFonts w:cs="Open Sans Light"/>
                      <w:color w:val="000000"/>
                      <w:sz w:val="16"/>
                      <w:szCs w:val="16"/>
                    </w:rPr>
                    <w:t>12.485</w:t>
                  </w:r>
                </w:p>
              </w:tc>
            </w:tr>
            <w:tr w:rsidR="00B87122" w:rsidRPr="00E133C0" w14:paraId="40E143A2" w14:textId="77777777" w:rsidTr="00205315">
              <w:trPr>
                <w:trHeight w:val="317"/>
              </w:trPr>
              <w:tc>
                <w:tcPr>
                  <w:tcW w:w="3118" w:type="dxa"/>
                  <w:tcBorders>
                    <w:top w:val="single" w:sz="4" w:space="0" w:color="ADD6EA"/>
                    <w:left w:val="nil"/>
                    <w:bottom w:val="nil"/>
                    <w:right w:val="nil"/>
                  </w:tcBorders>
                  <w:shd w:val="clear" w:color="auto" w:fill="auto"/>
                  <w:vAlign w:val="bottom"/>
                </w:tcPr>
                <w:p w14:paraId="2FF2A61F" w14:textId="77777777" w:rsidR="00B87122" w:rsidRPr="00702CBD" w:rsidRDefault="00B87122" w:rsidP="00B87122">
                  <w:pPr>
                    <w:keepNext/>
                    <w:keepLines/>
                    <w:widowControl w:val="0"/>
                    <w:tabs>
                      <w:tab w:val="clear" w:pos="567"/>
                    </w:tabs>
                    <w:spacing w:before="0" w:line="240" w:lineRule="auto"/>
                    <w:rPr>
                      <w:rFonts w:cs="Open Sans Light"/>
                      <w:color w:val="000000"/>
                      <w:sz w:val="16"/>
                      <w:szCs w:val="16"/>
                    </w:rPr>
                  </w:pPr>
                  <w:r w:rsidRPr="00702CBD">
                    <w:rPr>
                      <w:rFonts w:cs="Open Sans Light"/>
                      <w:color w:val="000000"/>
                      <w:sz w:val="16"/>
                      <w:szCs w:val="16"/>
                    </w:rPr>
                    <w:t>Bus and light rail passengers</w:t>
                  </w:r>
                </w:p>
              </w:tc>
              <w:tc>
                <w:tcPr>
                  <w:tcW w:w="2551" w:type="dxa"/>
                  <w:tcBorders>
                    <w:top w:val="single" w:sz="4" w:space="0" w:color="ADD6EA"/>
                    <w:left w:val="nil"/>
                    <w:bottom w:val="nil"/>
                    <w:right w:val="nil"/>
                  </w:tcBorders>
                  <w:shd w:val="clear" w:color="auto" w:fill="auto"/>
                  <w:vAlign w:val="bottom"/>
                </w:tcPr>
                <w:p w14:paraId="0ADBCD8E" w14:textId="77777777" w:rsidR="00B87122" w:rsidRPr="00702CBD" w:rsidRDefault="00B87122" w:rsidP="00B87122">
                  <w:pPr>
                    <w:keepNext/>
                    <w:keepLines/>
                    <w:widowControl w:val="0"/>
                    <w:tabs>
                      <w:tab w:val="clear" w:pos="567"/>
                    </w:tabs>
                    <w:spacing w:before="0" w:line="240" w:lineRule="auto"/>
                    <w:jc w:val="right"/>
                    <w:rPr>
                      <w:rFonts w:cs="Open Sans Light"/>
                      <w:color w:val="000000"/>
                      <w:sz w:val="16"/>
                      <w:szCs w:val="16"/>
                    </w:rPr>
                  </w:pPr>
                  <w:r w:rsidRPr="00F864B7">
                    <w:rPr>
                      <w:rFonts w:cs="Open Sans Light"/>
                      <w:color w:val="000000"/>
                      <w:sz w:val="16"/>
                      <w:szCs w:val="16"/>
                    </w:rPr>
                    <w:t>5.169</w:t>
                  </w:r>
                </w:p>
              </w:tc>
              <w:tc>
                <w:tcPr>
                  <w:tcW w:w="2551" w:type="dxa"/>
                  <w:tcBorders>
                    <w:top w:val="single" w:sz="4" w:space="0" w:color="ADD6EA"/>
                    <w:left w:val="nil"/>
                    <w:bottom w:val="nil"/>
                    <w:right w:val="nil"/>
                  </w:tcBorders>
                  <w:vAlign w:val="bottom"/>
                </w:tcPr>
                <w:p w14:paraId="2D696F58" w14:textId="77777777" w:rsidR="00B87122" w:rsidRPr="00E133C0" w:rsidRDefault="00B87122" w:rsidP="00B87122">
                  <w:pPr>
                    <w:keepNext/>
                    <w:keepLines/>
                    <w:widowControl w:val="0"/>
                    <w:tabs>
                      <w:tab w:val="clear" w:pos="567"/>
                    </w:tabs>
                    <w:spacing w:before="0" w:line="240" w:lineRule="auto"/>
                    <w:jc w:val="right"/>
                    <w:rPr>
                      <w:rFonts w:cs="Open Sans Light"/>
                      <w:color w:val="000000"/>
                      <w:sz w:val="16"/>
                      <w:szCs w:val="16"/>
                    </w:rPr>
                  </w:pPr>
                  <w:r w:rsidRPr="00817D35">
                    <w:rPr>
                      <w:rFonts w:cs="Open Sans Light"/>
                      <w:color w:val="000000"/>
                      <w:sz w:val="16"/>
                      <w:szCs w:val="16"/>
                    </w:rPr>
                    <w:t>5.434</w:t>
                  </w:r>
                </w:p>
              </w:tc>
            </w:tr>
            <w:tr w:rsidR="00B87122" w:rsidRPr="00685F27" w14:paraId="7AEDB0B5" w14:textId="77777777" w:rsidTr="00205315">
              <w:trPr>
                <w:trHeight w:val="317"/>
              </w:trPr>
              <w:tc>
                <w:tcPr>
                  <w:tcW w:w="3118" w:type="dxa"/>
                  <w:tcBorders>
                    <w:top w:val="single" w:sz="4" w:space="0" w:color="ADD6EA"/>
                    <w:left w:val="nil"/>
                    <w:bottom w:val="single" w:sz="4" w:space="0" w:color="ADD6EA"/>
                    <w:right w:val="nil"/>
                  </w:tcBorders>
                  <w:shd w:val="clear" w:color="auto" w:fill="auto"/>
                  <w:vAlign w:val="bottom"/>
                </w:tcPr>
                <w:p w14:paraId="1CEC6E54" w14:textId="77777777" w:rsidR="00B87122" w:rsidRPr="00702CBD" w:rsidRDefault="00B87122" w:rsidP="00B87122">
                  <w:pPr>
                    <w:keepNext/>
                    <w:keepLines/>
                    <w:widowControl w:val="0"/>
                    <w:tabs>
                      <w:tab w:val="clear" w:pos="567"/>
                    </w:tabs>
                    <w:spacing w:before="0" w:line="240" w:lineRule="auto"/>
                    <w:rPr>
                      <w:rFonts w:cs="Open Sans Light"/>
                      <w:color w:val="000000"/>
                      <w:sz w:val="16"/>
                      <w:szCs w:val="16"/>
                    </w:rPr>
                  </w:pPr>
                  <w:r w:rsidRPr="00702CBD">
                    <w:rPr>
                      <w:rFonts w:cs="Open Sans Light"/>
                      <w:color w:val="000000"/>
                      <w:sz w:val="16"/>
                      <w:szCs w:val="16"/>
                    </w:rPr>
                    <w:t>Population weighted density</w:t>
                  </w:r>
                </w:p>
              </w:tc>
              <w:tc>
                <w:tcPr>
                  <w:tcW w:w="2551" w:type="dxa"/>
                  <w:tcBorders>
                    <w:top w:val="single" w:sz="4" w:space="0" w:color="ADD6EA"/>
                    <w:left w:val="nil"/>
                    <w:bottom w:val="single" w:sz="4" w:space="0" w:color="ADD6EA"/>
                    <w:right w:val="nil"/>
                  </w:tcBorders>
                  <w:shd w:val="clear" w:color="auto" w:fill="auto"/>
                  <w:vAlign w:val="bottom"/>
                </w:tcPr>
                <w:p w14:paraId="35514324" w14:textId="77777777" w:rsidR="00B87122" w:rsidRPr="00702CBD" w:rsidRDefault="00B87122" w:rsidP="00B87122">
                  <w:pPr>
                    <w:keepNext/>
                    <w:keepLines/>
                    <w:widowControl w:val="0"/>
                    <w:tabs>
                      <w:tab w:val="clear" w:pos="567"/>
                    </w:tabs>
                    <w:spacing w:before="0" w:line="240" w:lineRule="auto"/>
                    <w:jc w:val="right"/>
                    <w:rPr>
                      <w:rFonts w:cs="Open Sans Light"/>
                      <w:color w:val="000000"/>
                      <w:sz w:val="16"/>
                      <w:szCs w:val="16"/>
                    </w:rPr>
                  </w:pPr>
                  <w:r w:rsidRPr="00F864B7">
                    <w:rPr>
                      <w:rFonts w:cs="Open Sans Light"/>
                      <w:color w:val="000000"/>
                      <w:sz w:val="16"/>
                      <w:szCs w:val="16"/>
                    </w:rPr>
                    <w:t>0.086</w:t>
                  </w:r>
                </w:p>
              </w:tc>
              <w:tc>
                <w:tcPr>
                  <w:tcW w:w="2551" w:type="dxa"/>
                  <w:tcBorders>
                    <w:top w:val="single" w:sz="4" w:space="0" w:color="ADD6EA"/>
                    <w:left w:val="nil"/>
                    <w:bottom w:val="single" w:sz="4" w:space="0" w:color="ADD6EA"/>
                    <w:right w:val="nil"/>
                  </w:tcBorders>
                  <w:vAlign w:val="bottom"/>
                </w:tcPr>
                <w:p w14:paraId="09897F84" w14:textId="77777777" w:rsidR="00B87122" w:rsidRPr="00685F27" w:rsidRDefault="00B87122" w:rsidP="00B87122">
                  <w:pPr>
                    <w:keepNext/>
                    <w:keepLines/>
                    <w:widowControl w:val="0"/>
                    <w:tabs>
                      <w:tab w:val="clear" w:pos="567"/>
                    </w:tabs>
                    <w:spacing w:before="0" w:line="240" w:lineRule="auto"/>
                    <w:jc w:val="right"/>
                    <w:rPr>
                      <w:rFonts w:cs="Open Sans Light"/>
                      <w:color w:val="000000"/>
                      <w:sz w:val="16"/>
                      <w:szCs w:val="16"/>
                    </w:rPr>
                  </w:pPr>
                  <w:r w:rsidRPr="00817D35">
                    <w:rPr>
                      <w:rFonts w:cs="Open Sans Light"/>
                      <w:color w:val="000000"/>
                      <w:sz w:val="16"/>
                      <w:szCs w:val="16"/>
                    </w:rPr>
                    <w:t>0.086</w:t>
                  </w:r>
                </w:p>
              </w:tc>
            </w:tr>
            <w:tr w:rsidR="00B87122" w:rsidRPr="00CD5A5A" w14:paraId="19AB0252" w14:textId="77777777" w:rsidTr="00205315">
              <w:trPr>
                <w:trHeight w:val="317"/>
              </w:trPr>
              <w:tc>
                <w:tcPr>
                  <w:tcW w:w="3118" w:type="dxa"/>
                  <w:tcBorders>
                    <w:top w:val="single" w:sz="4" w:space="0" w:color="ADD6EA"/>
                    <w:left w:val="nil"/>
                    <w:bottom w:val="single" w:sz="4" w:space="0" w:color="ADD6EA"/>
                    <w:right w:val="nil"/>
                  </w:tcBorders>
                  <w:shd w:val="clear" w:color="auto" w:fill="auto"/>
                  <w:vAlign w:val="bottom"/>
                </w:tcPr>
                <w:p w14:paraId="0BA11415" w14:textId="77777777" w:rsidR="00B87122" w:rsidRPr="00702CBD" w:rsidRDefault="00B87122" w:rsidP="00B87122">
                  <w:pPr>
                    <w:keepNext/>
                    <w:keepLines/>
                    <w:widowControl w:val="0"/>
                    <w:tabs>
                      <w:tab w:val="clear" w:pos="567"/>
                    </w:tabs>
                    <w:spacing w:before="0" w:line="240" w:lineRule="auto"/>
                    <w:rPr>
                      <w:rFonts w:cs="Open Sans Light"/>
                      <w:color w:val="000000"/>
                      <w:sz w:val="16"/>
                      <w:szCs w:val="16"/>
                    </w:rPr>
                  </w:pPr>
                  <w:r w:rsidRPr="00702CBD">
                    <w:rPr>
                      <w:rFonts w:cs="Open Sans Light"/>
                      <w:color w:val="000000"/>
                      <w:sz w:val="16"/>
                      <w:szCs w:val="16"/>
                    </w:rPr>
                    <w:t>Mean slope</w:t>
                  </w:r>
                </w:p>
              </w:tc>
              <w:tc>
                <w:tcPr>
                  <w:tcW w:w="2551" w:type="dxa"/>
                  <w:tcBorders>
                    <w:top w:val="single" w:sz="4" w:space="0" w:color="ADD6EA"/>
                    <w:left w:val="nil"/>
                    <w:bottom w:val="single" w:sz="4" w:space="0" w:color="ADD6EA"/>
                    <w:right w:val="nil"/>
                  </w:tcBorders>
                  <w:shd w:val="clear" w:color="auto" w:fill="auto"/>
                  <w:vAlign w:val="bottom"/>
                </w:tcPr>
                <w:p w14:paraId="3D8C14B7" w14:textId="77777777" w:rsidR="00B87122" w:rsidRPr="00702CBD" w:rsidRDefault="00B87122" w:rsidP="00B87122">
                  <w:pPr>
                    <w:keepNext/>
                    <w:keepLines/>
                    <w:widowControl w:val="0"/>
                    <w:tabs>
                      <w:tab w:val="clear" w:pos="567"/>
                    </w:tabs>
                    <w:spacing w:before="0" w:line="240" w:lineRule="auto"/>
                    <w:jc w:val="right"/>
                    <w:rPr>
                      <w:rFonts w:cs="Open Sans Light"/>
                      <w:color w:val="000000"/>
                      <w:sz w:val="16"/>
                      <w:szCs w:val="16"/>
                    </w:rPr>
                  </w:pPr>
                  <w:r w:rsidRPr="00F864B7">
                    <w:rPr>
                      <w:rFonts w:cs="Open Sans Light"/>
                      <w:color w:val="000000"/>
                      <w:sz w:val="16"/>
                      <w:szCs w:val="16"/>
                    </w:rPr>
                    <w:t>6.478</w:t>
                  </w:r>
                </w:p>
              </w:tc>
              <w:tc>
                <w:tcPr>
                  <w:tcW w:w="2551" w:type="dxa"/>
                  <w:tcBorders>
                    <w:top w:val="single" w:sz="4" w:space="0" w:color="ADD6EA"/>
                    <w:left w:val="nil"/>
                    <w:bottom w:val="single" w:sz="4" w:space="0" w:color="ADD6EA"/>
                    <w:right w:val="nil"/>
                  </w:tcBorders>
                  <w:vAlign w:val="bottom"/>
                </w:tcPr>
                <w:p w14:paraId="420374F7" w14:textId="77777777" w:rsidR="00B87122" w:rsidRPr="00CD5A5A" w:rsidRDefault="00B87122" w:rsidP="00B87122">
                  <w:pPr>
                    <w:keepNext/>
                    <w:keepLines/>
                    <w:widowControl w:val="0"/>
                    <w:tabs>
                      <w:tab w:val="clear" w:pos="567"/>
                    </w:tabs>
                    <w:spacing w:before="0" w:line="240" w:lineRule="auto"/>
                    <w:jc w:val="right"/>
                    <w:rPr>
                      <w:rFonts w:cs="Open Sans Light"/>
                      <w:color w:val="000000"/>
                      <w:sz w:val="16"/>
                      <w:szCs w:val="16"/>
                    </w:rPr>
                  </w:pPr>
                  <w:r w:rsidRPr="002001DB">
                    <w:rPr>
                      <w:rFonts w:cs="Open Sans Light"/>
                      <w:color w:val="000000"/>
                      <w:sz w:val="16"/>
                      <w:szCs w:val="16"/>
                    </w:rPr>
                    <w:t>6.601</w:t>
                  </w:r>
                </w:p>
              </w:tc>
            </w:tr>
            <w:tr w:rsidR="00B87122" w:rsidRPr="00694704" w14:paraId="501ABE95" w14:textId="77777777" w:rsidTr="00205315">
              <w:trPr>
                <w:trHeight w:val="317"/>
              </w:trPr>
              <w:tc>
                <w:tcPr>
                  <w:tcW w:w="3118" w:type="dxa"/>
                  <w:tcBorders>
                    <w:top w:val="single" w:sz="4" w:space="0" w:color="ADD6EA"/>
                    <w:left w:val="nil"/>
                    <w:bottom w:val="single" w:sz="4" w:space="0" w:color="C6D9F1" w:themeColor="text2" w:themeTint="33"/>
                    <w:right w:val="nil"/>
                  </w:tcBorders>
                  <w:shd w:val="clear" w:color="auto" w:fill="auto"/>
                  <w:vAlign w:val="bottom"/>
                </w:tcPr>
                <w:p w14:paraId="5084CE6B" w14:textId="77777777" w:rsidR="00B87122" w:rsidRPr="00702CBD" w:rsidRDefault="00B87122" w:rsidP="00B87122">
                  <w:pPr>
                    <w:keepNext/>
                    <w:keepLines/>
                    <w:widowControl w:val="0"/>
                    <w:tabs>
                      <w:tab w:val="clear" w:pos="567"/>
                    </w:tabs>
                    <w:spacing w:before="0" w:line="240" w:lineRule="auto"/>
                    <w:rPr>
                      <w:rFonts w:cs="Open Sans Light"/>
                      <w:color w:val="000000"/>
                      <w:sz w:val="16"/>
                      <w:szCs w:val="16"/>
                    </w:rPr>
                  </w:pPr>
                  <w:r w:rsidRPr="00702CBD">
                    <w:rPr>
                      <w:rFonts w:cs="Open Sans Light"/>
                      <w:color w:val="000000"/>
                      <w:sz w:val="16"/>
                      <w:szCs w:val="16"/>
                    </w:rPr>
                    <w:t>Distance to work</w:t>
                  </w:r>
                </w:p>
              </w:tc>
              <w:tc>
                <w:tcPr>
                  <w:tcW w:w="2551" w:type="dxa"/>
                  <w:tcBorders>
                    <w:top w:val="single" w:sz="4" w:space="0" w:color="ADD6EA"/>
                    <w:left w:val="nil"/>
                    <w:bottom w:val="single" w:sz="4" w:space="0" w:color="C6D9F1" w:themeColor="text2" w:themeTint="33"/>
                    <w:right w:val="nil"/>
                  </w:tcBorders>
                  <w:shd w:val="clear" w:color="auto" w:fill="auto"/>
                  <w:vAlign w:val="bottom"/>
                </w:tcPr>
                <w:p w14:paraId="11EFB56B" w14:textId="77777777" w:rsidR="00B87122" w:rsidRPr="00702CBD" w:rsidRDefault="00B87122" w:rsidP="00B87122">
                  <w:pPr>
                    <w:keepNext/>
                    <w:keepLines/>
                    <w:widowControl w:val="0"/>
                    <w:tabs>
                      <w:tab w:val="clear" w:pos="567"/>
                    </w:tabs>
                    <w:spacing w:before="0" w:line="240" w:lineRule="auto"/>
                    <w:jc w:val="right"/>
                    <w:rPr>
                      <w:rFonts w:cs="Open Sans Light"/>
                      <w:color w:val="000000"/>
                      <w:sz w:val="16"/>
                      <w:szCs w:val="16"/>
                    </w:rPr>
                  </w:pPr>
                  <w:r w:rsidRPr="0034618D">
                    <w:rPr>
                      <w:rFonts w:cs="Open Sans Light"/>
                      <w:color w:val="000000"/>
                      <w:sz w:val="16"/>
                      <w:szCs w:val="16"/>
                    </w:rPr>
                    <w:t>3.062</w:t>
                  </w:r>
                </w:p>
              </w:tc>
              <w:tc>
                <w:tcPr>
                  <w:tcW w:w="2551" w:type="dxa"/>
                  <w:tcBorders>
                    <w:top w:val="single" w:sz="4" w:space="0" w:color="ADD6EA"/>
                    <w:left w:val="nil"/>
                    <w:bottom w:val="single" w:sz="4" w:space="0" w:color="C6D9F1" w:themeColor="text2" w:themeTint="33"/>
                    <w:right w:val="nil"/>
                  </w:tcBorders>
                  <w:vAlign w:val="bottom"/>
                </w:tcPr>
                <w:p w14:paraId="340F757B" w14:textId="77777777" w:rsidR="00B87122" w:rsidRPr="00694704" w:rsidRDefault="00B87122" w:rsidP="00B87122">
                  <w:pPr>
                    <w:keepNext/>
                    <w:keepLines/>
                    <w:widowControl w:val="0"/>
                    <w:tabs>
                      <w:tab w:val="clear" w:pos="567"/>
                    </w:tabs>
                    <w:spacing w:before="0" w:line="240" w:lineRule="auto"/>
                    <w:jc w:val="right"/>
                    <w:rPr>
                      <w:rFonts w:cs="Open Sans Light"/>
                      <w:color w:val="000000"/>
                      <w:sz w:val="16"/>
                      <w:szCs w:val="16"/>
                    </w:rPr>
                  </w:pPr>
                  <w:r w:rsidRPr="002001DB">
                    <w:rPr>
                      <w:rFonts w:cs="Open Sans Light"/>
                      <w:color w:val="000000"/>
                      <w:sz w:val="16"/>
                      <w:szCs w:val="16"/>
                    </w:rPr>
                    <w:t>3.071</w:t>
                  </w:r>
                </w:p>
              </w:tc>
            </w:tr>
          </w:tbl>
          <w:p w14:paraId="6E99454A" w14:textId="21290712" w:rsidR="00EC5AEC" w:rsidRPr="00787B2D" w:rsidRDefault="00D96525" w:rsidP="00787B2D">
            <w:pPr>
              <w:pStyle w:val="CGCTablenote"/>
              <w:rPr>
                <w:rFonts w:ascii="Work Sans" w:hAnsi="Work Sans"/>
                <w:lang w:eastAsia="en-AU"/>
              </w:rPr>
            </w:pPr>
            <w:r w:rsidRPr="00787B2D">
              <w:rPr>
                <w:rFonts w:ascii="Work Sans" w:hAnsi="Work Sans"/>
                <w:lang w:eastAsia="en-AU"/>
              </w:rPr>
              <w:t>Source: Commission calculation</w:t>
            </w:r>
            <w:r w:rsidR="00ED1BE0">
              <w:rPr>
                <w:rFonts w:ascii="Work Sans" w:hAnsi="Work Sans"/>
                <w:lang w:eastAsia="en-AU"/>
              </w:rPr>
              <w:t>.</w:t>
            </w:r>
          </w:p>
        </w:tc>
      </w:tr>
    </w:tbl>
    <w:p w14:paraId="1CA2A471" w14:textId="77777777" w:rsidR="00A147F0" w:rsidRDefault="00A147F0" w:rsidP="00554996">
      <w:pPr>
        <w:pStyle w:val="Heading2"/>
        <w:rPr>
          <w:rStyle w:val="Heading1Char"/>
          <w:b/>
        </w:rPr>
        <w:sectPr w:rsidR="00A147F0" w:rsidSect="00257779">
          <w:footnotePr>
            <w:numRestart w:val="eachSect"/>
          </w:footnotePr>
          <w:pgSz w:w="11907" w:h="16840" w:code="9"/>
          <w:pgMar w:top="1418" w:right="1474" w:bottom="1418" w:left="1474" w:header="567" w:footer="567" w:gutter="0"/>
          <w:cols w:space="720"/>
          <w:titlePg/>
          <w:docGrid w:linePitch="360"/>
        </w:sectPr>
      </w:pPr>
    </w:p>
    <w:p w14:paraId="1AD50D1A" w14:textId="281344C8" w:rsidR="005E5370" w:rsidRPr="001F7695" w:rsidRDefault="005E5370" w:rsidP="00554996">
      <w:pPr>
        <w:pStyle w:val="Heading2"/>
        <w:rPr>
          <w:sz w:val="40"/>
          <w:szCs w:val="40"/>
        </w:rPr>
      </w:pPr>
      <w:bookmarkStart w:id="151" w:name="_Ref137736377"/>
      <w:bookmarkStart w:id="152" w:name="_Toc138691919"/>
      <w:bookmarkStart w:id="153" w:name="_Attachment_B:_Indicative"/>
      <w:bookmarkEnd w:id="153"/>
      <w:r w:rsidRPr="41ECBAFD">
        <w:rPr>
          <w:rStyle w:val="Heading1Char"/>
          <w:b/>
          <w:bCs/>
        </w:rPr>
        <w:lastRenderedPageBreak/>
        <w:t xml:space="preserve">Attachment B: </w:t>
      </w:r>
      <w:r w:rsidR="004630D3" w:rsidRPr="0092246C">
        <w:rPr>
          <w:rStyle w:val="Heading1Char"/>
        </w:rPr>
        <w:t xml:space="preserve">Indicative data required from states to update </w:t>
      </w:r>
      <w:r w:rsidR="00B81CA9" w:rsidRPr="0092246C">
        <w:rPr>
          <w:rStyle w:val="Heading1Char"/>
        </w:rPr>
        <w:t xml:space="preserve">the </w:t>
      </w:r>
      <w:r w:rsidRPr="0092246C">
        <w:rPr>
          <w:rStyle w:val="Heading1Char"/>
        </w:rPr>
        <w:t xml:space="preserve">urban transport </w:t>
      </w:r>
      <w:r w:rsidR="00AB10DB" w:rsidRPr="0092246C">
        <w:rPr>
          <w:rStyle w:val="Heading1Char"/>
        </w:rPr>
        <w:t>assessment</w:t>
      </w:r>
      <w:r w:rsidR="00775218" w:rsidRPr="0092246C">
        <w:rPr>
          <w:rStyle w:val="Heading1Char"/>
        </w:rPr>
        <w:t xml:space="preserve"> in the 2025 Review</w:t>
      </w:r>
      <w:bookmarkEnd w:id="151"/>
      <w:bookmarkEnd w:id="152"/>
    </w:p>
    <w:p w14:paraId="7A64536B" w14:textId="77777777" w:rsidR="005E5370" w:rsidRDefault="005E5370" w:rsidP="001F7695">
      <w:pPr>
        <w:pStyle w:val="Heading3"/>
      </w:pPr>
      <w:bookmarkStart w:id="154" w:name="_Toc138691920"/>
      <w:r w:rsidRPr="00B13430">
        <w:t>Recurrent expenditure and revenue</w:t>
      </w:r>
      <w:bookmarkEnd w:id="154"/>
    </w:p>
    <w:p w14:paraId="4A8CBDEB" w14:textId="0CED1BE4" w:rsidR="00736790" w:rsidRPr="00693FFB" w:rsidRDefault="00847D01" w:rsidP="005E2F47">
      <w:pPr>
        <w:pStyle w:val="CGC2025ParaNumbers"/>
      </w:pPr>
      <w:r>
        <w:t xml:space="preserve">Data </w:t>
      </w:r>
      <w:r w:rsidR="00736790" w:rsidRPr="00693FFB">
        <w:t>relating to all</w:t>
      </w:r>
      <w:r w:rsidR="003F1A29">
        <w:t xml:space="preserve"> significant</w:t>
      </w:r>
      <w:r w:rsidR="00736790" w:rsidRPr="00693FFB">
        <w:t xml:space="preserve"> urban areas</w:t>
      </w:r>
      <w:r w:rsidR="003F1A29">
        <w:t xml:space="preserve"> (SUAs)</w:t>
      </w:r>
      <w:r w:rsidR="00736790" w:rsidRPr="00693FFB">
        <w:t xml:space="preserve"> where the </w:t>
      </w:r>
      <w:r w:rsidR="00B81CA9" w:rsidRPr="00B739B0">
        <w:t>s</w:t>
      </w:r>
      <w:r w:rsidR="00736790" w:rsidRPr="00B739B0">
        <w:t>tate</w:t>
      </w:r>
      <w:r w:rsidR="00736790" w:rsidRPr="00693FFB">
        <w:t xml:space="preserve"> government either directly or through a </w:t>
      </w:r>
      <w:r w:rsidR="0019700E" w:rsidRPr="00B739B0">
        <w:t>public non-financial corporation (</w:t>
      </w:r>
      <w:r w:rsidR="00736790" w:rsidRPr="00693FFB">
        <w:t>PNFC</w:t>
      </w:r>
      <w:r w:rsidR="0019700E" w:rsidRPr="00B739B0">
        <w:t>)</w:t>
      </w:r>
      <w:r w:rsidR="00736790" w:rsidRPr="00693FFB">
        <w:t xml:space="preserve"> contribute financially to urban transport provision</w:t>
      </w:r>
      <w:r w:rsidR="00736790">
        <w:t xml:space="preserve"> are required</w:t>
      </w:r>
      <w:r w:rsidR="00736790" w:rsidRPr="00693FFB">
        <w:t xml:space="preserve">. </w:t>
      </w:r>
    </w:p>
    <w:p w14:paraId="67C26229" w14:textId="57CD42F7" w:rsidR="00E46ED5" w:rsidRPr="00702CBD" w:rsidRDefault="00736790" w:rsidP="00B0182A">
      <w:pPr>
        <w:pStyle w:val="CGC2025ParaNumbers"/>
      </w:pPr>
      <w:r>
        <w:t>W</w:t>
      </w:r>
      <w:r w:rsidR="005A39C3">
        <w:t>h</w:t>
      </w:r>
      <w:r>
        <w:t>ere</w:t>
      </w:r>
      <w:r w:rsidR="00D90812">
        <w:t xml:space="preserve"> states provide</w:t>
      </w:r>
      <w:r w:rsidR="003F1A29">
        <w:t xml:space="preserve"> </w:t>
      </w:r>
      <w:r>
        <w:t>integrated urban transport services across their capital and main satellite cities</w:t>
      </w:r>
      <w:r w:rsidR="004E6A86">
        <w:t>,</w:t>
      </w:r>
      <w:r>
        <w:t xml:space="preserve"> </w:t>
      </w:r>
      <w:r w:rsidR="000417EB">
        <w:t>d</w:t>
      </w:r>
      <w:r>
        <w:t xml:space="preserve">ata will need to be disaggregated to at least the SUA level even if the disaggregation is approximate. To split the different urban areas, our preferred approach is to use revenue kilometres travelled (or any other measure of activities, such as journey kilometres or patronage) within the urban area to determine the split. </w:t>
      </w:r>
    </w:p>
    <w:p w14:paraId="4093DE66" w14:textId="454F0BB8" w:rsidR="00985C83" w:rsidRPr="00F05F9B" w:rsidRDefault="005E5370" w:rsidP="00F05F9B">
      <w:pPr>
        <w:pStyle w:val="CGC2025Caption"/>
        <w:tabs>
          <w:tab w:val="left" w:pos="1134"/>
        </w:tabs>
      </w:pPr>
      <w:bookmarkStart w:id="155" w:name="_Hlk136521690"/>
      <w:r w:rsidRPr="00F05F9B">
        <w:t>Table</w:t>
      </w:r>
      <w:r w:rsidR="00E84AF2">
        <w:t xml:space="preserve"> B</w:t>
      </w:r>
      <w:r w:rsidR="001121C0">
        <w:t>1</w:t>
      </w:r>
      <w:r w:rsidRPr="00F05F9B">
        <w:tab/>
        <w:t xml:space="preserve">General government sector </w:t>
      </w:r>
      <w:r w:rsidR="00757EB9" w:rsidRPr="00F05F9B">
        <w:t xml:space="preserve">(GGS) </w:t>
      </w:r>
      <w:r w:rsidRPr="00F05F9B">
        <w:t>recurrent expenditure and revenue</w:t>
      </w:r>
    </w:p>
    <w:tbl>
      <w:tblPr>
        <w:tblW w:w="8359" w:type="dxa"/>
        <w:shd w:val="clear" w:color="auto" w:fill="FDE9D9" w:themeFill="accent6" w:themeFillTint="33"/>
        <w:tblLayout w:type="fixed"/>
        <w:tblLook w:val="04A0" w:firstRow="1" w:lastRow="0" w:firstColumn="1" w:lastColumn="0" w:noHBand="0" w:noVBand="1"/>
      </w:tblPr>
      <w:tblGrid>
        <w:gridCol w:w="6091"/>
        <w:gridCol w:w="2268"/>
      </w:tblGrid>
      <w:tr w:rsidR="00285EEE" w:rsidRPr="0062405C" w14:paraId="53811EDC" w14:textId="77777777">
        <w:trPr>
          <w:trHeight w:val="300"/>
        </w:trPr>
        <w:tc>
          <w:tcPr>
            <w:tcW w:w="6091" w:type="dxa"/>
            <w:vMerge w:val="restart"/>
            <w:tcBorders>
              <w:top w:val="single" w:sz="4" w:space="0" w:color="auto"/>
              <w:left w:val="single" w:sz="4" w:space="0" w:color="auto"/>
              <w:right w:val="single" w:sz="4" w:space="0" w:color="auto"/>
            </w:tcBorders>
            <w:shd w:val="clear" w:color="auto" w:fill="FDE9D9" w:themeFill="accent6" w:themeFillTint="33"/>
            <w:noWrap/>
            <w:vAlign w:val="center"/>
          </w:tcPr>
          <w:bookmarkEnd w:id="155"/>
          <w:p w14:paraId="22D114A3" w14:textId="6176BC74" w:rsidR="00285EEE" w:rsidRDefault="002E3F17">
            <w:pPr>
              <w:tabs>
                <w:tab w:val="clear" w:pos="567"/>
              </w:tabs>
              <w:spacing w:before="0" w:line="240" w:lineRule="auto"/>
              <w:rPr>
                <w:rFonts w:ascii="Work Sans" w:eastAsia="Times New Roman" w:hAnsi="Work Sans" w:cs="Calibri"/>
                <w:color w:val="000000"/>
                <w:sz w:val="16"/>
                <w:szCs w:val="16"/>
                <w:lang w:eastAsia="en-AU"/>
              </w:rPr>
            </w:pPr>
            <w:r>
              <w:rPr>
                <w:rFonts w:ascii="Work Sans" w:eastAsia="Times New Roman" w:hAnsi="Work Sans" w:cs="Calibri"/>
                <w:color w:val="000000"/>
                <w:sz w:val="16"/>
                <w:szCs w:val="16"/>
                <w:lang w:eastAsia="en-AU"/>
              </w:rPr>
              <w:t xml:space="preserve">Complete </w:t>
            </w:r>
            <w:r w:rsidR="00061505">
              <w:rPr>
                <w:rFonts w:ascii="Work Sans" w:eastAsia="Times New Roman" w:hAnsi="Work Sans" w:cs="Calibri"/>
                <w:color w:val="000000"/>
                <w:sz w:val="16"/>
                <w:szCs w:val="16"/>
                <w:lang w:eastAsia="en-AU"/>
              </w:rPr>
              <w:t>one table per</w:t>
            </w:r>
            <w:r>
              <w:rPr>
                <w:rFonts w:ascii="Work Sans" w:eastAsia="Times New Roman" w:hAnsi="Work Sans" w:cs="Calibri"/>
                <w:color w:val="000000"/>
                <w:sz w:val="16"/>
                <w:szCs w:val="16"/>
                <w:lang w:eastAsia="en-AU"/>
              </w:rPr>
              <w:t xml:space="preserve"> significant urban area</w:t>
            </w:r>
          </w:p>
        </w:tc>
        <w:tc>
          <w:tcPr>
            <w:tcW w:w="2268" w:type="dxa"/>
            <w:tcBorders>
              <w:top w:val="single" w:sz="4" w:space="0" w:color="auto"/>
              <w:left w:val="nil"/>
              <w:bottom w:val="single" w:sz="4" w:space="0" w:color="auto"/>
              <w:right w:val="single" w:sz="4" w:space="0" w:color="auto"/>
            </w:tcBorders>
            <w:shd w:val="clear" w:color="auto" w:fill="FDE9D9" w:themeFill="accent6" w:themeFillTint="33"/>
            <w:noWrap/>
            <w:vAlign w:val="center"/>
          </w:tcPr>
          <w:p w14:paraId="4A118176" w14:textId="608D6F37" w:rsidR="00285EEE" w:rsidRDefault="00285EEE" w:rsidP="00362ADB">
            <w:pPr>
              <w:tabs>
                <w:tab w:val="clear" w:pos="567"/>
              </w:tabs>
              <w:spacing w:before="0" w:line="240" w:lineRule="auto"/>
              <w:rPr>
                <w:rFonts w:ascii="Work Sans" w:eastAsia="Times New Roman" w:hAnsi="Work Sans" w:cs="Calibri"/>
                <w:color w:val="000000"/>
                <w:sz w:val="16"/>
                <w:szCs w:val="16"/>
                <w:lang w:eastAsia="en-AU"/>
              </w:rPr>
            </w:pPr>
            <w:r>
              <w:rPr>
                <w:rFonts w:ascii="Work Sans" w:eastAsia="Times New Roman" w:hAnsi="Work Sans" w:cs="Calibri"/>
                <w:color w:val="000000"/>
                <w:sz w:val="16"/>
                <w:szCs w:val="16"/>
                <w:lang w:eastAsia="en-AU"/>
              </w:rPr>
              <w:t>Name of urban area</w:t>
            </w:r>
          </w:p>
        </w:tc>
      </w:tr>
      <w:tr w:rsidR="00985C83" w:rsidRPr="0062405C" w14:paraId="1CE16027" w14:textId="48315ABC">
        <w:trPr>
          <w:trHeight w:val="300"/>
        </w:trPr>
        <w:tc>
          <w:tcPr>
            <w:tcW w:w="6091" w:type="dxa"/>
            <w:vMerge/>
            <w:tcBorders>
              <w:left w:val="single" w:sz="4" w:space="0" w:color="auto"/>
              <w:bottom w:val="single" w:sz="4" w:space="0" w:color="auto"/>
              <w:right w:val="single" w:sz="4" w:space="0" w:color="auto"/>
            </w:tcBorders>
            <w:shd w:val="clear" w:color="auto" w:fill="FDE9D9" w:themeFill="accent6" w:themeFillTint="33"/>
            <w:noWrap/>
            <w:vAlign w:val="center"/>
            <w:hideMark/>
          </w:tcPr>
          <w:p w14:paraId="14C3F80C" w14:textId="66B87C73" w:rsidR="00985C83" w:rsidRPr="0078340F" w:rsidRDefault="00985C83">
            <w:pPr>
              <w:tabs>
                <w:tab w:val="clear" w:pos="567"/>
              </w:tabs>
              <w:spacing w:before="0" w:line="240" w:lineRule="auto"/>
              <w:rPr>
                <w:rFonts w:ascii="Work Sans" w:eastAsia="Times New Roman" w:hAnsi="Work Sans" w:cs="Calibri"/>
                <w:color w:val="000000"/>
                <w:sz w:val="16"/>
                <w:szCs w:val="16"/>
                <w:lang w:eastAsia="en-AU"/>
              </w:rPr>
            </w:pPr>
          </w:p>
        </w:tc>
        <w:tc>
          <w:tcPr>
            <w:tcW w:w="2268"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3D0FA95E" w14:textId="74EB4D9D" w:rsidR="00985C83" w:rsidRPr="0078340F" w:rsidRDefault="002E3F17" w:rsidP="00362ADB">
            <w:pPr>
              <w:tabs>
                <w:tab w:val="clear" w:pos="567"/>
              </w:tabs>
              <w:spacing w:before="0" w:line="240" w:lineRule="auto"/>
              <w:rPr>
                <w:rFonts w:ascii="Work Sans" w:eastAsia="Times New Roman" w:hAnsi="Work Sans" w:cs="Calibri"/>
                <w:color w:val="000000"/>
                <w:sz w:val="16"/>
                <w:szCs w:val="16"/>
                <w:lang w:eastAsia="en-AU"/>
              </w:rPr>
            </w:pPr>
            <w:r>
              <w:rPr>
                <w:rFonts w:ascii="Work Sans" w:eastAsia="Times New Roman" w:hAnsi="Work Sans" w:cs="Calibri"/>
                <w:color w:val="000000"/>
                <w:sz w:val="16"/>
                <w:szCs w:val="16"/>
                <w:lang w:eastAsia="en-AU"/>
              </w:rPr>
              <w:t>2022-23</w:t>
            </w:r>
          </w:p>
        </w:tc>
      </w:tr>
      <w:tr w:rsidR="008B29DB" w:rsidRPr="0062405C" w14:paraId="7966BBF7" w14:textId="1E4DEE82"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hideMark/>
          </w:tcPr>
          <w:p w14:paraId="0F39D63B" w14:textId="5E5983E5" w:rsidR="00985C83" w:rsidRPr="0078340F" w:rsidRDefault="00254065">
            <w:pPr>
              <w:tabs>
                <w:tab w:val="clear" w:pos="567"/>
              </w:tabs>
              <w:spacing w:before="0" w:line="240" w:lineRule="auto"/>
              <w:rPr>
                <w:rFonts w:ascii="Work Sans" w:eastAsia="Times New Roman" w:hAnsi="Work Sans" w:cs="Calibri"/>
                <w:color w:val="000000"/>
                <w:sz w:val="16"/>
                <w:szCs w:val="16"/>
                <w:lang w:eastAsia="en-AU"/>
              </w:rPr>
            </w:pPr>
            <w:r w:rsidRPr="00330670">
              <w:rPr>
                <w:rFonts w:ascii="Work Sans" w:eastAsia="Times New Roman" w:hAnsi="Work Sans" w:cs="Calibri"/>
                <w:b/>
                <w:color w:val="000000"/>
                <w:szCs w:val="20"/>
                <w:lang w:eastAsia="en-AU"/>
              </w:rPr>
              <w:t>Total revenue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hideMark/>
          </w:tcPr>
          <w:p w14:paraId="38DC604A" w14:textId="77777777" w:rsidR="00985C83" w:rsidRPr="0078340F" w:rsidRDefault="00985C83">
            <w:pPr>
              <w:tabs>
                <w:tab w:val="clear" w:pos="567"/>
              </w:tabs>
              <w:spacing w:before="0" w:line="240" w:lineRule="auto"/>
              <w:jc w:val="right"/>
              <w:rPr>
                <w:rFonts w:ascii="Work Sans" w:eastAsia="Times New Roman" w:hAnsi="Work Sans" w:cs="Calibri"/>
                <w:color w:val="000000"/>
                <w:sz w:val="16"/>
                <w:szCs w:val="16"/>
                <w:lang w:eastAsia="en-AU"/>
              </w:rPr>
            </w:pPr>
            <w:r w:rsidRPr="0078340F">
              <w:rPr>
                <w:rFonts w:ascii="Work Sans" w:eastAsia="Times New Roman" w:hAnsi="Work Sans" w:cs="Calibri"/>
                <w:color w:val="000000"/>
                <w:sz w:val="16"/>
                <w:szCs w:val="16"/>
                <w:lang w:eastAsia="en-AU"/>
              </w:rPr>
              <w:t> </w:t>
            </w:r>
          </w:p>
        </w:tc>
      </w:tr>
      <w:tr w:rsidR="008B29DB" w:rsidRPr="0062405C" w14:paraId="2B2AEEFF" w14:textId="3A3FF12A"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hideMark/>
          </w:tcPr>
          <w:p w14:paraId="7545DEB3" w14:textId="65D03933" w:rsidR="00985C83" w:rsidRPr="0078340F" w:rsidRDefault="00254065">
            <w:pPr>
              <w:tabs>
                <w:tab w:val="clear" w:pos="567"/>
              </w:tabs>
              <w:spacing w:before="0" w:line="240" w:lineRule="auto"/>
              <w:rPr>
                <w:rFonts w:ascii="Work Sans" w:eastAsia="Times New Roman" w:hAnsi="Work Sans" w:cs="Calibri"/>
                <w:color w:val="000000"/>
                <w:sz w:val="16"/>
                <w:szCs w:val="16"/>
                <w:lang w:eastAsia="en-AU"/>
              </w:rPr>
            </w:pPr>
            <w:r w:rsidRPr="00330670">
              <w:rPr>
                <w:rFonts w:ascii="Work Sans" w:eastAsia="Times New Roman" w:hAnsi="Work Sans" w:cs="Calibri"/>
                <w:color w:val="000000"/>
                <w:szCs w:val="20"/>
                <w:lang w:eastAsia="en-AU"/>
              </w:rPr>
              <w:t>Fare revenue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hideMark/>
          </w:tcPr>
          <w:p w14:paraId="147D6F7E" w14:textId="77777777" w:rsidR="00985C83" w:rsidRPr="0078340F" w:rsidRDefault="00985C83">
            <w:pPr>
              <w:tabs>
                <w:tab w:val="clear" w:pos="567"/>
              </w:tabs>
              <w:spacing w:before="0" w:line="240" w:lineRule="auto"/>
              <w:jc w:val="right"/>
              <w:rPr>
                <w:rFonts w:ascii="Work Sans" w:eastAsia="Times New Roman" w:hAnsi="Work Sans" w:cs="Calibri"/>
                <w:color w:val="000000"/>
                <w:sz w:val="16"/>
                <w:szCs w:val="16"/>
                <w:lang w:eastAsia="en-AU"/>
              </w:rPr>
            </w:pPr>
            <w:r w:rsidRPr="0078340F">
              <w:rPr>
                <w:rFonts w:ascii="Work Sans" w:eastAsia="Times New Roman" w:hAnsi="Work Sans" w:cs="Calibri"/>
                <w:color w:val="000000"/>
                <w:sz w:val="16"/>
                <w:szCs w:val="16"/>
                <w:lang w:eastAsia="en-AU"/>
              </w:rPr>
              <w:t> </w:t>
            </w:r>
          </w:p>
        </w:tc>
      </w:tr>
      <w:tr w:rsidR="00254065" w:rsidRPr="0062405C" w14:paraId="53641DF5"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2EB00CC3" w14:textId="42DE2ED3" w:rsidR="00254065" w:rsidRPr="00330670" w:rsidRDefault="00254065" w:rsidP="00254065">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color w:val="000000"/>
                <w:szCs w:val="20"/>
                <w:lang w:eastAsia="en-AU"/>
              </w:rPr>
              <w:t>Dividends received from PNFCs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32E64ED6"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7D4716AA"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3AF8DF5C" w14:textId="2B3D7C88" w:rsidR="00254065" w:rsidRPr="00330670" w:rsidRDefault="00254065" w:rsidP="00254065">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color w:val="000000"/>
                <w:szCs w:val="20"/>
                <w:lang w:eastAsia="en-AU"/>
              </w:rPr>
              <w:t>Other payments received from PNFCs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789DAFC6"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2EFDD1A2"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46E049C9" w14:textId="5A600D9D" w:rsidR="00254065" w:rsidRPr="00330670" w:rsidRDefault="00254065" w:rsidP="00254065">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color w:val="000000"/>
                <w:szCs w:val="20"/>
                <w:lang w:eastAsia="en-AU"/>
              </w:rPr>
              <w:t>Other revenue – please describe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257B70D3"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51C78F34"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2E40DBE9" w14:textId="6FCDAA4F" w:rsidR="00254065" w:rsidRPr="00330670" w:rsidRDefault="00254065" w:rsidP="00254065">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b/>
                <w:color w:val="000000"/>
                <w:szCs w:val="20"/>
                <w:lang w:eastAsia="en-AU"/>
              </w:rPr>
              <w:t>Total operating expense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09413AD6"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101C5F7E"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4476E2A8" w14:textId="2B881734" w:rsidR="00254065" w:rsidRPr="00330670" w:rsidRDefault="00254065" w:rsidP="00254065">
            <w:pPr>
              <w:tabs>
                <w:tab w:val="clear" w:pos="567"/>
              </w:tabs>
              <w:spacing w:before="0" w:line="240" w:lineRule="auto"/>
              <w:rPr>
                <w:rFonts w:ascii="Work Sans" w:eastAsia="Times New Roman" w:hAnsi="Work Sans" w:cs="Calibri"/>
                <w:b/>
                <w:color w:val="000000"/>
                <w:szCs w:val="20"/>
                <w:lang w:eastAsia="en-AU"/>
              </w:rPr>
            </w:pPr>
            <w:r w:rsidRPr="00330670">
              <w:rPr>
                <w:rFonts w:ascii="Work Sans" w:eastAsia="Times New Roman" w:hAnsi="Work Sans" w:cs="Calibri"/>
                <w:color w:val="000000"/>
                <w:szCs w:val="20"/>
                <w:lang w:eastAsia="en-AU"/>
              </w:rPr>
              <w:t>Concession subsidies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1FE23255"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30BA75BC"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376613C8" w14:textId="7C437380" w:rsidR="00254065" w:rsidRPr="00330670" w:rsidRDefault="00254065" w:rsidP="00254065">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i/>
                <w:color w:val="000000"/>
                <w:szCs w:val="20"/>
                <w:lang w:eastAsia="en-AU"/>
              </w:rPr>
              <w:t>Direct service provision by GGS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6211BF90"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3CA3166D"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34184C99" w14:textId="57A01A67" w:rsidR="00254065" w:rsidRPr="00330670" w:rsidRDefault="00254065" w:rsidP="00254065">
            <w:pPr>
              <w:tabs>
                <w:tab w:val="clear" w:pos="567"/>
              </w:tabs>
              <w:spacing w:before="0" w:line="240" w:lineRule="auto"/>
              <w:rPr>
                <w:rFonts w:ascii="Work Sans" w:eastAsia="Times New Roman" w:hAnsi="Work Sans" w:cs="Calibri"/>
                <w:i/>
                <w:color w:val="000000"/>
                <w:szCs w:val="20"/>
                <w:lang w:eastAsia="en-AU"/>
              </w:rPr>
            </w:pPr>
            <w:r w:rsidRPr="00330670">
              <w:rPr>
                <w:rFonts w:ascii="Work Sans" w:eastAsia="Times New Roman" w:hAnsi="Work Sans" w:cs="Calibri"/>
                <w:i/>
                <w:color w:val="000000"/>
                <w:szCs w:val="20"/>
                <w:lang w:eastAsia="en-AU"/>
              </w:rPr>
              <w:t>Paid to PNFCs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233F4AEC"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268BE521"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6ECBC768" w14:textId="5FE1D736" w:rsidR="00254065" w:rsidRPr="00330670" w:rsidRDefault="00254065" w:rsidP="00254065">
            <w:pPr>
              <w:tabs>
                <w:tab w:val="clear" w:pos="567"/>
              </w:tabs>
              <w:spacing w:before="0" w:line="240" w:lineRule="auto"/>
              <w:rPr>
                <w:rFonts w:ascii="Work Sans" w:eastAsia="Times New Roman" w:hAnsi="Work Sans" w:cs="Calibri"/>
                <w:i/>
                <w:color w:val="000000"/>
                <w:szCs w:val="20"/>
                <w:lang w:eastAsia="en-AU"/>
              </w:rPr>
            </w:pPr>
            <w:r w:rsidRPr="00330670">
              <w:rPr>
                <w:rFonts w:ascii="Work Sans" w:eastAsia="Times New Roman" w:hAnsi="Work Sans" w:cs="Calibri"/>
                <w:i/>
                <w:color w:val="000000"/>
                <w:szCs w:val="20"/>
                <w:lang w:eastAsia="en-AU"/>
              </w:rPr>
              <w:t>Paid to others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1AADE375"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2BAF66F9"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39A9907D" w14:textId="030E2186" w:rsidR="00254065" w:rsidRPr="00330670" w:rsidRDefault="00254065" w:rsidP="00254065">
            <w:pPr>
              <w:tabs>
                <w:tab w:val="clear" w:pos="567"/>
              </w:tabs>
              <w:spacing w:before="0" w:line="240" w:lineRule="auto"/>
              <w:rPr>
                <w:rFonts w:ascii="Work Sans" w:eastAsia="Times New Roman" w:hAnsi="Work Sans" w:cs="Calibri"/>
                <w:i/>
                <w:color w:val="000000"/>
                <w:szCs w:val="20"/>
                <w:lang w:eastAsia="en-AU"/>
              </w:rPr>
            </w:pPr>
            <w:r w:rsidRPr="00330670">
              <w:rPr>
                <w:rFonts w:ascii="Work Sans" w:eastAsia="Times New Roman" w:hAnsi="Work Sans" w:cs="Calibri"/>
                <w:color w:val="000000"/>
                <w:szCs w:val="20"/>
                <w:lang w:eastAsia="en-AU"/>
              </w:rPr>
              <w:t>Other subsides if service not directly provided by GGS</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3918CC00"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1FBF2D4D"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4B8990DE" w14:textId="0439A5F6" w:rsidR="00254065" w:rsidRPr="00330670" w:rsidRDefault="00254065" w:rsidP="00254065">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i/>
                <w:color w:val="000000"/>
                <w:szCs w:val="20"/>
                <w:lang w:eastAsia="en-AU"/>
              </w:rPr>
              <w:t>Paid to PNFCs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77876C3D"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2AD38893"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6ACE8CF7" w14:textId="102B4533" w:rsidR="00254065" w:rsidRPr="00330670" w:rsidRDefault="00254065" w:rsidP="00254065">
            <w:pPr>
              <w:tabs>
                <w:tab w:val="clear" w:pos="567"/>
              </w:tabs>
              <w:spacing w:before="0" w:line="240" w:lineRule="auto"/>
              <w:rPr>
                <w:rFonts w:ascii="Work Sans" w:eastAsia="Times New Roman" w:hAnsi="Work Sans" w:cs="Calibri"/>
                <w:i/>
                <w:color w:val="000000"/>
                <w:szCs w:val="20"/>
                <w:lang w:eastAsia="en-AU"/>
              </w:rPr>
            </w:pPr>
            <w:r w:rsidRPr="00330670">
              <w:rPr>
                <w:rFonts w:ascii="Work Sans" w:eastAsia="Times New Roman" w:hAnsi="Work Sans" w:cs="Calibri"/>
                <w:i/>
                <w:color w:val="000000"/>
                <w:szCs w:val="20"/>
                <w:lang w:eastAsia="en-AU"/>
              </w:rPr>
              <w:t>Paid to others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1102CB41"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40C8D7A5"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6EF59E63" w14:textId="1ECEF692" w:rsidR="00254065" w:rsidRPr="00330670" w:rsidRDefault="00254065" w:rsidP="00254065">
            <w:pPr>
              <w:tabs>
                <w:tab w:val="clear" w:pos="567"/>
              </w:tabs>
              <w:spacing w:before="0" w:line="240" w:lineRule="auto"/>
              <w:rPr>
                <w:rFonts w:ascii="Work Sans" w:eastAsia="Times New Roman" w:hAnsi="Work Sans" w:cs="Calibri"/>
                <w:i/>
                <w:color w:val="000000"/>
                <w:szCs w:val="20"/>
                <w:lang w:eastAsia="en-AU"/>
              </w:rPr>
            </w:pPr>
            <w:r w:rsidRPr="00330670">
              <w:rPr>
                <w:rFonts w:ascii="Work Sans" w:eastAsia="Times New Roman" w:hAnsi="Work Sans" w:cs="Calibri"/>
                <w:color w:val="000000"/>
                <w:szCs w:val="20"/>
                <w:lang w:eastAsia="en-AU"/>
              </w:rPr>
              <w:t xml:space="preserve">Other expenses </w:t>
            </w:r>
            <w:r w:rsidR="00757EB9">
              <w:rPr>
                <w:rFonts w:ascii="Work Sans" w:eastAsia="Times New Roman" w:hAnsi="Work Sans" w:cs="Calibri"/>
                <w:color w:val="000000"/>
                <w:szCs w:val="20"/>
                <w:lang w:eastAsia="en-AU"/>
              </w:rPr>
              <w:t>—</w:t>
            </w:r>
            <w:r w:rsidRPr="00330670">
              <w:rPr>
                <w:rFonts w:ascii="Work Sans" w:eastAsia="Times New Roman" w:hAnsi="Work Sans" w:cs="Calibri"/>
                <w:color w:val="000000"/>
                <w:szCs w:val="20"/>
                <w:lang w:eastAsia="en-AU"/>
              </w:rPr>
              <w:t xml:space="preserve"> please describe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5FCA2E74"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r w:rsidR="00254065" w:rsidRPr="0062405C" w14:paraId="0E86295A" w14:textId="77777777" w:rsidTr="00757FE7">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6E63C501" w14:textId="4BED2581" w:rsidR="00254065" w:rsidRPr="00330670" w:rsidRDefault="00254065" w:rsidP="00254065">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i/>
                <w:color w:val="000000"/>
                <w:szCs w:val="20"/>
                <w:lang w:eastAsia="en-AU"/>
              </w:rPr>
              <w:t>Depreciation if service provided directly by GGS ($m) (a)</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04899E78" w14:textId="77777777" w:rsidR="00254065" w:rsidRPr="0078340F" w:rsidRDefault="00254065" w:rsidP="00254065">
            <w:pPr>
              <w:tabs>
                <w:tab w:val="clear" w:pos="567"/>
              </w:tabs>
              <w:spacing w:before="0" w:line="240" w:lineRule="auto"/>
              <w:jc w:val="right"/>
              <w:rPr>
                <w:rFonts w:ascii="Work Sans" w:eastAsia="Times New Roman" w:hAnsi="Work Sans" w:cs="Calibri"/>
                <w:color w:val="000000"/>
                <w:sz w:val="16"/>
                <w:szCs w:val="16"/>
                <w:lang w:eastAsia="en-AU"/>
              </w:rPr>
            </w:pPr>
          </w:p>
        </w:tc>
      </w:tr>
    </w:tbl>
    <w:p w14:paraId="7E9C800A" w14:textId="3AA1FF00" w:rsidR="00362ADB" w:rsidRPr="00E33982" w:rsidRDefault="00362ADB" w:rsidP="00E33982">
      <w:pPr>
        <w:pStyle w:val="CGCTablenote"/>
        <w:rPr>
          <w:rFonts w:ascii="Work Sans" w:hAnsi="Work Sans"/>
        </w:rPr>
      </w:pPr>
      <w:r w:rsidRPr="00E33982">
        <w:rPr>
          <w:rFonts w:ascii="Work Sans" w:hAnsi="Work Sans"/>
        </w:rPr>
        <w:t>Note:</w:t>
      </w:r>
      <w:r w:rsidR="004E6A86">
        <w:rPr>
          <w:rFonts w:ascii="Work Sans" w:hAnsi="Work Sans"/>
        </w:rPr>
        <w:tab/>
      </w:r>
      <w:r w:rsidRPr="00E33982">
        <w:rPr>
          <w:rFonts w:ascii="Work Sans" w:hAnsi="Work Sans"/>
        </w:rPr>
        <w:t>Fare revenue should exclude fare box revenue collected on behalf of private providers.</w:t>
      </w:r>
    </w:p>
    <w:p w14:paraId="54E8FA70" w14:textId="1063DBA1" w:rsidR="005E5370" w:rsidRPr="00E33982" w:rsidRDefault="004E6A86" w:rsidP="00E33982">
      <w:pPr>
        <w:pStyle w:val="CGCTablenote"/>
        <w:rPr>
          <w:rFonts w:ascii="Work Sans" w:hAnsi="Work Sans"/>
        </w:rPr>
      </w:pPr>
      <w:r>
        <w:rPr>
          <w:rFonts w:ascii="Work Sans" w:hAnsi="Work Sans"/>
        </w:rPr>
        <w:tab/>
      </w:r>
      <w:r>
        <w:rPr>
          <w:rFonts w:ascii="Work Sans" w:hAnsi="Work Sans"/>
        </w:rPr>
        <w:tab/>
      </w:r>
      <w:r w:rsidR="005E5370" w:rsidRPr="00E33982">
        <w:rPr>
          <w:rFonts w:ascii="Work Sans" w:hAnsi="Work Sans"/>
        </w:rPr>
        <w:t xml:space="preserve">Subsidies paid </w:t>
      </w:r>
      <w:r w:rsidR="00362ADB" w:rsidRPr="00E33982">
        <w:rPr>
          <w:rFonts w:ascii="Work Sans" w:hAnsi="Work Sans"/>
        </w:rPr>
        <w:t>refer</w:t>
      </w:r>
      <w:r w:rsidR="005E5370" w:rsidRPr="00E33982">
        <w:rPr>
          <w:rFonts w:ascii="Work Sans" w:hAnsi="Work Sans"/>
        </w:rPr>
        <w:t xml:space="preserve"> to those provided to private providers and local governments.</w:t>
      </w:r>
    </w:p>
    <w:p w14:paraId="08DC8FCE" w14:textId="39938BFA" w:rsidR="005E5370" w:rsidRPr="00E33982" w:rsidRDefault="005E5370" w:rsidP="00682BC2">
      <w:pPr>
        <w:pStyle w:val="CGCTablenote"/>
        <w:numPr>
          <w:ilvl w:val="0"/>
          <w:numId w:val="14"/>
        </w:numPr>
        <w:tabs>
          <w:tab w:val="clear" w:pos="680"/>
          <w:tab w:val="left" w:pos="630"/>
        </w:tabs>
        <w:ind w:left="590" w:hanging="504"/>
        <w:rPr>
          <w:rFonts w:ascii="Work Sans" w:hAnsi="Work Sans"/>
        </w:rPr>
      </w:pPr>
      <w:r w:rsidRPr="00E33982">
        <w:rPr>
          <w:rFonts w:ascii="Work Sans" w:hAnsi="Work Sans"/>
        </w:rPr>
        <w:t>This should only include deprecation expenses on assets directly used in service delivery. It should exclude head office related deprecation.</w:t>
      </w:r>
    </w:p>
    <w:p w14:paraId="7CFE8C43" w14:textId="04B6959A" w:rsidR="00870BC6" w:rsidRDefault="00870BC6">
      <w:pPr>
        <w:tabs>
          <w:tab w:val="clear" w:pos="567"/>
        </w:tabs>
        <w:spacing w:before="0" w:after="200" w:line="276" w:lineRule="auto"/>
      </w:pPr>
      <w:r>
        <w:br w:type="page"/>
      </w:r>
    </w:p>
    <w:p w14:paraId="1BEEDBA7" w14:textId="4C31DCBB" w:rsidR="00923598" w:rsidRPr="00330670" w:rsidRDefault="00F70EC2" w:rsidP="00F05F9B">
      <w:pPr>
        <w:pStyle w:val="CGC2025Caption"/>
        <w:tabs>
          <w:tab w:val="left" w:pos="1134"/>
        </w:tabs>
      </w:pPr>
      <w:r w:rsidRPr="00F05F9B">
        <w:lastRenderedPageBreak/>
        <w:t xml:space="preserve">Table </w:t>
      </w:r>
      <w:r w:rsidR="001121C0" w:rsidRPr="00F05F9B">
        <w:t>B</w:t>
      </w:r>
      <w:r w:rsidRPr="00330670">
        <w:t>2</w:t>
      </w:r>
      <w:r w:rsidRPr="00F05F9B">
        <w:tab/>
      </w:r>
      <w:r w:rsidR="007E6600" w:rsidRPr="00F05F9B">
        <w:t>PNFC</w:t>
      </w:r>
      <w:r w:rsidRPr="00F05F9B">
        <w:t xml:space="preserve"> recurrent expenditure and revenue</w:t>
      </w:r>
    </w:p>
    <w:tbl>
      <w:tblPr>
        <w:tblW w:w="8359" w:type="dxa"/>
        <w:shd w:val="clear" w:color="auto" w:fill="FDE9D9" w:themeFill="accent6" w:themeFillTint="33"/>
        <w:tblLayout w:type="fixed"/>
        <w:tblLook w:val="04A0" w:firstRow="1" w:lastRow="0" w:firstColumn="1" w:lastColumn="0" w:noHBand="0" w:noVBand="1"/>
      </w:tblPr>
      <w:tblGrid>
        <w:gridCol w:w="6091"/>
        <w:gridCol w:w="2268"/>
      </w:tblGrid>
      <w:tr w:rsidR="00923598" w:rsidRPr="0062405C" w14:paraId="666670EF" w14:textId="77777777">
        <w:trPr>
          <w:trHeight w:val="300"/>
        </w:trPr>
        <w:tc>
          <w:tcPr>
            <w:tcW w:w="6091" w:type="dxa"/>
            <w:vMerge w:val="restart"/>
            <w:tcBorders>
              <w:top w:val="single" w:sz="4" w:space="0" w:color="auto"/>
              <w:left w:val="single" w:sz="4" w:space="0" w:color="auto"/>
              <w:right w:val="single" w:sz="4" w:space="0" w:color="auto"/>
            </w:tcBorders>
            <w:shd w:val="clear" w:color="auto" w:fill="FDE9D9" w:themeFill="accent6" w:themeFillTint="33"/>
            <w:noWrap/>
            <w:vAlign w:val="center"/>
          </w:tcPr>
          <w:p w14:paraId="487E1F6B" w14:textId="1C507361" w:rsidR="00923598" w:rsidRDefault="00061505">
            <w:pPr>
              <w:tabs>
                <w:tab w:val="clear" w:pos="567"/>
              </w:tabs>
              <w:spacing w:before="0" w:line="240" w:lineRule="auto"/>
              <w:rPr>
                <w:rFonts w:ascii="Work Sans" w:eastAsia="Times New Roman" w:hAnsi="Work Sans" w:cs="Calibri"/>
                <w:color w:val="000000"/>
                <w:sz w:val="16"/>
                <w:szCs w:val="16"/>
                <w:lang w:eastAsia="en-AU"/>
              </w:rPr>
            </w:pPr>
            <w:r>
              <w:rPr>
                <w:rFonts w:ascii="Work Sans" w:eastAsia="Times New Roman" w:hAnsi="Work Sans" w:cs="Calibri"/>
                <w:color w:val="000000"/>
                <w:sz w:val="16"/>
                <w:szCs w:val="16"/>
                <w:lang w:eastAsia="en-AU"/>
              </w:rPr>
              <w:t xml:space="preserve">Complete one table per </w:t>
            </w:r>
            <w:r w:rsidR="002E3F17">
              <w:rPr>
                <w:rFonts w:ascii="Work Sans" w:eastAsia="Times New Roman" w:hAnsi="Work Sans" w:cs="Calibri"/>
                <w:color w:val="000000"/>
                <w:sz w:val="16"/>
                <w:szCs w:val="16"/>
                <w:lang w:eastAsia="en-AU"/>
              </w:rPr>
              <w:t>significant urban area</w:t>
            </w:r>
          </w:p>
        </w:tc>
        <w:tc>
          <w:tcPr>
            <w:tcW w:w="2268" w:type="dxa"/>
            <w:tcBorders>
              <w:top w:val="single" w:sz="4" w:space="0" w:color="auto"/>
              <w:left w:val="nil"/>
              <w:bottom w:val="single" w:sz="4" w:space="0" w:color="auto"/>
              <w:right w:val="single" w:sz="4" w:space="0" w:color="auto"/>
            </w:tcBorders>
            <w:shd w:val="clear" w:color="auto" w:fill="FDE9D9" w:themeFill="accent6" w:themeFillTint="33"/>
            <w:noWrap/>
            <w:vAlign w:val="center"/>
          </w:tcPr>
          <w:p w14:paraId="298820FE" w14:textId="2F427908" w:rsidR="00923598" w:rsidRDefault="00923598" w:rsidP="00362ADB">
            <w:pPr>
              <w:tabs>
                <w:tab w:val="clear" w:pos="567"/>
              </w:tabs>
              <w:spacing w:before="0" w:line="240" w:lineRule="auto"/>
              <w:rPr>
                <w:rFonts w:ascii="Work Sans" w:eastAsia="Times New Roman" w:hAnsi="Work Sans" w:cs="Calibri"/>
                <w:color w:val="000000"/>
                <w:sz w:val="16"/>
                <w:szCs w:val="16"/>
                <w:lang w:eastAsia="en-AU"/>
              </w:rPr>
            </w:pPr>
            <w:r>
              <w:rPr>
                <w:rFonts w:ascii="Work Sans" w:eastAsia="Times New Roman" w:hAnsi="Work Sans" w:cs="Calibri"/>
                <w:color w:val="000000"/>
                <w:sz w:val="16"/>
                <w:szCs w:val="16"/>
                <w:lang w:eastAsia="en-AU"/>
              </w:rPr>
              <w:t>Name of urban area</w:t>
            </w:r>
          </w:p>
        </w:tc>
      </w:tr>
      <w:tr w:rsidR="00923598" w:rsidRPr="0062405C" w14:paraId="4FD2520A" w14:textId="77777777">
        <w:trPr>
          <w:trHeight w:val="300"/>
        </w:trPr>
        <w:tc>
          <w:tcPr>
            <w:tcW w:w="6091" w:type="dxa"/>
            <w:vMerge/>
            <w:tcBorders>
              <w:left w:val="single" w:sz="4" w:space="0" w:color="auto"/>
              <w:bottom w:val="single" w:sz="4" w:space="0" w:color="auto"/>
              <w:right w:val="single" w:sz="4" w:space="0" w:color="auto"/>
            </w:tcBorders>
            <w:shd w:val="clear" w:color="auto" w:fill="FDE9D9" w:themeFill="accent6" w:themeFillTint="33"/>
            <w:noWrap/>
            <w:vAlign w:val="center"/>
            <w:hideMark/>
          </w:tcPr>
          <w:p w14:paraId="030777AA" w14:textId="77777777" w:rsidR="00923598" w:rsidRPr="0078340F" w:rsidRDefault="00923598">
            <w:pPr>
              <w:tabs>
                <w:tab w:val="clear" w:pos="567"/>
              </w:tabs>
              <w:spacing w:before="0" w:line="240" w:lineRule="auto"/>
              <w:rPr>
                <w:rFonts w:ascii="Work Sans" w:eastAsia="Times New Roman" w:hAnsi="Work Sans" w:cs="Calibri"/>
                <w:color w:val="000000"/>
                <w:sz w:val="16"/>
                <w:szCs w:val="16"/>
                <w:lang w:eastAsia="en-AU"/>
              </w:rPr>
            </w:pPr>
          </w:p>
        </w:tc>
        <w:tc>
          <w:tcPr>
            <w:tcW w:w="2268"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50866B61" w14:textId="7880E5DA" w:rsidR="00923598" w:rsidRPr="0078340F" w:rsidRDefault="002E3F17" w:rsidP="00362ADB">
            <w:pPr>
              <w:tabs>
                <w:tab w:val="clear" w:pos="567"/>
              </w:tabs>
              <w:spacing w:before="0" w:line="240" w:lineRule="auto"/>
              <w:rPr>
                <w:rFonts w:ascii="Work Sans" w:eastAsia="Times New Roman" w:hAnsi="Work Sans" w:cs="Calibri"/>
                <w:color w:val="000000"/>
                <w:sz w:val="16"/>
                <w:szCs w:val="16"/>
                <w:lang w:eastAsia="en-AU"/>
              </w:rPr>
            </w:pPr>
            <w:r>
              <w:rPr>
                <w:rFonts w:ascii="Work Sans" w:eastAsia="Times New Roman" w:hAnsi="Work Sans" w:cs="Calibri"/>
                <w:color w:val="000000"/>
                <w:sz w:val="16"/>
                <w:szCs w:val="16"/>
                <w:lang w:eastAsia="en-AU"/>
              </w:rPr>
              <w:t>2022-23</w:t>
            </w:r>
          </w:p>
        </w:tc>
      </w:tr>
      <w:tr w:rsidR="00F70EC2" w:rsidRPr="0062405C" w14:paraId="4C55D960"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hideMark/>
          </w:tcPr>
          <w:p w14:paraId="0869ACE0" w14:textId="6FC50A90" w:rsidR="00F70EC2" w:rsidRPr="0078340F" w:rsidRDefault="00F70EC2" w:rsidP="00F70EC2">
            <w:pPr>
              <w:tabs>
                <w:tab w:val="clear" w:pos="567"/>
              </w:tabs>
              <w:spacing w:before="0" w:line="240" w:lineRule="auto"/>
              <w:rPr>
                <w:rFonts w:ascii="Work Sans" w:eastAsia="Times New Roman" w:hAnsi="Work Sans" w:cs="Calibri"/>
                <w:color w:val="000000"/>
                <w:sz w:val="16"/>
                <w:szCs w:val="16"/>
                <w:lang w:eastAsia="en-AU"/>
              </w:rPr>
            </w:pPr>
            <w:r w:rsidRPr="00330670">
              <w:rPr>
                <w:rFonts w:ascii="Work Sans" w:eastAsia="Times New Roman" w:hAnsi="Work Sans" w:cs="Calibri"/>
                <w:b/>
                <w:color w:val="000000"/>
                <w:szCs w:val="20"/>
                <w:lang w:eastAsia="en-AU"/>
              </w:rPr>
              <w:t>Total revenue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hideMark/>
          </w:tcPr>
          <w:p w14:paraId="5919C2DF"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r w:rsidRPr="0078340F">
              <w:rPr>
                <w:rFonts w:ascii="Work Sans" w:eastAsia="Times New Roman" w:hAnsi="Work Sans" w:cs="Calibri"/>
                <w:color w:val="000000"/>
                <w:sz w:val="16"/>
                <w:szCs w:val="16"/>
                <w:lang w:eastAsia="en-AU"/>
              </w:rPr>
              <w:t> </w:t>
            </w:r>
          </w:p>
        </w:tc>
      </w:tr>
      <w:tr w:rsidR="00F70EC2" w:rsidRPr="0062405C" w14:paraId="66292DA3"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hideMark/>
          </w:tcPr>
          <w:p w14:paraId="14811517" w14:textId="48889A15" w:rsidR="00F70EC2" w:rsidRPr="0078340F" w:rsidRDefault="00F70EC2" w:rsidP="00F70EC2">
            <w:pPr>
              <w:tabs>
                <w:tab w:val="clear" w:pos="567"/>
              </w:tabs>
              <w:spacing w:before="0" w:line="240" w:lineRule="auto"/>
              <w:rPr>
                <w:rFonts w:ascii="Work Sans" w:eastAsia="Times New Roman" w:hAnsi="Work Sans" w:cs="Calibri"/>
                <w:color w:val="000000"/>
                <w:sz w:val="16"/>
                <w:szCs w:val="16"/>
                <w:lang w:eastAsia="en-AU"/>
              </w:rPr>
            </w:pPr>
            <w:r w:rsidRPr="00330670">
              <w:rPr>
                <w:rFonts w:ascii="Work Sans" w:eastAsia="Times New Roman" w:hAnsi="Work Sans" w:cs="Calibri"/>
                <w:color w:val="000000"/>
                <w:szCs w:val="20"/>
                <w:lang w:eastAsia="en-AU"/>
              </w:rPr>
              <w:t>Fare revenue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hideMark/>
          </w:tcPr>
          <w:p w14:paraId="3712C555"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r w:rsidRPr="0078340F">
              <w:rPr>
                <w:rFonts w:ascii="Work Sans" w:eastAsia="Times New Roman" w:hAnsi="Work Sans" w:cs="Calibri"/>
                <w:color w:val="000000"/>
                <w:sz w:val="16"/>
                <w:szCs w:val="16"/>
                <w:lang w:eastAsia="en-AU"/>
              </w:rPr>
              <w:t> </w:t>
            </w:r>
          </w:p>
        </w:tc>
      </w:tr>
      <w:tr w:rsidR="00F70EC2" w:rsidRPr="0062405C" w14:paraId="5D378236"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54C8A54C" w14:textId="02E95833" w:rsidR="00F70EC2" w:rsidRPr="00330670" w:rsidRDefault="00F70EC2" w:rsidP="00F70EC2">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color w:val="000000"/>
                <w:szCs w:val="20"/>
                <w:lang w:eastAsia="en-AU"/>
              </w:rPr>
              <w:t>Concession subsidies from GGS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307A41B5"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541CB56A"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358B3A11" w14:textId="2F3BB631" w:rsidR="00F70EC2" w:rsidRPr="00330670" w:rsidRDefault="00F70EC2" w:rsidP="00F70EC2">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color w:val="000000"/>
                <w:szCs w:val="20"/>
                <w:lang w:eastAsia="en-AU"/>
              </w:rPr>
              <w:t>Other subsidies from GGS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393F7FF5"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0788133B"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6C68946C" w14:textId="64A547E5" w:rsidR="00F70EC2" w:rsidRPr="00330670" w:rsidRDefault="00F70EC2" w:rsidP="00F70EC2">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color w:val="000000"/>
                <w:szCs w:val="20"/>
                <w:lang w:eastAsia="en-AU"/>
              </w:rPr>
              <w:t>Other revenue – please describe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0312E92D"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66B6984D"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0A56748A" w14:textId="056E0146" w:rsidR="00F70EC2" w:rsidRPr="00330670" w:rsidRDefault="00F70EC2" w:rsidP="00F70EC2">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b/>
                <w:color w:val="000000"/>
                <w:szCs w:val="20"/>
                <w:lang w:eastAsia="en-AU"/>
              </w:rPr>
              <w:t>Total expense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31C17BC9"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063AA40A"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05FDA375" w14:textId="1B598028" w:rsidR="00F70EC2" w:rsidRPr="00330670" w:rsidRDefault="00F70EC2" w:rsidP="00F70EC2">
            <w:pPr>
              <w:tabs>
                <w:tab w:val="clear" w:pos="567"/>
              </w:tabs>
              <w:spacing w:before="0" w:line="240" w:lineRule="auto"/>
              <w:rPr>
                <w:rFonts w:ascii="Work Sans" w:eastAsia="Times New Roman" w:hAnsi="Work Sans" w:cs="Calibri"/>
                <w:b/>
                <w:color w:val="000000"/>
                <w:szCs w:val="20"/>
                <w:lang w:eastAsia="en-AU"/>
              </w:rPr>
            </w:pPr>
            <w:r w:rsidRPr="00330670">
              <w:rPr>
                <w:rFonts w:ascii="Work Sans" w:eastAsia="Times New Roman" w:hAnsi="Work Sans" w:cs="Calibri"/>
                <w:color w:val="000000"/>
                <w:szCs w:val="20"/>
                <w:lang w:eastAsia="en-AU"/>
              </w:rPr>
              <w:t>Subsidies paid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6E747F0A"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25F706EB"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12B3BB6C" w14:textId="459E962A" w:rsidR="00F70EC2" w:rsidRPr="00330670" w:rsidRDefault="00F70EC2" w:rsidP="00F70EC2">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i/>
                <w:color w:val="000000"/>
                <w:szCs w:val="20"/>
                <w:lang w:eastAsia="en-AU"/>
              </w:rPr>
              <w:t>Concession subsidies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1429E306"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06BB1487"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10D11F85" w14:textId="6FDBF23A" w:rsidR="00F70EC2" w:rsidRPr="00330670" w:rsidRDefault="00F70EC2" w:rsidP="00F70EC2">
            <w:pPr>
              <w:tabs>
                <w:tab w:val="clear" w:pos="567"/>
              </w:tabs>
              <w:spacing w:before="0" w:line="240" w:lineRule="auto"/>
              <w:rPr>
                <w:rFonts w:ascii="Work Sans" w:eastAsia="Times New Roman" w:hAnsi="Work Sans" w:cs="Calibri"/>
                <w:i/>
                <w:color w:val="000000"/>
                <w:szCs w:val="20"/>
                <w:lang w:eastAsia="en-AU"/>
              </w:rPr>
            </w:pPr>
            <w:r w:rsidRPr="00330670">
              <w:rPr>
                <w:rFonts w:ascii="Work Sans" w:eastAsia="Times New Roman" w:hAnsi="Work Sans" w:cs="Calibri"/>
                <w:i/>
                <w:color w:val="000000"/>
                <w:szCs w:val="20"/>
                <w:lang w:eastAsia="en-AU"/>
              </w:rPr>
              <w:t>Other subsidies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41B2E2FE"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253A9493"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520F21E2" w14:textId="6BD3729C" w:rsidR="00F70EC2" w:rsidRPr="00330670" w:rsidRDefault="00F70EC2" w:rsidP="00F70EC2">
            <w:pPr>
              <w:tabs>
                <w:tab w:val="clear" w:pos="567"/>
              </w:tabs>
              <w:spacing w:before="0" w:line="240" w:lineRule="auto"/>
              <w:rPr>
                <w:rFonts w:ascii="Work Sans" w:eastAsia="Times New Roman" w:hAnsi="Work Sans" w:cs="Calibri"/>
                <w:i/>
                <w:color w:val="000000"/>
                <w:szCs w:val="20"/>
                <w:lang w:eastAsia="en-AU"/>
              </w:rPr>
            </w:pPr>
            <w:r w:rsidRPr="00330670">
              <w:rPr>
                <w:rFonts w:ascii="Work Sans" w:eastAsia="Times New Roman" w:hAnsi="Work Sans" w:cs="Calibri"/>
                <w:color w:val="000000"/>
                <w:szCs w:val="20"/>
                <w:lang w:eastAsia="en-AU"/>
              </w:rPr>
              <w:t>Payments to GGS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2993C6B3"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513F60E7"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5362932F" w14:textId="2AE5DDD3" w:rsidR="00F70EC2" w:rsidRPr="00330670" w:rsidRDefault="00F70EC2" w:rsidP="00F70EC2">
            <w:pPr>
              <w:tabs>
                <w:tab w:val="clear" w:pos="567"/>
              </w:tabs>
              <w:spacing w:before="0" w:line="240" w:lineRule="auto"/>
              <w:rPr>
                <w:rFonts w:ascii="Work Sans" w:eastAsia="Times New Roman" w:hAnsi="Work Sans" w:cs="Calibri"/>
                <w:i/>
                <w:color w:val="000000"/>
                <w:szCs w:val="20"/>
                <w:lang w:eastAsia="en-AU"/>
              </w:rPr>
            </w:pPr>
            <w:r w:rsidRPr="00330670">
              <w:rPr>
                <w:rFonts w:ascii="Work Sans" w:eastAsia="Times New Roman" w:hAnsi="Work Sans" w:cs="Calibri"/>
                <w:i/>
                <w:color w:val="000000"/>
                <w:szCs w:val="20"/>
                <w:lang w:eastAsia="en-AU"/>
              </w:rPr>
              <w:t>Dividends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07B54C5E"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66E77AF3"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077564F3" w14:textId="54D2A8F6" w:rsidR="00F70EC2" w:rsidRPr="00330670" w:rsidRDefault="00F70EC2" w:rsidP="00F70EC2">
            <w:pPr>
              <w:tabs>
                <w:tab w:val="clear" w:pos="567"/>
              </w:tabs>
              <w:spacing w:before="0" w:line="240" w:lineRule="auto"/>
              <w:rPr>
                <w:rFonts w:ascii="Work Sans" w:eastAsia="Times New Roman" w:hAnsi="Work Sans" w:cs="Calibri"/>
                <w:color w:val="000000"/>
                <w:szCs w:val="20"/>
                <w:lang w:eastAsia="en-AU"/>
              </w:rPr>
            </w:pPr>
            <w:r w:rsidRPr="00330670">
              <w:rPr>
                <w:rFonts w:ascii="Work Sans" w:eastAsia="Times New Roman" w:hAnsi="Work Sans" w:cs="Calibri"/>
                <w:i/>
                <w:color w:val="000000"/>
                <w:szCs w:val="20"/>
                <w:lang w:eastAsia="en-AU"/>
              </w:rPr>
              <w:t>Other payments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3DAE6863"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1F9AAB24"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5964A613" w14:textId="54578A74" w:rsidR="00F70EC2" w:rsidRPr="00330670" w:rsidRDefault="00F70EC2" w:rsidP="00F70EC2">
            <w:pPr>
              <w:tabs>
                <w:tab w:val="clear" w:pos="567"/>
              </w:tabs>
              <w:spacing w:before="0" w:line="240" w:lineRule="auto"/>
              <w:rPr>
                <w:rFonts w:ascii="Work Sans" w:eastAsia="Times New Roman" w:hAnsi="Work Sans" w:cs="Calibri"/>
                <w:i/>
                <w:color w:val="000000"/>
                <w:szCs w:val="20"/>
                <w:lang w:eastAsia="en-AU"/>
              </w:rPr>
            </w:pPr>
            <w:r w:rsidRPr="00330670">
              <w:rPr>
                <w:rFonts w:ascii="Work Sans" w:eastAsia="Times New Roman" w:hAnsi="Work Sans" w:cs="Calibri"/>
                <w:color w:val="000000"/>
                <w:szCs w:val="20"/>
                <w:lang w:eastAsia="en-AU"/>
              </w:rPr>
              <w:t>Other expenses – please describe ($m)</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05441307"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r w:rsidR="00F70EC2" w:rsidRPr="0062405C" w14:paraId="6132A1D9" w14:textId="77777777" w:rsidTr="00205315">
        <w:trPr>
          <w:trHeight w:val="300"/>
        </w:trPr>
        <w:tc>
          <w:tcPr>
            <w:tcW w:w="6091"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0BA45561" w14:textId="401A688A" w:rsidR="00F70EC2" w:rsidRPr="00330670" w:rsidRDefault="00F70EC2" w:rsidP="00F70EC2">
            <w:pPr>
              <w:tabs>
                <w:tab w:val="clear" w:pos="567"/>
              </w:tabs>
              <w:spacing w:before="0" w:line="240" w:lineRule="auto"/>
              <w:rPr>
                <w:rFonts w:ascii="Work Sans" w:eastAsia="Times New Roman" w:hAnsi="Work Sans" w:cs="Calibri"/>
                <w:i/>
                <w:color w:val="000000"/>
                <w:szCs w:val="20"/>
                <w:lang w:eastAsia="en-AU"/>
              </w:rPr>
            </w:pPr>
            <w:r w:rsidRPr="00330670">
              <w:rPr>
                <w:rFonts w:ascii="Work Sans" w:eastAsia="Times New Roman" w:hAnsi="Work Sans" w:cs="Calibri"/>
                <w:i/>
                <w:color w:val="000000"/>
                <w:szCs w:val="20"/>
                <w:lang w:eastAsia="en-AU"/>
              </w:rPr>
              <w:t>Depreciation if service provided by PNFC ($m) (a)</w:t>
            </w:r>
          </w:p>
        </w:tc>
        <w:tc>
          <w:tcPr>
            <w:tcW w:w="2268" w:type="dxa"/>
            <w:tcBorders>
              <w:top w:val="nil"/>
              <w:left w:val="nil"/>
              <w:bottom w:val="single" w:sz="4" w:space="0" w:color="auto"/>
              <w:right w:val="single" w:sz="4" w:space="0" w:color="auto"/>
            </w:tcBorders>
            <w:shd w:val="clear" w:color="auto" w:fill="FDE9D9" w:themeFill="accent6" w:themeFillTint="33"/>
            <w:noWrap/>
            <w:vAlign w:val="center"/>
          </w:tcPr>
          <w:p w14:paraId="3A6C20C9" w14:textId="77777777" w:rsidR="00F70EC2" w:rsidRPr="0078340F" w:rsidRDefault="00F70EC2" w:rsidP="00F70EC2">
            <w:pPr>
              <w:tabs>
                <w:tab w:val="clear" w:pos="567"/>
              </w:tabs>
              <w:spacing w:before="0" w:line="240" w:lineRule="auto"/>
              <w:jc w:val="right"/>
              <w:rPr>
                <w:rFonts w:ascii="Work Sans" w:eastAsia="Times New Roman" w:hAnsi="Work Sans" w:cs="Calibri"/>
                <w:color w:val="000000"/>
                <w:sz w:val="16"/>
                <w:szCs w:val="16"/>
                <w:lang w:eastAsia="en-AU"/>
              </w:rPr>
            </w:pPr>
          </w:p>
        </w:tc>
      </w:tr>
    </w:tbl>
    <w:p w14:paraId="5DD1B0E3" w14:textId="77777777" w:rsidR="004E6A86" w:rsidRPr="00E33982" w:rsidRDefault="004E6A86" w:rsidP="004E6A86">
      <w:pPr>
        <w:pStyle w:val="CGCTablenote"/>
        <w:rPr>
          <w:rFonts w:ascii="Work Sans" w:hAnsi="Work Sans"/>
        </w:rPr>
      </w:pPr>
      <w:r w:rsidRPr="00E33982">
        <w:rPr>
          <w:rFonts w:ascii="Work Sans" w:hAnsi="Work Sans"/>
        </w:rPr>
        <w:t>Note:</w:t>
      </w:r>
      <w:r>
        <w:rPr>
          <w:rFonts w:ascii="Work Sans" w:hAnsi="Work Sans"/>
        </w:rPr>
        <w:tab/>
      </w:r>
      <w:r w:rsidRPr="00E33982">
        <w:rPr>
          <w:rFonts w:ascii="Work Sans" w:hAnsi="Work Sans"/>
        </w:rPr>
        <w:t>Fare revenue should exclude fare box revenue collected on behalf of private providers.</w:t>
      </w:r>
    </w:p>
    <w:p w14:paraId="507BD280" w14:textId="77777777" w:rsidR="00446012" w:rsidRPr="00E33982" w:rsidRDefault="004E6A86" w:rsidP="00E33982">
      <w:pPr>
        <w:pStyle w:val="CGCTablenote"/>
        <w:rPr>
          <w:rFonts w:ascii="Work Sans" w:hAnsi="Work Sans"/>
        </w:rPr>
      </w:pPr>
      <w:r>
        <w:rPr>
          <w:rFonts w:ascii="Work Sans" w:hAnsi="Work Sans"/>
        </w:rPr>
        <w:tab/>
      </w:r>
      <w:r>
        <w:rPr>
          <w:rFonts w:ascii="Work Sans" w:hAnsi="Work Sans"/>
        </w:rPr>
        <w:tab/>
      </w:r>
      <w:r w:rsidR="00446012" w:rsidRPr="00E33982">
        <w:rPr>
          <w:rFonts w:ascii="Work Sans" w:hAnsi="Work Sans"/>
        </w:rPr>
        <w:t>Subsidies paid refer to those provided to private providers and local governments.</w:t>
      </w:r>
    </w:p>
    <w:p w14:paraId="394750C4" w14:textId="77777777" w:rsidR="005E5370" w:rsidRPr="00E33982" w:rsidRDefault="00446012" w:rsidP="00682BC2">
      <w:pPr>
        <w:pStyle w:val="CGCTablenote"/>
        <w:numPr>
          <w:ilvl w:val="0"/>
          <w:numId w:val="14"/>
        </w:numPr>
        <w:tabs>
          <w:tab w:val="clear" w:pos="680"/>
          <w:tab w:val="left" w:pos="630"/>
        </w:tabs>
        <w:ind w:left="590" w:hanging="504"/>
        <w:rPr>
          <w:rFonts w:ascii="Work Sans" w:hAnsi="Work Sans"/>
        </w:rPr>
      </w:pPr>
      <w:r w:rsidRPr="00E33982">
        <w:rPr>
          <w:rFonts w:ascii="Work Sans" w:hAnsi="Work Sans"/>
        </w:rPr>
        <w:t>This should only include deprecation expenses on assets directly used in service delivery. It should exclude head office related deprecation.</w:t>
      </w:r>
    </w:p>
    <w:p w14:paraId="04B3EB92" w14:textId="77777777" w:rsidR="00061505" w:rsidRPr="00003C54" w:rsidRDefault="00061505" w:rsidP="00061505">
      <w:pPr>
        <w:pStyle w:val="CGCParaNumber"/>
        <w:ind w:firstLine="0"/>
      </w:pPr>
    </w:p>
    <w:p w14:paraId="05B6F896" w14:textId="6DDF524B" w:rsidR="00127256" w:rsidRDefault="00127256" w:rsidP="00925ED9">
      <w:pPr>
        <w:pStyle w:val="CGCParaNumber"/>
        <w:ind w:left="360" w:firstLine="0"/>
      </w:pPr>
    </w:p>
    <w:sectPr w:rsidR="00127256" w:rsidSect="00257779">
      <w:footnotePr>
        <w:numRestart w:val="eachSect"/>
      </w:footnotePr>
      <w:pgSz w:w="11907" w:h="16840" w:code="9"/>
      <w:pgMar w:top="1418" w:right="1474" w:bottom="1418" w:left="1474"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2B9356" w14:textId="77777777" w:rsidR="00094887" w:rsidRDefault="00094887">
      <w:r>
        <w:separator/>
      </w:r>
    </w:p>
  </w:endnote>
  <w:endnote w:type="continuationSeparator" w:id="0">
    <w:p w14:paraId="23EE5F1B" w14:textId="77777777" w:rsidR="00094887" w:rsidRDefault="00094887">
      <w:r>
        <w:continuationSeparator/>
      </w:r>
    </w:p>
  </w:endnote>
  <w:endnote w:type="continuationNotice" w:id="1">
    <w:p w14:paraId="0342549F" w14:textId="77777777" w:rsidR="00094887" w:rsidRDefault="00094887">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Light">
    <w:panose1 w:val="020B0306030504020204"/>
    <w:charset w:val="00"/>
    <w:family w:val="swiss"/>
    <w:pitch w:val="variable"/>
    <w:sig w:usb0="E00002EF" w:usb1="4000205B" w:usb2="00000028" w:usb3="00000000" w:csb0="0000019F" w:csb1="00000000"/>
  </w:font>
  <w:font w:name="Work Sans">
    <w:altName w:val="Calibri"/>
    <w:charset w:val="00"/>
    <w:family w:val="auto"/>
    <w:pitch w:val="variable"/>
    <w:sig w:usb0="A00000FF" w:usb1="5000E07B" w:usb2="00000000" w:usb3="00000000" w:csb0="000001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ontserrat Semi Bold">
    <w:panose1 w:val="00000700000000000000"/>
    <w:charset w:val="00"/>
    <w:family w:val="modern"/>
    <w:notTrueType/>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Montserrat Ultra Light">
    <w:panose1 w:val="00000300000000000000"/>
    <w:charset w:val="00"/>
    <w:family w:val="modern"/>
    <w:notTrueType/>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Open Sans Semibold">
    <w:altName w:val="Segoe UI"/>
    <w:panose1 w:val="020B0706030804020204"/>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EEFF8" w14:textId="77777777" w:rsidR="00AB1A13" w:rsidRPr="0011178C" w:rsidRDefault="00F56813" w:rsidP="003929D2">
    <w:pPr>
      <w:pStyle w:val="Footer"/>
    </w:pPr>
    <w:r>
      <w:fldChar w:fldCharType="begin"/>
    </w:r>
    <w:r>
      <w:instrText xml:space="preserve"> PAGE  \* Arabic  \* MERGEFORMAT </w:instrText>
    </w:r>
    <w:r>
      <w:fldChar w:fldCharType="separate"/>
    </w:r>
    <w:r w:rsidR="001C1AC5">
      <w:rPr>
        <w:noProof/>
      </w:rPr>
      <w:t>5</w:t>
    </w:r>
    <w:r>
      <w:rPr>
        <w:noProof/>
      </w:rPr>
      <w:fldChar w:fldCharType="end"/>
    </w:r>
  </w:p>
  <w:p w14:paraId="3B5EEFF9" w14:textId="77777777" w:rsidR="009C18B8" w:rsidRDefault="009C18B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EEFFA" w14:textId="533AA17D" w:rsidR="009C18B8" w:rsidRPr="001C1AC5" w:rsidRDefault="009C18B8" w:rsidP="00954A6A">
    <w:pPr>
      <w:pStyle w:val="Footer"/>
      <w:rPr>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32EFCE" w14:textId="77777777" w:rsidR="00094887" w:rsidRPr="001C1AC5" w:rsidRDefault="00094887">
      <w:pPr>
        <w:rPr>
          <w:color w:val="ADD6EA"/>
        </w:rPr>
      </w:pPr>
      <w:r w:rsidRPr="001C1AC5">
        <w:rPr>
          <w:color w:val="ADD6EA"/>
        </w:rPr>
        <w:separator/>
      </w:r>
    </w:p>
  </w:footnote>
  <w:footnote w:type="continuationSeparator" w:id="0">
    <w:p w14:paraId="4C6A3647" w14:textId="77777777" w:rsidR="00094887" w:rsidRDefault="00094887">
      <w:r>
        <w:continuationSeparator/>
      </w:r>
    </w:p>
  </w:footnote>
  <w:footnote w:type="continuationNotice" w:id="1">
    <w:p w14:paraId="225B6914" w14:textId="77777777" w:rsidR="00094887" w:rsidRDefault="00094887">
      <w:pPr>
        <w:spacing w:before="0" w:line="240" w:lineRule="auto"/>
      </w:pPr>
    </w:p>
  </w:footnote>
  <w:footnote w:id="2">
    <w:p w14:paraId="3AEB9241" w14:textId="77777777" w:rsidR="005107FE" w:rsidRDefault="005107FE" w:rsidP="0065497D">
      <w:pPr>
        <w:pStyle w:val="FootnoteText"/>
      </w:pPr>
      <w:r>
        <w:rPr>
          <w:rStyle w:val="FootnoteReference"/>
        </w:rPr>
        <w:footnoteRef/>
      </w:r>
      <w:r>
        <w:t xml:space="preserve"> Transport and housing are the only categories to include public non-financial corporation expenditure.</w:t>
      </w:r>
    </w:p>
  </w:footnote>
  <w:footnote w:id="3">
    <w:p w14:paraId="00498705" w14:textId="0C334CA0" w:rsidR="003756EC" w:rsidRDefault="003756EC" w:rsidP="0065497D">
      <w:pPr>
        <w:pStyle w:val="FootnoteText"/>
      </w:pPr>
      <w:r>
        <w:rPr>
          <w:rStyle w:val="FootnoteReference"/>
        </w:rPr>
        <w:footnoteRef/>
      </w:r>
      <w:r w:rsidR="005107FE">
        <w:t xml:space="preserve"> </w:t>
      </w:r>
      <w:r>
        <w:t>Jacobs and Synergies Economic Consulting</w:t>
      </w:r>
      <w:r w:rsidR="0091717D">
        <w:t>,</w:t>
      </w:r>
      <w:r>
        <w:t xml:space="preserve"> </w:t>
      </w:r>
      <w:hyperlink r:id="rId1" w:history="1">
        <w:r w:rsidRPr="009C5C77">
          <w:rPr>
            <w:rStyle w:val="Hyperlink"/>
            <w:i/>
            <w:iCs/>
          </w:rPr>
          <w:t>Urban Transport Consultancy Stage 2 – Final Report</w:t>
        </w:r>
      </w:hyperlink>
      <w:r w:rsidR="008608E5">
        <w:t xml:space="preserve">, Commonwealth Grants Commission, </w:t>
      </w:r>
      <w:r w:rsidR="003E0405">
        <w:t>25 October, 2018</w:t>
      </w:r>
      <w:r w:rsidR="00BF7914">
        <w:t>.</w:t>
      </w:r>
    </w:p>
  </w:footnote>
  <w:footnote w:id="4">
    <w:p w14:paraId="20429259" w14:textId="13CB1556" w:rsidR="00995331" w:rsidRPr="00995331" w:rsidRDefault="00995331" w:rsidP="0065497D">
      <w:pPr>
        <w:pStyle w:val="FootnoteText"/>
        <w:rPr>
          <w:lang w:val="en-US"/>
        </w:rPr>
      </w:pPr>
      <w:r>
        <w:rPr>
          <w:rStyle w:val="FootnoteReference"/>
        </w:rPr>
        <w:footnoteRef/>
      </w:r>
      <w:r>
        <w:t xml:space="preserve"> The assessment uses the ABS definition of an urban area – </w:t>
      </w:r>
      <w:r w:rsidRPr="00DD399E">
        <w:t>U</w:t>
      </w:r>
      <w:r w:rsidR="00FE460C" w:rsidRPr="00DD399E">
        <w:t xml:space="preserve">rban </w:t>
      </w:r>
      <w:r w:rsidRPr="00DD399E">
        <w:t>C</w:t>
      </w:r>
      <w:r w:rsidR="00FE460C" w:rsidRPr="00DD399E">
        <w:t xml:space="preserve">entre and </w:t>
      </w:r>
      <w:r w:rsidRPr="00DD399E">
        <w:t>L</w:t>
      </w:r>
      <w:r w:rsidR="00FE460C" w:rsidRPr="00DD399E">
        <w:t>ocalitie</w:t>
      </w:r>
      <w:r w:rsidRPr="00DD399E">
        <w:t>s</w:t>
      </w:r>
      <w:r>
        <w:t xml:space="preserve"> contained within </w:t>
      </w:r>
      <w:r w:rsidRPr="00DD399E">
        <w:t>S</w:t>
      </w:r>
      <w:r w:rsidR="00C73092" w:rsidRPr="00DD399E">
        <w:t xml:space="preserve">ignificant </w:t>
      </w:r>
      <w:r w:rsidRPr="00DD399E">
        <w:t>U</w:t>
      </w:r>
      <w:r w:rsidR="00C73092" w:rsidRPr="00DD399E">
        <w:t xml:space="preserve">rban </w:t>
      </w:r>
      <w:r w:rsidRPr="00DD399E">
        <w:t>A</w:t>
      </w:r>
      <w:r w:rsidR="00C73092" w:rsidRPr="00DD399E">
        <w:t>rea</w:t>
      </w:r>
      <w:r w:rsidRPr="00DD399E">
        <w:t>s</w:t>
      </w:r>
      <w:r>
        <w:t>.</w:t>
      </w:r>
    </w:p>
  </w:footnote>
  <w:footnote w:id="5">
    <w:p w14:paraId="3C5654BD" w14:textId="1742CC2D" w:rsidR="005E14F9" w:rsidRDefault="005E14F9" w:rsidP="0065497D">
      <w:pPr>
        <w:pStyle w:val="FootnoteText"/>
      </w:pPr>
      <w:r>
        <w:rPr>
          <w:rStyle w:val="FootnoteReference"/>
        </w:rPr>
        <w:footnoteRef/>
      </w:r>
      <w:r>
        <w:t xml:space="preserve"> A </w:t>
      </w:r>
      <w:r w:rsidR="00F37996">
        <w:t>state’s</w:t>
      </w:r>
      <w:r>
        <w:t xml:space="preserve"> share of squared urban populations is its urban population multiplied by its urban population relative to other states. This is needed as investment </w:t>
      </w:r>
      <w:r>
        <w:rPr>
          <w:i/>
          <w:iCs/>
        </w:rPr>
        <w:t>per capita</w:t>
      </w:r>
      <w:r>
        <w:t xml:space="preserve"> is linearly related to population. </w:t>
      </w:r>
    </w:p>
  </w:footnote>
  <w:footnote w:id="6">
    <w:p w14:paraId="29D10C7A" w14:textId="2F1F832F" w:rsidR="00704080" w:rsidRPr="00F93614" w:rsidRDefault="00704080" w:rsidP="0065497D">
      <w:pPr>
        <w:pStyle w:val="FootnoteText"/>
      </w:pPr>
      <w:r>
        <w:rPr>
          <w:rStyle w:val="FootnoteReference"/>
        </w:rPr>
        <w:footnoteRef/>
      </w:r>
      <w:r>
        <w:t xml:space="preserve"> Australian Centre for Population, </w:t>
      </w:r>
      <w:hyperlink r:id="rId2" w:history="1">
        <w:r w:rsidR="009E2863">
          <w:rPr>
            <w:rStyle w:val="Hyperlink"/>
            <w:i/>
            <w:iCs/>
          </w:rPr>
          <w:t>Anticipating the impact of COVID</w:t>
        </w:r>
        <w:r w:rsidR="009E2863">
          <w:rPr>
            <w:rStyle w:val="Hyperlink"/>
            <w:i/>
            <w:iCs/>
          </w:rPr>
          <w:noBreakHyphen/>
          <w:t>19 on internal migration</w:t>
        </w:r>
      </w:hyperlink>
      <w:r w:rsidRPr="009C5C77">
        <w:rPr>
          <w:i/>
          <w:iCs/>
        </w:rPr>
        <w:t xml:space="preserve">, </w:t>
      </w:r>
      <w:r w:rsidR="0037156D" w:rsidRPr="00D76587">
        <w:t xml:space="preserve">Centre for Population website, </w:t>
      </w:r>
      <w:r w:rsidR="00F93614" w:rsidRPr="00D76587">
        <w:t xml:space="preserve">n.d., </w:t>
      </w:r>
      <w:r w:rsidR="0037156D" w:rsidRPr="00D76587">
        <w:t>accessed 1 June, 2023.</w:t>
      </w:r>
    </w:p>
  </w:footnote>
  <w:footnote w:id="7">
    <w:p w14:paraId="091C2908" w14:textId="741D6282" w:rsidR="00D13997" w:rsidRPr="00B26741" w:rsidRDefault="00D13997" w:rsidP="0065497D">
      <w:pPr>
        <w:pStyle w:val="FootnoteText"/>
      </w:pPr>
      <w:r w:rsidRPr="78958DD1">
        <w:rPr>
          <w:rStyle w:val="FootnoteReference"/>
        </w:rPr>
        <w:footnoteRef/>
      </w:r>
      <w:r w:rsidRPr="2D1635EB">
        <w:rPr>
          <w:rStyle w:val="FootnoteReference"/>
        </w:rPr>
        <w:t xml:space="preserve"> </w:t>
      </w:r>
      <w:r>
        <w:t xml:space="preserve">C. Atsoy et al., </w:t>
      </w:r>
      <w:hyperlink r:id="rId3" w:history="1">
        <w:r w:rsidRPr="00683695">
          <w:rPr>
            <w:rStyle w:val="Hyperlink"/>
            <w:i/>
            <w:iCs/>
          </w:rPr>
          <w:t>Working from Home around the World</w:t>
        </w:r>
      </w:hyperlink>
      <w:r>
        <w:rPr>
          <w:i/>
          <w:iCs/>
        </w:rPr>
        <w:t xml:space="preserve">, </w:t>
      </w:r>
      <w:r>
        <w:t>Brookings, September 2022.</w:t>
      </w:r>
    </w:p>
  </w:footnote>
  <w:footnote w:id="8">
    <w:p w14:paraId="31CB81CB" w14:textId="6C6C0C2C" w:rsidR="003E1170" w:rsidRPr="004B2F52" w:rsidRDefault="003E1170" w:rsidP="0065497D">
      <w:pPr>
        <w:pStyle w:val="FootnoteText"/>
      </w:pPr>
      <w:r>
        <w:rPr>
          <w:rStyle w:val="FootnoteReference"/>
        </w:rPr>
        <w:footnoteRef/>
      </w:r>
      <w:r>
        <w:t xml:space="preserve"> </w:t>
      </w:r>
      <w:r w:rsidR="004B2F52">
        <w:t xml:space="preserve"> Productivity Commission, </w:t>
      </w:r>
      <w:hyperlink r:id="rId4" w:history="1">
        <w:r w:rsidR="004B2F52" w:rsidRPr="00704DD6">
          <w:rPr>
            <w:rStyle w:val="Hyperlink"/>
            <w:i/>
            <w:iCs/>
          </w:rPr>
          <w:t>Public transport pricing</w:t>
        </w:r>
      </w:hyperlink>
      <w:r w:rsidR="004B2F52">
        <w:rPr>
          <w:i/>
          <w:iCs/>
        </w:rPr>
        <w:t xml:space="preserve">, </w:t>
      </w:r>
      <w:r w:rsidR="004B2F52">
        <w:t>December 2021</w:t>
      </w:r>
      <w:r w:rsidR="00704DD6">
        <w:t>.</w:t>
      </w:r>
    </w:p>
  </w:footnote>
  <w:footnote w:id="9">
    <w:p w14:paraId="29299AA2" w14:textId="3DBEB09F" w:rsidR="00F70F39" w:rsidRDefault="00F70F39" w:rsidP="0065497D">
      <w:pPr>
        <w:pStyle w:val="FootnoteText"/>
      </w:pPr>
      <w:r>
        <w:rPr>
          <w:rStyle w:val="FootnoteReference"/>
        </w:rPr>
        <w:footnoteRef/>
      </w:r>
      <w:r>
        <w:t xml:space="preserve"> Bureau of Infrastructure and Transport Research Economics (BITRE</w:t>
      </w:r>
      <w:r w:rsidR="004E6678">
        <w:t xml:space="preserve">), </w:t>
      </w:r>
      <w:hyperlink r:id="rId5" w:history="1">
        <w:r w:rsidR="004E6678">
          <w:rPr>
            <w:rStyle w:val="Hyperlink"/>
            <w:i/>
            <w:iCs/>
          </w:rPr>
          <w:t>Australian Infrastructure and Transport Statistics – Yearbook 2022</w:t>
        </w:r>
      </w:hyperlink>
      <w:r w:rsidR="00731899">
        <w:rPr>
          <w:i/>
          <w:iCs/>
        </w:rPr>
        <w:t xml:space="preserve">, </w:t>
      </w:r>
      <w:r w:rsidR="00A711E7">
        <w:t>16 December 2022.</w:t>
      </w:r>
    </w:p>
  </w:footnote>
  <w:footnote w:id="10">
    <w:p w14:paraId="678D76C1" w14:textId="2BBA9C05" w:rsidR="0038534E" w:rsidRDefault="0038534E" w:rsidP="0065497D">
      <w:pPr>
        <w:pStyle w:val="FootnoteText"/>
      </w:pPr>
      <w:r>
        <w:rPr>
          <w:rStyle w:val="FootnoteReference"/>
        </w:rPr>
        <w:footnoteRef/>
      </w:r>
      <w:r>
        <w:t xml:space="preserve"> </w:t>
      </w:r>
      <w:r w:rsidR="00A5227C" w:rsidRPr="006967B4">
        <w:t>G</w:t>
      </w:r>
      <w:r w:rsidR="00A5227C">
        <w:t>eneral</w:t>
      </w:r>
      <w:r w:rsidRPr="006967B4">
        <w:t xml:space="preserve"> Transit Feed Specification</w:t>
      </w:r>
      <w:r>
        <w:t xml:space="preserve"> (GTFS)</w:t>
      </w:r>
      <w:r w:rsidRPr="006967B4">
        <w:t xml:space="preserve"> data</w:t>
      </w:r>
      <w:r w:rsidRPr="006967B4" w:rsidDel="006967B4">
        <w:t xml:space="preserve"> </w:t>
      </w:r>
      <w:r>
        <w:t xml:space="preserve">provides real time tracking of public transport services. </w:t>
      </w:r>
      <w:r w:rsidR="007F2E53">
        <w:t>Analysis does</w:t>
      </w:r>
      <w:r>
        <w:t xml:space="preserve"> not </w:t>
      </w:r>
      <w:r w:rsidR="00097A91">
        <w:t>include data</w:t>
      </w:r>
      <w:r>
        <w:t xml:space="preserve"> for Hobart and Darwin</w:t>
      </w:r>
      <w:r w:rsidR="00AD38DA">
        <w:t>.</w:t>
      </w:r>
    </w:p>
  </w:footnote>
  <w:footnote w:id="11">
    <w:p w14:paraId="0440121F" w14:textId="0607EB61" w:rsidR="004E5E69" w:rsidRDefault="004E5E69" w:rsidP="0065497D">
      <w:pPr>
        <w:pStyle w:val="FootnoteText"/>
      </w:pPr>
      <w:r>
        <w:rPr>
          <w:rStyle w:val="FootnoteReference"/>
        </w:rPr>
        <w:footnoteRef/>
      </w:r>
      <w:r>
        <w:t xml:space="preserve"> On Census Day 2021, Sydney was nearly 50 days into its second lockdown, Melbourne was 5 days into its sixth lockdown and Brisbane was 2 days out of a 40-day lockdown.</w:t>
      </w:r>
      <w:r w:rsidR="00C24152">
        <w:t xml:space="preserve"> </w:t>
      </w:r>
      <w:hyperlink r:id="rId6" w:history="1">
        <w:r w:rsidR="00A32948">
          <w:rPr>
            <w:rStyle w:val="Hyperlink"/>
          </w:rPr>
          <w:t>ABS - Participation in the 2021 Census</w:t>
        </w:r>
      </w:hyperlink>
    </w:p>
    <w:p w14:paraId="2903E596" w14:textId="77777777" w:rsidR="004E5E69" w:rsidRDefault="004E5E69" w:rsidP="0065497D">
      <w:pPr>
        <w:pStyle w:val="FootnoteText"/>
      </w:pPr>
    </w:p>
  </w:footnote>
  <w:footnote w:id="12">
    <w:p w14:paraId="5C6B5919" w14:textId="77777777" w:rsidR="00A94623" w:rsidRDefault="00A94623" w:rsidP="0065497D">
      <w:pPr>
        <w:pStyle w:val="FootnoteText"/>
      </w:pPr>
      <w:r>
        <w:rPr>
          <w:rStyle w:val="FootnoteReference"/>
        </w:rPr>
        <w:footnoteRef/>
      </w:r>
      <w:r>
        <w:t xml:space="preserve"> All urban centres in a state would be indexed at the same rate as the capital city in that state.</w:t>
      </w:r>
    </w:p>
  </w:footnote>
  <w:footnote w:id="13">
    <w:p w14:paraId="0724CA8D" w14:textId="24058577" w:rsidR="00F45975" w:rsidRDefault="00F45975" w:rsidP="00F45975">
      <w:pPr>
        <w:pStyle w:val="FootnoteText"/>
      </w:pPr>
      <w:r>
        <w:rPr>
          <w:rStyle w:val="FootnoteReference"/>
        </w:rPr>
        <w:footnoteRef/>
      </w:r>
      <w:r>
        <w:t xml:space="preserve"> </w:t>
      </w:r>
      <w:r w:rsidRPr="00F45975">
        <w:t>The largest increase in assessed GST needs is $15 per capita and the largest decrease is $8 per capita</w:t>
      </w:r>
      <w:r>
        <w:t>.</w:t>
      </w:r>
    </w:p>
  </w:footnote>
  <w:footnote w:id="14">
    <w:p w14:paraId="1F41BE2A" w14:textId="5D910ED7" w:rsidR="00555674" w:rsidRDefault="00555674" w:rsidP="0065497D">
      <w:pPr>
        <w:pStyle w:val="FootnoteText"/>
      </w:pPr>
      <w:r>
        <w:rPr>
          <w:rStyle w:val="FootnoteReference"/>
        </w:rPr>
        <w:footnoteRef/>
      </w:r>
      <w:r>
        <w:t xml:space="preserve"> </w:t>
      </w:r>
      <w:r w:rsidR="000D3DA7">
        <w:t xml:space="preserve">The Commonwealth Grants Commission, </w:t>
      </w:r>
      <w:hyperlink r:id="rId7" w:history="1">
        <w:r w:rsidR="005F136B" w:rsidRPr="009C5C77">
          <w:rPr>
            <w:rStyle w:val="Hyperlink"/>
            <w:i/>
            <w:iCs/>
          </w:rPr>
          <w:t>2020 Review</w:t>
        </w:r>
        <w:r w:rsidR="00810130" w:rsidRPr="009C5C77">
          <w:rPr>
            <w:rStyle w:val="Hyperlink"/>
            <w:i/>
            <w:iCs/>
          </w:rPr>
          <w:t>, Final Report, Volume 2</w:t>
        </w:r>
        <w:r w:rsidR="0025026E" w:rsidRPr="009C5C77">
          <w:rPr>
            <w:rStyle w:val="Hyperlink"/>
            <w:i/>
            <w:iCs/>
          </w:rPr>
          <w:t>, part B, Chapter</w:t>
        </w:r>
        <w:r w:rsidR="0001377B" w:rsidRPr="009C5C77">
          <w:rPr>
            <w:rStyle w:val="Hyperlink"/>
            <w:i/>
            <w:iCs/>
          </w:rPr>
          <w:t xml:space="preserve"> 21</w:t>
        </w:r>
        <w:r w:rsidR="00A41F61" w:rsidRPr="009C5C77">
          <w:rPr>
            <w:rStyle w:val="Hyperlink"/>
            <w:i/>
            <w:iCs/>
          </w:rPr>
          <w:t xml:space="preserve"> – </w:t>
        </w:r>
        <w:r w:rsidR="0001377B" w:rsidRPr="009C5C77">
          <w:rPr>
            <w:rStyle w:val="Hyperlink"/>
            <w:i/>
            <w:iCs/>
          </w:rPr>
          <w:t>Transport</w:t>
        </w:r>
      </w:hyperlink>
      <w:r w:rsidR="000D3DA7">
        <w:rPr>
          <w:i/>
          <w:iCs/>
        </w:rPr>
        <w:t xml:space="preserve">, </w:t>
      </w:r>
      <w:r w:rsidR="000D3DA7">
        <w:t>30 March 2020</w:t>
      </w:r>
      <w:r w:rsidR="0001377B">
        <w:t>.</w:t>
      </w:r>
    </w:p>
  </w:footnote>
  <w:footnote w:id="15">
    <w:p w14:paraId="5A756194" w14:textId="77777777" w:rsidR="00877E3E" w:rsidRDefault="00877E3E" w:rsidP="0065497D">
      <w:pPr>
        <w:pStyle w:val="FootnoteText"/>
      </w:pPr>
      <w:r>
        <w:rPr>
          <w:rStyle w:val="FootnoteReference"/>
        </w:rPr>
        <w:footnoteRef/>
      </w:r>
      <w:r>
        <w:t xml:space="preserve"> In the 2020 Review, it was determined that the scale of ferry usage is not necessarily related to the overall level of transport demand in an urban centre. For this reason, a dummy variable is used to indicate the presence or absence of this service rather than passenger numbers.</w:t>
      </w:r>
    </w:p>
  </w:footnote>
  <w:footnote w:id="16">
    <w:p w14:paraId="5F7A3785" w14:textId="77777777" w:rsidR="00BF0174" w:rsidRDefault="00BF0174" w:rsidP="0065497D">
      <w:pPr>
        <w:pStyle w:val="FootnoteText"/>
      </w:pPr>
      <w:r>
        <w:rPr>
          <w:rStyle w:val="FootnoteReference"/>
        </w:rPr>
        <w:footnoteRef/>
      </w:r>
      <w:r>
        <w:t xml:space="preserve"> A satellite city is an urban area that has a sufficiently integrated labour market with a neighbouring larger urban area. These cities are included in the larger urban area. </w:t>
      </w:r>
    </w:p>
  </w:footnote>
  <w:footnote w:id="17">
    <w:p w14:paraId="45ABA10C" w14:textId="57749F9F" w:rsidR="00AF71F6" w:rsidRDefault="00AF71F6" w:rsidP="0065497D">
      <w:pPr>
        <w:pStyle w:val="FootnoteText"/>
      </w:pPr>
      <w:r>
        <w:rPr>
          <w:rStyle w:val="FootnoteReference"/>
        </w:rPr>
        <w:footnoteRef/>
      </w:r>
      <w:r>
        <w:t>ABS</w:t>
      </w:r>
      <w:r w:rsidR="00DE39CA">
        <w:t>, September 2022</w:t>
      </w:r>
      <w:r>
        <w:t xml:space="preserve">, </w:t>
      </w:r>
      <w:r w:rsidRPr="00065519">
        <w:t>National, state and territory population</w:t>
      </w:r>
      <w:r>
        <w:t xml:space="preserve">, </w:t>
      </w:r>
    </w:p>
  </w:footnote>
  <w:footnote w:id="18">
    <w:p w14:paraId="67AEA4C9" w14:textId="4F63E6AF" w:rsidR="009E4647" w:rsidRDefault="009E4647" w:rsidP="0065497D">
      <w:pPr>
        <w:pStyle w:val="FootnoteText"/>
      </w:pPr>
      <w:r>
        <w:rPr>
          <w:rStyle w:val="FootnoteReference"/>
        </w:rPr>
        <w:footnoteRef/>
      </w:r>
      <w:r w:rsidR="00B34E15">
        <w:t xml:space="preserve"> See </w:t>
      </w:r>
      <w:r w:rsidR="00B34E15" w:rsidRPr="004D6439">
        <w:t xml:space="preserve">paragraphs </w:t>
      </w:r>
      <w:r w:rsidR="004D6439" w:rsidRPr="004D6439">
        <w:fldChar w:fldCharType="begin"/>
      </w:r>
      <w:r w:rsidR="004D6439" w:rsidRPr="004D6439">
        <w:instrText xml:space="preserve"> REF _Ref135253650 \n \h </w:instrText>
      </w:r>
      <w:r w:rsidR="004D6439">
        <w:instrText xml:space="preserve"> \* MERGEFORMAT </w:instrText>
      </w:r>
      <w:r w:rsidR="004D6439" w:rsidRPr="004D6439">
        <w:fldChar w:fldCharType="separate"/>
      </w:r>
      <w:r w:rsidR="00282693">
        <w:t>70</w:t>
      </w:r>
      <w:r w:rsidR="004D6439" w:rsidRPr="004D6439">
        <w:fldChar w:fldCharType="end"/>
      </w:r>
      <w:r w:rsidR="004D6439">
        <w:t xml:space="preserve"> and </w:t>
      </w:r>
      <w:r w:rsidR="004D6439">
        <w:fldChar w:fldCharType="begin"/>
      </w:r>
      <w:r w:rsidR="004D6439">
        <w:instrText xml:space="preserve"> REF _Ref135253657 \n \h </w:instrText>
      </w:r>
      <w:r w:rsidR="004D6439">
        <w:fldChar w:fldCharType="separate"/>
      </w:r>
      <w:r w:rsidR="00282693">
        <w:t>71</w:t>
      </w:r>
      <w:r w:rsidR="004D6439">
        <w:fldChar w:fldCharType="end"/>
      </w:r>
      <w:r w:rsidR="00B34E15">
        <w:t xml:space="preserve"> for </w:t>
      </w:r>
      <w:r w:rsidR="004D6439">
        <w:t>an explanation</w:t>
      </w:r>
      <w:r w:rsidR="00B34E15">
        <w:t xml:space="preserve"> why 2021 Census journey to work data are not considered fit</w:t>
      </w:r>
      <w:r w:rsidR="00B9471A">
        <w:t xml:space="preserve"> </w:t>
      </w:r>
      <w:r w:rsidR="00B34E15">
        <w:t>for purpose.</w:t>
      </w:r>
    </w:p>
  </w:footnote>
  <w:footnote w:id="19">
    <w:p w14:paraId="10F30B31" w14:textId="0EA2116C" w:rsidR="009E446F" w:rsidRDefault="009E446F" w:rsidP="0065497D">
      <w:pPr>
        <w:pStyle w:val="FootnoteText"/>
      </w:pPr>
      <w:r>
        <w:rPr>
          <w:rStyle w:val="FootnoteReference"/>
        </w:rPr>
        <w:footnoteRef/>
      </w:r>
      <w:r>
        <w:t xml:space="preserve"> </w:t>
      </w:r>
      <w:r w:rsidR="00784378">
        <w:t>Urban transport is defined as transport within an urban area. Transport between urban areas is considered non-urban transport.</w:t>
      </w:r>
    </w:p>
  </w:footnote>
  <w:footnote w:id="20">
    <w:p w14:paraId="602D733D" w14:textId="4DE7EE5A" w:rsidR="00A51B5D" w:rsidRDefault="00A51B5D" w:rsidP="0065497D">
      <w:pPr>
        <w:pStyle w:val="FootnoteText"/>
      </w:pPr>
      <w:r>
        <w:rPr>
          <w:rStyle w:val="FootnoteReference"/>
        </w:rPr>
        <w:footnoteRef/>
      </w:r>
      <w:r>
        <w:t xml:space="preserve"> ABS 2016 </w:t>
      </w:r>
      <w:r w:rsidR="00637408">
        <w:t>C</w:t>
      </w:r>
      <w:r>
        <w:t xml:space="preserve">ensus TableBuilder data was used to obtain disaggregated commuter numbers. All commuters </w:t>
      </w:r>
      <w:r w:rsidR="003917B4">
        <w:t>who</w:t>
      </w:r>
      <w:r>
        <w:t xml:space="preserve"> travelled within the same urban area were removed, as these passengers are captured in the urban transport component.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5161D"/>
    <w:multiLevelType w:val="hybridMultilevel"/>
    <w:tmpl w:val="D9CAB28C"/>
    <w:lvl w:ilvl="0" w:tplc="2B7CBD9E">
      <w:start w:val="1"/>
      <w:numFmt w:val="lowerRoman"/>
      <w:pStyle w:val="CGCBullet3"/>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D7320D2"/>
    <w:multiLevelType w:val="hybridMultilevel"/>
    <w:tmpl w:val="0660D29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153D7BB4"/>
    <w:multiLevelType w:val="multilevel"/>
    <w:tmpl w:val="254084B6"/>
    <w:lvl w:ilvl="0">
      <w:start w:val="1"/>
      <w:numFmt w:val="decimal"/>
      <w:suff w:val="space"/>
      <w:lvlText w:val="Chapter %1"/>
      <w:lvlJc w:val="left"/>
      <w:pPr>
        <w:ind w:left="0" w:firstLine="0"/>
      </w:pPr>
      <w:rPr>
        <w:rFonts w:hint="default"/>
      </w:rPr>
    </w:lvl>
    <w:lvl w:ilvl="1">
      <w:start w:val="1"/>
      <w:numFmt w:val="decimal"/>
      <w:pStyle w:val="CGCNumberedPara"/>
      <w:lvlText w:val="%2"/>
      <w:lvlJc w:val="left"/>
      <w:pPr>
        <w:tabs>
          <w:tab w:val="num" w:pos="567"/>
        </w:tabs>
        <w:ind w:left="567" w:hanging="567"/>
      </w:pPr>
      <w:rPr>
        <w:rFonts w:hint="default"/>
        <w:sz w:val="20"/>
        <w:szCs w:val="20"/>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15BF05D3"/>
    <w:multiLevelType w:val="hybridMultilevel"/>
    <w:tmpl w:val="970C0F1A"/>
    <w:lvl w:ilvl="0" w:tplc="034498D4">
      <w:start w:val="1"/>
      <w:numFmt w:val="bullet"/>
      <w:pStyle w:val="CGCBullet2"/>
      <w:lvlText w:val=""/>
      <w:lvlJc w:val="left"/>
      <w:pPr>
        <w:ind w:left="1211" w:hanging="360"/>
      </w:pPr>
      <w:rPr>
        <w:rFonts w:ascii="Symbol" w:hAnsi="Symbol" w:hint="default"/>
        <w:b/>
        <w:color w:val="63646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7E71B9C"/>
    <w:multiLevelType w:val="hybridMultilevel"/>
    <w:tmpl w:val="7110E312"/>
    <w:lvl w:ilvl="0" w:tplc="DB96A0AC">
      <w:start w:val="1"/>
      <w:numFmt w:val="bullet"/>
      <w:pStyle w:val="CGC2025Bullet1"/>
      <w:lvlText w:val=""/>
      <w:lvlJc w:val="left"/>
      <w:pPr>
        <w:ind w:left="1080" w:hanging="360"/>
      </w:pPr>
      <w:rPr>
        <w:rFonts w:ascii="Symbol" w:hAnsi="Symbol" w:hint="default"/>
        <w:color w:val="636466"/>
      </w:rPr>
    </w:lvl>
    <w:lvl w:ilvl="1" w:tplc="0C090003">
      <w:start w:val="1"/>
      <w:numFmt w:val="bullet"/>
      <w:lvlText w:val="o"/>
      <w:lvlJc w:val="left"/>
      <w:pPr>
        <w:ind w:left="-3935" w:hanging="360"/>
      </w:pPr>
      <w:rPr>
        <w:rFonts w:ascii="Courier New" w:hAnsi="Courier New" w:cs="Courier New" w:hint="default"/>
      </w:rPr>
    </w:lvl>
    <w:lvl w:ilvl="2" w:tplc="0C090005" w:tentative="1">
      <w:start w:val="1"/>
      <w:numFmt w:val="bullet"/>
      <w:lvlText w:val=""/>
      <w:lvlJc w:val="left"/>
      <w:pPr>
        <w:ind w:left="-3215" w:hanging="360"/>
      </w:pPr>
      <w:rPr>
        <w:rFonts w:ascii="Wingdings" w:hAnsi="Wingdings" w:hint="default"/>
      </w:rPr>
    </w:lvl>
    <w:lvl w:ilvl="3" w:tplc="0C090001" w:tentative="1">
      <w:start w:val="1"/>
      <w:numFmt w:val="bullet"/>
      <w:lvlText w:val=""/>
      <w:lvlJc w:val="left"/>
      <w:pPr>
        <w:ind w:left="-2495" w:hanging="360"/>
      </w:pPr>
      <w:rPr>
        <w:rFonts w:ascii="Symbol" w:hAnsi="Symbol" w:hint="default"/>
      </w:rPr>
    </w:lvl>
    <w:lvl w:ilvl="4" w:tplc="0C090003" w:tentative="1">
      <w:start w:val="1"/>
      <w:numFmt w:val="bullet"/>
      <w:lvlText w:val="o"/>
      <w:lvlJc w:val="left"/>
      <w:pPr>
        <w:ind w:left="-1775" w:hanging="360"/>
      </w:pPr>
      <w:rPr>
        <w:rFonts w:ascii="Courier New" w:hAnsi="Courier New" w:cs="Courier New" w:hint="default"/>
      </w:rPr>
    </w:lvl>
    <w:lvl w:ilvl="5" w:tplc="0C090005" w:tentative="1">
      <w:start w:val="1"/>
      <w:numFmt w:val="bullet"/>
      <w:lvlText w:val=""/>
      <w:lvlJc w:val="left"/>
      <w:pPr>
        <w:ind w:left="-1055" w:hanging="360"/>
      </w:pPr>
      <w:rPr>
        <w:rFonts w:ascii="Wingdings" w:hAnsi="Wingdings" w:hint="default"/>
      </w:rPr>
    </w:lvl>
    <w:lvl w:ilvl="6" w:tplc="0C090001" w:tentative="1">
      <w:start w:val="1"/>
      <w:numFmt w:val="bullet"/>
      <w:lvlText w:val=""/>
      <w:lvlJc w:val="left"/>
      <w:pPr>
        <w:ind w:left="-335" w:hanging="360"/>
      </w:pPr>
      <w:rPr>
        <w:rFonts w:ascii="Symbol" w:hAnsi="Symbol" w:hint="default"/>
      </w:rPr>
    </w:lvl>
    <w:lvl w:ilvl="7" w:tplc="0C090003" w:tentative="1">
      <w:start w:val="1"/>
      <w:numFmt w:val="bullet"/>
      <w:lvlText w:val="o"/>
      <w:lvlJc w:val="left"/>
      <w:pPr>
        <w:ind w:left="385" w:hanging="360"/>
      </w:pPr>
      <w:rPr>
        <w:rFonts w:ascii="Courier New" w:hAnsi="Courier New" w:cs="Courier New" w:hint="default"/>
      </w:rPr>
    </w:lvl>
    <w:lvl w:ilvl="8" w:tplc="0C090005" w:tentative="1">
      <w:start w:val="1"/>
      <w:numFmt w:val="bullet"/>
      <w:lvlText w:val=""/>
      <w:lvlJc w:val="left"/>
      <w:pPr>
        <w:ind w:left="1105" w:hanging="360"/>
      </w:pPr>
      <w:rPr>
        <w:rFonts w:ascii="Wingdings" w:hAnsi="Wingdings" w:hint="default"/>
      </w:rPr>
    </w:lvl>
  </w:abstractNum>
  <w:abstractNum w:abstractNumId="5" w15:restartNumberingAfterBreak="0">
    <w:nsid w:val="22AF3A2E"/>
    <w:multiLevelType w:val="multilevel"/>
    <w:tmpl w:val="CA8C0118"/>
    <w:lvl w:ilvl="0">
      <w:start w:val="1"/>
      <w:numFmt w:val="none"/>
      <w:lvlText w:val="%1."/>
      <w:lvlJc w:val="left"/>
      <w:pPr>
        <w:tabs>
          <w:tab w:val="num" w:pos="0"/>
        </w:tabs>
        <w:ind w:left="0" w:firstLine="0"/>
      </w:pPr>
      <w:rPr>
        <w:rFonts w:hint="default"/>
      </w:rPr>
    </w:lvl>
    <w:lvl w:ilvl="1">
      <w:start w:val="1"/>
      <w:numFmt w:val="none"/>
      <w:lvlText w:val="%2"/>
      <w:lvlJc w:val="left"/>
      <w:pPr>
        <w:tabs>
          <w:tab w:val="num" w:pos="720"/>
        </w:tabs>
        <w:ind w:left="720" w:firstLine="0"/>
      </w:pPr>
      <w:rPr>
        <w:rFonts w:hint="default"/>
      </w:rPr>
    </w:lvl>
    <w:lvl w:ilvl="2">
      <w:start w:val="1"/>
      <w:numFmt w:val="none"/>
      <w:lvlText w:val="%3"/>
      <w:lvlJc w:val="left"/>
      <w:pPr>
        <w:tabs>
          <w:tab w:val="num" w:pos="0"/>
        </w:tabs>
        <w:ind w:left="0" w:firstLine="0"/>
      </w:pPr>
      <w:rPr>
        <w:rFonts w:hint="default"/>
      </w:rPr>
    </w:lvl>
    <w:lvl w:ilvl="3">
      <w:start w:val="1"/>
      <w:numFmt w:val="none"/>
      <w:lvlText w:val="%4)"/>
      <w:lvlJc w:val="left"/>
      <w:pPr>
        <w:tabs>
          <w:tab w:val="num" w:pos="2160"/>
        </w:tabs>
        <w:ind w:left="2160" w:firstLine="0"/>
      </w:pPr>
      <w:rPr>
        <w:rFonts w:hint="default"/>
      </w:rPr>
    </w:lvl>
    <w:lvl w:ilvl="4">
      <w:start w:val="1"/>
      <w:numFmt w:val="none"/>
      <w:lvlText w:val="(%5)"/>
      <w:lvlJc w:val="left"/>
      <w:pPr>
        <w:tabs>
          <w:tab w:val="num" w:pos="288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pStyle w:val="Heading8"/>
      <w:lvlText w:val="(%8)"/>
      <w:lvlJc w:val="left"/>
      <w:pPr>
        <w:tabs>
          <w:tab w:val="num" w:pos="5400"/>
        </w:tabs>
        <w:ind w:left="5040" w:firstLine="0"/>
      </w:pPr>
      <w:rPr>
        <w:rFonts w:hint="default"/>
      </w:rPr>
    </w:lvl>
    <w:lvl w:ilvl="8">
      <w:start w:val="1"/>
      <w:numFmt w:val="lowerRoman"/>
      <w:pStyle w:val="Heading9"/>
      <w:lvlText w:val="(%9)"/>
      <w:lvlJc w:val="left"/>
      <w:pPr>
        <w:tabs>
          <w:tab w:val="num" w:pos="6120"/>
        </w:tabs>
        <w:ind w:left="5760" w:firstLine="0"/>
      </w:pPr>
      <w:rPr>
        <w:rFonts w:hint="default"/>
      </w:rPr>
    </w:lvl>
  </w:abstractNum>
  <w:abstractNum w:abstractNumId="6" w15:restartNumberingAfterBreak="0">
    <w:nsid w:val="2C8A637F"/>
    <w:multiLevelType w:val="hybridMultilevel"/>
    <w:tmpl w:val="E2F6ADC4"/>
    <w:lvl w:ilvl="0" w:tplc="BF2462A0">
      <w:start w:val="1"/>
      <w:numFmt w:val="decimal"/>
      <w:pStyle w:val="CGC2025Questionsnumbers2"/>
      <w:lvlText w:val="Q%1."/>
      <w:lvlJc w:val="left"/>
      <w:pPr>
        <w:ind w:left="720" w:hanging="360"/>
      </w:pPr>
      <w:rPr>
        <w:rFonts w:hint="default"/>
        <w:b w:val="0"/>
        <w:i w:val="0"/>
        <w:caps w:val="0"/>
        <w:strike w:val="0"/>
        <w:dstrike w:val="0"/>
        <w:vanish w:val="0"/>
        <w:color w:val="000000" w:themeColor="text1"/>
        <w:sz w:val="2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38B24FCA"/>
    <w:multiLevelType w:val="hybridMultilevel"/>
    <w:tmpl w:val="AF086F92"/>
    <w:styleLink w:val="CurrentList1"/>
    <w:lvl w:ilvl="0" w:tplc="A61AAA14">
      <w:start w:val="1"/>
      <w:numFmt w:val="decimal"/>
      <w:lvlText w:val="%1"/>
      <w:lvlJc w:val="left"/>
      <w:pPr>
        <w:ind w:left="720" w:hanging="360"/>
      </w:pPr>
      <w:rPr>
        <w:rFonts w:ascii="Open Sans Light" w:hAnsi="Open Sans Light" w:hint="default"/>
        <w:b w:val="0"/>
        <w:i w:val="0"/>
        <w:caps w:val="0"/>
        <w:strike w:val="0"/>
        <w:dstrike w:val="0"/>
        <w:vanish w:val="0"/>
        <w:color w:val="000000" w:themeColor="text1"/>
        <w:sz w:val="20"/>
        <w:vertAlign w:val="baseline"/>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7B52DA0"/>
    <w:multiLevelType w:val="hybridMultilevel"/>
    <w:tmpl w:val="8196F6F8"/>
    <w:styleLink w:val="CGCConsultQuestion"/>
    <w:lvl w:ilvl="0" w:tplc="2D766888">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E1E2A55"/>
    <w:multiLevelType w:val="multilevel"/>
    <w:tmpl w:val="5D7CFA30"/>
    <w:lvl w:ilvl="0">
      <w:start w:val="1"/>
      <w:numFmt w:val="decimal"/>
      <w:pStyle w:val="CGC2025QuestionNumbers"/>
      <w:lvlText w:val="Q%1."/>
      <w:lvlJc w:val="left"/>
      <w:pPr>
        <w:ind w:left="454" w:hanging="454"/>
      </w:pPr>
      <w:rPr>
        <w:rFonts w:ascii="Work Sans" w:hAnsi="Work Sans" w:hint="default"/>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66B56961"/>
    <w:multiLevelType w:val="hybridMultilevel"/>
    <w:tmpl w:val="4BB6122E"/>
    <w:lvl w:ilvl="0" w:tplc="8A0205E8">
      <w:start w:val="1"/>
      <w:numFmt w:val="bullet"/>
      <w:pStyle w:val="CGCQuoteBullet"/>
      <w:lvlText w:val=""/>
      <w:lvlJc w:val="left"/>
      <w:pPr>
        <w:ind w:left="1741" w:hanging="360"/>
      </w:pPr>
      <w:rPr>
        <w:rFonts w:ascii="Symbol" w:hAnsi="Symbol" w:hint="default"/>
        <w:color w:val="5CA5C2"/>
      </w:rPr>
    </w:lvl>
    <w:lvl w:ilvl="1" w:tplc="0C090003" w:tentative="1">
      <w:start w:val="1"/>
      <w:numFmt w:val="bullet"/>
      <w:lvlText w:val="o"/>
      <w:lvlJc w:val="left"/>
      <w:pPr>
        <w:ind w:left="2461" w:hanging="360"/>
      </w:pPr>
      <w:rPr>
        <w:rFonts w:ascii="Courier New" w:hAnsi="Courier New" w:cs="Courier New" w:hint="default"/>
      </w:rPr>
    </w:lvl>
    <w:lvl w:ilvl="2" w:tplc="0C090005" w:tentative="1">
      <w:start w:val="1"/>
      <w:numFmt w:val="bullet"/>
      <w:lvlText w:val=""/>
      <w:lvlJc w:val="left"/>
      <w:pPr>
        <w:ind w:left="3181" w:hanging="360"/>
      </w:pPr>
      <w:rPr>
        <w:rFonts w:ascii="Wingdings" w:hAnsi="Wingdings" w:hint="default"/>
      </w:rPr>
    </w:lvl>
    <w:lvl w:ilvl="3" w:tplc="0C090001" w:tentative="1">
      <w:start w:val="1"/>
      <w:numFmt w:val="bullet"/>
      <w:lvlText w:val=""/>
      <w:lvlJc w:val="left"/>
      <w:pPr>
        <w:ind w:left="3901" w:hanging="360"/>
      </w:pPr>
      <w:rPr>
        <w:rFonts w:ascii="Symbol" w:hAnsi="Symbol" w:hint="default"/>
      </w:rPr>
    </w:lvl>
    <w:lvl w:ilvl="4" w:tplc="0C090003" w:tentative="1">
      <w:start w:val="1"/>
      <w:numFmt w:val="bullet"/>
      <w:lvlText w:val="o"/>
      <w:lvlJc w:val="left"/>
      <w:pPr>
        <w:ind w:left="4621" w:hanging="360"/>
      </w:pPr>
      <w:rPr>
        <w:rFonts w:ascii="Courier New" w:hAnsi="Courier New" w:cs="Courier New" w:hint="default"/>
      </w:rPr>
    </w:lvl>
    <w:lvl w:ilvl="5" w:tplc="0C090005" w:tentative="1">
      <w:start w:val="1"/>
      <w:numFmt w:val="bullet"/>
      <w:lvlText w:val=""/>
      <w:lvlJc w:val="left"/>
      <w:pPr>
        <w:ind w:left="5341" w:hanging="360"/>
      </w:pPr>
      <w:rPr>
        <w:rFonts w:ascii="Wingdings" w:hAnsi="Wingdings" w:hint="default"/>
      </w:rPr>
    </w:lvl>
    <w:lvl w:ilvl="6" w:tplc="0C090001" w:tentative="1">
      <w:start w:val="1"/>
      <w:numFmt w:val="bullet"/>
      <w:lvlText w:val=""/>
      <w:lvlJc w:val="left"/>
      <w:pPr>
        <w:ind w:left="6061" w:hanging="360"/>
      </w:pPr>
      <w:rPr>
        <w:rFonts w:ascii="Symbol" w:hAnsi="Symbol" w:hint="default"/>
      </w:rPr>
    </w:lvl>
    <w:lvl w:ilvl="7" w:tplc="0C090003" w:tentative="1">
      <w:start w:val="1"/>
      <w:numFmt w:val="bullet"/>
      <w:lvlText w:val="o"/>
      <w:lvlJc w:val="left"/>
      <w:pPr>
        <w:ind w:left="6781" w:hanging="360"/>
      </w:pPr>
      <w:rPr>
        <w:rFonts w:ascii="Courier New" w:hAnsi="Courier New" w:cs="Courier New" w:hint="default"/>
      </w:rPr>
    </w:lvl>
    <w:lvl w:ilvl="8" w:tplc="0C090005" w:tentative="1">
      <w:start w:val="1"/>
      <w:numFmt w:val="bullet"/>
      <w:lvlText w:val=""/>
      <w:lvlJc w:val="left"/>
      <w:pPr>
        <w:ind w:left="7501" w:hanging="360"/>
      </w:pPr>
      <w:rPr>
        <w:rFonts w:ascii="Wingdings" w:hAnsi="Wingdings" w:hint="default"/>
      </w:rPr>
    </w:lvl>
  </w:abstractNum>
  <w:abstractNum w:abstractNumId="11" w15:restartNumberingAfterBreak="0">
    <w:nsid w:val="6D517EA6"/>
    <w:multiLevelType w:val="multilevel"/>
    <w:tmpl w:val="8CEE0058"/>
    <w:lvl w:ilvl="0">
      <w:start w:val="1"/>
      <w:numFmt w:val="bullet"/>
      <w:pStyle w:val="CGCBulletlist"/>
      <w:lvlText w:val=""/>
      <w:lvlJc w:val="left"/>
      <w:pPr>
        <w:tabs>
          <w:tab w:val="num" w:pos="927"/>
        </w:tabs>
        <w:ind w:left="927" w:hanging="360"/>
      </w:pPr>
      <w:rPr>
        <w:rFonts w:ascii="Symbol" w:hAnsi="Symbol" w:hint="default"/>
      </w:rPr>
    </w:lvl>
    <w:lvl w:ilvl="1">
      <w:start w:val="1"/>
      <w:numFmt w:val="lowerLetter"/>
      <w:lvlText w:val="%2)"/>
      <w:lvlJc w:val="left"/>
      <w:pPr>
        <w:tabs>
          <w:tab w:val="num" w:pos="1593"/>
        </w:tabs>
        <w:ind w:left="1593" w:hanging="360"/>
      </w:pPr>
      <w:rPr>
        <w:rFonts w:hint="default"/>
      </w:rPr>
    </w:lvl>
    <w:lvl w:ilvl="2">
      <w:start w:val="1"/>
      <w:numFmt w:val="lowerRoman"/>
      <w:lvlText w:val="%3)"/>
      <w:lvlJc w:val="left"/>
      <w:pPr>
        <w:tabs>
          <w:tab w:val="num" w:pos="1953"/>
        </w:tabs>
        <w:ind w:left="1953" w:hanging="360"/>
      </w:pPr>
      <w:rPr>
        <w:rFonts w:hint="default"/>
      </w:rPr>
    </w:lvl>
    <w:lvl w:ilvl="3">
      <w:start w:val="1"/>
      <w:numFmt w:val="decimal"/>
      <w:lvlText w:val="(%4)"/>
      <w:lvlJc w:val="left"/>
      <w:pPr>
        <w:tabs>
          <w:tab w:val="num" w:pos="2313"/>
        </w:tabs>
        <w:ind w:left="2313" w:hanging="360"/>
      </w:pPr>
      <w:rPr>
        <w:rFonts w:hint="default"/>
      </w:rPr>
    </w:lvl>
    <w:lvl w:ilvl="4">
      <w:start w:val="1"/>
      <w:numFmt w:val="lowerLetter"/>
      <w:lvlText w:val="(%5)"/>
      <w:lvlJc w:val="left"/>
      <w:pPr>
        <w:tabs>
          <w:tab w:val="num" w:pos="2673"/>
        </w:tabs>
        <w:ind w:left="2673" w:hanging="360"/>
      </w:pPr>
      <w:rPr>
        <w:rFonts w:hint="default"/>
      </w:rPr>
    </w:lvl>
    <w:lvl w:ilvl="5">
      <w:start w:val="1"/>
      <w:numFmt w:val="lowerRoman"/>
      <w:lvlText w:val="(%6)"/>
      <w:lvlJc w:val="left"/>
      <w:pPr>
        <w:tabs>
          <w:tab w:val="num" w:pos="3033"/>
        </w:tabs>
        <w:ind w:left="3033" w:hanging="360"/>
      </w:pPr>
      <w:rPr>
        <w:rFonts w:hint="default"/>
      </w:rPr>
    </w:lvl>
    <w:lvl w:ilvl="6">
      <w:start w:val="1"/>
      <w:numFmt w:val="decimal"/>
      <w:lvlText w:val="%7."/>
      <w:lvlJc w:val="left"/>
      <w:pPr>
        <w:tabs>
          <w:tab w:val="num" w:pos="3393"/>
        </w:tabs>
        <w:ind w:left="3393" w:hanging="360"/>
      </w:pPr>
      <w:rPr>
        <w:rFonts w:hint="default"/>
      </w:rPr>
    </w:lvl>
    <w:lvl w:ilvl="7">
      <w:start w:val="1"/>
      <w:numFmt w:val="lowerLetter"/>
      <w:lvlText w:val="%8."/>
      <w:lvlJc w:val="left"/>
      <w:pPr>
        <w:tabs>
          <w:tab w:val="num" w:pos="3753"/>
        </w:tabs>
        <w:ind w:left="3753" w:hanging="360"/>
      </w:pPr>
      <w:rPr>
        <w:rFonts w:hint="default"/>
      </w:rPr>
    </w:lvl>
    <w:lvl w:ilvl="8">
      <w:start w:val="1"/>
      <w:numFmt w:val="lowerRoman"/>
      <w:lvlText w:val="%9."/>
      <w:lvlJc w:val="left"/>
      <w:pPr>
        <w:tabs>
          <w:tab w:val="num" w:pos="4113"/>
        </w:tabs>
        <w:ind w:left="4113" w:hanging="360"/>
      </w:pPr>
      <w:rPr>
        <w:rFonts w:hint="default"/>
      </w:rPr>
    </w:lvl>
  </w:abstractNum>
  <w:abstractNum w:abstractNumId="12" w15:restartNumberingAfterBreak="0">
    <w:nsid w:val="77D62F87"/>
    <w:multiLevelType w:val="hybridMultilevel"/>
    <w:tmpl w:val="E332B1EE"/>
    <w:lvl w:ilvl="0" w:tplc="7898E74C">
      <w:start w:val="1"/>
      <w:numFmt w:val="bullet"/>
      <w:pStyle w:val="CGCSubbulletlist"/>
      <w:lvlText w:val=""/>
      <w:lvlJc w:val="left"/>
      <w:pPr>
        <w:tabs>
          <w:tab w:val="num" w:pos="927"/>
        </w:tabs>
        <w:ind w:left="1134" w:firstLine="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A1C4E2F"/>
    <w:multiLevelType w:val="hybridMultilevel"/>
    <w:tmpl w:val="47B6A34C"/>
    <w:lvl w:ilvl="0" w:tplc="8102AB2C">
      <w:start w:val="1"/>
      <w:numFmt w:val="lowerLetter"/>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num w:numId="1" w16cid:durableId="312762399">
    <w:abstractNumId w:val="5"/>
  </w:num>
  <w:num w:numId="2" w16cid:durableId="1811552582">
    <w:abstractNumId w:val="12"/>
  </w:num>
  <w:num w:numId="3" w16cid:durableId="1045789015">
    <w:abstractNumId w:val="4"/>
  </w:num>
  <w:num w:numId="4" w16cid:durableId="880630624">
    <w:abstractNumId w:val="3"/>
  </w:num>
  <w:num w:numId="5" w16cid:durableId="1057128230">
    <w:abstractNumId w:val="10"/>
  </w:num>
  <w:num w:numId="6" w16cid:durableId="250702278">
    <w:abstractNumId w:val="0"/>
    <w:lvlOverride w:ilvl="0">
      <w:startOverride w:val="1"/>
    </w:lvlOverride>
  </w:num>
  <w:num w:numId="7" w16cid:durableId="1153057923">
    <w:abstractNumId w:val="7"/>
  </w:num>
  <w:num w:numId="8" w16cid:durableId="1752268609">
    <w:abstractNumId w:val="11"/>
  </w:num>
  <w:num w:numId="9" w16cid:durableId="805245252">
    <w:abstractNumId w:val="2"/>
  </w:num>
  <w:num w:numId="10" w16cid:durableId="1636400447">
    <w:abstractNumId w:val="8"/>
  </w:num>
  <w:num w:numId="11" w16cid:durableId="1233469953">
    <w:abstractNumId w:val="1"/>
  </w:num>
  <w:num w:numId="12" w16cid:durableId="2143887232">
    <w:abstractNumId w:val="9"/>
  </w:num>
  <w:num w:numId="13" w16cid:durableId="1623883301">
    <w:abstractNumId w:val="6"/>
    <w:lvlOverride w:ilvl="0">
      <w:startOverride w:val="1"/>
    </w:lvlOverride>
  </w:num>
  <w:num w:numId="14" w16cid:durableId="1716194124">
    <w:abstractNumId w:val="13"/>
  </w:num>
  <w:num w:numId="15" w16cid:durableId="6657422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295812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2"/>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57"/>
  <w:drawingGridVerticalSpacing w:val="57"/>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2904"/>
    <w:rsid w:val="000002A6"/>
    <w:rsid w:val="0000040D"/>
    <w:rsid w:val="000005E3"/>
    <w:rsid w:val="000007FE"/>
    <w:rsid w:val="00000C89"/>
    <w:rsid w:val="00000C9F"/>
    <w:rsid w:val="00000EB5"/>
    <w:rsid w:val="000014F4"/>
    <w:rsid w:val="00001718"/>
    <w:rsid w:val="00001D2D"/>
    <w:rsid w:val="00001DA2"/>
    <w:rsid w:val="000021E9"/>
    <w:rsid w:val="00002356"/>
    <w:rsid w:val="00002461"/>
    <w:rsid w:val="000025E6"/>
    <w:rsid w:val="00002B22"/>
    <w:rsid w:val="00002B46"/>
    <w:rsid w:val="00002D1C"/>
    <w:rsid w:val="0000360E"/>
    <w:rsid w:val="00003620"/>
    <w:rsid w:val="000036D8"/>
    <w:rsid w:val="00003AA1"/>
    <w:rsid w:val="00003C54"/>
    <w:rsid w:val="00003C61"/>
    <w:rsid w:val="0000427E"/>
    <w:rsid w:val="000042EE"/>
    <w:rsid w:val="000042F1"/>
    <w:rsid w:val="000043F9"/>
    <w:rsid w:val="0000475A"/>
    <w:rsid w:val="00004794"/>
    <w:rsid w:val="00004944"/>
    <w:rsid w:val="00004C0A"/>
    <w:rsid w:val="00004C67"/>
    <w:rsid w:val="00005313"/>
    <w:rsid w:val="0000577B"/>
    <w:rsid w:val="000058B4"/>
    <w:rsid w:val="00005CA2"/>
    <w:rsid w:val="00005D3F"/>
    <w:rsid w:val="00005E37"/>
    <w:rsid w:val="00005EAC"/>
    <w:rsid w:val="0000645D"/>
    <w:rsid w:val="0000648D"/>
    <w:rsid w:val="000067C9"/>
    <w:rsid w:val="000067F6"/>
    <w:rsid w:val="000068CE"/>
    <w:rsid w:val="000068D7"/>
    <w:rsid w:val="00006998"/>
    <w:rsid w:val="00006CE5"/>
    <w:rsid w:val="00006E30"/>
    <w:rsid w:val="00006F3D"/>
    <w:rsid w:val="00006F7E"/>
    <w:rsid w:val="00006FB5"/>
    <w:rsid w:val="000072B4"/>
    <w:rsid w:val="0000755E"/>
    <w:rsid w:val="00007851"/>
    <w:rsid w:val="00007DA0"/>
    <w:rsid w:val="00007F00"/>
    <w:rsid w:val="00007F32"/>
    <w:rsid w:val="00007FD5"/>
    <w:rsid w:val="000101A7"/>
    <w:rsid w:val="00010604"/>
    <w:rsid w:val="00010A52"/>
    <w:rsid w:val="00010A5F"/>
    <w:rsid w:val="00010F0F"/>
    <w:rsid w:val="00010F5B"/>
    <w:rsid w:val="000111E1"/>
    <w:rsid w:val="000115FD"/>
    <w:rsid w:val="00011755"/>
    <w:rsid w:val="00011961"/>
    <w:rsid w:val="00011AAB"/>
    <w:rsid w:val="00011C73"/>
    <w:rsid w:val="00011F76"/>
    <w:rsid w:val="000120E4"/>
    <w:rsid w:val="0001236A"/>
    <w:rsid w:val="000123BB"/>
    <w:rsid w:val="00012501"/>
    <w:rsid w:val="00012681"/>
    <w:rsid w:val="000126B4"/>
    <w:rsid w:val="000128C1"/>
    <w:rsid w:val="00012B67"/>
    <w:rsid w:val="00012C74"/>
    <w:rsid w:val="00012D5F"/>
    <w:rsid w:val="00012FE9"/>
    <w:rsid w:val="00012FEB"/>
    <w:rsid w:val="00013464"/>
    <w:rsid w:val="00013600"/>
    <w:rsid w:val="0001377B"/>
    <w:rsid w:val="000138A4"/>
    <w:rsid w:val="00013C48"/>
    <w:rsid w:val="00013F2E"/>
    <w:rsid w:val="000144FC"/>
    <w:rsid w:val="000148B1"/>
    <w:rsid w:val="000148C5"/>
    <w:rsid w:val="00014CAF"/>
    <w:rsid w:val="00014CB0"/>
    <w:rsid w:val="00014FA9"/>
    <w:rsid w:val="000150BF"/>
    <w:rsid w:val="000153C7"/>
    <w:rsid w:val="00015467"/>
    <w:rsid w:val="0001546C"/>
    <w:rsid w:val="00015481"/>
    <w:rsid w:val="000156B2"/>
    <w:rsid w:val="000156D2"/>
    <w:rsid w:val="00015A97"/>
    <w:rsid w:val="00015F98"/>
    <w:rsid w:val="000161D9"/>
    <w:rsid w:val="00016230"/>
    <w:rsid w:val="0001624F"/>
    <w:rsid w:val="0001633D"/>
    <w:rsid w:val="000163CB"/>
    <w:rsid w:val="00016603"/>
    <w:rsid w:val="0001666C"/>
    <w:rsid w:val="00016C5C"/>
    <w:rsid w:val="00016C62"/>
    <w:rsid w:val="00016E15"/>
    <w:rsid w:val="00016FE0"/>
    <w:rsid w:val="00017297"/>
    <w:rsid w:val="0001770B"/>
    <w:rsid w:val="00017A7D"/>
    <w:rsid w:val="00017B6E"/>
    <w:rsid w:val="00017C01"/>
    <w:rsid w:val="00017D70"/>
    <w:rsid w:val="00017DB0"/>
    <w:rsid w:val="00017E5B"/>
    <w:rsid w:val="00017EB6"/>
    <w:rsid w:val="00020201"/>
    <w:rsid w:val="000204C9"/>
    <w:rsid w:val="0002068B"/>
    <w:rsid w:val="000207B5"/>
    <w:rsid w:val="000208EA"/>
    <w:rsid w:val="00020D21"/>
    <w:rsid w:val="00020D77"/>
    <w:rsid w:val="00020EA3"/>
    <w:rsid w:val="00021727"/>
    <w:rsid w:val="00021829"/>
    <w:rsid w:val="00021FF8"/>
    <w:rsid w:val="00022C1B"/>
    <w:rsid w:val="00022CCC"/>
    <w:rsid w:val="00022CE0"/>
    <w:rsid w:val="00022EA9"/>
    <w:rsid w:val="00023068"/>
    <w:rsid w:val="00023137"/>
    <w:rsid w:val="00023513"/>
    <w:rsid w:val="00023BDB"/>
    <w:rsid w:val="00024069"/>
    <w:rsid w:val="000240A2"/>
    <w:rsid w:val="000242F2"/>
    <w:rsid w:val="00024610"/>
    <w:rsid w:val="00024745"/>
    <w:rsid w:val="00024998"/>
    <w:rsid w:val="000249F7"/>
    <w:rsid w:val="00024D1B"/>
    <w:rsid w:val="00024E31"/>
    <w:rsid w:val="00025242"/>
    <w:rsid w:val="000255BB"/>
    <w:rsid w:val="000256F0"/>
    <w:rsid w:val="000257F1"/>
    <w:rsid w:val="0002582B"/>
    <w:rsid w:val="00025A14"/>
    <w:rsid w:val="00025CB3"/>
    <w:rsid w:val="00025D02"/>
    <w:rsid w:val="0002625F"/>
    <w:rsid w:val="0002639E"/>
    <w:rsid w:val="0002646D"/>
    <w:rsid w:val="00026896"/>
    <w:rsid w:val="00026A1A"/>
    <w:rsid w:val="00026AE6"/>
    <w:rsid w:val="00026BB5"/>
    <w:rsid w:val="00026CCA"/>
    <w:rsid w:val="00026D70"/>
    <w:rsid w:val="00026E78"/>
    <w:rsid w:val="00026E7B"/>
    <w:rsid w:val="0002704C"/>
    <w:rsid w:val="0002721C"/>
    <w:rsid w:val="000273C6"/>
    <w:rsid w:val="000274F7"/>
    <w:rsid w:val="00027557"/>
    <w:rsid w:val="0002774F"/>
    <w:rsid w:val="00027A3B"/>
    <w:rsid w:val="00027BD1"/>
    <w:rsid w:val="00027C25"/>
    <w:rsid w:val="000303FC"/>
    <w:rsid w:val="0003050C"/>
    <w:rsid w:val="00030629"/>
    <w:rsid w:val="0003096A"/>
    <w:rsid w:val="00030A71"/>
    <w:rsid w:val="00030D73"/>
    <w:rsid w:val="00030E66"/>
    <w:rsid w:val="00031376"/>
    <w:rsid w:val="0003163A"/>
    <w:rsid w:val="00031648"/>
    <w:rsid w:val="000318AE"/>
    <w:rsid w:val="000319ED"/>
    <w:rsid w:val="00031B14"/>
    <w:rsid w:val="00031BE7"/>
    <w:rsid w:val="00031CF4"/>
    <w:rsid w:val="000323AF"/>
    <w:rsid w:val="000326F5"/>
    <w:rsid w:val="000327D5"/>
    <w:rsid w:val="000327F1"/>
    <w:rsid w:val="00032856"/>
    <w:rsid w:val="000328A8"/>
    <w:rsid w:val="00032B4C"/>
    <w:rsid w:val="00032B8A"/>
    <w:rsid w:val="00032C19"/>
    <w:rsid w:val="00032EFA"/>
    <w:rsid w:val="00032F41"/>
    <w:rsid w:val="000330E7"/>
    <w:rsid w:val="00033147"/>
    <w:rsid w:val="00033630"/>
    <w:rsid w:val="0003398F"/>
    <w:rsid w:val="000339C1"/>
    <w:rsid w:val="00033A71"/>
    <w:rsid w:val="00033AEC"/>
    <w:rsid w:val="00033E7D"/>
    <w:rsid w:val="00034DBB"/>
    <w:rsid w:val="00034DF4"/>
    <w:rsid w:val="00035241"/>
    <w:rsid w:val="00035405"/>
    <w:rsid w:val="00035458"/>
    <w:rsid w:val="00035562"/>
    <w:rsid w:val="000360F1"/>
    <w:rsid w:val="000363C5"/>
    <w:rsid w:val="0003695C"/>
    <w:rsid w:val="000369FF"/>
    <w:rsid w:val="00036ED1"/>
    <w:rsid w:val="000370C8"/>
    <w:rsid w:val="000372BA"/>
    <w:rsid w:val="000372D7"/>
    <w:rsid w:val="000376A0"/>
    <w:rsid w:val="000377D1"/>
    <w:rsid w:val="000379C9"/>
    <w:rsid w:val="00037C2B"/>
    <w:rsid w:val="00037C7F"/>
    <w:rsid w:val="00037D57"/>
    <w:rsid w:val="00037ED9"/>
    <w:rsid w:val="00040135"/>
    <w:rsid w:val="00040276"/>
    <w:rsid w:val="000403DB"/>
    <w:rsid w:val="00040571"/>
    <w:rsid w:val="00040601"/>
    <w:rsid w:val="00040678"/>
    <w:rsid w:val="0004073E"/>
    <w:rsid w:val="00040823"/>
    <w:rsid w:val="00040898"/>
    <w:rsid w:val="00040A61"/>
    <w:rsid w:val="00040C0E"/>
    <w:rsid w:val="00040DEB"/>
    <w:rsid w:val="00040FEA"/>
    <w:rsid w:val="0004123E"/>
    <w:rsid w:val="00041307"/>
    <w:rsid w:val="00041548"/>
    <w:rsid w:val="000416C1"/>
    <w:rsid w:val="00041748"/>
    <w:rsid w:val="000417EB"/>
    <w:rsid w:val="0004187D"/>
    <w:rsid w:val="00041C1F"/>
    <w:rsid w:val="00041E66"/>
    <w:rsid w:val="00041E84"/>
    <w:rsid w:val="000424EA"/>
    <w:rsid w:val="000424EF"/>
    <w:rsid w:val="0004258C"/>
    <w:rsid w:val="0004267C"/>
    <w:rsid w:val="00042884"/>
    <w:rsid w:val="000428BA"/>
    <w:rsid w:val="0004317E"/>
    <w:rsid w:val="000435E5"/>
    <w:rsid w:val="0004391D"/>
    <w:rsid w:val="00044479"/>
    <w:rsid w:val="0004452C"/>
    <w:rsid w:val="0004456B"/>
    <w:rsid w:val="0004487C"/>
    <w:rsid w:val="00044F65"/>
    <w:rsid w:val="00045449"/>
    <w:rsid w:val="000458C3"/>
    <w:rsid w:val="00045A43"/>
    <w:rsid w:val="00045C11"/>
    <w:rsid w:val="00045C84"/>
    <w:rsid w:val="00045D35"/>
    <w:rsid w:val="00046159"/>
    <w:rsid w:val="00046904"/>
    <w:rsid w:val="00046C1D"/>
    <w:rsid w:val="00046FF2"/>
    <w:rsid w:val="0004713E"/>
    <w:rsid w:val="0004722F"/>
    <w:rsid w:val="0004735C"/>
    <w:rsid w:val="00047511"/>
    <w:rsid w:val="00047856"/>
    <w:rsid w:val="00047AB0"/>
    <w:rsid w:val="00047CF4"/>
    <w:rsid w:val="00047ED1"/>
    <w:rsid w:val="00047FA1"/>
    <w:rsid w:val="00050484"/>
    <w:rsid w:val="0005087F"/>
    <w:rsid w:val="00050BCB"/>
    <w:rsid w:val="000510B1"/>
    <w:rsid w:val="000510FF"/>
    <w:rsid w:val="00051114"/>
    <w:rsid w:val="0005127C"/>
    <w:rsid w:val="000513E7"/>
    <w:rsid w:val="00051749"/>
    <w:rsid w:val="0005199E"/>
    <w:rsid w:val="00051F3C"/>
    <w:rsid w:val="00052248"/>
    <w:rsid w:val="000522D7"/>
    <w:rsid w:val="00052686"/>
    <w:rsid w:val="00052C6C"/>
    <w:rsid w:val="00052DA0"/>
    <w:rsid w:val="00052F1E"/>
    <w:rsid w:val="00052F5A"/>
    <w:rsid w:val="000530EF"/>
    <w:rsid w:val="00053512"/>
    <w:rsid w:val="0005377C"/>
    <w:rsid w:val="00053F80"/>
    <w:rsid w:val="00054311"/>
    <w:rsid w:val="00054362"/>
    <w:rsid w:val="0005450F"/>
    <w:rsid w:val="0005451C"/>
    <w:rsid w:val="00054587"/>
    <w:rsid w:val="000545DE"/>
    <w:rsid w:val="0005476E"/>
    <w:rsid w:val="000547DE"/>
    <w:rsid w:val="0005491E"/>
    <w:rsid w:val="000549C6"/>
    <w:rsid w:val="00054A69"/>
    <w:rsid w:val="00054E2F"/>
    <w:rsid w:val="000550B8"/>
    <w:rsid w:val="00055356"/>
    <w:rsid w:val="000554BF"/>
    <w:rsid w:val="0005557C"/>
    <w:rsid w:val="00055CA8"/>
    <w:rsid w:val="00056051"/>
    <w:rsid w:val="00056237"/>
    <w:rsid w:val="00056244"/>
    <w:rsid w:val="000562AF"/>
    <w:rsid w:val="00056371"/>
    <w:rsid w:val="00056373"/>
    <w:rsid w:val="00056981"/>
    <w:rsid w:val="000569CD"/>
    <w:rsid w:val="00056C67"/>
    <w:rsid w:val="00056E89"/>
    <w:rsid w:val="00057646"/>
    <w:rsid w:val="0005765E"/>
    <w:rsid w:val="0005781B"/>
    <w:rsid w:val="00057D13"/>
    <w:rsid w:val="00057E3A"/>
    <w:rsid w:val="00060038"/>
    <w:rsid w:val="00060546"/>
    <w:rsid w:val="00060D89"/>
    <w:rsid w:val="00060EBF"/>
    <w:rsid w:val="00060F6E"/>
    <w:rsid w:val="00061111"/>
    <w:rsid w:val="000612BB"/>
    <w:rsid w:val="00061505"/>
    <w:rsid w:val="0006177C"/>
    <w:rsid w:val="00061788"/>
    <w:rsid w:val="0006187F"/>
    <w:rsid w:val="00061933"/>
    <w:rsid w:val="00061DD3"/>
    <w:rsid w:val="00062330"/>
    <w:rsid w:val="00062334"/>
    <w:rsid w:val="000624BB"/>
    <w:rsid w:val="00062949"/>
    <w:rsid w:val="000629B2"/>
    <w:rsid w:val="00062B51"/>
    <w:rsid w:val="00062C57"/>
    <w:rsid w:val="00062E1E"/>
    <w:rsid w:val="00062E4D"/>
    <w:rsid w:val="00063147"/>
    <w:rsid w:val="0006314F"/>
    <w:rsid w:val="00063405"/>
    <w:rsid w:val="0006366E"/>
    <w:rsid w:val="000636D6"/>
    <w:rsid w:val="00063A8D"/>
    <w:rsid w:val="00063DB9"/>
    <w:rsid w:val="000641EB"/>
    <w:rsid w:val="00064447"/>
    <w:rsid w:val="0006454E"/>
    <w:rsid w:val="00064557"/>
    <w:rsid w:val="00064696"/>
    <w:rsid w:val="00064825"/>
    <w:rsid w:val="000648E8"/>
    <w:rsid w:val="00064D63"/>
    <w:rsid w:val="00064E2B"/>
    <w:rsid w:val="00064FD5"/>
    <w:rsid w:val="00065212"/>
    <w:rsid w:val="000653E6"/>
    <w:rsid w:val="000653F5"/>
    <w:rsid w:val="00065519"/>
    <w:rsid w:val="0006584B"/>
    <w:rsid w:val="0006584E"/>
    <w:rsid w:val="00065B9D"/>
    <w:rsid w:val="00065BF3"/>
    <w:rsid w:val="00065CE5"/>
    <w:rsid w:val="000663ED"/>
    <w:rsid w:val="00066436"/>
    <w:rsid w:val="00066440"/>
    <w:rsid w:val="00066598"/>
    <w:rsid w:val="000665AB"/>
    <w:rsid w:val="00066998"/>
    <w:rsid w:val="00066CDE"/>
    <w:rsid w:val="00066E63"/>
    <w:rsid w:val="00066FBC"/>
    <w:rsid w:val="00066FC9"/>
    <w:rsid w:val="000672BE"/>
    <w:rsid w:val="0006752B"/>
    <w:rsid w:val="0006766A"/>
    <w:rsid w:val="000679B0"/>
    <w:rsid w:val="00067EB9"/>
    <w:rsid w:val="0007023A"/>
    <w:rsid w:val="000702C3"/>
    <w:rsid w:val="000707F5"/>
    <w:rsid w:val="00070C29"/>
    <w:rsid w:val="00070C72"/>
    <w:rsid w:val="00070EA5"/>
    <w:rsid w:val="0007176E"/>
    <w:rsid w:val="00071AAC"/>
    <w:rsid w:val="00071CE8"/>
    <w:rsid w:val="00071EF7"/>
    <w:rsid w:val="00071FE2"/>
    <w:rsid w:val="00072324"/>
    <w:rsid w:val="00072373"/>
    <w:rsid w:val="0007253A"/>
    <w:rsid w:val="0007291F"/>
    <w:rsid w:val="0007295F"/>
    <w:rsid w:val="00072A13"/>
    <w:rsid w:val="00072CBE"/>
    <w:rsid w:val="00072EC4"/>
    <w:rsid w:val="00072F62"/>
    <w:rsid w:val="00073031"/>
    <w:rsid w:val="000731C5"/>
    <w:rsid w:val="0007335C"/>
    <w:rsid w:val="0007360C"/>
    <w:rsid w:val="00073696"/>
    <w:rsid w:val="0007384E"/>
    <w:rsid w:val="00073CC2"/>
    <w:rsid w:val="00073E85"/>
    <w:rsid w:val="00073F15"/>
    <w:rsid w:val="0007403E"/>
    <w:rsid w:val="00074062"/>
    <w:rsid w:val="00074D42"/>
    <w:rsid w:val="00075593"/>
    <w:rsid w:val="00075617"/>
    <w:rsid w:val="0007582F"/>
    <w:rsid w:val="00075C51"/>
    <w:rsid w:val="00075D8F"/>
    <w:rsid w:val="00075E2C"/>
    <w:rsid w:val="00075E79"/>
    <w:rsid w:val="00076611"/>
    <w:rsid w:val="000766EF"/>
    <w:rsid w:val="00076A01"/>
    <w:rsid w:val="00076D2C"/>
    <w:rsid w:val="00076DA5"/>
    <w:rsid w:val="00076F55"/>
    <w:rsid w:val="000773A2"/>
    <w:rsid w:val="000778F1"/>
    <w:rsid w:val="00077AAF"/>
    <w:rsid w:val="00077ADE"/>
    <w:rsid w:val="00077BD0"/>
    <w:rsid w:val="00077C47"/>
    <w:rsid w:val="00077CAE"/>
    <w:rsid w:val="00077EEC"/>
    <w:rsid w:val="00080210"/>
    <w:rsid w:val="00080895"/>
    <w:rsid w:val="00081087"/>
    <w:rsid w:val="0008121A"/>
    <w:rsid w:val="000812ED"/>
    <w:rsid w:val="000813B9"/>
    <w:rsid w:val="00081438"/>
    <w:rsid w:val="000816E0"/>
    <w:rsid w:val="0008185A"/>
    <w:rsid w:val="00081889"/>
    <w:rsid w:val="000818C1"/>
    <w:rsid w:val="00081996"/>
    <w:rsid w:val="000819A8"/>
    <w:rsid w:val="00081E9A"/>
    <w:rsid w:val="00081FAD"/>
    <w:rsid w:val="0008228E"/>
    <w:rsid w:val="000822E5"/>
    <w:rsid w:val="00082DEF"/>
    <w:rsid w:val="0008300D"/>
    <w:rsid w:val="000830C0"/>
    <w:rsid w:val="00083201"/>
    <w:rsid w:val="000835EC"/>
    <w:rsid w:val="00083762"/>
    <w:rsid w:val="00083837"/>
    <w:rsid w:val="0008442A"/>
    <w:rsid w:val="000844E3"/>
    <w:rsid w:val="00084776"/>
    <w:rsid w:val="000847BF"/>
    <w:rsid w:val="00084AAA"/>
    <w:rsid w:val="00084E51"/>
    <w:rsid w:val="00084EE3"/>
    <w:rsid w:val="00085546"/>
    <w:rsid w:val="0008583F"/>
    <w:rsid w:val="000859D8"/>
    <w:rsid w:val="00085CD3"/>
    <w:rsid w:val="00085D36"/>
    <w:rsid w:val="00085DFE"/>
    <w:rsid w:val="00085EA1"/>
    <w:rsid w:val="0008691D"/>
    <w:rsid w:val="00086A50"/>
    <w:rsid w:val="00086A5C"/>
    <w:rsid w:val="00086B04"/>
    <w:rsid w:val="00086C42"/>
    <w:rsid w:val="00086D08"/>
    <w:rsid w:val="00086EBC"/>
    <w:rsid w:val="00086FF5"/>
    <w:rsid w:val="000871F1"/>
    <w:rsid w:val="0008779D"/>
    <w:rsid w:val="00087A1C"/>
    <w:rsid w:val="00087AB8"/>
    <w:rsid w:val="00087F7D"/>
    <w:rsid w:val="00087FC3"/>
    <w:rsid w:val="00090151"/>
    <w:rsid w:val="00090A5C"/>
    <w:rsid w:val="00090AF8"/>
    <w:rsid w:val="00090E30"/>
    <w:rsid w:val="00091119"/>
    <w:rsid w:val="000911B3"/>
    <w:rsid w:val="00091926"/>
    <w:rsid w:val="00091A63"/>
    <w:rsid w:val="00091C37"/>
    <w:rsid w:val="00091C4F"/>
    <w:rsid w:val="0009201D"/>
    <w:rsid w:val="0009202B"/>
    <w:rsid w:val="00092885"/>
    <w:rsid w:val="00092B19"/>
    <w:rsid w:val="00092D40"/>
    <w:rsid w:val="00092DF6"/>
    <w:rsid w:val="00092F14"/>
    <w:rsid w:val="00092F88"/>
    <w:rsid w:val="0009310D"/>
    <w:rsid w:val="0009317B"/>
    <w:rsid w:val="000931E0"/>
    <w:rsid w:val="0009343A"/>
    <w:rsid w:val="00093491"/>
    <w:rsid w:val="00093537"/>
    <w:rsid w:val="000936C7"/>
    <w:rsid w:val="000936E7"/>
    <w:rsid w:val="00093796"/>
    <w:rsid w:val="000937C7"/>
    <w:rsid w:val="000939CA"/>
    <w:rsid w:val="00094068"/>
    <w:rsid w:val="0009425F"/>
    <w:rsid w:val="000942A4"/>
    <w:rsid w:val="00094316"/>
    <w:rsid w:val="0009436A"/>
    <w:rsid w:val="0009439C"/>
    <w:rsid w:val="000943A8"/>
    <w:rsid w:val="0009454A"/>
    <w:rsid w:val="00094852"/>
    <w:rsid w:val="00094887"/>
    <w:rsid w:val="00094C4F"/>
    <w:rsid w:val="00094D2A"/>
    <w:rsid w:val="00094EE7"/>
    <w:rsid w:val="00095475"/>
    <w:rsid w:val="000954B4"/>
    <w:rsid w:val="0009580F"/>
    <w:rsid w:val="0009586B"/>
    <w:rsid w:val="000959F5"/>
    <w:rsid w:val="00095CC4"/>
    <w:rsid w:val="00095F2B"/>
    <w:rsid w:val="00095F7B"/>
    <w:rsid w:val="00096078"/>
    <w:rsid w:val="000960B3"/>
    <w:rsid w:val="000961A4"/>
    <w:rsid w:val="000961C7"/>
    <w:rsid w:val="0009641D"/>
    <w:rsid w:val="0009650F"/>
    <w:rsid w:val="000966CF"/>
    <w:rsid w:val="00096836"/>
    <w:rsid w:val="00096896"/>
    <w:rsid w:val="00096A17"/>
    <w:rsid w:val="00096C06"/>
    <w:rsid w:val="000970D8"/>
    <w:rsid w:val="00097192"/>
    <w:rsid w:val="000971AA"/>
    <w:rsid w:val="00097600"/>
    <w:rsid w:val="00097790"/>
    <w:rsid w:val="000978BA"/>
    <w:rsid w:val="00097A91"/>
    <w:rsid w:val="00097CF0"/>
    <w:rsid w:val="00097CFD"/>
    <w:rsid w:val="00097F09"/>
    <w:rsid w:val="000A00BA"/>
    <w:rsid w:val="000A0245"/>
    <w:rsid w:val="000A0461"/>
    <w:rsid w:val="000A05A9"/>
    <w:rsid w:val="000A0790"/>
    <w:rsid w:val="000A0C81"/>
    <w:rsid w:val="000A0DCE"/>
    <w:rsid w:val="000A0F4E"/>
    <w:rsid w:val="000A1305"/>
    <w:rsid w:val="000A133C"/>
    <w:rsid w:val="000A16F6"/>
    <w:rsid w:val="000A17F1"/>
    <w:rsid w:val="000A1823"/>
    <w:rsid w:val="000A1B09"/>
    <w:rsid w:val="000A1B78"/>
    <w:rsid w:val="000A21CC"/>
    <w:rsid w:val="000A2395"/>
    <w:rsid w:val="000A2EA7"/>
    <w:rsid w:val="000A3130"/>
    <w:rsid w:val="000A336C"/>
    <w:rsid w:val="000A3386"/>
    <w:rsid w:val="000A3489"/>
    <w:rsid w:val="000A34BC"/>
    <w:rsid w:val="000A35B2"/>
    <w:rsid w:val="000A3898"/>
    <w:rsid w:val="000A390E"/>
    <w:rsid w:val="000A3C2F"/>
    <w:rsid w:val="000A3D1C"/>
    <w:rsid w:val="000A3D2D"/>
    <w:rsid w:val="000A3D40"/>
    <w:rsid w:val="000A3F33"/>
    <w:rsid w:val="000A40FB"/>
    <w:rsid w:val="000A42F7"/>
    <w:rsid w:val="000A45D9"/>
    <w:rsid w:val="000A4804"/>
    <w:rsid w:val="000A4A6C"/>
    <w:rsid w:val="000A52A1"/>
    <w:rsid w:val="000A56DC"/>
    <w:rsid w:val="000A57B4"/>
    <w:rsid w:val="000A5887"/>
    <w:rsid w:val="000A5911"/>
    <w:rsid w:val="000A5966"/>
    <w:rsid w:val="000A59B2"/>
    <w:rsid w:val="000A5BC2"/>
    <w:rsid w:val="000A633D"/>
    <w:rsid w:val="000A6350"/>
    <w:rsid w:val="000A6392"/>
    <w:rsid w:val="000A692B"/>
    <w:rsid w:val="000A6BCA"/>
    <w:rsid w:val="000A6E9C"/>
    <w:rsid w:val="000A6EF0"/>
    <w:rsid w:val="000A6FFF"/>
    <w:rsid w:val="000A72EE"/>
    <w:rsid w:val="000A7317"/>
    <w:rsid w:val="000A73BD"/>
    <w:rsid w:val="000A756F"/>
    <w:rsid w:val="000A77E3"/>
    <w:rsid w:val="000A77EE"/>
    <w:rsid w:val="000A78A4"/>
    <w:rsid w:val="000A78EF"/>
    <w:rsid w:val="000A797B"/>
    <w:rsid w:val="000A7A3C"/>
    <w:rsid w:val="000A7A45"/>
    <w:rsid w:val="000A7ACD"/>
    <w:rsid w:val="000A7C49"/>
    <w:rsid w:val="000A7C5E"/>
    <w:rsid w:val="000A7CCA"/>
    <w:rsid w:val="000B042F"/>
    <w:rsid w:val="000B0549"/>
    <w:rsid w:val="000B0625"/>
    <w:rsid w:val="000B07AA"/>
    <w:rsid w:val="000B07B5"/>
    <w:rsid w:val="000B0DCA"/>
    <w:rsid w:val="000B106C"/>
    <w:rsid w:val="000B12ED"/>
    <w:rsid w:val="000B13B6"/>
    <w:rsid w:val="000B13E3"/>
    <w:rsid w:val="000B14C2"/>
    <w:rsid w:val="000B1901"/>
    <w:rsid w:val="000B1FD8"/>
    <w:rsid w:val="000B2042"/>
    <w:rsid w:val="000B204E"/>
    <w:rsid w:val="000B2243"/>
    <w:rsid w:val="000B25B9"/>
    <w:rsid w:val="000B2798"/>
    <w:rsid w:val="000B286B"/>
    <w:rsid w:val="000B2942"/>
    <w:rsid w:val="000B2993"/>
    <w:rsid w:val="000B2AE0"/>
    <w:rsid w:val="000B2AF2"/>
    <w:rsid w:val="000B2C13"/>
    <w:rsid w:val="000B2C57"/>
    <w:rsid w:val="000B2CFB"/>
    <w:rsid w:val="000B2F0F"/>
    <w:rsid w:val="000B2F58"/>
    <w:rsid w:val="000B3097"/>
    <w:rsid w:val="000B31F6"/>
    <w:rsid w:val="000B32E1"/>
    <w:rsid w:val="000B3557"/>
    <w:rsid w:val="000B37B5"/>
    <w:rsid w:val="000B37BB"/>
    <w:rsid w:val="000B37E8"/>
    <w:rsid w:val="000B384B"/>
    <w:rsid w:val="000B3A3D"/>
    <w:rsid w:val="000B3A6A"/>
    <w:rsid w:val="000B3DC4"/>
    <w:rsid w:val="000B3FD5"/>
    <w:rsid w:val="000B403B"/>
    <w:rsid w:val="000B41DD"/>
    <w:rsid w:val="000B4254"/>
    <w:rsid w:val="000B47A5"/>
    <w:rsid w:val="000B4825"/>
    <w:rsid w:val="000B4CF4"/>
    <w:rsid w:val="000B4E14"/>
    <w:rsid w:val="000B4EDC"/>
    <w:rsid w:val="000B4F14"/>
    <w:rsid w:val="000B4F8E"/>
    <w:rsid w:val="000B51B1"/>
    <w:rsid w:val="000B5227"/>
    <w:rsid w:val="000B5309"/>
    <w:rsid w:val="000B53C0"/>
    <w:rsid w:val="000B548C"/>
    <w:rsid w:val="000B5744"/>
    <w:rsid w:val="000B5BD0"/>
    <w:rsid w:val="000B5C2F"/>
    <w:rsid w:val="000B5D05"/>
    <w:rsid w:val="000B5F57"/>
    <w:rsid w:val="000B6053"/>
    <w:rsid w:val="000B61D1"/>
    <w:rsid w:val="000B61EE"/>
    <w:rsid w:val="000B62CC"/>
    <w:rsid w:val="000B6309"/>
    <w:rsid w:val="000B64E3"/>
    <w:rsid w:val="000B6601"/>
    <w:rsid w:val="000B6633"/>
    <w:rsid w:val="000B66A9"/>
    <w:rsid w:val="000B67D3"/>
    <w:rsid w:val="000B689B"/>
    <w:rsid w:val="000B6C54"/>
    <w:rsid w:val="000B6DAE"/>
    <w:rsid w:val="000B7156"/>
    <w:rsid w:val="000B71CC"/>
    <w:rsid w:val="000B738A"/>
    <w:rsid w:val="000B73C6"/>
    <w:rsid w:val="000B7458"/>
    <w:rsid w:val="000B7685"/>
    <w:rsid w:val="000B79D2"/>
    <w:rsid w:val="000B7CB8"/>
    <w:rsid w:val="000B7DC3"/>
    <w:rsid w:val="000B7F06"/>
    <w:rsid w:val="000B7F93"/>
    <w:rsid w:val="000C0051"/>
    <w:rsid w:val="000C02C5"/>
    <w:rsid w:val="000C04C4"/>
    <w:rsid w:val="000C0566"/>
    <w:rsid w:val="000C06A4"/>
    <w:rsid w:val="000C07A0"/>
    <w:rsid w:val="000C0A4E"/>
    <w:rsid w:val="000C0BB6"/>
    <w:rsid w:val="000C0BD2"/>
    <w:rsid w:val="000C0EA3"/>
    <w:rsid w:val="000C0F3A"/>
    <w:rsid w:val="000C0FAC"/>
    <w:rsid w:val="000C0FB1"/>
    <w:rsid w:val="000C11B2"/>
    <w:rsid w:val="000C15FE"/>
    <w:rsid w:val="000C16EC"/>
    <w:rsid w:val="000C1723"/>
    <w:rsid w:val="000C17D9"/>
    <w:rsid w:val="000C1A8E"/>
    <w:rsid w:val="000C1F18"/>
    <w:rsid w:val="000C2185"/>
    <w:rsid w:val="000C25FB"/>
    <w:rsid w:val="000C295E"/>
    <w:rsid w:val="000C2987"/>
    <w:rsid w:val="000C2A6C"/>
    <w:rsid w:val="000C2B76"/>
    <w:rsid w:val="000C2BEF"/>
    <w:rsid w:val="000C2E48"/>
    <w:rsid w:val="000C2EA9"/>
    <w:rsid w:val="000C2F15"/>
    <w:rsid w:val="000C2FD2"/>
    <w:rsid w:val="000C3391"/>
    <w:rsid w:val="000C33E8"/>
    <w:rsid w:val="000C3B22"/>
    <w:rsid w:val="000C3B28"/>
    <w:rsid w:val="000C3F0E"/>
    <w:rsid w:val="000C401C"/>
    <w:rsid w:val="000C419E"/>
    <w:rsid w:val="000C4BB7"/>
    <w:rsid w:val="000C4BE1"/>
    <w:rsid w:val="000C4C63"/>
    <w:rsid w:val="000C52ED"/>
    <w:rsid w:val="000C5486"/>
    <w:rsid w:val="000C578A"/>
    <w:rsid w:val="000C57AC"/>
    <w:rsid w:val="000C5DEF"/>
    <w:rsid w:val="000C6243"/>
    <w:rsid w:val="000C6307"/>
    <w:rsid w:val="000C67C8"/>
    <w:rsid w:val="000C67D1"/>
    <w:rsid w:val="000C6B28"/>
    <w:rsid w:val="000C6CD2"/>
    <w:rsid w:val="000C6CFD"/>
    <w:rsid w:val="000C6E06"/>
    <w:rsid w:val="000C708A"/>
    <w:rsid w:val="000C7461"/>
    <w:rsid w:val="000C7662"/>
    <w:rsid w:val="000C782D"/>
    <w:rsid w:val="000C7C34"/>
    <w:rsid w:val="000C7F3F"/>
    <w:rsid w:val="000D0A19"/>
    <w:rsid w:val="000D0A1C"/>
    <w:rsid w:val="000D0A89"/>
    <w:rsid w:val="000D0AC3"/>
    <w:rsid w:val="000D0ACF"/>
    <w:rsid w:val="000D0BB6"/>
    <w:rsid w:val="000D0C8D"/>
    <w:rsid w:val="000D0F50"/>
    <w:rsid w:val="000D0FB5"/>
    <w:rsid w:val="000D1175"/>
    <w:rsid w:val="000D12BA"/>
    <w:rsid w:val="000D1354"/>
    <w:rsid w:val="000D149C"/>
    <w:rsid w:val="000D16F3"/>
    <w:rsid w:val="000D1B8E"/>
    <w:rsid w:val="000D1EA8"/>
    <w:rsid w:val="000D1F8F"/>
    <w:rsid w:val="000D1FDB"/>
    <w:rsid w:val="000D2057"/>
    <w:rsid w:val="000D2088"/>
    <w:rsid w:val="000D2226"/>
    <w:rsid w:val="000D27F5"/>
    <w:rsid w:val="000D2801"/>
    <w:rsid w:val="000D2837"/>
    <w:rsid w:val="000D2879"/>
    <w:rsid w:val="000D31F6"/>
    <w:rsid w:val="000D3256"/>
    <w:rsid w:val="000D3283"/>
    <w:rsid w:val="000D331D"/>
    <w:rsid w:val="000D33B4"/>
    <w:rsid w:val="000D33F5"/>
    <w:rsid w:val="000D3637"/>
    <w:rsid w:val="000D395D"/>
    <w:rsid w:val="000D3A2D"/>
    <w:rsid w:val="000D3BC1"/>
    <w:rsid w:val="000D3C72"/>
    <w:rsid w:val="000D3C7C"/>
    <w:rsid w:val="000D3DA7"/>
    <w:rsid w:val="000D41FA"/>
    <w:rsid w:val="000D4342"/>
    <w:rsid w:val="000D4649"/>
    <w:rsid w:val="000D482C"/>
    <w:rsid w:val="000D4899"/>
    <w:rsid w:val="000D4A4F"/>
    <w:rsid w:val="000D4E1E"/>
    <w:rsid w:val="000D4E40"/>
    <w:rsid w:val="000D4EEA"/>
    <w:rsid w:val="000D56F3"/>
    <w:rsid w:val="000D582E"/>
    <w:rsid w:val="000D5933"/>
    <w:rsid w:val="000D620B"/>
    <w:rsid w:val="000D6477"/>
    <w:rsid w:val="000D649F"/>
    <w:rsid w:val="000D65D1"/>
    <w:rsid w:val="000D66DF"/>
    <w:rsid w:val="000D6A85"/>
    <w:rsid w:val="000D6C93"/>
    <w:rsid w:val="000D6F86"/>
    <w:rsid w:val="000D70D7"/>
    <w:rsid w:val="000D710E"/>
    <w:rsid w:val="000D7227"/>
    <w:rsid w:val="000D7237"/>
    <w:rsid w:val="000D763B"/>
    <w:rsid w:val="000D78E5"/>
    <w:rsid w:val="000D7A15"/>
    <w:rsid w:val="000D7ADF"/>
    <w:rsid w:val="000D7C54"/>
    <w:rsid w:val="000D7CFF"/>
    <w:rsid w:val="000E0084"/>
    <w:rsid w:val="000E0210"/>
    <w:rsid w:val="000E02D3"/>
    <w:rsid w:val="000E02D7"/>
    <w:rsid w:val="000E037E"/>
    <w:rsid w:val="000E03B4"/>
    <w:rsid w:val="000E0493"/>
    <w:rsid w:val="000E0503"/>
    <w:rsid w:val="000E05B8"/>
    <w:rsid w:val="000E06EA"/>
    <w:rsid w:val="000E0D35"/>
    <w:rsid w:val="000E1007"/>
    <w:rsid w:val="000E1218"/>
    <w:rsid w:val="000E145A"/>
    <w:rsid w:val="000E1767"/>
    <w:rsid w:val="000E17A7"/>
    <w:rsid w:val="000E1CB9"/>
    <w:rsid w:val="000E1E05"/>
    <w:rsid w:val="000E1F91"/>
    <w:rsid w:val="000E20EE"/>
    <w:rsid w:val="000E2203"/>
    <w:rsid w:val="000E2307"/>
    <w:rsid w:val="000E2328"/>
    <w:rsid w:val="000E2582"/>
    <w:rsid w:val="000E26F9"/>
    <w:rsid w:val="000E2736"/>
    <w:rsid w:val="000E2E5E"/>
    <w:rsid w:val="000E2EFB"/>
    <w:rsid w:val="000E2F56"/>
    <w:rsid w:val="000E329A"/>
    <w:rsid w:val="000E32C4"/>
    <w:rsid w:val="000E332E"/>
    <w:rsid w:val="000E33D0"/>
    <w:rsid w:val="000E3592"/>
    <w:rsid w:val="000E37A1"/>
    <w:rsid w:val="000E3BE1"/>
    <w:rsid w:val="000E3C03"/>
    <w:rsid w:val="000E3D9C"/>
    <w:rsid w:val="000E3EF6"/>
    <w:rsid w:val="000E423E"/>
    <w:rsid w:val="000E4480"/>
    <w:rsid w:val="000E452B"/>
    <w:rsid w:val="000E4734"/>
    <w:rsid w:val="000E4A4D"/>
    <w:rsid w:val="000E4B90"/>
    <w:rsid w:val="000E4E49"/>
    <w:rsid w:val="000E51D1"/>
    <w:rsid w:val="000E5404"/>
    <w:rsid w:val="000E5C21"/>
    <w:rsid w:val="000E5DD1"/>
    <w:rsid w:val="000E5DDD"/>
    <w:rsid w:val="000E5E28"/>
    <w:rsid w:val="000E5FDC"/>
    <w:rsid w:val="000E612B"/>
    <w:rsid w:val="000E629A"/>
    <w:rsid w:val="000E6375"/>
    <w:rsid w:val="000E647F"/>
    <w:rsid w:val="000E64C2"/>
    <w:rsid w:val="000E65EF"/>
    <w:rsid w:val="000E6774"/>
    <w:rsid w:val="000E6A9F"/>
    <w:rsid w:val="000E6AA5"/>
    <w:rsid w:val="000E719D"/>
    <w:rsid w:val="000E7462"/>
    <w:rsid w:val="000E798E"/>
    <w:rsid w:val="000E7BAB"/>
    <w:rsid w:val="000E7C26"/>
    <w:rsid w:val="000E7DF3"/>
    <w:rsid w:val="000E7DF8"/>
    <w:rsid w:val="000E7F56"/>
    <w:rsid w:val="000F009C"/>
    <w:rsid w:val="000F03DA"/>
    <w:rsid w:val="000F0445"/>
    <w:rsid w:val="000F062D"/>
    <w:rsid w:val="000F0674"/>
    <w:rsid w:val="000F0AC1"/>
    <w:rsid w:val="000F0B46"/>
    <w:rsid w:val="000F1157"/>
    <w:rsid w:val="000F11DB"/>
    <w:rsid w:val="000F163B"/>
    <w:rsid w:val="000F1981"/>
    <w:rsid w:val="000F19C5"/>
    <w:rsid w:val="000F1C7A"/>
    <w:rsid w:val="000F1CDA"/>
    <w:rsid w:val="000F1EE5"/>
    <w:rsid w:val="000F1F0E"/>
    <w:rsid w:val="000F1F7D"/>
    <w:rsid w:val="000F20FF"/>
    <w:rsid w:val="000F2209"/>
    <w:rsid w:val="000F22A8"/>
    <w:rsid w:val="000F232B"/>
    <w:rsid w:val="000F24C1"/>
    <w:rsid w:val="000F2761"/>
    <w:rsid w:val="000F2A9B"/>
    <w:rsid w:val="000F2E57"/>
    <w:rsid w:val="000F2F0E"/>
    <w:rsid w:val="000F2F1E"/>
    <w:rsid w:val="000F2F8D"/>
    <w:rsid w:val="000F2FF2"/>
    <w:rsid w:val="000F3246"/>
    <w:rsid w:val="000F3314"/>
    <w:rsid w:val="000F3A47"/>
    <w:rsid w:val="000F3B36"/>
    <w:rsid w:val="000F3CBF"/>
    <w:rsid w:val="000F3CD1"/>
    <w:rsid w:val="000F414B"/>
    <w:rsid w:val="000F46EA"/>
    <w:rsid w:val="000F4813"/>
    <w:rsid w:val="000F485F"/>
    <w:rsid w:val="000F56D6"/>
    <w:rsid w:val="000F58DF"/>
    <w:rsid w:val="000F59B3"/>
    <w:rsid w:val="000F5BFD"/>
    <w:rsid w:val="000F5CC6"/>
    <w:rsid w:val="000F5F7F"/>
    <w:rsid w:val="000F6119"/>
    <w:rsid w:val="000F614B"/>
    <w:rsid w:val="000F61FA"/>
    <w:rsid w:val="000F649F"/>
    <w:rsid w:val="000F6511"/>
    <w:rsid w:val="000F6700"/>
    <w:rsid w:val="000F6A4B"/>
    <w:rsid w:val="000F6A94"/>
    <w:rsid w:val="000F7199"/>
    <w:rsid w:val="000F73D7"/>
    <w:rsid w:val="000F760D"/>
    <w:rsid w:val="000F7631"/>
    <w:rsid w:val="000F7694"/>
    <w:rsid w:val="000F76FD"/>
    <w:rsid w:val="000F773F"/>
    <w:rsid w:val="000F7893"/>
    <w:rsid w:val="000F7F5B"/>
    <w:rsid w:val="00100393"/>
    <w:rsid w:val="00100409"/>
    <w:rsid w:val="00100551"/>
    <w:rsid w:val="00100BC1"/>
    <w:rsid w:val="00101053"/>
    <w:rsid w:val="0010127A"/>
    <w:rsid w:val="00101534"/>
    <w:rsid w:val="001016FF"/>
    <w:rsid w:val="00101812"/>
    <w:rsid w:val="00101907"/>
    <w:rsid w:val="00101975"/>
    <w:rsid w:val="00101C90"/>
    <w:rsid w:val="00101DF6"/>
    <w:rsid w:val="00101F21"/>
    <w:rsid w:val="00102278"/>
    <w:rsid w:val="00102716"/>
    <w:rsid w:val="00102BE0"/>
    <w:rsid w:val="00102E80"/>
    <w:rsid w:val="00102EC1"/>
    <w:rsid w:val="00102F76"/>
    <w:rsid w:val="001032FB"/>
    <w:rsid w:val="00103339"/>
    <w:rsid w:val="001033A9"/>
    <w:rsid w:val="001034E3"/>
    <w:rsid w:val="001035D6"/>
    <w:rsid w:val="00103848"/>
    <w:rsid w:val="001038E4"/>
    <w:rsid w:val="001039C2"/>
    <w:rsid w:val="00103C7F"/>
    <w:rsid w:val="00103CBC"/>
    <w:rsid w:val="00103D5A"/>
    <w:rsid w:val="00103F1C"/>
    <w:rsid w:val="001040AD"/>
    <w:rsid w:val="0010422B"/>
    <w:rsid w:val="001044E3"/>
    <w:rsid w:val="00104642"/>
    <w:rsid w:val="001046DB"/>
    <w:rsid w:val="001046E1"/>
    <w:rsid w:val="00104CD0"/>
    <w:rsid w:val="00104D51"/>
    <w:rsid w:val="00104EDD"/>
    <w:rsid w:val="00105341"/>
    <w:rsid w:val="001056D5"/>
    <w:rsid w:val="00105C64"/>
    <w:rsid w:val="00105E57"/>
    <w:rsid w:val="00105F5C"/>
    <w:rsid w:val="00106072"/>
    <w:rsid w:val="001064A4"/>
    <w:rsid w:val="00106629"/>
    <w:rsid w:val="00106B4E"/>
    <w:rsid w:val="00106CEE"/>
    <w:rsid w:val="00106E5F"/>
    <w:rsid w:val="0010719F"/>
    <w:rsid w:val="0010735E"/>
    <w:rsid w:val="00107F92"/>
    <w:rsid w:val="00107FA0"/>
    <w:rsid w:val="0011002D"/>
    <w:rsid w:val="0011021A"/>
    <w:rsid w:val="0011027E"/>
    <w:rsid w:val="00110353"/>
    <w:rsid w:val="00110417"/>
    <w:rsid w:val="0011076A"/>
    <w:rsid w:val="00110873"/>
    <w:rsid w:val="001108A7"/>
    <w:rsid w:val="001110B0"/>
    <w:rsid w:val="0011111D"/>
    <w:rsid w:val="0011178C"/>
    <w:rsid w:val="001118F3"/>
    <w:rsid w:val="00111AE7"/>
    <w:rsid w:val="00111CC8"/>
    <w:rsid w:val="00111D17"/>
    <w:rsid w:val="0011209E"/>
    <w:rsid w:val="001120D4"/>
    <w:rsid w:val="001121C0"/>
    <w:rsid w:val="001121E3"/>
    <w:rsid w:val="001124F8"/>
    <w:rsid w:val="00112527"/>
    <w:rsid w:val="001125AB"/>
    <w:rsid w:val="001125B1"/>
    <w:rsid w:val="001125DD"/>
    <w:rsid w:val="0011276E"/>
    <w:rsid w:val="00112988"/>
    <w:rsid w:val="00112A57"/>
    <w:rsid w:val="00112B28"/>
    <w:rsid w:val="00112C54"/>
    <w:rsid w:val="00112CF0"/>
    <w:rsid w:val="00112E1E"/>
    <w:rsid w:val="0011327D"/>
    <w:rsid w:val="0011333F"/>
    <w:rsid w:val="001136C6"/>
    <w:rsid w:val="00113C4E"/>
    <w:rsid w:val="00113CB6"/>
    <w:rsid w:val="0011428D"/>
    <w:rsid w:val="001147E5"/>
    <w:rsid w:val="001148C2"/>
    <w:rsid w:val="00114A05"/>
    <w:rsid w:val="00114B6A"/>
    <w:rsid w:val="00114C1A"/>
    <w:rsid w:val="00114DA1"/>
    <w:rsid w:val="00115051"/>
    <w:rsid w:val="00115778"/>
    <w:rsid w:val="0011578E"/>
    <w:rsid w:val="00115B74"/>
    <w:rsid w:val="00115ED1"/>
    <w:rsid w:val="0011606D"/>
    <w:rsid w:val="00116356"/>
    <w:rsid w:val="00116407"/>
    <w:rsid w:val="001164BE"/>
    <w:rsid w:val="00116518"/>
    <w:rsid w:val="00116941"/>
    <w:rsid w:val="0011699D"/>
    <w:rsid w:val="00116EE4"/>
    <w:rsid w:val="001172BD"/>
    <w:rsid w:val="00117793"/>
    <w:rsid w:val="0011789C"/>
    <w:rsid w:val="001178E4"/>
    <w:rsid w:val="00117DD5"/>
    <w:rsid w:val="00117F25"/>
    <w:rsid w:val="00117F80"/>
    <w:rsid w:val="00120141"/>
    <w:rsid w:val="0012075A"/>
    <w:rsid w:val="001207D3"/>
    <w:rsid w:val="00120839"/>
    <w:rsid w:val="00120878"/>
    <w:rsid w:val="00120A3F"/>
    <w:rsid w:val="00120B3D"/>
    <w:rsid w:val="001211AB"/>
    <w:rsid w:val="00121250"/>
    <w:rsid w:val="001214BE"/>
    <w:rsid w:val="00121550"/>
    <w:rsid w:val="001218B8"/>
    <w:rsid w:val="00121A72"/>
    <w:rsid w:val="00121AD4"/>
    <w:rsid w:val="00121F79"/>
    <w:rsid w:val="00122457"/>
    <w:rsid w:val="00122587"/>
    <w:rsid w:val="001226CC"/>
    <w:rsid w:val="00122774"/>
    <w:rsid w:val="00122980"/>
    <w:rsid w:val="00122A56"/>
    <w:rsid w:val="00122B78"/>
    <w:rsid w:val="00122B8F"/>
    <w:rsid w:val="00122DC1"/>
    <w:rsid w:val="00123024"/>
    <w:rsid w:val="0012305E"/>
    <w:rsid w:val="0012320E"/>
    <w:rsid w:val="001232B0"/>
    <w:rsid w:val="001232D7"/>
    <w:rsid w:val="00123325"/>
    <w:rsid w:val="0012377A"/>
    <w:rsid w:val="00123989"/>
    <w:rsid w:val="00123A23"/>
    <w:rsid w:val="00123BC6"/>
    <w:rsid w:val="00123DA3"/>
    <w:rsid w:val="00123ED2"/>
    <w:rsid w:val="00124098"/>
    <w:rsid w:val="00124281"/>
    <w:rsid w:val="0012464A"/>
    <w:rsid w:val="00124B73"/>
    <w:rsid w:val="00124ED1"/>
    <w:rsid w:val="00125613"/>
    <w:rsid w:val="001258EF"/>
    <w:rsid w:val="00125938"/>
    <w:rsid w:val="00125B33"/>
    <w:rsid w:val="00126086"/>
    <w:rsid w:val="001260B6"/>
    <w:rsid w:val="00126201"/>
    <w:rsid w:val="00126AD1"/>
    <w:rsid w:val="00126FB4"/>
    <w:rsid w:val="00127256"/>
    <w:rsid w:val="0012733E"/>
    <w:rsid w:val="001273B0"/>
    <w:rsid w:val="001275EC"/>
    <w:rsid w:val="001277C7"/>
    <w:rsid w:val="00127B3E"/>
    <w:rsid w:val="00127C89"/>
    <w:rsid w:val="0013050C"/>
    <w:rsid w:val="00130659"/>
    <w:rsid w:val="001307E2"/>
    <w:rsid w:val="00130A43"/>
    <w:rsid w:val="00130C35"/>
    <w:rsid w:val="00130DC7"/>
    <w:rsid w:val="00130DCA"/>
    <w:rsid w:val="00130ED2"/>
    <w:rsid w:val="00130F42"/>
    <w:rsid w:val="00131329"/>
    <w:rsid w:val="0013165B"/>
    <w:rsid w:val="00131858"/>
    <w:rsid w:val="001318BD"/>
    <w:rsid w:val="00131917"/>
    <w:rsid w:val="001319DA"/>
    <w:rsid w:val="00131AE7"/>
    <w:rsid w:val="00131B9B"/>
    <w:rsid w:val="00131D5F"/>
    <w:rsid w:val="00132286"/>
    <w:rsid w:val="001322D2"/>
    <w:rsid w:val="00132503"/>
    <w:rsid w:val="00132E0B"/>
    <w:rsid w:val="0013319B"/>
    <w:rsid w:val="001333F9"/>
    <w:rsid w:val="00133AA2"/>
    <w:rsid w:val="00133CA0"/>
    <w:rsid w:val="00133E7F"/>
    <w:rsid w:val="00133F08"/>
    <w:rsid w:val="00134015"/>
    <w:rsid w:val="00134146"/>
    <w:rsid w:val="001342C1"/>
    <w:rsid w:val="001349FB"/>
    <w:rsid w:val="00135009"/>
    <w:rsid w:val="00135080"/>
    <w:rsid w:val="0013508A"/>
    <w:rsid w:val="00135268"/>
    <w:rsid w:val="001353D4"/>
    <w:rsid w:val="001359C8"/>
    <w:rsid w:val="00135EA7"/>
    <w:rsid w:val="00135F08"/>
    <w:rsid w:val="00135F24"/>
    <w:rsid w:val="001360A3"/>
    <w:rsid w:val="0013614E"/>
    <w:rsid w:val="001361E8"/>
    <w:rsid w:val="001362D4"/>
    <w:rsid w:val="00136497"/>
    <w:rsid w:val="001366FE"/>
    <w:rsid w:val="0013683B"/>
    <w:rsid w:val="00136965"/>
    <w:rsid w:val="00136E17"/>
    <w:rsid w:val="00136F29"/>
    <w:rsid w:val="00137271"/>
    <w:rsid w:val="00137653"/>
    <w:rsid w:val="00137718"/>
    <w:rsid w:val="0013783F"/>
    <w:rsid w:val="00137914"/>
    <w:rsid w:val="0013798A"/>
    <w:rsid w:val="00137D90"/>
    <w:rsid w:val="001404D9"/>
    <w:rsid w:val="00140629"/>
    <w:rsid w:val="00140684"/>
    <w:rsid w:val="00140830"/>
    <w:rsid w:val="001408EF"/>
    <w:rsid w:val="001408F9"/>
    <w:rsid w:val="00140A81"/>
    <w:rsid w:val="00140A89"/>
    <w:rsid w:val="00140C06"/>
    <w:rsid w:val="00140C43"/>
    <w:rsid w:val="00140C6D"/>
    <w:rsid w:val="00140D09"/>
    <w:rsid w:val="001417CE"/>
    <w:rsid w:val="00141BD1"/>
    <w:rsid w:val="0014241B"/>
    <w:rsid w:val="00142582"/>
    <w:rsid w:val="00142692"/>
    <w:rsid w:val="0014292F"/>
    <w:rsid w:val="0014297A"/>
    <w:rsid w:val="00142B86"/>
    <w:rsid w:val="001432DF"/>
    <w:rsid w:val="001433CB"/>
    <w:rsid w:val="0014346A"/>
    <w:rsid w:val="001434B1"/>
    <w:rsid w:val="00143F85"/>
    <w:rsid w:val="00144197"/>
    <w:rsid w:val="001441DA"/>
    <w:rsid w:val="0014430E"/>
    <w:rsid w:val="0014455E"/>
    <w:rsid w:val="001446D4"/>
    <w:rsid w:val="00144A22"/>
    <w:rsid w:val="00144BA7"/>
    <w:rsid w:val="00144C8A"/>
    <w:rsid w:val="00144CD8"/>
    <w:rsid w:val="00144F31"/>
    <w:rsid w:val="00144FF9"/>
    <w:rsid w:val="00145974"/>
    <w:rsid w:val="00145AEB"/>
    <w:rsid w:val="00145B3C"/>
    <w:rsid w:val="00145C23"/>
    <w:rsid w:val="00145E59"/>
    <w:rsid w:val="00145F91"/>
    <w:rsid w:val="00146051"/>
    <w:rsid w:val="0014616B"/>
    <w:rsid w:val="001462A9"/>
    <w:rsid w:val="001467AA"/>
    <w:rsid w:val="00146BB4"/>
    <w:rsid w:val="00146CB8"/>
    <w:rsid w:val="00146EE1"/>
    <w:rsid w:val="00147046"/>
    <w:rsid w:val="00147115"/>
    <w:rsid w:val="00147421"/>
    <w:rsid w:val="00147430"/>
    <w:rsid w:val="001477CE"/>
    <w:rsid w:val="00147FA2"/>
    <w:rsid w:val="001503A1"/>
    <w:rsid w:val="0015054E"/>
    <w:rsid w:val="001505B7"/>
    <w:rsid w:val="001505EC"/>
    <w:rsid w:val="001508FD"/>
    <w:rsid w:val="001509BC"/>
    <w:rsid w:val="001509F3"/>
    <w:rsid w:val="00150B74"/>
    <w:rsid w:val="00150C77"/>
    <w:rsid w:val="00151316"/>
    <w:rsid w:val="001513E6"/>
    <w:rsid w:val="001518EB"/>
    <w:rsid w:val="001519C7"/>
    <w:rsid w:val="00151AD3"/>
    <w:rsid w:val="00151DFB"/>
    <w:rsid w:val="00151E9A"/>
    <w:rsid w:val="0015233A"/>
    <w:rsid w:val="00152501"/>
    <w:rsid w:val="00152BE0"/>
    <w:rsid w:val="00152CC2"/>
    <w:rsid w:val="00152E97"/>
    <w:rsid w:val="00153137"/>
    <w:rsid w:val="00153194"/>
    <w:rsid w:val="001534EB"/>
    <w:rsid w:val="001537C5"/>
    <w:rsid w:val="0015385B"/>
    <w:rsid w:val="00153A78"/>
    <w:rsid w:val="00153AA7"/>
    <w:rsid w:val="00153CD7"/>
    <w:rsid w:val="00153D48"/>
    <w:rsid w:val="00153DAB"/>
    <w:rsid w:val="00153FA9"/>
    <w:rsid w:val="00154A9A"/>
    <w:rsid w:val="00154AE2"/>
    <w:rsid w:val="00154C03"/>
    <w:rsid w:val="00154F59"/>
    <w:rsid w:val="00154F5C"/>
    <w:rsid w:val="001550A3"/>
    <w:rsid w:val="001551A9"/>
    <w:rsid w:val="0015537B"/>
    <w:rsid w:val="00155584"/>
    <w:rsid w:val="00155746"/>
    <w:rsid w:val="001559C3"/>
    <w:rsid w:val="00155AA3"/>
    <w:rsid w:val="00155D3F"/>
    <w:rsid w:val="00155EAF"/>
    <w:rsid w:val="00155F32"/>
    <w:rsid w:val="00155FBE"/>
    <w:rsid w:val="00156382"/>
    <w:rsid w:val="001563C6"/>
    <w:rsid w:val="0015682B"/>
    <w:rsid w:val="0015686A"/>
    <w:rsid w:val="00156C80"/>
    <w:rsid w:val="001571DF"/>
    <w:rsid w:val="001571FF"/>
    <w:rsid w:val="0015742B"/>
    <w:rsid w:val="00157BCE"/>
    <w:rsid w:val="00157C0D"/>
    <w:rsid w:val="00157C2A"/>
    <w:rsid w:val="00157E43"/>
    <w:rsid w:val="00157E65"/>
    <w:rsid w:val="0016030C"/>
    <w:rsid w:val="00160346"/>
    <w:rsid w:val="0016042A"/>
    <w:rsid w:val="0016045F"/>
    <w:rsid w:val="00160D0C"/>
    <w:rsid w:val="001610D0"/>
    <w:rsid w:val="0016144F"/>
    <w:rsid w:val="001614A0"/>
    <w:rsid w:val="00161772"/>
    <w:rsid w:val="0016182D"/>
    <w:rsid w:val="00161DCE"/>
    <w:rsid w:val="00162233"/>
    <w:rsid w:val="001623FD"/>
    <w:rsid w:val="001624C1"/>
    <w:rsid w:val="0016251D"/>
    <w:rsid w:val="00162579"/>
    <w:rsid w:val="001625E6"/>
    <w:rsid w:val="0016260E"/>
    <w:rsid w:val="00162A2E"/>
    <w:rsid w:val="00162C75"/>
    <w:rsid w:val="00162D58"/>
    <w:rsid w:val="00162FAE"/>
    <w:rsid w:val="0016309E"/>
    <w:rsid w:val="001632AA"/>
    <w:rsid w:val="00163559"/>
    <w:rsid w:val="00163B5E"/>
    <w:rsid w:val="00163CB4"/>
    <w:rsid w:val="00163D7F"/>
    <w:rsid w:val="00163EC6"/>
    <w:rsid w:val="00164202"/>
    <w:rsid w:val="0016427B"/>
    <w:rsid w:val="00164449"/>
    <w:rsid w:val="001645E8"/>
    <w:rsid w:val="00164634"/>
    <w:rsid w:val="00164A36"/>
    <w:rsid w:val="00164B84"/>
    <w:rsid w:val="00164F16"/>
    <w:rsid w:val="001651A6"/>
    <w:rsid w:val="0016534B"/>
    <w:rsid w:val="001654B0"/>
    <w:rsid w:val="001657AC"/>
    <w:rsid w:val="001657AD"/>
    <w:rsid w:val="001657B7"/>
    <w:rsid w:val="001657C2"/>
    <w:rsid w:val="00165907"/>
    <w:rsid w:val="001659DE"/>
    <w:rsid w:val="00165A2E"/>
    <w:rsid w:val="00165AA3"/>
    <w:rsid w:val="00165B3F"/>
    <w:rsid w:val="00165D78"/>
    <w:rsid w:val="00165E33"/>
    <w:rsid w:val="00165FF0"/>
    <w:rsid w:val="0016608F"/>
    <w:rsid w:val="001667B5"/>
    <w:rsid w:val="00166873"/>
    <w:rsid w:val="0016687F"/>
    <w:rsid w:val="0016688E"/>
    <w:rsid w:val="001668A9"/>
    <w:rsid w:val="00166953"/>
    <w:rsid w:val="00166979"/>
    <w:rsid w:val="00166E24"/>
    <w:rsid w:val="00166F83"/>
    <w:rsid w:val="0016723A"/>
    <w:rsid w:val="00167335"/>
    <w:rsid w:val="00167503"/>
    <w:rsid w:val="00167E9C"/>
    <w:rsid w:val="00170004"/>
    <w:rsid w:val="00170166"/>
    <w:rsid w:val="001702AB"/>
    <w:rsid w:val="001702FA"/>
    <w:rsid w:val="001704CF"/>
    <w:rsid w:val="00170D1E"/>
    <w:rsid w:val="00170D6C"/>
    <w:rsid w:val="00170DC9"/>
    <w:rsid w:val="00170E8B"/>
    <w:rsid w:val="00171691"/>
    <w:rsid w:val="0017181D"/>
    <w:rsid w:val="00171A05"/>
    <w:rsid w:val="00171BD9"/>
    <w:rsid w:val="00171D48"/>
    <w:rsid w:val="0017245B"/>
    <w:rsid w:val="0017258F"/>
    <w:rsid w:val="001725C1"/>
    <w:rsid w:val="00172E17"/>
    <w:rsid w:val="00172EC4"/>
    <w:rsid w:val="00172F3A"/>
    <w:rsid w:val="001730F6"/>
    <w:rsid w:val="001730FD"/>
    <w:rsid w:val="00173273"/>
    <w:rsid w:val="001734DB"/>
    <w:rsid w:val="001735B1"/>
    <w:rsid w:val="00173798"/>
    <w:rsid w:val="00173799"/>
    <w:rsid w:val="00173BE6"/>
    <w:rsid w:val="00173DA5"/>
    <w:rsid w:val="00173E72"/>
    <w:rsid w:val="00174230"/>
    <w:rsid w:val="001742FE"/>
    <w:rsid w:val="001745C3"/>
    <w:rsid w:val="00174863"/>
    <w:rsid w:val="00174950"/>
    <w:rsid w:val="00174AEA"/>
    <w:rsid w:val="00174BAC"/>
    <w:rsid w:val="00174D5A"/>
    <w:rsid w:val="0017507D"/>
    <w:rsid w:val="0017519F"/>
    <w:rsid w:val="00175209"/>
    <w:rsid w:val="0017572D"/>
    <w:rsid w:val="0017599C"/>
    <w:rsid w:val="00175AA2"/>
    <w:rsid w:val="00175AB6"/>
    <w:rsid w:val="00175ACB"/>
    <w:rsid w:val="00175D34"/>
    <w:rsid w:val="00176232"/>
    <w:rsid w:val="0017645D"/>
    <w:rsid w:val="00176483"/>
    <w:rsid w:val="0017681A"/>
    <w:rsid w:val="00176866"/>
    <w:rsid w:val="00176BBC"/>
    <w:rsid w:val="00176E9A"/>
    <w:rsid w:val="00176F85"/>
    <w:rsid w:val="00177234"/>
    <w:rsid w:val="00177461"/>
    <w:rsid w:val="00177476"/>
    <w:rsid w:val="001778D0"/>
    <w:rsid w:val="00177909"/>
    <w:rsid w:val="00177A30"/>
    <w:rsid w:val="00177AEC"/>
    <w:rsid w:val="00177D12"/>
    <w:rsid w:val="00177D3E"/>
    <w:rsid w:val="00177EE1"/>
    <w:rsid w:val="001800AA"/>
    <w:rsid w:val="0018021D"/>
    <w:rsid w:val="00180521"/>
    <w:rsid w:val="00180628"/>
    <w:rsid w:val="0018063C"/>
    <w:rsid w:val="001807C0"/>
    <w:rsid w:val="00180935"/>
    <w:rsid w:val="001811DE"/>
    <w:rsid w:val="0018144D"/>
    <w:rsid w:val="001814E5"/>
    <w:rsid w:val="001818CC"/>
    <w:rsid w:val="001818D4"/>
    <w:rsid w:val="00181960"/>
    <w:rsid w:val="00181B43"/>
    <w:rsid w:val="00181CEF"/>
    <w:rsid w:val="0018201B"/>
    <w:rsid w:val="00182169"/>
    <w:rsid w:val="00182487"/>
    <w:rsid w:val="001826CB"/>
    <w:rsid w:val="001827AC"/>
    <w:rsid w:val="00182899"/>
    <w:rsid w:val="001828A6"/>
    <w:rsid w:val="00182CC3"/>
    <w:rsid w:val="001831E8"/>
    <w:rsid w:val="00183562"/>
    <w:rsid w:val="0018363D"/>
    <w:rsid w:val="00183649"/>
    <w:rsid w:val="00183759"/>
    <w:rsid w:val="00183970"/>
    <w:rsid w:val="00183A8C"/>
    <w:rsid w:val="00183AC7"/>
    <w:rsid w:val="00183B1D"/>
    <w:rsid w:val="00183F21"/>
    <w:rsid w:val="00184199"/>
    <w:rsid w:val="001843C4"/>
    <w:rsid w:val="00184E62"/>
    <w:rsid w:val="00184FC3"/>
    <w:rsid w:val="0018537D"/>
    <w:rsid w:val="001853A5"/>
    <w:rsid w:val="00185A8A"/>
    <w:rsid w:val="00185BAE"/>
    <w:rsid w:val="00185F6B"/>
    <w:rsid w:val="001860EC"/>
    <w:rsid w:val="001862F7"/>
    <w:rsid w:val="00186633"/>
    <w:rsid w:val="0018667B"/>
    <w:rsid w:val="001866D1"/>
    <w:rsid w:val="001868A3"/>
    <w:rsid w:val="00186985"/>
    <w:rsid w:val="001870EB"/>
    <w:rsid w:val="00187145"/>
    <w:rsid w:val="00187324"/>
    <w:rsid w:val="0018738B"/>
    <w:rsid w:val="001874F1"/>
    <w:rsid w:val="001874F4"/>
    <w:rsid w:val="001875BB"/>
    <w:rsid w:val="00187613"/>
    <w:rsid w:val="00187F05"/>
    <w:rsid w:val="001903D3"/>
    <w:rsid w:val="00190537"/>
    <w:rsid w:val="001905BC"/>
    <w:rsid w:val="0019068B"/>
    <w:rsid w:val="0019083F"/>
    <w:rsid w:val="001909A2"/>
    <w:rsid w:val="00190E1F"/>
    <w:rsid w:val="00190FB4"/>
    <w:rsid w:val="0019104D"/>
    <w:rsid w:val="00191357"/>
    <w:rsid w:val="00191391"/>
    <w:rsid w:val="001913BC"/>
    <w:rsid w:val="00191462"/>
    <w:rsid w:val="00191510"/>
    <w:rsid w:val="00191553"/>
    <w:rsid w:val="00191778"/>
    <w:rsid w:val="00191952"/>
    <w:rsid w:val="00191A77"/>
    <w:rsid w:val="00191ACB"/>
    <w:rsid w:val="00191B7C"/>
    <w:rsid w:val="00191DB3"/>
    <w:rsid w:val="00191FD5"/>
    <w:rsid w:val="00192116"/>
    <w:rsid w:val="001925EA"/>
    <w:rsid w:val="0019268F"/>
    <w:rsid w:val="001927E5"/>
    <w:rsid w:val="001929AA"/>
    <w:rsid w:val="00192C07"/>
    <w:rsid w:val="00192D0D"/>
    <w:rsid w:val="00192D74"/>
    <w:rsid w:val="00193260"/>
    <w:rsid w:val="0019374B"/>
    <w:rsid w:val="0019384F"/>
    <w:rsid w:val="00193868"/>
    <w:rsid w:val="00193A90"/>
    <w:rsid w:val="00193AE6"/>
    <w:rsid w:val="00193B0E"/>
    <w:rsid w:val="00193B10"/>
    <w:rsid w:val="00193E92"/>
    <w:rsid w:val="00193EE3"/>
    <w:rsid w:val="0019408D"/>
    <w:rsid w:val="001944E3"/>
    <w:rsid w:val="0019480C"/>
    <w:rsid w:val="001948F7"/>
    <w:rsid w:val="00194918"/>
    <w:rsid w:val="00194991"/>
    <w:rsid w:val="00194995"/>
    <w:rsid w:val="00194BDA"/>
    <w:rsid w:val="00194E5E"/>
    <w:rsid w:val="00194EAB"/>
    <w:rsid w:val="00194FDA"/>
    <w:rsid w:val="001951F4"/>
    <w:rsid w:val="0019532A"/>
    <w:rsid w:val="00195444"/>
    <w:rsid w:val="00195923"/>
    <w:rsid w:val="00195951"/>
    <w:rsid w:val="00195CD2"/>
    <w:rsid w:val="00196177"/>
    <w:rsid w:val="0019664A"/>
    <w:rsid w:val="001967F0"/>
    <w:rsid w:val="00196A4C"/>
    <w:rsid w:val="00196A70"/>
    <w:rsid w:val="00196B06"/>
    <w:rsid w:val="00196B57"/>
    <w:rsid w:val="00196BA3"/>
    <w:rsid w:val="00196D59"/>
    <w:rsid w:val="00196EE0"/>
    <w:rsid w:val="00196EE6"/>
    <w:rsid w:val="00196F88"/>
    <w:rsid w:val="0019700E"/>
    <w:rsid w:val="00197022"/>
    <w:rsid w:val="001970F9"/>
    <w:rsid w:val="00197148"/>
    <w:rsid w:val="00197556"/>
    <w:rsid w:val="00197D2B"/>
    <w:rsid w:val="001A0123"/>
    <w:rsid w:val="001A03E5"/>
    <w:rsid w:val="001A0588"/>
    <w:rsid w:val="001A05FC"/>
    <w:rsid w:val="001A0784"/>
    <w:rsid w:val="001A0968"/>
    <w:rsid w:val="001A09AA"/>
    <w:rsid w:val="001A0BA0"/>
    <w:rsid w:val="001A1288"/>
    <w:rsid w:val="001A12F5"/>
    <w:rsid w:val="001A14AB"/>
    <w:rsid w:val="001A1B6E"/>
    <w:rsid w:val="001A2571"/>
    <w:rsid w:val="001A27E6"/>
    <w:rsid w:val="001A2A1A"/>
    <w:rsid w:val="001A2CB9"/>
    <w:rsid w:val="001A2CC0"/>
    <w:rsid w:val="001A2DB9"/>
    <w:rsid w:val="001A2DCD"/>
    <w:rsid w:val="001A2E1E"/>
    <w:rsid w:val="001A2F36"/>
    <w:rsid w:val="001A3203"/>
    <w:rsid w:val="001A331D"/>
    <w:rsid w:val="001A3771"/>
    <w:rsid w:val="001A3D36"/>
    <w:rsid w:val="001A3DDE"/>
    <w:rsid w:val="001A41AF"/>
    <w:rsid w:val="001A4336"/>
    <w:rsid w:val="001A4389"/>
    <w:rsid w:val="001A4554"/>
    <w:rsid w:val="001A47CE"/>
    <w:rsid w:val="001A4A2D"/>
    <w:rsid w:val="001A4A59"/>
    <w:rsid w:val="001A4B42"/>
    <w:rsid w:val="001A4D7D"/>
    <w:rsid w:val="001A4EB6"/>
    <w:rsid w:val="001A4F93"/>
    <w:rsid w:val="001A5061"/>
    <w:rsid w:val="001A5664"/>
    <w:rsid w:val="001A5705"/>
    <w:rsid w:val="001A592C"/>
    <w:rsid w:val="001A5ACE"/>
    <w:rsid w:val="001A5C92"/>
    <w:rsid w:val="001A5D64"/>
    <w:rsid w:val="001A5E1E"/>
    <w:rsid w:val="001A6247"/>
    <w:rsid w:val="001A63F2"/>
    <w:rsid w:val="001A6420"/>
    <w:rsid w:val="001A6496"/>
    <w:rsid w:val="001A66CD"/>
    <w:rsid w:val="001A68E9"/>
    <w:rsid w:val="001A6A71"/>
    <w:rsid w:val="001A6E1A"/>
    <w:rsid w:val="001A711A"/>
    <w:rsid w:val="001A7346"/>
    <w:rsid w:val="001A73D2"/>
    <w:rsid w:val="001A74F3"/>
    <w:rsid w:val="001A751B"/>
    <w:rsid w:val="001A7832"/>
    <w:rsid w:val="001A7B95"/>
    <w:rsid w:val="001A7BD3"/>
    <w:rsid w:val="001A7D98"/>
    <w:rsid w:val="001A7FE4"/>
    <w:rsid w:val="001A7FFD"/>
    <w:rsid w:val="001B0110"/>
    <w:rsid w:val="001B0241"/>
    <w:rsid w:val="001B0511"/>
    <w:rsid w:val="001B090D"/>
    <w:rsid w:val="001B0C38"/>
    <w:rsid w:val="001B0CCE"/>
    <w:rsid w:val="001B1500"/>
    <w:rsid w:val="001B1729"/>
    <w:rsid w:val="001B1742"/>
    <w:rsid w:val="001B1AB9"/>
    <w:rsid w:val="001B1FAD"/>
    <w:rsid w:val="001B2278"/>
    <w:rsid w:val="001B2348"/>
    <w:rsid w:val="001B23FD"/>
    <w:rsid w:val="001B2525"/>
    <w:rsid w:val="001B2533"/>
    <w:rsid w:val="001B25D6"/>
    <w:rsid w:val="001B28D1"/>
    <w:rsid w:val="001B3048"/>
    <w:rsid w:val="001B3304"/>
    <w:rsid w:val="001B356A"/>
    <w:rsid w:val="001B3717"/>
    <w:rsid w:val="001B3961"/>
    <w:rsid w:val="001B3B77"/>
    <w:rsid w:val="001B3D60"/>
    <w:rsid w:val="001B3F8F"/>
    <w:rsid w:val="001B4082"/>
    <w:rsid w:val="001B436F"/>
    <w:rsid w:val="001B4709"/>
    <w:rsid w:val="001B4E90"/>
    <w:rsid w:val="001B524F"/>
    <w:rsid w:val="001B5291"/>
    <w:rsid w:val="001B556D"/>
    <w:rsid w:val="001B563F"/>
    <w:rsid w:val="001B565C"/>
    <w:rsid w:val="001B569F"/>
    <w:rsid w:val="001B5CC2"/>
    <w:rsid w:val="001B5D33"/>
    <w:rsid w:val="001B5D3A"/>
    <w:rsid w:val="001B5D41"/>
    <w:rsid w:val="001B5EB0"/>
    <w:rsid w:val="001B6219"/>
    <w:rsid w:val="001B65AB"/>
    <w:rsid w:val="001B661C"/>
    <w:rsid w:val="001B673F"/>
    <w:rsid w:val="001B696E"/>
    <w:rsid w:val="001B6A09"/>
    <w:rsid w:val="001B6A56"/>
    <w:rsid w:val="001B7243"/>
    <w:rsid w:val="001B7248"/>
    <w:rsid w:val="001B7330"/>
    <w:rsid w:val="001B742D"/>
    <w:rsid w:val="001B759A"/>
    <w:rsid w:val="001B75ED"/>
    <w:rsid w:val="001B7B5F"/>
    <w:rsid w:val="001B7B6E"/>
    <w:rsid w:val="001C00F2"/>
    <w:rsid w:val="001C05AD"/>
    <w:rsid w:val="001C0858"/>
    <w:rsid w:val="001C08BF"/>
    <w:rsid w:val="001C1121"/>
    <w:rsid w:val="001C1146"/>
    <w:rsid w:val="001C1369"/>
    <w:rsid w:val="001C14EA"/>
    <w:rsid w:val="001C15E5"/>
    <w:rsid w:val="001C16A3"/>
    <w:rsid w:val="001C1AC5"/>
    <w:rsid w:val="001C1D4F"/>
    <w:rsid w:val="001C1E36"/>
    <w:rsid w:val="001C202D"/>
    <w:rsid w:val="001C22BD"/>
    <w:rsid w:val="001C22F8"/>
    <w:rsid w:val="001C23C3"/>
    <w:rsid w:val="001C2A03"/>
    <w:rsid w:val="001C2B0A"/>
    <w:rsid w:val="001C2F0C"/>
    <w:rsid w:val="001C2FED"/>
    <w:rsid w:val="001C30D2"/>
    <w:rsid w:val="001C3A45"/>
    <w:rsid w:val="001C3BC6"/>
    <w:rsid w:val="001C3C50"/>
    <w:rsid w:val="001C3CBA"/>
    <w:rsid w:val="001C3D7E"/>
    <w:rsid w:val="001C4087"/>
    <w:rsid w:val="001C4118"/>
    <w:rsid w:val="001C45D6"/>
    <w:rsid w:val="001C469B"/>
    <w:rsid w:val="001C480D"/>
    <w:rsid w:val="001C4897"/>
    <w:rsid w:val="001C4A73"/>
    <w:rsid w:val="001C4CDD"/>
    <w:rsid w:val="001C4CFC"/>
    <w:rsid w:val="001C504B"/>
    <w:rsid w:val="001C5198"/>
    <w:rsid w:val="001C532B"/>
    <w:rsid w:val="001C5487"/>
    <w:rsid w:val="001C5A66"/>
    <w:rsid w:val="001C5B02"/>
    <w:rsid w:val="001C5CA7"/>
    <w:rsid w:val="001C5CBD"/>
    <w:rsid w:val="001C5DE0"/>
    <w:rsid w:val="001C5F36"/>
    <w:rsid w:val="001C63E4"/>
    <w:rsid w:val="001C6408"/>
    <w:rsid w:val="001C6A1E"/>
    <w:rsid w:val="001C6A71"/>
    <w:rsid w:val="001C6EB5"/>
    <w:rsid w:val="001C6F9D"/>
    <w:rsid w:val="001C710F"/>
    <w:rsid w:val="001C7274"/>
    <w:rsid w:val="001C75D3"/>
    <w:rsid w:val="001C776C"/>
    <w:rsid w:val="001C77E1"/>
    <w:rsid w:val="001C7B7C"/>
    <w:rsid w:val="001C7B9D"/>
    <w:rsid w:val="001C7BED"/>
    <w:rsid w:val="001C7E60"/>
    <w:rsid w:val="001D007B"/>
    <w:rsid w:val="001D0100"/>
    <w:rsid w:val="001D069F"/>
    <w:rsid w:val="001D07D5"/>
    <w:rsid w:val="001D0912"/>
    <w:rsid w:val="001D0FFB"/>
    <w:rsid w:val="001D1000"/>
    <w:rsid w:val="001D19A8"/>
    <w:rsid w:val="001D1C62"/>
    <w:rsid w:val="001D1E54"/>
    <w:rsid w:val="001D1EAB"/>
    <w:rsid w:val="001D22CC"/>
    <w:rsid w:val="001D239E"/>
    <w:rsid w:val="001D2499"/>
    <w:rsid w:val="001D26B3"/>
    <w:rsid w:val="001D27C4"/>
    <w:rsid w:val="001D28B3"/>
    <w:rsid w:val="001D2979"/>
    <w:rsid w:val="001D30FE"/>
    <w:rsid w:val="001D31ED"/>
    <w:rsid w:val="001D31FA"/>
    <w:rsid w:val="001D33E5"/>
    <w:rsid w:val="001D368C"/>
    <w:rsid w:val="001D373C"/>
    <w:rsid w:val="001D39A3"/>
    <w:rsid w:val="001D450F"/>
    <w:rsid w:val="001D490F"/>
    <w:rsid w:val="001D4A36"/>
    <w:rsid w:val="001D5010"/>
    <w:rsid w:val="001D506F"/>
    <w:rsid w:val="001D5257"/>
    <w:rsid w:val="001D527B"/>
    <w:rsid w:val="001D536C"/>
    <w:rsid w:val="001D538D"/>
    <w:rsid w:val="001D56F7"/>
    <w:rsid w:val="001D5A1D"/>
    <w:rsid w:val="001D5B1F"/>
    <w:rsid w:val="001D6151"/>
    <w:rsid w:val="001D61B0"/>
    <w:rsid w:val="001D6291"/>
    <w:rsid w:val="001D638B"/>
    <w:rsid w:val="001D672E"/>
    <w:rsid w:val="001D6CCE"/>
    <w:rsid w:val="001D6DFA"/>
    <w:rsid w:val="001D6E7C"/>
    <w:rsid w:val="001D6F97"/>
    <w:rsid w:val="001D7159"/>
    <w:rsid w:val="001D7935"/>
    <w:rsid w:val="001D7ABE"/>
    <w:rsid w:val="001D7B6D"/>
    <w:rsid w:val="001D7B7F"/>
    <w:rsid w:val="001E0171"/>
    <w:rsid w:val="001E06D0"/>
    <w:rsid w:val="001E1350"/>
    <w:rsid w:val="001E147C"/>
    <w:rsid w:val="001E15EB"/>
    <w:rsid w:val="001E15FF"/>
    <w:rsid w:val="001E1D5A"/>
    <w:rsid w:val="001E1F97"/>
    <w:rsid w:val="001E2234"/>
    <w:rsid w:val="001E2251"/>
    <w:rsid w:val="001E23DF"/>
    <w:rsid w:val="001E241B"/>
    <w:rsid w:val="001E252F"/>
    <w:rsid w:val="001E2733"/>
    <w:rsid w:val="001E27E6"/>
    <w:rsid w:val="001E29DA"/>
    <w:rsid w:val="001E29FF"/>
    <w:rsid w:val="001E2A8E"/>
    <w:rsid w:val="001E2D11"/>
    <w:rsid w:val="001E2E31"/>
    <w:rsid w:val="001E30F7"/>
    <w:rsid w:val="001E32AF"/>
    <w:rsid w:val="001E3558"/>
    <w:rsid w:val="001E38A8"/>
    <w:rsid w:val="001E3982"/>
    <w:rsid w:val="001E3C0B"/>
    <w:rsid w:val="001E3EDB"/>
    <w:rsid w:val="001E4180"/>
    <w:rsid w:val="001E4664"/>
    <w:rsid w:val="001E4700"/>
    <w:rsid w:val="001E4A1F"/>
    <w:rsid w:val="001E4C1B"/>
    <w:rsid w:val="001E538F"/>
    <w:rsid w:val="001E54D4"/>
    <w:rsid w:val="001E5F64"/>
    <w:rsid w:val="001E6129"/>
    <w:rsid w:val="001E6180"/>
    <w:rsid w:val="001E6306"/>
    <w:rsid w:val="001E6605"/>
    <w:rsid w:val="001E674B"/>
    <w:rsid w:val="001E68FC"/>
    <w:rsid w:val="001E6AD5"/>
    <w:rsid w:val="001E6B2B"/>
    <w:rsid w:val="001E6C2D"/>
    <w:rsid w:val="001E6DB7"/>
    <w:rsid w:val="001E7148"/>
    <w:rsid w:val="001E72B6"/>
    <w:rsid w:val="001E7444"/>
    <w:rsid w:val="001E7569"/>
    <w:rsid w:val="001E7F25"/>
    <w:rsid w:val="001F06AA"/>
    <w:rsid w:val="001F0766"/>
    <w:rsid w:val="001F09AE"/>
    <w:rsid w:val="001F0EE5"/>
    <w:rsid w:val="001F0F6F"/>
    <w:rsid w:val="001F11DE"/>
    <w:rsid w:val="001F14B9"/>
    <w:rsid w:val="001F14C9"/>
    <w:rsid w:val="001F16FB"/>
    <w:rsid w:val="001F1844"/>
    <w:rsid w:val="001F19AC"/>
    <w:rsid w:val="001F1A09"/>
    <w:rsid w:val="001F1B1C"/>
    <w:rsid w:val="001F2178"/>
    <w:rsid w:val="001F2242"/>
    <w:rsid w:val="001F226B"/>
    <w:rsid w:val="001F22CC"/>
    <w:rsid w:val="001F291F"/>
    <w:rsid w:val="001F2A0B"/>
    <w:rsid w:val="001F2D46"/>
    <w:rsid w:val="001F2DF7"/>
    <w:rsid w:val="001F2E2F"/>
    <w:rsid w:val="001F38A7"/>
    <w:rsid w:val="001F3ABE"/>
    <w:rsid w:val="001F3F5A"/>
    <w:rsid w:val="001F440B"/>
    <w:rsid w:val="001F47E1"/>
    <w:rsid w:val="001F4870"/>
    <w:rsid w:val="001F4F5A"/>
    <w:rsid w:val="001F4FEB"/>
    <w:rsid w:val="001F5390"/>
    <w:rsid w:val="001F552B"/>
    <w:rsid w:val="001F5548"/>
    <w:rsid w:val="001F58BC"/>
    <w:rsid w:val="001F5989"/>
    <w:rsid w:val="001F6131"/>
    <w:rsid w:val="001F63F7"/>
    <w:rsid w:val="001F6636"/>
    <w:rsid w:val="001F66DE"/>
    <w:rsid w:val="001F6739"/>
    <w:rsid w:val="001F675E"/>
    <w:rsid w:val="001F6803"/>
    <w:rsid w:val="001F69CF"/>
    <w:rsid w:val="001F6C87"/>
    <w:rsid w:val="001F6EC5"/>
    <w:rsid w:val="001F6FCF"/>
    <w:rsid w:val="001F7249"/>
    <w:rsid w:val="001F75A9"/>
    <w:rsid w:val="001F7695"/>
    <w:rsid w:val="001F7746"/>
    <w:rsid w:val="001F77D7"/>
    <w:rsid w:val="001F7971"/>
    <w:rsid w:val="001F7ACA"/>
    <w:rsid w:val="001F7B99"/>
    <w:rsid w:val="001F7D00"/>
    <w:rsid w:val="001F7E66"/>
    <w:rsid w:val="0020009F"/>
    <w:rsid w:val="00200185"/>
    <w:rsid w:val="002001DB"/>
    <w:rsid w:val="002003D6"/>
    <w:rsid w:val="002008A6"/>
    <w:rsid w:val="002009AB"/>
    <w:rsid w:val="00200CAC"/>
    <w:rsid w:val="00200D92"/>
    <w:rsid w:val="00201015"/>
    <w:rsid w:val="002012FF"/>
    <w:rsid w:val="00201477"/>
    <w:rsid w:val="002014E7"/>
    <w:rsid w:val="00201554"/>
    <w:rsid w:val="00201B86"/>
    <w:rsid w:val="00201CDB"/>
    <w:rsid w:val="002020BE"/>
    <w:rsid w:val="00202576"/>
    <w:rsid w:val="0020265C"/>
    <w:rsid w:val="00202966"/>
    <w:rsid w:val="00202A7C"/>
    <w:rsid w:val="00202A9E"/>
    <w:rsid w:val="00202C24"/>
    <w:rsid w:val="00202D81"/>
    <w:rsid w:val="0020341A"/>
    <w:rsid w:val="002037AE"/>
    <w:rsid w:val="002038D5"/>
    <w:rsid w:val="0020393A"/>
    <w:rsid w:val="00203E7E"/>
    <w:rsid w:val="00203F88"/>
    <w:rsid w:val="00204026"/>
    <w:rsid w:val="00204406"/>
    <w:rsid w:val="002044AB"/>
    <w:rsid w:val="00204713"/>
    <w:rsid w:val="00204C9F"/>
    <w:rsid w:val="00204E8D"/>
    <w:rsid w:val="00204EFC"/>
    <w:rsid w:val="002050C7"/>
    <w:rsid w:val="00205315"/>
    <w:rsid w:val="00205644"/>
    <w:rsid w:val="002059C5"/>
    <w:rsid w:val="00205B0E"/>
    <w:rsid w:val="00205B1F"/>
    <w:rsid w:val="00205B3E"/>
    <w:rsid w:val="00205D85"/>
    <w:rsid w:val="00205FEA"/>
    <w:rsid w:val="002061C7"/>
    <w:rsid w:val="00206568"/>
    <w:rsid w:val="00206661"/>
    <w:rsid w:val="002069BC"/>
    <w:rsid w:val="0020718C"/>
    <w:rsid w:val="00207408"/>
    <w:rsid w:val="002074E5"/>
    <w:rsid w:val="002076A2"/>
    <w:rsid w:val="002076B9"/>
    <w:rsid w:val="00207B2B"/>
    <w:rsid w:val="0021000D"/>
    <w:rsid w:val="0021033E"/>
    <w:rsid w:val="0021037D"/>
    <w:rsid w:val="00210442"/>
    <w:rsid w:val="002105A5"/>
    <w:rsid w:val="00210679"/>
    <w:rsid w:val="00210901"/>
    <w:rsid w:val="00210954"/>
    <w:rsid w:val="00210B2B"/>
    <w:rsid w:val="00210DCC"/>
    <w:rsid w:val="00210DCD"/>
    <w:rsid w:val="00211041"/>
    <w:rsid w:val="002112A1"/>
    <w:rsid w:val="002112AD"/>
    <w:rsid w:val="0021132D"/>
    <w:rsid w:val="002119BF"/>
    <w:rsid w:val="00211B6D"/>
    <w:rsid w:val="00211CB5"/>
    <w:rsid w:val="00211D3D"/>
    <w:rsid w:val="00212120"/>
    <w:rsid w:val="0021221F"/>
    <w:rsid w:val="00212363"/>
    <w:rsid w:val="00212489"/>
    <w:rsid w:val="002124EC"/>
    <w:rsid w:val="00212625"/>
    <w:rsid w:val="002126B2"/>
    <w:rsid w:val="002128B7"/>
    <w:rsid w:val="00212919"/>
    <w:rsid w:val="00212948"/>
    <w:rsid w:val="00212A11"/>
    <w:rsid w:val="00212BFF"/>
    <w:rsid w:val="00212D09"/>
    <w:rsid w:val="0021304B"/>
    <w:rsid w:val="0021310C"/>
    <w:rsid w:val="002133A3"/>
    <w:rsid w:val="0021354C"/>
    <w:rsid w:val="00213A9C"/>
    <w:rsid w:val="00213B1B"/>
    <w:rsid w:val="00213B8F"/>
    <w:rsid w:val="00213CB7"/>
    <w:rsid w:val="00213D5C"/>
    <w:rsid w:val="00213F3F"/>
    <w:rsid w:val="00213FE1"/>
    <w:rsid w:val="00214036"/>
    <w:rsid w:val="00214324"/>
    <w:rsid w:val="0021499C"/>
    <w:rsid w:val="00214B4A"/>
    <w:rsid w:val="002150E3"/>
    <w:rsid w:val="00215101"/>
    <w:rsid w:val="002155F2"/>
    <w:rsid w:val="0021577A"/>
    <w:rsid w:val="002158A0"/>
    <w:rsid w:val="00215F55"/>
    <w:rsid w:val="002163BE"/>
    <w:rsid w:val="00216422"/>
    <w:rsid w:val="0021645A"/>
    <w:rsid w:val="002164B4"/>
    <w:rsid w:val="00216631"/>
    <w:rsid w:val="00216910"/>
    <w:rsid w:val="00216AAA"/>
    <w:rsid w:val="00217839"/>
    <w:rsid w:val="00217951"/>
    <w:rsid w:val="00217A74"/>
    <w:rsid w:val="00217BBD"/>
    <w:rsid w:val="00217EF5"/>
    <w:rsid w:val="00217FFB"/>
    <w:rsid w:val="00220132"/>
    <w:rsid w:val="002202CE"/>
    <w:rsid w:val="0022067E"/>
    <w:rsid w:val="00220A14"/>
    <w:rsid w:val="00220A29"/>
    <w:rsid w:val="00220AC3"/>
    <w:rsid w:val="002215E8"/>
    <w:rsid w:val="00221876"/>
    <w:rsid w:val="00221E63"/>
    <w:rsid w:val="00221EEC"/>
    <w:rsid w:val="002223C1"/>
    <w:rsid w:val="002223F4"/>
    <w:rsid w:val="002224C1"/>
    <w:rsid w:val="0022253A"/>
    <w:rsid w:val="002225E5"/>
    <w:rsid w:val="002226BB"/>
    <w:rsid w:val="00222719"/>
    <w:rsid w:val="00222818"/>
    <w:rsid w:val="00222840"/>
    <w:rsid w:val="00222CC2"/>
    <w:rsid w:val="0022317D"/>
    <w:rsid w:val="002231F0"/>
    <w:rsid w:val="0022336E"/>
    <w:rsid w:val="002234F5"/>
    <w:rsid w:val="0022358B"/>
    <w:rsid w:val="0022362F"/>
    <w:rsid w:val="00223776"/>
    <w:rsid w:val="0022386D"/>
    <w:rsid w:val="0022389B"/>
    <w:rsid w:val="00223BA9"/>
    <w:rsid w:val="00223C4F"/>
    <w:rsid w:val="00223CFA"/>
    <w:rsid w:val="00223DC2"/>
    <w:rsid w:val="00223DFE"/>
    <w:rsid w:val="00223E6E"/>
    <w:rsid w:val="002240C5"/>
    <w:rsid w:val="00224BCB"/>
    <w:rsid w:val="00224EAF"/>
    <w:rsid w:val="00225519"/>
    <w:rsid w:val="00225694"/>
    <w:rsid w:val="0022589E"/>
    <w:rsid w:val="002259C2"/>
    <w:rsid w:val="00225A3B"/>
    <w:rsid w:val="00225A8C"/>
    <w:rsid w:val="00225B01"/>
    <w:rsid w:val="00225B3A"/>
    <w:rsid w:val="00225BD8"/>
    <w:rsid w:val="00225DAA"/>
    <w:rsid w:val="00226081"/>
    <w:rsid w:val="002265B9"/>
    <w:rsid w:val="002265EC"/>
    <w:rsid w:val="0022665C"/>
    <w:rsid w:val="00226842"/>
    <w:rsid w:val="00226AF7"/>
    <w:rsid w:val="00226CF3"/>
    <w:rsid w:val="00226CF9"/>
    <w:rsid w:val="00226DF2"/>
    <w:rsid w:val="00226EAF"/>
    <w:rsid w:val="0022779D"/>
    <w:rsid w:val="002278AA"/>
    <w:rsid w:val="00227BDB"/>
    <w:rsid w:val="00227D16"/>
    <w:rsid w:val="00227ED1"/>
    <w:rsid w:val="00227FC4"/>
    <w:rsid w:val="002306C2"/>
    <w:rsid w:val="002307D9"/>
    <w:rsid w:val="00230817"/>
    <w:rsid w:val="0023081D"/>
    <w:rsid w:val="00230DCC"/>
    <w:rsid w:val="00230ED7"/>
    <w:rsid w:val="00230F01"/>
    <w:rsid w:val="0023144E"/>
    <w:rsid w:val="002318F6"/>
    <w:rsid w:val="00231CAA"/>
    <w:rsid w:val="00231D53"/>
    <w:rsid w:val="0023209F"/>
    <w:rsid w:val="00232223"/>
    <w:rsid w:val="00232261"/>
    <w:rsid w:val="00232434"/>
    <w:rsid w:val="002326C4"/>
    <w:rsid w:val="00232835"/>
    <w:rsid w:val="00232FEC"/>
    <w:rsid w:val="0023329C"/>
    <w:rsid w:val="002332A4"/>
    <w:rsid w:val="0023344E"/>
    <w:rsid w:val="002334BD"/>
    <w:rsid w:val="002335E3"/>
    <w:rsid w:val="00233705"/>
    <w:rsid w:val="00233B7B"/>
    <w:rsid w:val="00233BC0"/>
    <w:rsid w:val="00233C4C"/>
    <w:rsid w:val="00233CC8"/>
    <w:rsid w:val="00233EF2"/>
    <w:rsid w:val="0023462B"/>
    <w:rsid w:val="002349D0"/>
    <w:rsid w:val="00234B4F"/>
    <w:rsid w:val="00234FCE"/>
    <w:rsid w:val="002350CB"/>
    <w:rsid w:val="00235412"/>
    <w:rsid w:val="002357F2"/>
    <w:rsid w:val="0023592A"/>
    <w:rsid w:val="00235AC8"/>
    <w:rsid w:val="00235D60"/>
    <w:rsid w:val="00235E7B"/>
    <w:rsid w:val="00235F3A"/>
    <w:rsid w:val="002361AC"/>
    <w:rsid w:val="002361EC"/>
    <w:rsid w:val="00236289"/>
    <w:rsid w:val="00236395"/>
    <w:rsid w:val="00236398"/>
    <w:rsid w:val="002363BC"/>
    <w:rsid w:val="00236543"/>
    <w:rsid w:val="00236656"/>
    <w:rsid w:val="00236DC0"/>
    <w:rsid w:val="00236E58"/>
    <w:rsid w:val="00236F4C"/>
    <w:rsid w:val="002370A8"/>
    <w:rsid w:val="002372B5"/>
    <w:rsid w:val="0023737D"/>
    <w:rsid w:val="002373A2"/>
    <w:rsid w:val="002373A5"/>
    <w:rsid w:val="002373BA"/>
    <w:rsid w:val="0023766D"/>
    <w:rsid w:val="002377F8"/>
    <w:rsid w:val="00237A0A"/>
    <w:rsid w:val="00237A3C"/>
    <w:rsid w:val="00237C6F"/>
    <w:rsid w:val="00240103"/>
    <w:rsid w:val="002401A1"/>
    <w:rsid w:val="0024022A"/>
    <w:rsid w:val="002402F3"/>
    <w:rsid w:val="00240461"/>
    <w:rsid w:val="002406FB"/>
    <w:rsid w:val="002407C3"/>
    <w:rsid w:val="002407CC"/>
    <w:rsid w:val="002407DE"/>
    <w:rsid w:val="002409E3"/>
    <w:rsid w:val="00240FF3"/>
    <w:rsid w:val="00241394"/>
    <w:rsid w:val="0024153F"/>
    <w:rsid w:val="002415CE"/>
    <w:rsid w:val="002415E2"/>
    <w:rsid w:val="0024187A"/>
    <w:rsid w:val="00241919"/>
    <w:rsid w:val="00242203"/>
    <w:rsid w:val="00242517"/>
    <w:rsid w:val="0024260B"/>
    <w:rsid w:val="002429A1"/>
    <w:rsid w:val="00242C03"/>
    <w:rsid w:val="00242C86"/>
    <w:rsid w:val="00242FBE"/>
    <w:rsid w:val="00243114"/>
    <w:rsid w:val="00243632"/>
    <w:rsid w:val="00243774"/>
    <w:rsid w:val="0024384E"/>
    <w:rsid w:val="00243A98"/>
    <w:rsid w:val="00243D63"/>
    <w:rsid w:val="00243F85"/>
    <w:rsid w:val="0024401F"/>
    <w:rsid w:val="00244041"/>
    <w:rsid w:val="00244592"/>
    <w:rsid w:val="00244B2D"/>
    <w:rsid w:val="00244EE7"/>
    <w:rsid w:val="002450AC"/>
    <w:rsid w:val="0024541B"/>
    <w:rsid w:val="0024554E"/>
    <w:rsid w:val="0024569B"/>
    <w:rsid w:val="002456EE"/>
    <w:rsid w:val="0024570C"/>
    <w:rsid w:val="0024598E"/>
    <w:rsid w:val="00245B78"/>
    <w:rsid w:val="00245BC8"/>
    <w:rsid w:val="00245E24"/>
    <w:rsid w:val="00245F60"/>
    <w:rsid w:val="00245FE6"/>
    <w:rsid w:val="002464C9"/>
    <w:rsid w:val="00246573"/>
    <w:rsid w:val="0024658D"/>
    <w:rsid w:val="002469F8"/>
    <w:rsid w:val="00246F9B"/>
    <w:rsid w:val="00247350"/>
    <w:rsid w:val="00247691"/>
    <w:rsid w:val="00247A6F"/>
    <w:rsid w:val="00247B1D"/>
    <w:rsid w:val="00247CC8"/>
    <w:rsid w:val="00247D62"/>
    <w:rsid w:val="00250077"/>
    <w:rsid w:val="0025019A"/>
    <w:rsid w:val="0025026E"/>
    <w:rsid w:val="00250287"/>
    <w:rsid w:val="0025030E"/>
    <w:rsid w:val="002504A3"/>
    <w:rsid w:val="002505A7"/>
    <w:rsid w:val="00250611"/>
    <w:rsid w:val="00250635"/>
    <w:rsid w:val="002507EF"/>
    <w:rsid w:val="00250840"/>
    <w:rsid w:val="00250E7E"/>
    <w:rsid w:val="002513AE"/>
    <w:rsid w:val="002514A9"/>
    <w:rsid w:val="00251746"/>
    <w:rsid w:val="002518EB"/>
    <w:rsid w:val="00251F94"/>
    <w:rsid w:val="0025207F"/>
    <w:rsid w:val="002520F9"/>
    <w:rsid w:val="002521E1"/>
    <w:rsid w:val="0025237E"/>
    <w:rsid w:val="00252903"/>
    <w:rsid w:val="00252C29"/>
    <w:rsid w:val="00252ECC"/>
    <w:rsid w:val="00253471"/>
    <w:rsid w:val="00253585"/>
    <w:rsid w:val="002536DF"/>
    <w:rsid w:val="00253724"/>
    <w:rsid w:val="00253897"/>
    <w:rsid w:val="0025398D"/>
    <w:rsid w:val="00253A9D"/>
    <w:rsid w:val="00254065"/>
    <w:rsid w:val="00254427"/>
    <w:rsid w:val="0025444E"/>
    <w:rsid w:val="0025447C"/>
    <w:rsid w:val="0025492E"/>
    <w:rsid w:val="00255399"/>
    <w:rsid w:val="002559B3"/>
    <w:rsid w:val="00255A84"/>
    <w:rsid w:val="00255B5A"/>
    <w:rsid w:val="00255BBB"/>
    <w:rsid w:val="00255EF5"/>
    <w:rsid w:val="00256377"/>
    <w:rsid w:val="002566E7"/>
    <w:rsid w:val="002568D0"/>
    <w:rsid w:val="0025698E"/>
    <w:rsid w:val="00256ED2"/>
    <w:rsid w:val="00257779"/>
    <w:rsid w:val="00257817"/>
    <w:rsid w:val="0025795F"/>
    <w:rsid w:val="00257C49"/>
    <w:rsid w:val="00257F06"/>
    <w:rsid w:val="00260239"/>
    <w:rsid w:val="002602DA"/>
    <w:rsid w:val="00260448"/>
    <w:rsid w:val="002604B3"/>
    <w:rsid w:val="00260A5D"/>
    <w:rsid w:val="00260C35"/>
    <w:rsid w:val="00260E9D"/>
    <w:rsid w:val="00260F1C"/>
    <w:rsid w:val="0026114B"/>
    <w:rsid w:val="0026123A"/>
    <w:rsid w:val="0026151F"/>
    <w:rsid w:val="0026169D"/>
    <w:rsid w:val="00261972"/>
    <w:rsid w:val="00261CF1"/>
    <w:rsid w:val="00261E8B"/>
    <w:rsid w:val="0026209D"/>
    <w:rsid w:val="0026274C"/>
    <w:rsid w:val="002628D5"/>
    <w:rsid w:val="002628DC"/>
    <w:rsid w:val="00262ACA"/>
    <w:rsid w:val="00262B57"/>
    <w:rsid w:val="00262BB7"/>
    <w:rsid w:val="002630E1"/>
    <w:rsid w:val="002633DE"/>
    <w:rsid w:val="00263650"/>
    <w:rsid w:val="002637CB"/>
    <w:rsid w:val="00263810"/>
    <w:rsid w:val="00263A02"/>
    <w:rsid w:val="00263DA3"/>
    <w:rsid w:val="00264118"/>
    <w:rsid w:val="00264450"/>
    <w:rsid w:val="002646FE"/>
    <w:rsid w:val="00264C1F"/>
    <w:rsid w:val="00264D07"/>
    <w:rsid w:val="00264E1F"/>
    <w:rsid w:val="002652B7"/>
    <w:rsid w:val="002654E5"/>
    <w:rsid w:val="002658B9"/>
    <w:rsid w:val="00265AC3"/>
    <w:rsid w:val="00265ACD"/>
    <w:rsid w:val="00265BFC"/>
    <w:rsid w:val="00265D7D"/>
    <w:rsid w:val="00265EF2"/>
    <w:rsid w:val="00266126"/>
    <w:rsid w:val="0026647B"/>
    <w:rsid w:val="00266776"/>
    <w:rsid w:val="00266830"/>
    <w:rsid w:val="00266BE3"/>
    <w:rsid w:val="002670DA"/>
    <w:rsid w:val="002671A2"/>
    <w:rsid w:val="0026722A"/>
    <w:rsid w:val="002673CF"/>
    <w:rsid w:val="00267496"/>
    <w:rsid w:val="00267A7C"/>
    <w:rsid w:val="00267EB1"/>
    <w:rsid w:val="002700DF"/>
    <w:rsid w:val="002702D2"/>
    <w:rsid w:val="00270395"/>
    <w:rsid w:val="002704E1"/>
    <w:rsid w:val="002705FB"/>
    <w:rsid w:val="00270959"/>
    <w:rsid w:val="00270A17"/>
    <w:rsid w:val="00270FBC"/>
    <w:rsid w:val="002710D6"/>
    <w:rsid w:val="0027133E"/>
    <w:rsid w:val="00271401"/>
    <w:rsid w:val="00271690"/>
    <w:rsid w:val="0027170E"/>
    <w:rsid w:val="00271FB4"/>
    <w:rsid w:val="00272067"/>
    <w:rsid w:val="00272366"/>
    <w:rsid w:val="002723D6"/>
    <w:rsid w:val="0027304D"/>
    <w:rsid w:val="002732D3"/>
    <w:rsid w:val="002733B9"/>
    <w:rsid w:val="00273AF3"/>
    <w:rsid w:val="00273D23"/>
    <w:rsid w:val="00273D49"/>
    <w:rsid w:val="00273F04"/>
    <w:rsid w:val="00273F79"/>
    <w:rsid w:val="00273FD3"/>
    <w:rsid w:val="00274053"/>
    <w:rsid w:val="0027405E"/>
    <w:rsid w:val="0027420A"/>
    <w:rsid w:val="002745C9"/>
    <w:rsid w:val="002746BD"/>
    <w:rsid w:val="00274827"/>
    <w:rsid w:val="00274B62"/>
    <w:rsid w:val="002751CD"/>
    <w:rsid w:val="002756E0"/>
    <w:rsid w:val="002759C0"/>
    <w:rsid w:val="00275B68"/>
    <w:rsid w:val="00275D87"/>
    <w:rsid w:val="00275F9E"/>
    <w:rsid w:val="002760C9"/>
    <w:rsid w:val="00276157"/>
    <w:rsid w:val="002761BD"/>
    <w:rsid w:val="0027652E"/>
    <w:rsid w:val="00276546"/>
    <w:rsid w:val="002765E1"/>
    <w:rsid w:val="0027660B"/>
    <w:rsid w:val="00276675"/>
    <w:rsid w:val="00276907"/>
    <w:rsid w:val="00277455"/>
    <w:rsid w:val="00277D48"/>
    <w:rsid w:val="00277DED"/>
    <w:rsid w:val="002800A8"/>
    <w:rsid w:val="00280143"/>
    <w:rsid w:val="00280171"/>
    <w:rsid w:val="002801DB"/>
    <w:rsid w:val="002802C0"/>
    <w:rsid w:val="0028045F"/>
    <w:rsid w:val="0028063E"/>
    <w:rsid w:val="0028064F"/>
    <w:rsid w:val="0028070D"/>
    <w:rsid w:val="002809DC"/>
    <w:rsid w:val="00280B7E"/>
    <w:rsid w:val="00280D6E"/>
    <w:rsid w:val="00280EA4"/>
    <w:rsid w:val="00280F56"/>
    <w:rsid w:val="002811B7"/>
    <w:rsid w:val="002812D2"/>
    <w:rsid w:val="0028186F"/>
    <w:rsid w:val="00281DA0"/>
    <w:rsid w:val="00281F1B"/>
    <w:rsid w:val="00282450"/>
    <w:rsid w:val="00282693"/>
    <w:rsid w:val="002826AE"/>
    <w:rsid w:val="00282708"/>
    <w:rsid w:val="00282972"/>
    <w:rsid w:val="00282AF8"/>
    <w:rsid w:val="00282BAE"/>
    <w:rsid w:val="00282D3F"/>
    <w:rsid w:val="00282EE5"/>
    <w:rsid w:val="00282EFF"/>
    <w:rsid w:val="0028331B"/>
    <w:rsid w:val="002833D2"/>
    <w:rsid w:val="002834C9"/>
    <w:rsid w:val="002837C2"/>
    <w:rsid w:val="0028399A"/>
    <w:rsid w:val="00283A9F"/>
    <w:rsid w:val="00283E3A"/>
    <w:rsid w:val="00283E92"/>
    <w:rsid w:val="00284036"/>
    <w:rsid w:val="0028413A"/>
    <w:rsid w:val="00284555"/>
    <w:rsid w:val="002845EA"/>
    <w:rsid w:val="00284DAA"/>
    <w:rsid w:val="00284DB3"/>
    <w:rsid w:val="00284E44"/>
    <w:rsid w:val="002850A4"/>
    <w:rsid w:val="002851DD"/>
    <w:rsid w:val="00285205"/>
    <w:rsid w:val="0028523A"/>
    <w:rsid w:val="00285309"/>
    <w:rsid w:val="00285DF6"/>
    <w:rsid w:val="00285EEE"/>
    <w:rsid w:val="00285F6A"/>
    <w:rsid w:val="00286093"/>
    <w:rsid w:val="002863D1"/>
    <w:rsid w:val="002865C4"/>
    <w:rsid w:val="002866CA"/>
    <w:rsid w:val="0028670B"/>
    <w:rsid w:val="00286894"/>
    <w:rsid w:val="00286B1C"/>
    <w:rsid w:val="00286EBE"/>
    <w:rsid w:val="00286F67"/>
    <w:rsid w:val="00286F98"/>
    <w:rsid w:val="00286FF6"/>
    <w:rsid w:val="0028718B"/>
    <w:rsid w:val="00287246"/>
    <w:rsid w:val="0028783E"/>
    <w:rsid w:val="00287AF3"/>
    <w:rsid w:val="00287C83"/>
    <w:rsid w:val="00287CF2"/>
    <w:rsid w:val="00290098"/>
    <w:rsid w:val="00290118"/>
    <w:rsid w:val="0029025A"/>
    <w:rsid w:val="002907BC"/>
    <w:rsid w:val="0029082C"/>
    <w:rsid w:val="00290EA7"/>
    <w:rsid w:val="002912CA"/>
    <w:rsid w:val="002915AF"/>
    <w:rsid w:val="00291A60"/>
    <w:rsid w:val="00291BF5"/>
    <w:rsid w:val="00291E07"/>
    <w:rsid w:val="00292046"/>
    <w:rsid w:val="002920C7"/>
    <w:rsid w:val="0029215E"/>
    <w:rsid w:val="00292228"/>
    <w:rsid w:val="00292245"/>
    <w:rsid w:val="00292D82"/>
    <w:rsid w:val="00293042"/>
    <w:rsid w:val="002930CD"/>
    <w:rsid w:val="00293370"/>
    <w:rsid w:val="00293537"/>
    <w:rsid w:val="002939A9"/>
    <w:rsid w:val="00293C63"/>
    <w:rsid w:val="00293F63"/>
    <w:rsid w:val="00294199"/>
    <w:rsid w:val="002941C8"/>
    <w:rsid w:val="002947AA"/>
    <w:rsid w:val="002948C1"/>
    <w:rsid w:val="002948FA"/>
    <w:rsid w:val="00294A58"/>
    <w:rsid w:val="00294CB2"/>
    <w:rsid w:val="00294EF8"/>
    <w:rsid w:val="00294F21"/>
    <w:rsid w:val="0029508D"/>
    <w:rsid w:val="0029523A"/>
    <w:rsid w:val="002952BD"/>
    <w:rsid w:val="00295B16"/>
    <w:rsid w:val="00295B70"/>
    <w:rsid w:val="00295B93"/>
    <w:rsid w:val="00295D12"/>
    <w:rsid w:val="00295EEF"/>
    <w:rsid w:val="0029601E"/>
    <w:rsid w:val="0029648D"/>
    <w:rsid w:val="00296642"/>
    <w:rsid w:val="002967DE"/>
    <w:rsid w:val="00296C91"/>
    <w:rsid w:val="00297170"/>
    <w:rsid w:val="00297367"/>
    <w:rsid w:val="002974F6"/>
    <w:rsid w:val="00297756"/>
    <w:rsid w:val="002978FA"/>
    <w:rsid w:val="0029793B"/>
    <w:rsid w:val="00297A45"/>
    <w:rsid w:val="002A01D7"/>
    <w:rsid w:val="002A04E2"/>
    <w:rsid w:val="002A065B"/>
    <w:rsid w:val="002A06E7"/>
    <w:rsid w:val="002A0BC3"/>
    <w:rsid w:val="002A0CD3"/>
    <w:rsid w:val="002A0DB6"/>
    <w:rsid w:val="002A0E02"/>
    <w:rsid w:val="002A0E27"/>
    <w:rsid w:val="002A0E94"/>
    <w:rsid w:val="002A0EA6"/>
    <w:rsid w:val="002A0F77"/>
    <w:rsid w:val="002A103C"/>
    <w:rsid w:val="002A1367"/>
    <w:rsid w:val="002A14C6"/>
    <w:rsid w:val="002A1756"/>
    <w:rsid w:val="002A1820"/>
    <w:rsid w:val="002A1A34"/>
    <w:rsid w:val="002A1B8E"/>
    <w:rsid w:val="002A1D1E"/>
    <w:rsid w:val="002A1E16"/>
    <w:rsid w:val="002A1F4D"/>
    <w:rsid w:val="002A2364"/>
    <w:rsid w:val="002A264A"/>
    <w:rsid w:val="002A283D"/>
    <w:rsid w:val="002A2A08"/>
    <w:rsid w:val="002A2C6D"/>
    <w:rsid w:val="002A2D93"/>
    <w:rsid w:val="002A31A6"/>
    <w:rsid w:val="002A3244"/>
    <w:rsid w:val="002A333B"/>
    <w:rsid w:val="002A339E"/>
    <w:rsid w:val="002A33FC"/>
    <w:rsid w:val="002A35A5"/>
    <w:rsid w:val="002A3976"/>
    <w:rsid w:val="002A3B4F"/>
    <w:rsid w:val="002A3CE7"/>
    <w:rsid w:val="002A3F55"/>
    <w:rsid w:val="002A3F8F"/>
    <w:rsid w:val="002A4113"/>
    <w:rsid w:val="002A4266"/>
    <w:rsid w:val="002A449D"/>
    <w:rsid w:val="002A44A1"/>
    <w:rsid w:val="002A46C8"/>
    <w:rsid w:val="002A47A9"/>
    <w:rsid w:val="002A495C"/>
    <w:rsid w:val="002A4B51"/>
    <w:rsid w:val="002A4B78"/>
    <w:rsid w:val="002A4E42"/>
    <w:rsid w:val="002A50FA"/>
    <w:rsid w:val="002A519E"/>
    <w:rsid w:val="002A53C2"/>
    <w:rsid w:val="002A53FE"/>
    <w:rsid w:val="002A556F"/>
    <w:rsid w:val="002A598E"/>
    <w:rsid w:val="002A61A5"/>
    <w:rsid w:val="002A61B1"/>
    <w:rsid w:val="002A6363"/>
    <w:rsid w:val="002A648D"/>
    <w:rsid w:val="002A655B"/>
    <w:rsid w:val="002A6671"/>
    <w:rsid w:val="002A6AC9"/>
    <w:rsid w:val="002A6E6B"/>
    <w:rsid w:val="002A7199"/>
    <w:rsid w:val="002A764D"/>
    <w:rsid w:val="002A76C9"/>
    <w:rsid w:val="002A77C3"/>
    <w:rsid w:val="002A7BBD"/>
    <w:rsid w:val="002A7E62"/>
    <w:rsid w:val="002B00F3"/>
    <w:rsid w:val="002B02FE"/>
    <w:rsid w:val="002B0315"/>
    <w:rsid w:val="002B0396"/>
    <w:rsid w:val="002B078B"/>
    <w:rsid w:val="002B0992"/>
    <w:rsid w:val="002B0BB9"/>
    <w:rsid w:val="002B0D6E"/>
    <w:rsid w:val="002B1042"/>
    <w:rsid w:val="002B10B0"/>
    <w:rsid w:val="002B1180"/>
    <w:rsid w:val="002B14DB"/>
    <w:rsid w:val="002B169C"/>
    <w:rsid w:val="002B1850"/>
    <w:rsid w:val="002B1FAA"/>
    <w:rsid w:val="002B22E8"/>
    <w:rsid w:val="002B24CB"/>
    <w:rsid w:val="002B2662"/>
    <w:rsid w:val="002B26AA"/>
    <w:rsid w:val="002B29FA"/>
    <w:rsid w:val="002B2D81"/>
    <w:rsid w:val="002B2F0B"/>
    <w:rsid w:val="002B3596"/>
    <w:rsid w:val="002B3B29"/>
    <w:rsid w:val="002B3C42"/>
    <w:rsid w:val="002B41E5"/>
    <w:rsid w:val="002B4356"/>
    <w:rsid w:val="002B4436"/>
    <w:rsid w:val="002B472A"/>
    <w:rsid w:val="002B4766"/>
    <w:rsid w:val="002B48B2"/>
    <w:rsid w:val="002B4DF9"/>
    <w:rsid w:val="002B51C1"/>
    <w:rsid w:val="002B5236"/>
    <w:rsid w:val="002B5269"/>
    <w:rsid w:val="002B52B2"/>
    <w:rsid w:val="002B53CE"/>
    <w:rsid w:val="002B5413"/>
    <w:rsid w:val="002B57EB"/>
    <w:rsid w:val="002B5A2D"/>
    <w:rsid w:val="002B5BC3"/>
    <w:rsid w:val="002B5BFB"/>
    <w:rsid w:val="002B6031"/>
    <w:rsid w:val="002B63F2"/>
    <w:rsid w:val="002B64D8"/>
    <w:rsid w:val="002B6716"/>
    <w:rsid w:val="002B6742"/>
    <w:rsid w:val="002B6EFD"/>
    <w:rsid w:val="002B6F33"/>
    <w:rsid w:val="002B7221"/>
    <w:rsid w:val="002B74FA"/>
    <w:rsid w:val="002B780B"/>
    <w:rsid w:val="002B79F0"/>
    <w:rsid w:val="002B7B8A"/>
    <w:rsid w:val="002B7CE6"/>
    <w:rsid w:val="002B7F3E"/>
    <w:rsid w:val="002C00B8"/>
    <w:rsid w:val="002C0170"/>
    <w:rsid w:val="002C02BD"/>
    <w:rsid w:val="002C03F1"/>
    <w:rsid w:val="002C059A"/>
    <w:rsid w:val="002C05D9"/>
    <w:rsid w:val="002C08EC"/>
    <w:rsid w:val="002C0A20"/>
    <w:rsid w:val="002C0BE5"/>
    <w:rsid w:val="002C0C68"/>
    <w:rsid w:val="002C0CCC"/>
    <w:rsid w:val="002C0CD7"/>
    <w:rsid w:val="002C0D7B"/>
    <w:rsid w:val="002C0F0E"/>
    <w:rsid w:val="002C12FB"/>
    <w:rsid w:val="002C1CBF"/>
    <w:rsid w:val="002C1D9C"/>
    <w:rsid w:val="002C210C"/>
    <w:rsid w:val="002C22C5"/>
    <w:rsid w:val="002C23D5"/>
    <w:rsid w:val="002C2949"/>
    <w:rsid w:val="002C2999"/>
    <w:rsid w:val="002C2A85"/>
    <w:rsid w:val="002C2AB4"/>
    <w:rsid w:val="002C2BEB"/>
    <w:rsid w:val="002C2BEF"/>
    <w:rsid w:val="002C2CE7"/>
    <w:rsid w:val="002C34B2"/>
    <w:rsid w:val="002C366F"/>
    <w:rsid w:val="002C373F"/>
    <w:rsid w:val="002C3D9B"/>
    <w:rsid w:val="002C3E0A"/>
    <w:rsid w:val="002C417F"/>
    <w:rsid w:val="002C42AE"/>
    <w:rsid w:val="002C4306"/>
    <w:rsid w:val="002C4ACF"/>
    <w:rsid w:val="002C4B93"/>
    <w:rsid w:val="002C4BEF"/>
    <w:rsid w:val="002C4C3C"/>
    <w:rsid w:val="002C4CA9"/>
    <w:rsid w:val="002C5453"/>
    <w:rsid w:val="002C556B"/>
    <w:rsid w:val="002C5693"/>
    <w:rsid w:val="002C57D9"/>
    <w:rsid w:val="002C58A3"/>
    <w:rsid w:val="002C5AEA"/>
    <w:rsid w:val="002C5F89"/>
    <w:rsid w:val="002C631D"/>
    <w:rsid w:val="002C6414"/>
    <w:rsid w:val="002C64F8"/>
    <w:rsid w:val="002C679B"/>
    <w:rsid w:val="002C702D"/>
    <w:rsid w:val="002C705E"/>
    <w:rsid w:val="002C70C7"/>
    <w:rsid w:val="002C70C8"/>
    <w:rsid w:val="002C71A6"/>
    <w:rsid w:val="002C7301"/>
    <w:rsid w:val="002C73BA"/>
    <w:rsid w:val="002C751F"/>
    <w:rsid w:val="002C75F6"/>
    <w:rsid w:val="002C7629"/>
    <w:rsid w:val="002C7AA0"/>
    <w:rsid w:val="002C7B01"/>
    <w:rsid w:val="002C7F4C"/>
    <w:rsid w:val="002C7FF4"/>
    <w:rsid w:val="002D00A8"/>
    <w:rsid w:val="002D01C0"/>
    <w:rsid w:val="002D03D9"/>
    <w:rsid w:val="002D04FC"/>
    <w:rsid w:val="002D0920"/>
    <w:rsid w:val="002D097A"/>
    <w:rsid w:val="002D0E8A"/>
    <w:rsid w:val="002D0FA4"/>
    <w:rsid w:val="002D100C"/>
    <w:rsid w:val="002D17D5"/>
    <w:rsid w:val="002D207D"/>
    <w:rsid w:val="002D2124"/>
    <w:rsid w:val="002D2270"/>
    <w:rsid w:val="002D267C"/>
    <w:rsid w:val="002D298C"/>
    <w:rsid w:val="002D2EC4"/>
    <w:rsid w:val="002D2F9A"/>
    <w:rsid w:val="002D3151"/>
    <w:rsid w:val="002D3306"/>
    <w:rsid w:val="002D3365"/>
    <w:rsid w:val="002D3716"/>
    <w:rsid w:val="002D37C8"/>
    <w:rsid w:val="002D392A"/>
    <w:rsid w:val="002D4074"/>
    <w:rsid w:val="002D43C6"/>
    <w:rsid w:val="002D4546"/>
    <w:rsid w:val="002D458E"/>
    <w:rsid w:val="002D4592"/>
    <w:rsid w:val="002D45EE"/>
    <w:rsid w:val="002D4830"/>
    <w:rsid w:val="002D4A0A"/>
    <w:rsid w:val="002D4A43"/>
    <w:rsid w:val="002D4EE1"/>
    <w:rsid w:val="002D50CA"/>
    <w:rsid w:val="002D5102"/>
    <w:rsid w:val="002D516C"/>
    <w:rsid w:val="002D51D9"/>
    <w:rsid w:val="002D56DA"/>
    <w:rsid w:val="002D5977"/>
    <w:rsid w:val="002D59B7"/>
    <w:rsid w:val="002D5C3C"/>
    <w:rsid w:val="002D5E73"/>
    <w:rsid w:val="002D5F4B"/>
    <w:rsid w:val="002D607F"/>
    <w:rsid w:val="002D62B4"/>
    <w:rsid w:val="002D671B"/>
    <w:rsid w:val="002D6788"/>
    <w:rsid w:val="002D6CF0"/>
    <w:rsid w:val="002D6D06"/>
    <w:rsid w:val="002D6FE7"/>
    <w:rsid w:val="002D710C"/>
    <w:rsid w:val="002D72F6"/>
    <w:rsid w:val="002D785B"/>
    <w:rsid w:val="002D793A"/>
    <w:rsid w:val="002D7B9C"/>
    <w:rsid w:val="002D7C7F"/>
    <w:rsid w:val="002D7CC1"/>
    <w:rsid w:val="002D7F7C"/>
    <w:rsid w:val="002E04D0"/>
    <w:rsid w:val="002E07EB"/>
    <w:rsid w:val="002E0806"/>
    <w:rsid w:val="002E0924"/>
    <w:rsid w:val="002E0C23"/>
    <w:rsid w:val="002E0CEA"/>
    <w:rsid w:val="002E0D26"/>
    <w:rsid w:val="002E0DDE"/>
    <w:rsid w:val="002E0ED0"/>
    <w:rsid w:val="002E118D"/>
    <w:rsid w:val="002E11B9"/>
    <w:rsid w:val="002E11F8"/>
    <w:rsid w:val="002E1CCD"/>
    <w:rsid w:val="002E1F61"/>
    <w:rsid w:val="002E2010"/>
    <w:rsid w:val="002E229D"/>
    <w:rsid w:val="002E22B0"/>
    <w:rsid w:val="002E25A8"/>
    <w:rsid w:val="002E2733"/>
    <w:rsid w:val="002E2736"/>
    <w:rsid w:val="002E279A"/>
    <w:rsid w:val="002E2873"/>
    <w:rsid w:val="002E2BE7"/>
    <w:rsid w:val="002E2E56"/>
    <w:rsid w:val="002E3008"/>
    <w:rsid w:val="002E323E"/>
    <w:rsid w:val="002E34CF"/>
    <w:rsid w:val="002E3547"/>
    <w:rsid w:val="002E3804"/>
    <w:rsid w:val="002E3F17"/>
    <w:rsid w:val="002E4118"/>
    <w:rsid w:val="002E41F3"/>
    <w:rsid w:val="002E41FB"/>
    <w:rsid w:val="002E44AF"/>
    <w:rsid w:val="002E4519"/>
    <w:rsid w:val="002E46E2"/>
    <w:rsid w:val="002E48FD"/>
    <w:rsid w:val="002E512D"/>
    <w:rsid w:val="002E530F"/>
    <w:rsid w:val="002E533C"/>
    <w:rsid w:val="002E54D6"/>
    <w:rsid w:val="002E557C"/>
    <w:rsid w:val="002E5A38"/>
    <w:rsid w:val="002E5C8B"/>
    <w:rsid w:val="002E5EAB"/>
    <w:rsid w:val="002E635A"/>
    <w:rsid w:val="002E64B2"/>
    <w:rsid w:val="002E6726"/>
    <w:rsid w:val="002E6750"/>
    <w:rsid w:val="002E676A"/>
    <w:rsid w:val="002E68BC"/>
    <w:rsid w:val="002E6921"/>
    <w:rsid w:val="002E6D18"/>
    <w:rsid w:val="002E6E7C"/>
    <w:rsid w:val="002E6F72"/>
    <w:rsid w:val="002E71FB"/>
    <w:rsid w:val="002E7798"/>
    <w:rsid w:val="002E7A21"/>
    <w:rsid w:val="002E7DFA"/>
    <w:rsid w:val="002E7F35"/>
    <w:rsid w:val="002F01E7"/>
    <w:rsid w:val="002F02A0"/>
    <w:rsid w:val="002F04DE"/>
    <w:rsid w:val="002F0789"/>
    <w:rsid w:val="002F1140"/>
    <w:rsid w:val="002F131E"/>
    <w:rsid w:val="002F1335"/>
    <w:rsid w:val="002F1524"/>
    <w:rsid w:val="002F1583"/>
    <w:rsid w:val="002F198A"/>
    <w:rsid w:val="002F1B0B"/>
    <w:rsid w:val="002F1CD3"/>
    <w:rsid w:val="002F1CFB"/>
    <w:rsid w:val="002F1D51"/>
    <w:rsid w:val="002F1E43"/>
    <w:rsid w:val="002F2148"/>
    <w:rsid w:val="002F228A"/>
    <w:rsid w:val="002F22E7"/>
    <w:rsid w:val="002F23BA"/>
    <w:rsid w:val="002F25E4"/>
    <w:rsid w:val="002F281A"/>
    <w:rsid w:val="002F2AFA"/>
    <w:rsid w:val="002F2B48"/>
    <w:rsid w:val="002F2BB2"/>
    <w:rsid w:val="002F2F21"/>
    <w:rsid w:val="002F31E2"/>
    <w:rsid w:val="002F328E"/>
    <w:rsid w:val="002F3535"/>
    <w:rsid w:val="002F383D"/>
    <w:rsid w:val="002F3A27"/>
    <w:rsid w:val="002F3A30"/>
    <w:rsid w:val="002F3A93"/>
    <w:rsid w:val="002F3AFA"/>
    <w:rsid w:val="002F3D58"/>
    <w:rsid w:val="002F416B"/>
    <w:rsid w:val="002F4355"/>
    <w:rsid w:val="002F4444"/>
    <w:rsid w:val="002F471D"/>
    <w:rsid w:val="002F4777"/>
    <w:rsid w:val="002F4906"/>
    <w:rsid w:val="002F49D1"/>
    <w:rsid w:val="002F4A6F"/>
    <w:rsid w:val="002F4BEA"/>
    <w:rsid w:val="002F4CCF"/>
    <w:rsid w:val="002F4E2F"/>
    <w:rsid w:val="002F4FC7"/>
    <w:rsid w:val="002F52B6"/>
    <w:rsid w:val="002F5561"/>
    <w:rsid w:val="002F57C8"/>
    <w:rsid w:val="002F5814"/>
    <w:rsid w:val="002F581E"/>
    <w:rsid w:val="002F58B9"/>
    <w:rsid w:val="002F5BD0"/>
    <w:rsid w:val="002F5D11"/>
    <w:rsid w:val="002F5DAB"/>
    <w:rsid w:val="002F6422"/>
    <w:rsid w:val="002F69FC"/>
    <w:rsid w:val="002F6B24"/>
    <w:rsid w:val="002F6C0A"/>
    <w:rsid w:val="002F6E28"/>
    <w:rsid w:val="002F6EBD"/>
    <w:rsid w:val="002F6F48"/>
    <w:rsid w:val="002F725F"/>
    <w:rsid w:val="002F799A"/>
    <w:rsid w:val="002F7A88"/>
    <w:rsid w:val="002F7CB1"/>
    <w:rsid w:val="002F7DC8"/>
    <w:rsid w:val="002F7E68"/>
    <w:rsid w:val="002F7F8A"/>
    <w:rsid w:val="0030023E"/>
    <w:rsid w:val="0030046D"/>
    <w:rsid w:val="003006B2"/>
    <w:rsid w:val="003007DE"/>
    <w:rsid w:val="00300C9E"/>
    <w:rsid w:val="00300E39"/>
    <w:rsid w:val="003010FE"/>
    <w:rsid w:val="00301154"/>
    <w:rsid w:val="003011A6"/>
    <w:rsid w:val="003011EA"/>
    <w:rsid w:val="003012DE"/>
    <w:rsid w:val="00301361"/>
    <w:rsid w:val="003015A1"/>
    <w:rsid w:val="0030185C"/>
    <w:rsid w:val="00301A3E"/>
    <w:rsid w:val="00301C43"/>
    <w:rsid w:val="00301D93"/>
    <w:rsid w:val="00301EFF"/>
    <w:rsid w:val="00302180"/>
    <w:rsid w:val="00302306"/>
    <w:rsid w:val="003025FE"/>
    <w:rsid w:val="00302615"/>
    <w:rsid w:val="00302B58"/>
    <w:rsid w:val="00302CD0"/>
    <w:rsid w:val="00302D57"/>
    <w:rsid w:val="00302E5E"/>
    <w:rsid w:val="00302EA1"/>
    <w:rsid w:val="003030C7"/>
    <w:rsid w:val="00303110"/>
    <w:rsid w:val="00303332"/>
    <w:rsid w:val="003038DB"/>
    <w:rsid w:val="003038F8"/>
    <w:rsid w:val="00303BC0"/>
    <w:rsid w:val="00303BC3"/>
    <w:rsid w:val="00303D58"/>
    <w:rsid w:val="00303E69"/>
    <w:rsid w:val="00303EFB"/>
    <w:rsid w:val="00303FE2"/>
    <w:rsid w:val="0030407F"/>
    <w:rsid w:val="00304118"/>
    <w:rsid w:val="0030415A"/>
    <w:rsid w:val="0030433E"/>
    <w:rsid w:val="00304345"/>
    <w:rsid w:val="00304433"/>
    <w:rsid w:val="00304705"/>
    <w:rsid w:val="003048C9"/>
    <w:rsid w:val="00304BB6"/>
    <w:rsid w:val="00304C8F"/>
    <w:rsid w:val="00304D70"/>
    <w:rsid w:val="00304EFD"/>
    <w:rsid w:val="00304FF8"/>
    <w:rsid w:val="003050AF"/>
    <w:rsid w:val="003055DF"/>
    <w:rsid w:val="0030579A"/>
    <w:rsid w:val="00305E45"/>
    <w:rsid w:val="00305E61"/>
    <w:rsid w:val="00305F43"/>
    <w:rsid w:val="0030628C"/>
    <w:rsid w:val="00306336"/>
    <w:rsid w:val="00306C09"/>
    <w:rsid w:val="00306C8E"/>
    <w:rsid w:val="00306DF8"/>
    <w:rsid w:val="00306F6E"/>
    <w:rsid w:val="00307448"/>
    <w:rsid w:val="0030744F"/>
    <w:rsid w:val="00307503"/>
    <w:rsid w:val="003076E9"/>
    <w:rsid w:val="003079CF"/>
    <w:rsid w:val="00307C55"/>
    <w:rsid w:val="00307DEF"/>
    <w:rsid w:val="003107E5"/>
    <w:rsid w:val="003108A8"/>
    <w:rsid w:val="00310936"/>
    <w:rsid w:val="00310C6A"/>
    <w:rsid w:val="0031115B"/>
    <w:rsid w:val="003115AC"/>
    <w:rsid w:val="003119C7"/>
    <w:rsid w:val="00311D33"/>
    <w:rsid w:val="00311DAF"/>
    <w:rsid w:val="00311EE1"/>
    <w:rsid w:val="0031200F"/>
    <w:rsid w:val="0031208A"/>
    <w:rsid w:val="00312193"/>
    <w:rsid w:val="003121D9"/>
    <w:rsid w:val="00312373"/>
    <w:rsid w:val="00312388"/>
    <w:rsid w:val="00312455"/>
    <w:rsid w:val="003127E9"/>
    <w:rsid w:val="00312844"/>
    <w:rsid w:val="00312890"/>
    <w:rsid w:val="00312B89"/>
    <w:rsid w:val="00312E14"/>
    <w:rsid w:val="00312F01"/>
    <w:rsid w:val="00313098"/>
    <w:rsid w:val="00313211"/>
    <w:rsid w:val="00313347"/>
    <w:rsid w:val="00313523"/>
    <w:rsid w:val="003135AC"/>
    <w:rsid w:val="00313664"/>
    <w:rsid w:val="003138FE"/>
    <w:rsid w:val="00313977"/>
    <w:rsid w:val="00313CBA"/>
    <w:rsid w:val="00313CFE"/>
    <w:rsid w:val="00313EC7"/>
    <w:rsid w:val="00314475"/>
    <w:rsid w:val="00314649"/>
    <w:rsid w:val="0031481E"/>
    <w:rsid w:val="00314954"/>
    <w:rsid w:val="00314B34"/>
    <w:rsid w:val="00314BF9"/>
    <w:rsid w:val="00314DA9"/>
    <w:rsid w:val="00314E12"/>
    <w:rsid w:val="00314F63"/>
    <w:rsid w:val="00314F90"/>
    <w:rsid w:val="00315247"/>
    <w:rsid w:val="003156A6"/>
    <w:rsid w:val="00315731"/>
    <w:rsid w:val="00315B46"/>
    <w:rsid w:val="00315C9F"/>
    <w:rsid w:val="00315D4B"/>
    <w:rsid w:val="00316097"/>
    <w:rsid w:val="0031617F"/>
    <w:rsid w:val="003162D7"/>
    <w:rsid w:val="0031665C"/>
    <w:rsid w:val="00316784"/>
    <w:rsid w:val="00316A3C"/>
    <w:rsid w:val="0031731D"/>
    <w:rsid w:val="003173F1"/>
    <w:rsid w:val="003177DB"/>
    <w:rsid w:val="00317B20"/>
    <w:rsid w:val="00317BDB"/>
    <w:rsid w:val="00317C76"/>
    <w:rsid w:val="00317D4D"/>
    <w:rsid w:val="00317D5E"/>
    <w:rsid w:val="00317EC0"/>
    <w:rsid w:val="00317F29"/>
    <w:rsid w:val="0032006F"/>
    <w:rsid w:val="00320089"/>
    <w:rsid w:val="003201A1"/>
    <w:rsid w:val="0032040D"/>
    <w:rsid w:val="00320457"/>
    <w:rsid w:val="00320747"/>
    <w:rsid w:val="0032097B"/>
    <w:rsid w:val="003209CA"/>
    <w:rsid w:val="003209F7"/>
    <w:rsid w:val="00320D91"/>
    <w:rsid w:val="0032113E"/>
    <w:rsid w:val="00321197"/>
    <w:rsid w:val="0032124F"/>
    <w:rsid w:val="00321260"/>
    <w:rsid w:val="00321302"/>
    <w:rsid w:val="0032148B"/>
    <w:rsid w:val="00321560"/>
    <w:rsid w:val="0032172F"/>
    <w:rsid w:val="00321758"/>
    <w:rsid w:val="00321823"/>
    <w:rsid w:val="003222A6"/>
    <w:rsid w:val="003225DA"/>
    <w:rsid w:val="00322798"/>
    <w:rsid w:val="00322857"/>
    <w:rsid w:val="003228C7"/>
    <w:rsid w:val="00322B9A"/>
    <w:rsid w:val="00322CB3"/>
    <w:rsid w:val="00322D1B"/>
    <w:rsid w:val="00322E12"/>
    <w:rsid w:val="00322E82"/>
    <w:rsid w:val="00322EEC"/>
    <w:rsid w:val="00323047"/>
    <w:rsid w:val="0032378B"/>
    <w:rsid w:val="00323A11"/>
    <w:rsid w:val="00323EDD"/>
    <w:rsid w:val="00323FC7"/>
    <w:rsid w:val="00323FEF"/>
    <w:rsid w:val="003240EE"/>
    <w:rsid w:val="00324210"/>
    <w:rsid w:val="0032436C"/>
    <w:rsid w:val="003243D1"/>
    <w:rsid w:val="0032448E"/>
    <w:rsid w:val="003245CE"/>
    <w:rsid w:val="00324897"/>
    <w:rsid w:val="003248FB"/>
    <w:rsid w:val="00324A40"/>
    <w:rsid w:val="00324C44"/>
    <w:rsid w:val="00324F1F"/>
    <w:rsid w:val="00324F2B"/>
    <w:rsid w:val="00325674"/>
    <w:rsid w:val="003257A7"/>
    <w:rsid w:val="003259D7"/>
    <w:rsid w:val="00325A5F"/>
    <w:rsid w:val="00325EE8"/>
    <w:rsid w:val="00326072"/>
    <w:rsid w:val="00326451"/>
    <w:rsid w:val="00326593"/>
    <w:rsid w:val="003268C7"/>
    <w:rsid w:val="00326B3B"/>
    <w:rsid w:val="00326DDF"/>
    <w:rsid w:val="00326F9F"/>
    <w:rsid w:val="003270F1"/>
    <w:rsid w:val="003272B4"/>
    <w:rsid w:val="00327515"/>
    <w:rsid w:val="003275D8"/>
    <w:rsid w:val="0032765C"/>
    <w:rsid w:val="00327789"/>
    <w:rsid w:val="00327870"/>
    <w:rsid w:val="00327A72"/>
    <w:rsid w:val="00327B5E"/>
    <w:rsid w:val="00327B7B"/>
    <w:rsid w:val="00327E1D"/>
    <w:rsid w:val="00327E2C"/>
    <w:rsid w:val="00330385"/>
    <w:rsid w:val="00330608"/>
    <w:rsid w:val="00330670"/>
    <w:rsid w:val="003309C3"/>
    <w:rsid w:val="00330A33"/>
    <w:rsid w:val="00330A73"/>
    <w:rsid w:val="00330B02"/>
    <w:rsid w:val="00330C52"/>
    <w:rsid w:val="00330F39"/>
    <w:rsid w:val="0033102E"/>
    <w:rsid w:val="003312BC"/>
    <w:rsid w:val="00331401"/>
    <w:rsid w:val="00331488"/>
    <w:rsid w:val="003317F7"/>
    <w:rsid w:val="00331818"/>
    <w:rsid w:val="00331830"/>
    <w:rsid w:val="0033193E"/>
    <w:rsid w:val="00331DEF"/>
    <w:rsid w:val="00331E1F"/>
    <w:rsid w:val="00332344"/>
    <w:rsid w:val="00332477"/>
    <w:rsid w:val="00332804"/>
    <w:rsid w:val="0033282A"/>
    <w:rsid w:val="0033284B"/>
    <w:rsid w:val="0033296C"/>
    <w:rsid w:val="00332BC9"/>
    <w:rsid w:val="00332E3F"/>
    <w:rsid w:val="00332F0D"/>
    <w:rsid w:val="00332F2F"/>
    <w:rsid w:val="003330F1"/>
    <w:rsid w:val="0033322B"/>
    <w:rsid w:val="00333234"/>
    <w:rsid w:val="00333398"/>
    <w:rsid w:val="0033352D"/>
    <w:rsid w:val="00333753"/>
    <w:rsid w:val="00333835"/>
    <w:rsid w:val="00333BF9"/>
    <w:rsid w:val="00333C15"/>
    <w:rsid w:val="00333CC8"/>
    <w:rsid w:val="00333D5B"/>
    <w:rsid w:val="003340BC"/>
    <w:rsid w:val="003341E2"/>
    <w:rsid w:val="003343B5"/>
    <w:rsid w:val="003345AD"/>
    <w:rsid w:val="003345F8"/>
    <w:rsid w:val="003346B9"/>
    <w:rsid w:val="00334A83"/>
    <w:rsid w:val="00334C80"/>
    <w:rsid w:val="003353EA"/>
    <w:rsid w:val="003353FB"/>
    <w:rsid w:val="0033544C"/>
    <w:rsid w:val="003355F5"/>
    <w:rsid w:val="003356FA"/>
    <w:rsid w:val="0033572C"/>
    <w:rsid w:val="00335CAD"/>
    <w:rsid w:val="00335EA4"/>
    <w:rsid w:val="00335ED1"/>
    <w:rsid w:val="00335FAE"/>
    <w:rsid w:val="00336585"/>
    <w:rsid w:val="00336664"/>
    <w:rsid w:val="003367EF"/>
    <w:rsid w:val="00336C06"/>
    <w:rsid w:val="00336C56"/>
    <w:rsid w:val="00336D1F"/>
    <w:rsid w:val="00336F9F"/>
    <w:rsid w:val="003375EB"/>
    <w:rsid w:val="00337808"/>
    <w:rsid w:val="00337D59"/>
    <w:rsid w:val="00337EF7"/>
    <w:rsid w:val="00337EF8"/>
    <w:rsid w:val="00340029"/>
    <w:rsid w:val="0034024F"/>
    <w:rsid w:val="00340323"/>
    <w:rsid w:val="003404FB"/>
    <w:rsid w:val="00340D05"/>
    <w:rsid w:val="00340E93"/>
    <w:rsid w:val="00340EE2"/>
    <w:rsid w:val="00340FD8"/>
    <w:rsid w:val="00341282"/>
    <w:rsid w:val="00341296"/>
    <w:rsid w:val="003416C4"/>
    <w:rsid w:val="00341712"/>
    <w:rsid w:val="00341979"/>
    <w:rsid w:val="00341B45"/>
    <w:rsid w:val="00341D4B"/>
    <w:rsid w:val="003420E4"/>
    <w:rsid w:val="0034239E"/>
    <w:rsid w:val="00342824"/>
    <w:rsid w:val="003428BA"/>
    <w:rsid w:val="003429C3"/>
    <w:rsid w:val="00342A1C"/>
    <w:rsid w:val="00342A60"/>
    <w:rsid w:val="00342B44"/>
    <w:rsid w:val="00342CBB"/>
    <w:rsid w:val="00342FBC"/>
    <w:rsid w:val="0034344C"/>
    <w:rsid w:val="003435E0"/>
    <w:rsid w:val="0034360A"/>
    <w:rsid w:val="0034375A"/>
    <w:rsid w:val="0034379D"/>
    <w:rsid w:val="00343855"/>
    <w:rsid w:val="003439F6"/>
    <w:rsid w:val="00343BB5"/>
    <w:rsid w:val="00343CA5"/>
    <w:rsid w:val="00343CF2"/>
    <w:rsid w:val="0034410F"/>
    <w:rsid w:val="00344381"/>
    <w:rsid w:val="003447C2"/>
    <w:rsid w:val="00344853"/>
    <w:rsid w:val="00344A29"/>
    <w:rsid w:val="00344E84"/>
    <w:rsid w:val="003450FF"/>
    <w:rsid w:val="003457C7"/>
    <w:rsid w:val="00345980"/>
    <w:rsid w:val="00345BFE"/>
    <w:rsid w:val="00345D33"/>
    <w:rsid w:val="00345D73"/>
    <w:rsid w:val="00345E1D"/>
    <w:rsid w:val="003460C1"/>
    <w:rsid w:val="0034618D"/>
    <w:rsid w:val="00346192"/>
    <w:rsid w:val="003463E3"/>
    <w:rsid w:val="0034646D"/>
    <w:rsid w:val="003464ED"/>
    <w:rsid w:val="00346E1F"/>
    <w:rsid w:val="00346FED"/>
    <w:rsid w:val="00347074"/>
    <w:rsid w:val="0034714F"/>
    <w:rsid w:val="0034755C"/>
    <w:rsid w:val="003477AD"/>
    <w:rsid w:val="0034797B"/>
    <w:rsid w:val="00347BE5"/>
    <w:rsid w:val="00347D29"/>
    <w:rsid w:val="003500CF"/>
    <w:rsid w:val="00350369"/>
    <w:rsid w:val="0035039C"/>
    <w:rsid w:val="0035051F"/>
    <w:rsid w:val="00350566"/>
    <w:rsid w:val="003507DD"/>
    <w:rsid w:val="003508D1"/>
    <w:rsid w:val="00350B03"/>
    <w:rsid w:val="0035133D"/>
    <w:rsid w:val="00351B7F"/>
    <w:rsid w:val="00351B8E"/>
    <w:rsid w:val="00351BFE"/>
    <w:rsid w:val="00351C9C"/>
    <w:rsid w:val="003522E0"/>
    <w:rsid w:val="003523AC"/>
    <w:rsid w:val="003523E2"/>
    <w:rsid w:val="00352401"/>
    <w:rsid w:val="003525C9"/>
    <w:rsid w:val="0035267F"/>
    <w:rsid w:val="0035284A"/>
    <w:rsid w:val="00352A16"/>
    <w:rsid w:val="00352B55"/>
    <w:rsid w:val="00352FD1"/>
    <w:rsid w:val="00353101"/>
    <w:rsid w:val="00353119"/>
    <w:rsid w:val="0035337D"/>
    <w:rsid w:val="00353707"/>
    <w:rsid w:val="00353740"/>
    <w:rsid w:val="00353AE3"/>
    <w:rsid w:val="00353D8F"/>
    <w:rsid w:val="00353E0D"/>
    <w:rsid w:val="00353E11"/>
    <w:rsid w:val="00353EAF"/>
    <w:rsid w:val="00354193"/>
    <w:rsid w:val="00354243"/>
    <w:rsid w:val="00354494"/>
    <w:rsid w:val="00354545"/>
    <w:rsid w:val="0035457A"/>
    <w:rsid w:val="003545A1"/>
    <w:rsid w:val="003546BF"/>
    <w:rsid w:val="003547FA"/>
    <w:rsid w:val="003548BE"/>
    <w:rsid w:val="00354D95"/>
    <w:rsid w:val="00354E21"/>
    <w:rsid w:val="00354FFA"/>
    <w:rsid w:val="0035505E"/>
    <w:rsid w:val="003550BA"/>
    <w:rsid w:val="00355123"/>
    <w:rsid w:val="00355315"/>
    <w:rsid w:val="003554D2"/>
    <w:rsid w:val="0035554B"/>
    <w:rsid w:val="0035571A"/>
    <w:rsid w:val="0035580D"/>
    <w:rsid w:val="0035590A"/>
    <w:rsid w:val="00355985"/>
    <w:rsid w:val="00355D0B"/>
    <w:rsid w:val="00355E03"/>
    <w:rsid w:val="0035631F"/>
    <w:rsid w:val="003564CC"/>
    <w:rsid w:val="00356720"/>
    <w:rsid w:val="003567A2"/>
    <w:rsid w:val="0035687D"/>
    <w:rsid w:val="00356887"/>
    <w:rsid w:val="00356915"/>
    <w:rsid w:val="00356933"/>
    <w:rsid w:val="00356A56"/>
    <w:rsid w:val="00356E81"/>
    <w:rsid w:val="00356F02"/>
    <w:rsid w:val="00357369"/>
    <w:rsid w:val="00357A37"/>
    <w:rsid w:val="00357B48"/>
    <w:rsid w:val="00357C49"/>
    <w:rsid w:val="00357CB5"/>
    <w:rsid w:val="003600B2"/>
    <w:rsid w:val="003602DC"/>
    <w:rsid w:val="0036046D"/>
    <w:rsid w:val="00360517"/>
    <w:rsid w:val="00360532"/>
    <w:rsid w:val="00360766"/>
    <w:rsid w:val="003609A8"/>
    <w:rsid w:val="00360B04"/>
    <w:rsid w:val="0036169F"/>
    <w:rsid w:val="003618B0"/>
    <w:rsid w:val="00361EF0"/>
    <w:rsid w:val="003623E1"/>
    <w:rsid w:val="003626BE"/>
    <w:rsid w:val="00362ADB"/>
    <w:rsid w:val="00362D05"/>
    <w:rsid w:val="00362E5C"/>
    <w:rsid w:val="00362EDE"/>
    <w:rsid w:val="00362FD3"/>
    <w:rsid w:val="00363432"/>
    <w:rsid w:val="003637FC"/>
    <w:rsid w:val="0036391D"/>
    <w:rsid w:val="003639FB"/>
    <w:rsid w:val="00363A78"/>
    <w:rsid w:val="00363BF7"/>
    <w:rsid w:val="00364252"/>
    <w:rsid w:val="003642FB"/>
    <w:rsid w:val="00364362"/>
    <w:rsid w:val="003643FB"/>
    <w:rsid w:val="0036454A"/>
    <w:rsid w:val="0036499C"/>
    <w:rsid w:val="00364C1B"/>
    <w:rsid w:val="00364C30"/>
    <w:rsid w:val="00364FB3"/>
    <w:rsid w:val="0036526F"/>
    <w:rsid w:val="003652B9"/>
    <w:rsid w:val="003655A8"/>
    <w:rsid w:val="00365CD9"/>
    <w:rsid w:val="00365EEF"/>
    <w:rsid w:val="003663B3"/>
    <w:rsid w:val="0036656C"/>
    <w:rsid w:val="00366732"/>
    <w:rsid w:val="003669E6"/>
    <w:rsid w:val="00366B60"/>
    <w:rsid w:val="00366CC0"/>
    <w:rsid w:val="0036714A"/>
    <w:rsid w:val="0036730B"/>
    <w:rsid w:val="003674F0"/>
    <w:rsid w:val="0036765F"/>
    <w:rsid w:val="003677D3"/>
    <w:rsid w:val="003678EB"/>
    <w:rsid w:val="00367B3D"/>
    <w:rsid w:val="00367B88"/>
    <w:rsid w:val="00367EAF"/>
    <w:rsid w:val="00370142"/>
    <w:rsid w:val="00370182"/>
    <w:rsid w:val="00370307"/>
    <w:rsid w:val="003703E7"/>
    <w:rsid w:val="003704A6"/>
    <w:rsid w:val="0037070E"/>
    <w:rsid w:val="00370AA1"/>
    <w:rsid w:val="00370B0B"/>
    <w:rsid w:val="003712A5"/>
    <w:rsid w:val="0037156D"/>
    <w:rsid w:val="003716EA"/>
    <w:rsid w:val="003719C6"/>
    <w:rsid w:val="00371A18"/>
    <w:rsid w:val="00371A6E"/>
    <w:rsid w:val="00371AF9"/>
    <w:rsid w:val="00371E12"/>
    <w:rsid w:val="00372158"/>
    <w:rsid w:val="00372163"/>
    <w:rsid w:val="003724BD"/>
    <w:rsid w:val="003725AA"/>
    <w:rsid w:val="00372852"/>
    <w:rsid w:val="003728FB"/>
    <w:rsid w:val="00372A06"/>
    <w:rsid w:val="00372A5B"/>
    <w:rsid w:val="00372F98"/>
    <w:rsid w:val="00373491"/>
    <w:rsid w:val="00373715"/>
    <w:rsid w:val="00373766"/>
    <w:rsid w:val="003739DD"/>
    <w:rsid w:val="00373A9E"/>
    <w:rsid w:val="00373D03"/>
    <w:rsid w:val="00373DA2"/>
    <w:rsid w:val="00373F73"/>
    <w:rsid w:val="003741A2"/>
    <w:rsid w:val="00374368"/>
    <w:rsid w:val="00374419"/>
    <w:rsid w:val="0037451D"/>
    <w:rsid w:val="00374525"/>
    <w:rsid w:val="003746FE"/>
    <w:rsid w:val="0037481A"/>
    <w:rsid w:val="00374844"/>
    <w:rsid w:val="0037484E"/>
    <w:rsid w:val="00374964"/>
    <w:rsid w:val="00374C44"/>
    <w:rsid w:val="003751A6"/>
    <w:rsid w:val="0037526B"/>
    <w:rsid w:val="0037535A"/>
    <w:rsid w:val="0037536C"/>
    <w:rsid w:val="0037563D"/>
    <w:rsid w:val="003756EC"/>
    <w:rsid w:val="0037584E"/>
    <w:rsid w:val="003758D0"/>
    <w:rsid w:val="00375B21"/>
    <w:rsid w:val="00375E08"/>
    <w:rsid w:val="003764A1"/>
    <w:rsid w:val="003767CA"/>
    <w:rsid w:val="003768B9"/>
    <w:rsid w:val="003768C4"/>
    <w:rsid w:val="00376ACD"/>
    <w:rsid w:val="00376C75"/>
    <w:rsid w:val="00376F2E"/>
    <w:rsid w:val="0037719F"/>
    <w:rsid w:val="00377332"/>
    <w:rsid w:val="003775EA"/>
    <w:rsid w:val="003779E0"/>
    <w:rsid w:val="00377AE5"/>
    <w:rsid w:val="00377CAD"/>
    <w:rsid w:val="00377E40"/>
    <w:rsid w:val="00377E4C"/>
    <w:rsid w:val="00377E4F"/>
    <w:rsid w:val="00380102"/>
    <w:rsid w:val="003801AA"/>
    <w:rsid w:val="0038024E"/>
    <w:rsid w:val="00380265"/>
    <w:rsid w:val="0038034B"/>
    <w:rsid w:val="00380358"/>
    <w:rsid w:val="00380364"/>
    <w:rsid w:val="003803C3"/>
    <w:rsid w:val="003805F2"/>
    <w:rsid w:val="003806C8"/>
    <w:rsid w:val="00380B0B"/>
    <w:rsid w:val="0038113E"/>
    <w:rsid w:val="00381256"/>
    <w:rsid w:val="0038136C"/>
    <w:rsid w:val="003813B0"/>
    <w:rsid w:val="003814BB"/>
    <w:rsid w:val="003815B8"/>
    <w:rsid w:val="00382177"/>
    <w:rsid w:val="00382266"/>
    <w:rsid w:val="0038235E"/>
    <w:rsid w:val="00382365"/>
    <w:rsid w:val="00382412"/>
    <w:rsid w:val="0038251D"/>
    <w:rsid w:val="00382AE5"/>
    <w:rsid w:val="00382FE3"/>
    <w:rsid w:val="00383392"/>
    <w:rsid w:val="003833EC"/>
    <w:rsid w:val="00383510"/>
    <w:rsid w:val="0038352D"/>
    <w:rsid w:val="003836B6"/>
    <w:rsid w:val="0038374E"/>
    <w:rsid w:val="00383BF4"/>
    <w:rsid w:val="00383C69"/>
    <w:rsid w:val="00383D97"/>
    <w:rsid w:val="00383FE9"/>
    <w:rsid w:val="00384071"/>
    <w:rsid w:val="00384584"/>
    <w:rsid w:val="00384DF5"/>
    <w:rsid w:val="00384E5A"/>
    <w:rsid w:val="00384F5B"/>
    <w:rsid w:val="0038521C"/>
    <w:rsid w:val="00385312"/>
    <w:rsid w:val="0038534E"/>
    <w:rsid w:val="00385675"/>
    <w:rsid w:val="00385993"/>
    <w:rsid w:val="00385AB5"/>
    <w:rsid w:val="00385E4A"/>
    <w:rsid w:val="0038618C"/>
    <w:rsid w:val="003862F7"/>
    <w:rsid w:val="0038655C"/>
    <w:rsid w:val="00386612"/>
    <w:rsid w:val="0038668A"/>
    <w:rsid w:val="0038692E"/>
    <w:rsid w:val="00386A7C"/>
    <w:rsid w:val="00386ED4"/>
    <w:rsid w:val="00387056"/>
    <w:rsid w:val="0038707D"/>
    <w:rsid w:val="003871A0"/>
    <w:rsid w:val="003872F4"/>
    <w:rsid w:val="0038750B"/>
    <w:rsid w:val="00387553"/>
    <w:rsid w:val="003875CD"/>
    <w:rsid w:val="00387C4F"/>
    <w:rsid w:val="00387EFC"/>
    <w:rsid w:val="0039087D"/>
    <w:rsid w:val="003913BD"/>
    <w:rsid w:val="003916D4"/>
    <w:rsid w:val="0039175A"/>
    <w:rsid w:val="003917B4"/>
    <w:rsid w:val="003921CD"/>
    <w:rsid w:val="00392282"/>
    <w:rsid w:val="003923B4"/>
    <w:rsid w:val="00392461"/>
    <w:rsid w:val="003929D2"/>
    <w:rsid w:val="00392CE4"/>
    <w:rsid w:val="00392E40"/>
    <w:rsid w:val="00393029"/>
    <w:rsid w:val="00393354"/>
    <w:rsid w:val="0039399D"/>
    <w:rsid w:val="003939DC"/>
    <w:rsid w:val="00393D1C"/>
    <w:rsid w:val="00393D54"/>
    <w:rsid w:val="00393E3E"/>
    <w:rsid w:val="00393F33"/>
    <w:rsid w:val="00393F81"/>
    <w:rsid w:val="00393FA5"/>
    <w:rsid w:val="0039413F"/>
    <w:rsid w:val="003943A4"/>
    <w:rsid w:val="00394841"/>
    <w:rsid w:val="00394A86"/>
    <w:rsid w:val="00394B51"/>
    <w:rsid w:val="00394B5D"/>
    <w:rsid w:val="00394CB5"/>
    <w:rsid w:val="00394FBB"/>
    <w:rsid w:val="003953BE"/>
    <w:rsid w:val="00395521"/>
    <w:rsid w:val="003957BC"/>
    <w:rsid w:val="00395992"/>
    <w:rsid w:val="003960AD"/>
    <w:rsid w:val="003960B1"/>
    <w:rsid w:val="003960C3"/>
    <w:rsid w:val="0039628C"/>
    <w:rsid w:val="003965C0"/>
    <w:rsid w:val="00396641"/>
    <w:rsid w:val="0039671B"/>
    <w:rsid w:val="00396A4C"/>
    <w:rsid w:val="00396D0D"/>
    <w:rsid w:val="00397057"/>
    <w:rsid w:val="00397376"/>
    <w:rsid w:val="00397586"/>
    <w:rsid w:val="00397637"/>
    <w:rsid w:val="00397A32"/>
    <w:rsid w:val="00397BAE"/>
    <w:rsid w:val="00397C65"/>
    <w:rsid w:val="00397CEF"/>
    <w:rsid w:val="00397DD6"/>
    <w:rsid w:val="00397E70"/>
    <w:rsid w:val="003A0272"/>
    <w:rsid w:val="003A0942"/>
    <w:rsid w:val="003A0B6E"/>
    <w:rsid w:val="003A0D0B"/>
    <w:rsid w:val="003A0F38"/>
    <w:rsid w:val="003A1177"/>
    <w:rsid w:val="003A1301"/>
    <w:rsid w:val="003A16AF"/>
    <w:rsid w:val="003A1EEF"/>
    <w:rsid w:val="003A1F07"/>
    <w:rsid w:val="003A20A3"/>
    <w:rsid w:val="003A2298"/>
    <w:rsid w:val="003A25E6"/>
    <w:rsid w:val="003A26E4"/>
    <w:rsid w:val="003A27BB"/>
    <w:rsid w:val="003A2833"/>
    <w:rsid w:val="003A28C3"/>
    <w:rsid w:val="003A2AE0"/>
    <w:rsid w:val="003A2AF4"/>
    <w:rsid w:val="003A2BF9"/>
    <w:rsid w:val="003A2C02"/>
    <w:rsid w:val="003A2E28"/>
    <w:rsid w:val="003A2E37"/>
    <w:rsid w:val="003A2F3D"/>
    <w:rsid w:val="003A2FE5"/>
    <w:rsid w:val="003A349A"/>
    <w:rsid w:val="003A35D6"/>
    <w:rsid w:val="003A3F68"/>
    <w:rsid w:val="003A414D"/>
    <w:rsid w:val="003A422D"/>
    <w:rsid w:val="003A492B"/>
    <w:rsid w:val="003A4B39"/>
    <w:rsid w:val="003A4BC9"/>
    <w:rsid w:val="003A4FAB"/>
    <w:rsid w:val="003A5077"/>
    <w:rsid w:val="003A5416"/>
    <w:rsid w:val="003A5614"/>
    <w:rsid w:val="003A5A97"/>
    <w:rsid w:val="003A5AF6"/>
    <w:rsid w:val="003A5BC5"/>
    <w:rsid w:val="003A5C82"/>
    <w:rsid w:val="003A5D19"/>
    <w:rsid w:val="003A5D68"/>
    <w:rsid w:val="003A5E4A"/>
    <w:rsid w:val="003A5E50"/>
    <w:rsid w:val="003A5EE8"/>
    <w:rsid w:val="003A5F4E"/>
    <w:rsid w:val="003A636E"/>
    <w:rsid w:val="003A6A4E"/>
    <w:rsid w:val="003A6BEE"/>
    <w:rsid w:val="003A6DAE"/>
    <w:rsid w:val="003A6DDA"/>
    <w:rsid w:val="003A72FF"/>
    <w:rsid w:val="003A730C"/>
    <w:rsid w:val="003A7C7A"/>
    <w:rsid w:val="003A7E5B"/>
    <w:rsid w:val="003B0100"/>
    <w:rsid w:val="003B05D0"/>
    <w:rsid w:val="003B0611"/>
    <w:rsid w:val="003B094B"/>
    <w:rsid w:val="003B0E84"/>
    <w:rsid w:val="003B1620"/>
    <w:rsid w:val="003B1661"/>
    <w:rsid w:val="003B176A"/>
    <w:rsid w:val="003B1826"/>
    <w:rsid w:val="003B18CD"/>
    <w:rsid w:val="003B1997"/>
    <w:rsid w:val="003B1E43"/>
    <w:rsid w:val="003B1ED8"/>
    <w:rsid w:val="003B2304"/>
    <w:rsid w:val="003B23C3"/>
    <w:rsid w:val="003B2559"/>
    <w:rsid w:val="003B287D"/>
    <w:rsid w:val="003B2B17"/>
    <w:rsid w:val="003B2BE8"/>
    <w:rsid w:val="003B2EDB"/>
    <w:rsid w:val="003B2F60"/>
    <w:rsid w:val="003B300E"/>
    <w:rsid w:val="003B317B"/>
    <w:rsid w:val="003B3725"/>
    <w:rsid w:val="003B4059"/>
    <w:rsid w:val="003B40D9"/>
    <w:rsid w:val="003B42B0"/>
    <w:rsid w:val="003B4485"/>
    <w:rsid w:val="003B453B"/>
    <w:rsid w:val="003B46A6"/>
    <w:rsid w:val="003B4704"/>
    <w:rsid w:val="003B4AB6"/>
    <w:rsid w:val="003B4E65"/>
    <w:rsid w:val="003B4F3D"/>
    <w:rsid w:val="003B5254"/>
    <w:rsid w:val="003B533E"/>
    <w:rsid w:val="003B54EB"/>
    <w:rsid w:val="003B5676"/>
    <w:rsid w:val="003B5701"/>
    <w:rsid w:val="003B57CB"/>
    <w:rsid w:val="003B580F"/>
    <w:rsid w:val="003B5AE8"/>
    <w:rsid w:val="003B5FAF"/>
    <w:rsid w:val="003B6111"/>
    <w:rsid w:val="003B612E"/>
    <w:rsid w:val="003B673D"/>
    <w:rsid w:val="003B67CD"/>
    <w:rsid w:val="003B69DF"/>
    <w:rsid w:val="003B6BED"/>
    <w:rsid w:val="003B6CDD"/>
    <w:rsid w:val="003B6DD7"/>
    <w:rsid w:val="003B71C3"/>
    <w:rsid w:val="003B72BD"/>
    <w:rsid w:val="003B77FF"/>
    <w:rsid w:val="003B7840"/>
    <w:rsid w:val="003B7928"/>
    <w:rsid w:val="003B7C83"/>
    <w:rsid w:val="003B7DC9"/>
    <w:rsid w:val="003B7F41"/>
    <w:rsid w:val="003C0034"/>
    <w:rsid w:val="003C01B7"/>
    <w:rsid w:val="003C06B7"/>
    <w:rsid w:val="003C0B5B"/>
    <w:rsid w:val="003C0C3F"/>
    <w:rsid w:val="003C0D78"/>
    <w:rsid w:val="003C0E9B"/>
    <w:rsid w:val="003C0ED6"/>
    <w:rsid w:val="003C1054"/>
    <w:rsid w:val="003C175D"/>
    <w:rsid w:val="003C1C63"/>
    <w:rsid w:val="003C1D12"/>
    <w:rsid w:val="003C1E04"/>
    <w:rsid w:val="003C1EB3"/>
    <w:rsid w:val="003C1FD5"/>
    <w:rsid w:val="003C2174"/>
    <w:rsid w:val="003C2227"/>
    <w:rsid w:val="003C23C6"/>
    <w:rsid w:val="003C241A"/>
    <w:rsid w:val="003C2577"/>
    <w:rsid w:val="003C2721"/>
    <w:rsid w:val="003C277A"/>
    <w:rsid w:val="003C2939"/>
    <w:rsid w:val="003C2978"/>
    <w:rsid w:val="003C2F98"/>
    <w:rsid w:val="003C306F"/>
    <w:rsid w:val="003C3379"/>
    <w:rsid w:val="003C375C"/>
    <w:rsid w:val="003C3AE8"/>
    <w:rsid w:val="003C3BB5"/>
    <w:rsid w:val="003C3C1E"/>
    <w:rsid w:val="003C3CDD"/>
    <w:rsid w:val="003C3E86"/>
    <w:rsid w:val="003C4154"/>
    <w:rsid w:val="003C4336"/>
    <w:rsid w:val="003C4448"/>
    <w:rsid w:val="003C45C7"/>
    <w:rsid w:val="003C4730"/>
    <w:rsid w:val="003C48F9"/>
    <w:rsid w:val="003C491B"/>
    <w:rsid w:val="003C49DD"/>
    <w:rsid w:val="003C4BA8"/>
    <w:rsid w:val="003C4BE2"/>
    <w:rsid w:val="003C4BEC"/>
    <w:rsid w:val="003C4D1E"/>
    <w:rsid w:val="003C522C"/>
    <w:rsid w:val="003C529F"/>
    <w:rsid w:val="003C5806"/>
    <w:rsid w:val="003C60D7"/>
    <w:rsid w:val="003C6172"/>
    <w:rsid w:val="003C6283"/>
    <w:rsid w:val="003C6378"/>
    <w:rsid w:val="003C651F"/>
    <w:rsid w:val="003C7156"/>
    <w:rsid w:val="003C7449"/>
    <w:rsid w:val="003C75D2"/>
    <w:rsid w:val="003C7EA5"/>
    <w:rsid w:val="003C7F7B"/>
    <w:rsid w:val="003D0022"/>
    <w:rsid w:val="003D055C"/>
    <w:rsid w:val="003D07CE"/>
    <w:rsid w:val="003D093F"/>
    <w:rsid w:val="003D0B52"/>
    <w:rsid w:val="003D0F63"/>
    <w:rsid w:val="003D0FF2"/>
    <w:rsid w:val="003D11E3"/>
    <w:rsid w:val="003D131A"/>
    <w:rsid w:val="003D1450"/>
    <w:rsid w:val="003D14AE"/>
    <w:rsid w:val="003D14BB"/>
    <w:rsid w:val="003D1BB5"/>
    <w:rsid w:val="003D1BDE"/>
    <w:rsid w:val="003D1C53"/>
    <w:rsid w:val="003D1CF1"/>
    <w:rsid w:val="003D1D95"/>
    <w:rsid w:val="003D1DC7"/>
    <w:rsid w:val="003D1FCC"/>
    <w:rsid w:val="003D2030"/>
    <w:rsid w:val="003D22D2"/>
    <w:rsid w:val="003D24DF"/>
    <w:rsid w:val="003D2DC9"/>
    <w:rsid w:val="003D2EED"/>
    <w:rsid w:val="003D33E2"/>
    <w:rsid w:val="003D3471"/>
    <w:rsid w:val="003D3537"/>
    <w:rsid w:val="003D3596"/>
    <w:rsid w:val="003D35E6"/>
    <w:rsid w:val="003D371A"/>
    <w:rsid w:val="003D379D"/>
    <w:rsid w:val="003D3899"/>
    <w:rsid w:val="003D39FB"/>
    <w:rsid w:val="003D3A06"/>
    <w:rsid w:val="003D3CB2"/>
    <w:rsid w:val="003D3D91"/>
    <w:rsid w:val="003D3E2D"/>
    <w:rsid w:val="003D43AE"/>
    <w:rsid w:val="003D4708"/>
    <w:rsid w:val="003D472C"/>
    <w:rsid w:val="003D4737"/>
    <w:rsid w:val="003D477A"/>
    <w:rsid w:val="003D4804"/>
    <w:rsid w:val="003D4823"/>
    <w:rsid w:val="003D49BB"/>
    <w:rsid w:val="003D4D86"/>
    <w:rsid w:val="003D4E42"/>
    <w:rsid w:val="003D5124"/>
    <w:rsid w:val="003D5462"/>
    <w:rsid w:val="003D559D"/>
    <w:rsid w:val="003D5644"/>
    <w:rsid w:val="003D5674"/>
    <w:rsid w:val="003D5AA0"/>
    <w:rsid w:val="003D5AEC"/>
    <w:rsid w:val="003D614C"/>
    <w:rsid w:val="003D619A"/>
    <w:rsid w:val="003D6470"/>
    <w:rsid w:val="003D64D0"/>
    <w:rsid w:val="003D6556"/>
    <w:rsid w:val="003D67BB"/>
    <w:rsid w:val="003D690D"/>
    <w:rsid w:val="003D6FB6"/>
    <w:rsid w:val="003D7078"/>
    <w:rsid w:val="003D754C"/>
    <w:rsid w:val="003D75CD"/>
    <w:rsid w:val="003D7624"/>
    <w:rsid w:val="003D76F3"/>
    <w:rsid w:val="003D7798"/>
    <w:rsid w:val="003D7A3D"/>
    <w:rsid w:val="003D7B6D"/>
    <w:rsid w:val="003D7C86"/>
    <w:rsid w:val="003D7CF9"/>
    <w:rsid w:val="003D7DD9"/>
    <w:rsid w:val="003E0405"/>
    <w:rsid w:val="003E0563"/>
    <w:rsid w:val="003E0C71"/>
    <w:rsid w:val="003E0C99"/>
    <w:rsid w:val="003E1170"/>
    <w:rsid w:val="003E13BD"/>
    <w:rsid w:val="003E15FE"/>
    <w:rsid w:val="003E1653"/>
    <w:rsid w:val="003E1903"/>
    <w:rsid w:val="003E1AAA"/>
    <w:rsid w:val="003E1E06"/>
    <w:rsid w:val="003E213F"/>
    <w:rsid w:val="003E21FB"/>
    <w:rsid w:val="003E2600"/>
    <w:rsid w:val="003E284A"/>
    <w:rsid w:val="003E2935"/>
    <w:rsid w:val="003E2AFE"/>
    <w:rsid w:val="003E2EBE"/>
    <w:rsid w:val="003E3046"/>
    <w:rsid w:val="003E32D9"/>
    <w:rsid w:val="003E32FE"/>
    <w:rsid w:val="003E3845"/>
    <w:rsid w:val="003E3B4C"/>
    <w:rsid w:val="003E3D40"/>
    <w:rsid w:val="003E3D9D"/>
    <w:rsid w:val="003E4242"/>
    <w:rsid w:val="003E4563"/>
    <w:rsid w:val="003E4644"/>
    <w:rsid w:val="003E4935"/>
    <w:rsid w:val="003E532B"/>
    <w:rsid w:val="003E569A"/>
    <w:rsid w:val="003E56C7"/>
    <w:rsid w:val="003E5716"/>
    <w:rsid w:val="003E582E"/>
    <w:rsid w:val="003E594C"/>
    <w:rsid w:val="003E5AA3"/>
    <w:rsid w:val="003E5EA9"/>
    <w:rsid w:val="003E5F14"/>
    <w:rsid w:val="003E6340"/>
    <w:rsid w:val="003E657A"/>
    <w:rsid w:val="003E6615"/>
    <w:rsid w:val="003E6AF6"/>
    <w:rsid w:val="003E6AFC"/>
    <w:rsid w:val="003E6B03"/>
    <w:rsid w:val="003E6CD0"/>
    <w:rsid w:val="003E71E6"/>
    <w:rsid w:val="003E7202"/>
    <w:rsid w:val="003E7436"/>
    <w:rsid w:val="003E74C3"/>
    <w:rsid w:val="003E779C"/>
    <w:rsid w:val="003E79F9"/>
    <w:rsid w:val="003E7AA1"/>
    <w:rsid w:val="003E7D36"/>
    <w:rsid w:val="003E7D75"/>
    <w:rsid w:val="003E7F8C"/>
    <w:rsid w:val="003F0312"/>
    <w:rsid w:val="003F05DB"/>
    <w:rsid w:val="003F063B"/>
    <w:rsid w:val="003F076E"/>
    <w:rsid w:val="003F07E1"/>
    <w:rsid w:val="003F08C4"/>
    <w:rsid w:val="003F08C9"/>
    <w:rsid w:val="003F08DB"/>
    <w:rsid w:val="003F090E"/>
    <w:rsid w:val="003F0929"/>
    <w:rsid w:val="003F0C5C"/>
    <w:rsid w:val="003F0FB0"/>
    <w:rsid w:val="003F107E"/>
    <w:rsid w:val="003F12E9"/>
    <w:rsid w:val="003F149E"/>
    <w:rsid w:val="003F1A29"/>
    <w:rsid w:val="003F1A94"/>
    <w:rsid w:val="003F1AB9"/>
    <w:rsid w:val="003F1B15"/>
    <w:rsid w:val="003F1B36"/>
    <w:rsid w:val="003F1C13"/>
    <w:rsid w:val="003F21C4"/>
    <w:rsid w:val="003F2717"/>
    <w:rsid w:val="003F2786"/>
    <w:rsid w:val="003F2ABB"/>
    <w:rsid w:val="003F3209"/>
    <w:rsid w:val="003F33B7"/>
    <w:rsid w:val="003F33BC"/>
    <w:rsid w:val="003F37F5"/>
    <w:rsid w:val="003F37FD"/>
    <w:rsid w:val="003F3854"/>
    <w:rsid w:val="003F3B9C"/>
    <w:rsid w:val="003F3E26"/>
    <w:rsid w:val="003F413D"/>
    <w:rsid w:val="003F41BC"/>
    <w:rsid w:val="003F498A"/>
    <w:rsid w:val="003F4AEB"/>
    <w:rsid w:val="003F4B62"/>
    <w:rsid w:val="003F4BF7"/>
    <w:rsid w:val="003F4C09"/>
    <w:rsid w:val="003F5409"/>
    <w:rsid w:val="003F54DE"/>
    <w:rsid w:val="003F5571"/>
    <w:rsid w:val="003F5762"/>
    <w:rsid w:val="003F599B"/>
    <w:rsid w:val="003F59F4"/>
    <w:rsid w:val="003F5C20"/>
    <w:rsid w:val="003F5EFF"/>
    <w:rsid w:val="003F60A6"/>
    <w:rsid w:val="003F60E1"/>
    <w:rsid w:val="003F613F"/>
    <w:rsid w:val="003F6425"/>
    <w:rsid w:val="003F6645"/>
    <w:rsid w:val="003F66FC"/>
    <w:rsid w:val="003F672A"/>
    <w:rsid w:val="003F73A5"/>
    <w:rsid w:val="003F7468"/>
    <w:rsid w:val="003F7484"/>
    <w:rsid w:val="003F757E"/>
    <w:rsid w:val="003F75B3"/>
    <w:rsid w:val="003F769D"/>
    <w:rsid w:val="003F7A51"/>
    <w:rsid w:val="003F7CFC"/>
    <w:rsid w:val="003F7E70"/>
    <w:rsid w:val="00400040"/>
    <w:rsid w:val="00400149"/>
    <w:rsid w:val="00400494"/>
    <w:rsid w:val="004004C6"/>
    <w:rsid w:val="004004F6"/>
    <w:rsid w:val="004004F9"/>
    <w:rsid w:val="004006DC"/>
    <w:rsid w:val="00400830"/>
    <w:rsid w:val="00400C54"/>
    <w:rsid w:val="00400F31"/>
    <w:rsid w:val="004010C7"/>
    <w:rsid w:val="00401389"/>
    <w:rsid w:val="00401556"/>
    <w:rsid w:val="004017DF"/>
    <w:rsid w:val="004019F6"/>
    <w:rsid w:val="00401B3D"/>
    <w:rsid w:val="00401D52"/>
    <w:rsid w:val="00401D59"/>
    <w:rsid w:val="0040214B"/>
    <w:rsid w:val="00402280"/>
    <w:rsid w:val="0040234B"/>
    <w:rsid w:val="004024E6"/>
    <w:rsid w:val="00402974"/>
    <w:rsid w:val="00402B37"/>
    <w:rsid w:val="00402BA1"/>
    <w:rsid w:val="00402F7D"/>
    <w:rsid w:val="004030E6"/>
    <w:rsid w:val="0040313C"/>
    <w:rsid w:val="00403302"/>
    <w:rsid w:val="004034F6"/>
    <w:rsid w:val="00403A03"/>
    <w:rsid w:val="00403E4E"/>
    <w:rsid w:val="00403F3C"/>
    <w:rsid w:val="004040CC"/>
    <w:rsid w:val="004046D5"/>
    <w:rsid w:val="00404718"/>
    <w:rsid w:val="00404A86"/>
    <w:rsid w:val="00404B0D"/>
    <w:rsid w:val="00404BE8"/>
    <w:rsid w:val="00404D94"/>
    <w:rsid w:val="00404DCD"/>
    <w:rsid w:val="00404ED2"/>
    <w:rsid w:val="00405AE6"/>
    <w:rsid w:val="00406269"/>
    <w:rsid w:val="0040636C"/>
    <w:rsid w:val="00406432"/>
    <w:rsid w:val="00406500"/>
    <w:rsid w:val="00406519"/>
    <w:rsid w:val="00406535"/>
    <w:rsid w:val="0040667E"/>
    <w:rsid w:val="00406746"/>
    <w:rsid w:val="00406A86"/>
    <w:rsid w:val="00406AC1"/>
    <w:rsid w:val="00406F03"/>
    <w:rsid w:val="00406F7D"/>
    <w:rsid w:val="00406FFC"/>
    <w:rsid w:val="00407441"/>
    <w:rsid w:val="004077D6"/>
    <w:rsid w:val="0040780E"/>
    <w:rsid w:val="00407937"/>
    <w:rsid w:val="00407C29"/>
    <w:rsid w:val="00407D7A"/>
    <w:rsid w:val="00410053"/>
    <w:rsid w:val="004100AE"/>
    <w:rsid w:val="0041010E"/>
    <w:rsid w:val="0041039F"/>
    <w:rsid w:val="00410599"/>
    <w:rsid w:val="00410690"/>
    <w:rsid w:val="00410883"/>
    <w:rsid w:val="00410921"/>
    <w:rsid w:val="00410B2B"/>
    <w:rsid w:val="00411033"/>
    <w:rsid w:val="00411501"/>
    <w:rsid w:val="004115E1"/>
    <w:rsid w:val="004116EE"/>
    <w:rsid w:val="00411A53"/>
    <w:rsid w:val="00411F5D"/>
    <w:rsid w:val="00412148"/>
    <w:rsid w:val="004121E7"/>
    <w:rsid w:val="00412A34"/>
    <w:rsid w:val="00412F70"/>
    <w:rsid w:val="00412FA7"/>
    <w:rsid w:val="00413066"/>
    <w:rsid w:val="0041322E"/>
    <w:rsid w:val="00413454"/>
    <w:rsid w:val="00413577"/>
    <w:rsid w:val="0041358E"/>
    <w:rsid w:val="00413618"/>
    <w:rsid w:val="004139A6"/>
    <w:rsid w:val="00413E06"/>
    <w:rsid w:val="00413F85"/>
    <w:rsid w:val="004142FD"/>
    <w:rsid w:val="0041431A"/>
    <w:rsid w:val="00414549"/>
    <w:rsid w:val="00414731"/>
    <w:rsid w:val="0041478B"/>
    <w:rsid w:val="00414897"/>
    <w:rsid w:val="00414A92"/>
    <w:rsid w:val="00414C6B"/>
    <w:rsid w:val="00414E43"/>
    <w:rsid w:val="00414E51"/>
    <w:rsid w:val="00414E5C"/>
    <w:rsid w:val="004150E5"/>
    <w:rsid w:val="00415647"/>
    <w:rsid w:val="00415A98"/>
    <w:rsid w:val="00415BD1"/>
    <w:rsid w:val="00415C8F"/>
    <w:rsid w:val="00415F72"/>
    <w:rsid w:val="00415FFD"/>
    <w:rsid w:val="004160B5"/>
    <w:rsid w:val="00416184"/>
    <w:rsid w:val="00416512"/>
    <w:rsid w:val="004167C7"/>
    <w:rsid w:val="00416937"/>
    <w:rsid w:val="00416CA7"/>
    <w:rsid w:val="00417269"/>
    <w:rsid w:val="004172F8"/>
    <w:rsid w:val="00417347"/>
    <w:rsid w:val="00417467"/>
    <w:rsid w:val="0041747D"/>
    <w:rsid w:val="0041760B"/>
    <w:rsid w:val="00417E99"/>
    <w:rsid w:val="0042014D"/>
    <w:rsid w:val="0042015A"/>
    <w:rsid w:val="004201CD"/>
    <w:rsid w:val="004204BD"/>
    <w:rsid w:val="00420846"/>
    <w:rsid w:val="00420AD9"/>
    <w:rsid w:val="00420AF8"/>
    <w:rsid w:val="00420DD6"/>
    <w:rsid w:val="00420E3C"/>
    <w:rsid w:val="00420F04"/>
    <w:rsid w:val="0042113E"/>
    <w:rsid w:val="004212DF"/>
    <w:rsid w:val="004213A6"/>
    <w:rsid w:val="004214F5"/>
    <w:rsid w:val="004215D4"/>
    <w:rsid w:val="00421870"/>
    <w:rsid w:val="00421BBA"/>
    <w:rsid w:val="00421CB3"/>
    <w:rsid w:val="00421EC3"/>
    <w:rsid w:val="00422467"/>
    <w:rsid w:val="00422510"/>
    <w:rsid w:val="0042274A"/>
    <w:rsid w:val="004227EB"/>
    <w:rsid w:val="0042290C"/>
    <w:rsid w:val="00422BCF"/>
    <w:rsid w:val="00422C4C"/>
    <w:rsid w:val="00422EB0"/>
    <w:rsid w:val="00423099"/>
    <w:rsid w:val="0042318C"/>
    <w:rsid w:val="0042372C"/>
    <w:rsid w:val="00423FB6"/>
    <w:rsid w:val="004240A9"/>
    <w:rsid w:val="004241A8"/>
    <w:rsid w:val="00424200"/>
    <w:rsid w:val="0042427B"/>
    <w:rsid w:val="00424822"/>
    <w:rsid w:val="00424994"/>
    <w:rsid w:val="00424D0A"/>
    <w:rsid w:val="00424DFD"/>
    <w:rsid w:val="00424E44"/>
    <w:rsid w:val="00424E79"/>
    <w:rsid w:val="00424FA9"/>
    <w:rsid w:val="0042518A"/>
    <w:rsid w:val="0042530A"/>
    <w:rsid w:val="0042532E"/>
    <w:rsid w:val="004253A0"/>
    <w:rsid w:val="0042558E"/>
    <w:rsid w:val="004258E1"/>
    <w:rsid w:val="00425FAA"/>
    <w:rsid w:val="004260BC"/>
    <w:rsid w:val="00426131"/>
    <w:rsid w:val="00426263"/>
    <w:rsid w:val="00426344"/>
    <w:rsid w:val="0042661C"/>
    <w:rsid w:val="00426691"/>
    <w:rsid w:val="0042674F"/>
    <w:rsid w:val="004267DF"/>
    <w:rsid w:val="0042685A"/>
    <w:rsid w:val="00426C01"/>
    <w:rsid w:val="00426C9B"/>
    <w:rsid w:val="00427271"/>
    <w:rsid w:val="004274B3"/>
    <w:rsid w:val="004275D3"/>
    <w:rsid w:val="0042763F"/>
    <w:rsid w:val="0042793D"/>
    <w:rsid w:val="00427D67"/>
    <w:rsid w:val="00427EA8"/>
    <w:rsid w:val="00427EB1"/>
    <w:rsid w:val="00427F27"/>
    <w:rsid w:val="0043009C"/>
    <w:rsid w:val="004303AB"/>
    <w:rsid w:val="00430639"/>
    <w:rsid w:val="00430734"/>
    <w:rsid w:val="00430870"/>
    <w:rsid w:val="00430AD9"/>
    <w:rsid w:val="00430B32"/>
    <w:rsid w:val="00430E84"/>
    <w:rsid w:val="00430FE3"/>
    <w:rsid w:val="00431051"/>
    <w:rsid w:val="0043172E"/>
    <w:rsid w:val="00431774"/>
    <w:rsid w:val="00431B4D"/>
    <w:rsid w:val="00431CCC"/>
    <w:rsid w:val="00431F49"/>
    <w:rsid w:val="00432048"/>
    <w:rsid w:val="004322DB"/>
    <w:rsid w:val="004329AB"/>
    <w:rsid w:val="00432DB4"/>
    <w:rsid w:val="00432DB6"/>
    <w:rsid w:val="00432E48"/>
    <w:rsid w:val="00432ED2"/>
    <w:rsid w:val="0043300E"/>
    <w:rsid w:val="004332B3"/>
    <w:rsid w:val="004333ED"/>
    <w:rsid w:val="00433469"/>
    <w:rsid w:val="00433529"/>
    <w:rsid w:val="0043362C"/>
    <w:rsid w:val="00433C2A"/>
    <w:rsid w:val="00433C31"/>
    <w:rsid w:val="00433E1E"/>
    <w:rsid w:val="00433F36"/>
    <w:rsid w:val="004340B7"/>
    <w:rsid w:val="0043452F"/>
    <w:rsid w:val="00434666"/>
    <w:rsid w:val="00434A4F"/>
    <w:rsid w:val="00435148"/>
    <w:rsid w:val="004354E3"/>
    <w:rsid w:val="00435738"/>
    <w:rsid w:val="00435993"/>
    <w:rsid w:val="00435DA8"/>
    <w:rsid w:val="00435EF8"/>
    <w:rsid w:val="0043606D"/>
    <w:rsid w:val="00436718"/>
    <w:rsid w:val="0043678E"/>
    <w:rsid w:val="00436B47"/>
    <w:rsid w:val="00436B51"/>
    <w:rsid w:val="00436BD3"/>
    <w:rsid w:val="00436C7E"/>
    <w:rsid w:val="00437195"/>
    <w:rsid w:val="00437399"/>
    <w:rsid w:val="004375B3"/>
    <w:rsid w:val="004379F5"/>
    <w:rsid w:val="004379FB"/>
    <w:rsid w:val="00437B99"/>
    <w:rsid w:val="00437CD2"/>
    <w:rsid w:val="00437E67"/>
    <w:rsid w:val="004400AE"/>
    <w:rsid w:val="0044022D"/>
    <w:rsid w:val="00440306"/>
    <w:rsid w:val="004403D0"/>
    <w:rsid w:val="004403F7"/>
    <w:rsid w:val="00440547"/>
    <w:rsid w:val="00440563"/>
    <w:rsid w:val="0044068F"/>
    <w:rsid w:val="004406E4"/>
    <w:rsid w:val="00440855"/>
    <w:rsid w:val="00440977"/>
    <w:rsid w:val="004412B1"/>
    <w:rsid w:val="004412FA"/>
    <w:rsid w:val="004416AC"/>
    <w:rsid w:val="0044184B"/>
    <w:rsid w:val="00441A24"/>
    <w:rsid w:val="00441CBC"/>
    <w:rsid w:val="00441E59"/>
    <w:rsid w:val="0044207C"/>
    <w:rsid w:val="00442125"/>
    <w:rsid w:val="004427EA"/>
    <w:rsid w:val="00442D7A"/>
    <w:rsid w:val="00442F78"/>
    <w:rsid w:val="004432A4"/>
    <w:rsid w:val="00443C4C"/>
    <w:rsid w:val="00443E1F"/>
    <w:rsid w:val="00443EC1"/>
    <w:rsid w:val="00443F00"/>
    <w:rsid w:val="004440EB"/>
    <w:rsid w:val="004441D6"/>
    <w:rsid w:val="00444240"/>
    <w:rsid w:val="00444272"/>
    <w:rsid w:val="004443E1"/>
    <w:rsid w:val="004444C8"/>
    <w:rsid w:val="00444526"/>
    <w:rsid w:val="00444653"/>
    <w:rsid w:val="00444806"/>
    <w:rsid w:val="00444A49"/>
    <w:rsid w:val="00444A63"/>
    <w:rsid w:val="00444EB7"/>
    <w:rsid w:val="00445063"/>
    <w:rsid w:val="0044527E"/>
    <w:rsid w:val="004454A9"/>
    <w:rsid w:val="00445527"/>
    <w:rsid w:val="00445723"/>
    <w:rsid w:val="004459FD"/>
    <w:rsid w:val="00445A43"/>
    <w:rsid w:val="00445A5C"/>
    <w:rsid w:val="00446012"/>
    <w:rsid w:val="00446089"/>
    <w:rsid w:val="004464D6"/>
    <w:rsid w:val="00446A96"/>
    <w:rsid w:val="004470EF"/>
    <w:rsid w:val="0044727B"/>
    <w:rsid w:val="00447666"/>
    <w:rsid w:val="0044781E"/>
    <w:rsid w:val="00447AC9"/>
    <w:rsid w:val="00447EAC"/>
    <w:rsid w:val="00450183"/>
    <w:rsid w:val="004501E8"/>
    <w:rsid w:val="00450384"/>
    <w:rsid w:val="00450478"/>
    <w:rsid w:val="00450AA3"/>
    <w:rsid w:val="00450CE7"/>
    <w:rsid w:val="00450D70"/>
    <w:rsid w:val="004512AA"/>
    <w:rsid w:val="00451433"/>
    <w:rsid w:val="004515A0"/>
    <w:rsid w:val="00451D00"/>
    <w:rsid w:val="00451E80"/>
    <w:rsid w:val="004521E3"/>
    <w:rsid w:val="00452432"/>
    <w:rsid w:val="0045275C"/>
    <w:rsid w:val="00452980"/>
    <w:rsid w:val="00452EAE"/>
    <w:rsid w:val="00452FEC"/>
    <w:rsid w:val="0045322D"/>
    <w:rsid w:val="00453264"/>
    <w:rsid w:val="0045330B"/>
    <w:rsid w:val="0045333A"/>
    <w:rsid w:val="00453647"/>
    <w:rsid w:val="004536BA"/>
    <w:rsid w:val="0045380C"/>
    <w:rsid w:val="00453BEE"/>
    <w:rsid w:val="004542F5"/>
    <w:rsid w:val="004545A2"/>
    <w:rsid w:val="0045466F"/>
    <w:rsid w:val="00454D23"/>
    <w:rsid w:val="004551F2"/>
    <w:rsid w:val="0045521A"/>
    <w:rsid w:val="00455442"/>
    <w:rsid w:val="00456057"/>
    <w:rsid w:val="004564A0"/>
    <w:rsid w:val="0045650E"/>
    <w:rsid w:val="00456968"/>
    <w:rsid w:val="00456979"/>
    <w:rsid w:val="00456F18"/>
    <w:rsid w:val="00456F60"/>
    <w:rsid w:val="004574ED"/>
    <w:rsid w:val="0045771F"/>
    <w:rsid w:val="00457857"/>
    <w:rsid w:val="00457981"/>
    <w:rsid w:val="00457990"/>
    <w:rsid w:val="0046012E"/>
    <w:rsid w:val="004601C6"/>
    <w:rsid w:val="004601EE"/>
    <w:rsid w:val="00460458"/>
    <w:rsid w:val="00460694"/>
    <w:rsid w:val="00460E56"/>
    <w:rsid w:val="004610E2"/>
    <w:rsid w:val="00461421"/>
    <w:rsid w:val="00461661"/>
    <w:rsid w:val="0046174C"/>
    <w:rsid w:val="0046194F"/>
    <w:rsid w:val="00461989"/>
    <w:rsid w:val="004619DD"/>
    <w:rsid w:val="00461A86"/>
    <w:rsid w:val="00461ABB"/>
    <w:rsid w:val="00461C38"/>
    <w:rsid w:val="00461CDE"/>
    <w:rsid w:val="00462036"/>
    <w:rsid w:val="0046222A"/>
    <w:rsid w:val="00462250"/>
    <w:rsid w:val="004624E0"/>
    <w:rsid w:val="0046274F"/>
    <w:rsid w:val="00462B54"/>
    <w:rsid w:val="00462D0E"/>
    <w:rsid w:val="00462F19"/>
    <w:rsid w:val="00463064"/>
    <w:rsid w:val="004630D3"/>
    <w:rsid w:val="0046334D"/>
    <w:rsid w:val="0046345E"/>
    <w:rsid w:val="0046350E"/>
    <w:rsid w:val="004636CA"/>
    <w:rsid w:val="00463BFF"/>
    <w:rsid w:val="00463FD4"/>
    <w:rsid w:val="00464118"/>
    <w:rsid w:val="00464411"/>
    <w:rsid w:val="004644F5"/>
    <w:rsid w:val="0046490D"/>
    <w:rsid w:val="004649CD"/>
    <w:rsid w:val="00464C37"/>
    <w:rsid w:val="00464F96"/>
    <w:rsid w:val="004650F3"/>
    <w:rsid w:val="0046558A"/>
    <w:rsid w:val="004656CF"/>
    <w:rsid w:val="0046575F"/>
    <w:rsid w:val="004657BA"/>
    <w:rsid w:val="00465846"/>
    <w:rsid w:val="004667DF"/>
    <w:rsid w:val="0046685B"/>
    <w:rsid w:val="00466925"/>
    <w:rsid w:val="00466CD3"/>
    <w:rsid w:val="00467472"/>
    <w:rsid w:val="00467B12"/>
    <w:rsid w:val="00467E2B"/>
    <w:rsid w:val="004700D2"/>
    <w:rsid w:val="004701DF"/>
    <w:rsid w:val="004702C5"/>
    <w:rsid w:val="0047045F"/>
    <w:rsid w:val="0047057E"/>
    <w:rsid w:val="00470816"/>
    <w:rsid w:val="004708F6"/>
    <w:rsid w:val="00470985"/>
    <w:rsid w:val="00470D3A"/>
    <w:rsid w:val="004711E8"/>
    <w:rsid w:val="00471411"/>
    <w:rsid w:val="00471633"/>
    <w:rsid w:val="00471DEC"/>
    <w:rsid w:val="0047207F"/>
    <w:rsid w:val="00472461"/>
    <w:rsid w:val="004724BE"/>
    <w:rsid w:val="00472623"/>
    <w:rsid w:val="0047297C"/>
    <w:rsid w:val="00472D3A"/>
    <w:rsid w:val="00473125"/>
    <w:rsid w:val="004732CA"/>
    <w:rsid w:val="00473681"/>
    <w:rsid w:val="0047372B"/>
    <w:rsid w:val="0047373A"/>
    <w:rsid w:val="00473A96"/>
    <w:rsid w:val="00473C3D"/>
    <w:rsid w:val="00474445"/>
    <w:rsid w:val="0047451E"/>
    <w:rsid w:val="00474A57"/>
    <w:rsid w:val="00474C3A"/>
    <w:rsid w:val="00474E6F"/>
    <w:rsid w:val="00475534"/>
    <w:rsid w:val="00475C50"/>
    <w:rsid w:val="00475D02"/>
    <w:rsid w:val="00475D98"/>
    <w:rsid w:val="00475ECE"/>
    <w:rsid w:val="004761E5"/>
    <w:rsid w:val="004763D9"/>
    <w:rsid w:val="004764FE"/>
    <w:rsid w:val="00476899"/>
    <w:rsid w:val="0047699D"/>
    <w:rsid w:val="004769FA"/>
    <w:rsid w:val="00476A47"/>
    <w:rsid w:val="00476AED"/>
    <w:rsid w:val="0047706D"/>
    <w:rsid w:val="0047710F"/>
    <w:rsid w:val="0047711B"/>
    <w:rsid w:val="004775EE"/>
    <w:rsid w:val="00477892"/>
    <w:rsid w:val="004778D2"/>
    <w:rsid w:val="00477A5A"/>
    <w:rsid w:val="00477B70"/>
    <w:rsid w:val="00477E5E"/>
    <w:rsid w:val="00480065"/>
    <w:rsid w:val="00480562"/>
    <w:rsid w:val="00480564"/>
    <w:rsid w:val="0048067C"/>
    <w:rsid w:val="004809B8"/>
    <w:rsid w:val="00480D20"/>
    <w:rsid w:val="00480DA6"/>
    <w:rsid w:val="00481036"/>
    <w:rsid w:val="00481115"/>
    <w:rsid w:val="004812C5"/>
    <w:rsid w:val="0048138D"/>
    <w:rsid w:val="00481708"/>
    <w:rsid w:val="0048170D"/>
    <w:rsid w:val="004817E9"/>
    <w:rsid w:val="004818C7"/>
    <w:rsid w:val="00481CFE"/>
    <w:rsid w:val="00481DE4"/>
    <w:rsid w:val="004821B9"/>
    <w:rsid w:val="004825E2"/>
    <w:rsid w:val="00482662"/>
    <w:rsid w:val="00482669"/>
    <w:rsid w:val="00482758"/>
    <w:rsid w:val="00482BBF"/>
    <w:rsid w:val="00483217"/>
    <w:rsid w:val="0048347E"/>
    <w:rsid w:val="00483739"/>
    <w:rsid w:val="0048391A"/>
    <w:rsid w:val="00483A69"/>
    <w:rsid w:val="00483B55"/>
    <w:rsid w:val="0048400E"/>
    <w:rsid w:val="0048421D"/>
    <w:rsid w:val="004842AF"/>
    <w:rsid w:val="004843F9"/>
    <w:rsid w:val="004846AD"/>
    <w:rsid w:val="004847A2"/>
    <w:rsid w:val="00484D05"/>
    <w:rsid w:val="00484EC1"/>
    <w:rsid w:val="00484EFF"/>
    <w:rsid w:val="00485612"/>
    <w:rsid w:val="00485DD4"/>
    <w:rsid w:val="00485E81"/>
    <w:rsid w:val="00485F13"/>
    <w:rsid w:val="004862B9"/>
    <w:rsid w:val="00486798"/>
    <w:rsid w:val="004869C9"/>
    <w:rsid w:val="00486A33"/>
    <w:rsid w:val="00486E2E"/>
    <w:rsid w:val="00487396"/>
    <w:rsid w:val="0048740D"/>
    <w:rsid w:val="004878AD"/>
    <w:rsid w:val="00487975"/>
    <w:rsid w:val="00487C94"/>
    <w:rsid w:val="00487D40"/>
    <w:rsid w:val="00487E31"/>
    <w:rsid w:val="00487EE9"/>
    <w:rsid w:val="004902A7"/>
    <w:rsid w:val="00490671"/>
    <w:rsid w:val="00490842"/>
    <w:rsid w:val="00490967"/>
    <w:rsid w:val="00490C65"/>
    <w:rsid w:val="00490E5A"/>
    <w:rsid w:val="004910A6"/>
    <w:rsid w:val="00491226"/>
    <w:rsid w:val="00491406"/>
    <w:rsid w:val="004914BE"/>
    <w:rsid w:val="004914DA"/>
    <w:rsid w:val="004917E9"/>
    <w:rsid w:val="00491AA8"/>
    <w:rsid w:val="00491B54"/>
    <w:rsid w:val="00491BF7"/>
    <w:rsid w:val="00491D88"/>
    <w:rsid w:val="00491FE3"/>
    <w:rsid w:val="00492128"/>
    <w:rsid w:val="00492227"/>
    <w:rsid w:val="004922DC"/>
    <w:rsid w:val="00492489"/>
    <w:rsid w:val="004927D8"/>
    <w:rsid w:val="00492D8F"/>
    <w:rsid w:val="00493186"/>
    <w:rsid w:val="00493E07"/>
    <w:rsid w:val="00494127"/>
    <w:rsid w:val="0049432D"/>
    <w:rsid w:val="004943DF"/>
    <w:rsid w:val="0049442E"/>
    <w:rsid w:val="00494B42"/>
    <w:rsid w:val="00495006"/>
    <w:rsid w:val="0049508D"/>
    <w:rsid w:val="00495124"/>
    <w:rsid w:val="004956E7"/>
    <w:rsid w:val="004957ED"/>
    <w:rsid w:val="004958AC"/>
    <w:rsid w:val="00495B4F"/>
    <w:rsid w:val="00495BD2"/>
    <w:rsid w:val="00495C53"/>
    <w:rsid w:val="00495D58"/>
    <w:rsid w:val="00495E60"/>
    <w:rsid w:val="00495FEE"/>
    <w:rsid w:val="0049605C"/>
    <w:rsid w:val="004963FD"/>
    <w:rsid w:val="00496499"/>
    <w:rsid w:val="004965F7"/>
    <w:rsid w:val="00496605"/>
    <w:rsid w:val="00496822"/>
    <w:rsid w:val="00497255"/>
    <w:rsid w:val="0049742D"/>
    <w:rsid w:val="00497552"/>
    <w:rsid w:val="004975AD"/>
    <w:rsid w:val="004975D6"/>
    <w:rsid w:val="004976A7"/>
    <w:rsid w:val="0049787E"/>
    <w:rsid w:val="00497D1C"/>
    <w:rsid w:val="00497F41"/>
    <w:rsid w:val="00497F5D"/>
    <w:rsid w:val="00497FFE"/>
    <w:rsid w:val="004A01A0"/>
    <w:rsid w:val="004A0A26"/>
    <w:rsid w:val="004A0A4B"/>
    <w:rsid w:val="004A0D22"/>
    <w:rsid w:val="004A1015"/>
    <w:rsid w:val="004A12F1"/>
    <w:rsid w:val="004A1313"/>
    <w:rsid w:val="004A1479"/>
    <w:rsid w:val="004A1508"/>
    <w:rsid w:val="004A1635"/>
    <w:rsid w:val="004A1937"/>
    <w:rsid w:val="004A1D47"/>
    <w:rsid w:val="004A1FE3"/>
    <w:rsid w:val="004A2508"/>
    <w:rsid w:val="004A267A"/>
    <w:rsid w:val="004A267F"/>
    <w:rsid w:val="004A27D7"/>
    <w:rsid w:val="004A29BD"/>
    <w:rsid w:val="004A2B31"/>
    <w:rsid w:val="004A2B8C"/>
    <w:rsid w:val="004A2DE0"/>
    <w:rsid w:val="004A3080"/>
    <w:rsid w:val="004A311A"/>
    <w:rsid w:val="004A325C"/>
    <w:rsid w:val="004A3452"/>
    <w:rsid w:val="004A35AF"/>
    <w:rsid w:val="004A39DF"/>
    <w:rsid w:val="004A3A7E"/>
    <w:rsid w:val="004A3BD8"/>
    <w:rsid w:val="004A3DE0"/>
    <w:rsid w:val="004A3F35"/>
    <w:rsid w:val="004A41BE"/>
    <w:rsid w:val="004A43EE"/>
    <w:rsid w:val="004A48D3"/>
    <w:rsid w:val="004A4A56"/>
    <w:rsid w:val="004A4CC3"/>
    <w:rsid w:val="004A4EFE"/>
    <w:rsid w:val="004A4FB6"/>
    <w:rsid w:val="004A52C2"/>
    <w:rsid w:val="004A5430"/>
    <w:rsid w:val="004A5504"/>
    <w:rsid w:val="004A5593"/>
    <w:rsid w:val="004A5901"/>
    <w:rsid w:val="004A5C3D"/>
    <w:rsid w:val="004A5CFE"/>
    <w:rsid w:val="004A5D67"/>
    <w:rsid w:val="004A5E14"/>
    <w:rsid w:val="004A5E40"/>
    <w:rsid w:val="004A5F9D"/>
    <w:rsid w:val="004A6101"/>
    <w:rsid w:val="004A6132"/>
    <w:rsid w:val="004A61CA"/>
    <w:rsid w:val="004A6313"/>
    <w:rsid w:val="004A687D"/>
    <w:rsid w:val="004A6896"/>
    <w:rsid w:val="004A68F9"/>
    <w:rsid w:val="004A69A6"/>
    <w:rsid w:val="004A6A99"/>
    <w:rsid w:val="004A6B13"/>
    <w:rsid w:val="004A6C35"/>
    <w:rsid w:val="004A7048"/>
    <w:rsid w:val="004A738B"/>
    <w:rsid w:val="004A76B1"/>
    <w:rsid w:val="004A7EFC"/>
    <w:rsid w:val="004B03AC"/>
    <w:rsid w:val="004B08EB"/>
    <w:rsid w:val="004B0A0A"/>
    <w:rsid w:val="004B0B1B"/>
    <w:rsid w:val="004B0B7E"/>
    <w:rsid w:val="004B1125"/>
    <w:rsid w:val="004B12F1"/>
    <w:rsid w:val="004B13B2"/>
    <w:rsid w:val="004B17B3"/>
    <w:rsid w:val="004B1C4B"/>
    <w:rsid w:val="004B1DA3"/>
    <w:rsid w:val="004B1E63"/>
    <w:rsid w:val="004B2382"/>
    <w:rsid w:val="004B243C"/>
    <w:rsid w:val="004B251B"/>
    <w:rsid w:val="004B258E"/>
    <w:rsid w:val="004B2722"/>
    <w:rsid w:val="004B27D6"/>
    <w:rsid w:val="004B2D30"/>
    <w:rsid w:val="004B2F52"/>
    <w:rsid w:val="004B3958"/>
    <w:rsid w:val="004B3B67"/>
    <w:rsid w:val="004B3B9F"/>
    <w:rsid w:val="004B3BF2"/>
    <w:rsid w:val="004B3E54"/>
    <w:rsid w:val="004B4507"/>
    <w:rsid w:val="004B45F8"/>
    <w:rsid w:val="004B45FD"/>
    <w:rsid w:val="004B4F55"/>
    <w:rsid w:val="004B50B8"/>
    <w:rsid w:val="004B520B"/>
    <w:rsid w:val="004B548B"/>
    <w:rsid w:val="004B5509"/>
    <w:rsid w:val="004B55D4"/>
    <w:rsid w:val="004B584F"/>
    <w:rsid w:val="004B5879"/>
    <w:rsid w:val="004B5A80"/>
    <w:rsid w:val="004B5E6D"/>
    <w:rsid w:val="004B5E7C"/>
    <w:rsid w:val="004B6020"/>
    <w:rsid w:val="004B60CB"/>
    <w:rsid w:val="004B61E5"/>
    <w:rsid w:val="004B663B"/>
    <w:rsid w:val="004B669B"/>
    <w:rsid w:val="004B66DF"/>
    <w:rsid w:val="004B675F"/>
    <w:rsid w:val="004B6784"/>
    <w:rsid w:val="004B692F"/>
    <w:rsid w:val="004B6A70"/>
    <w:rsid w:val="004B6BF7"/>
    <w:rsid w:val="004B6E89"/>
    <w:rsid w:val="004B705E"/>
    <w:rsid w:val="004B718F"/>
    <w:rsid w:val="004B71E9"/>
    <w:rsid w:val="004B7591"/>
    <w:rsid w:val="004B75A7"/>
    <w:rsid w:val="004B7652"/>
    <w:rsid w:val="004B7748"/>
    <w:rsid w:val="004B7768"/>
    <w:rsid w:val="004B778C"/>
    <w:rsid w:val="004B779F"/>
    <w:rsid w:val="004B7E5A"/>
    <w:rsid w:val="004B7F4E"/>
    <w:rsid w:val="004B7FCD"/>
    <w:rsid w:val="004C0059"/>
    <w:rsid w:val="004C0650"/>
    <w:rsid w:val="004C0777"/>
    <w:rsid w:val="004C0AD7"/>
    <w:rsid w:val="004C0C04"/>
    <w:rsid w:val="004C0D33"/>
    <w:rsid w:val="004C0DCF"/>
    <w:rsid w:val="004C1047"/>
    <w:rsid w:val="004C16F6"/>
    <w:rsid w:val="004C1BE6"/>
    <w:rsid w:val="004C1C5E"/>
    <w:rsid w:val="004C1CB5"/>
    <w:rsid w:val="004C1EA2"/>
    <w:rsid w:val="004C234D"/>
    <w:rsid w:val="004C2A16"/>
    <w:rsid w:val="004C3076"/>
    <w:rsid w:val="004C30EF"/>
    <w:rsid w:val="004C3222"/>
    <w:rsid w:val="004C35C2"/>
    <w:rsid w:val="004C38C3"/>
    <w:rsid w:val="004C3B79"/>
    <w:rsid w:val="004C3CD8"/>
    <w:rsid w:val="004C3F42"/>
    <w:rsid w:val="004C42E8"/>
    <w:rsid w:val="004C42F9"/>
    <w:rsid w:val="004C43FF"/>
    <w:rsid w:val="004C454C"/>
    <w:rsid w:val="004C455E"/>
    <w:rsid w:val="004C49F4"/>
    <w:rsid w:val="004C4A91"/>
    <w:rsid w:val="004C4F31"/>
    <w:rsid w:val="004C4F47"/>
    <w:rsid w:val="004C5141"/>
    <w:rsid w:val="004C56E6"/>
    <w:rsid w:val="004C5898"/>
    <w:rsid w:val="004C5AD5"/>
    <w:rsid w:val="004C5C5F"/>
    <w:rsid w:val="004C5D89"/>
    <w:rsid w:val="004C5DD9"/>
    <w:rsid w:val="004C5E4E"/>
    <w:rsid w:val="004C6051"/>
    <w:rsid w:val="004C63C5"/>
    <w:rsid w:val="004C6548"/>
    <w:rsid w:val="004C663B"/>
    <w:rsid w:val="004C66F1"/>
    <w:rsid w:val="004C698B"/>
    <w:rsid w:val="004C6E31"/>
    <w:rsid w:val="004C6E85"/>
    <w:rsid w:val="004C711E"/>
    <w:rsid w:val="004C7339"/>
    <w:rsid w:val="004C7629"/>
    <w:rsid w:val="004C79DF"/>
    <w:rsid w:val="004C7BBA"/>
    <w:rsid w:val="004C7D58"/>
    <w:rsid w:val="004D0176"/>
    <w:rsid w:val="004D01A3"/>
    <w:rsid w:val="004D020D"/>
    <w:rsid w:val="004D0490"/>
    <w:rsid w:val="004D0582"/>
    <w:rsid w:val="004D07EB"/>
    <w:rsid w:val="004D0C49"/>
    <w:rsid w:val="004D0F4D"/>
    <w:rsid w:val="004D1078"/>
    <w:rsid w:val="004D131C"/>
    <w:rsid w:val="004D1395"/>
    <w:rsid w:val="004D14A7"/>
    <w:rsid w:val="004D15F9"/>
    <w:rsid w:val="004D1654"/>
    <w:rsid w:val="004D1666"/>
    <w:rsid w:val="004D1AB3"/>
    <w:rsid w:val="004D1B51"/>
    <w:rsid w:val="004D1CA6"/>
    <w:rsid w:val="004D1D2F"/>
    <w:rsid w:val="004D1DD1"/>
    <w:rsid w:val="004D20E5"/>
    <w:rsid w:val="004D210D"/>
    <w:rsid w:val="004D228F"/>
    <w:rsid w:val="004D2620"/>
    <w:rsid w:val="004D2819"/>
    <w:rsid w:val="004D281A"/>
    <w:rsid w:val="004D2A0C"/>
    <w:rsid w:val="004D2B35"/>
    <w:rsid w:val="004D2C96"/>
    <w:rsid w:val="004D2F55"/>
    <w:rsid w:val="004D339E"/>
    <w:rsid w:val="004D346F"/>
    <w:rsid w:val="004D34A9"/>
    <w:rsid w:val="004D3553"/>
    <w:rsid w:val="004D3571"/>
    <w:rsid w:val="004D369E"/>
    <w:rsid w:val="004D394D"/>
    <w:rsid w:val="004D3B12"/>
    <w:rsid w:val="004D3B61"/>
    <w:rsid w:val="004D3B70"/>
    <w:rsid w:val="004D3DDE"/>
    <w:rsid w:val="004D3E7E"/>
    <w:rsid w:val="004D3F61"/>
    <w:rsid w:val="004D44AC"/>
    <w:rsid w:val="004D479B"/>
    <w:rsid w:val="004D48FD"/>
    <w:rsid w:val="004D4965"/>
    <w:rsid w:val="004D4A5E"/>
    <w:rsid w:val="004D4BC0"/>
    <w:rsid w:val="004D4CF4"/>
    <w:rsid w:val="004D4DA8"/>
    <w:rsid w:val="004D4E8E"/>
    <w:rsid w:val="004D5034"/>
    <w:rsid w:val="004D5040"/>
    <w:rsid w:val="004D5281"/>
    <w:rsid w:val="004D53D3"/>
    <w:rsid w:val="004D54CE"/>
    <w:rsid w:val="004D55D1"/>
    <w:rsid w:val="004D56AB"/>
    <w:rsid w:val="004D56FA"/>
    <w:rsid w:val="004D5CFC"/>
    <w:rsid w:val="004D6439"/>
    <w:rsid w:val="004D6632"/>
    <w:rsid w:val="004D6797"/>
    <w:rsid w:val="004D6888"/>
    <w:rsid w:val="004D6C24"/>
    <w:rsid w:val="004D6C4E"/>
    <w:rsid w:val="004D6DB4"/>
    <w:rsid w:val="004D74F8"/>
    <w:rsid w:val="004D75BE"/>
    <w:rsid w:val="004D76A3"/>
    <w:rsid w:val="004D76E1"/>
    <w:rsid w:val="004D77F3"/>
    <w:rsid w:val="004D7E69"/>
    <w:rsid w:val="004E00DD"/>
    <w:rsid w:val="004E03A5"/>
    <w:rsid w:val="004E059B"/>
    <w:rsid w:val="004E0697"/>
    <w:rsid w:val="004E0760"/>
    <w:rsid w:val="004E094F"/>
    <w:rsid w:val="004E0B48"/>
    <w:rsid w:val="004E0C0C"/>
    <w:rsid w:val="004E0FC3"/>
    <w:rsid w:val="004E167C"/>
    <w:rsid w:val="004E16DF"/>
    <w:rsid w:val="004E1745"/>
    <w:rsid w:val="004E1953"/>
    <w:rsid w:val="004E1BF8"/>
    <w:rsid w:val="004E1E46"/>
    <w:rsid w:val="004E1FC1"/>
    <w:rsid w:val="004E21C8"/>
    <w:rsid w:val="004E2201"/>
    <w:rsid w:val="004E257C"/>
    <w:rsid w:val="004E269F"/>
    <w:rsid w:val="004E2915"/>
    <w:rsid w:val="004E2ADE"/>
    <w:rsid w:val="004E300E"/>
    <w:rsid w:val="004E377B"/>
    <w:rsid w:val="004E3A67"/>
    <w:rsid w:val="004E3AC8"/>
    <w:rsid w:val="004E4043"/>
    <w:rsid w:val="004E40E1"/>
    <w:rsid w:val="004E420A"/>
    <w:rsid w:val="004E43D6"/>
    <w:rsid w:val="004E44D9"/>
    <w:rsid w:val="004E44DC"/>
    <w:rsid w:val="004E4832"/>
    <w:rsid w:val="004E4BD7"/>
    <w:rsid w:val="004E4EB2"/>
    <w:rsid w:val="004E4F56"/>
    <w:rsid w:val="004E5131"/>
    <w:rsid w:val="004E513E"/>
    <w:rsid w:val="004E527F"/>
    <w:rsid w:val="004E53EA"/>
    <w:rsid w:val="004E55D2"/>
    <w:rsid w:val="004E568F"/>
    <w:rsid w:val="004E5874"/>
    <w:rsid w:val="004E59E1"/>
    <w:rsid w:val="004E5AE9"/>
    <w:rsid w:val="004E5B62"/>
    <w:rsid w:val="004E5BD6"/>
    <w:rsid w:val="004E5D00"/>
    <w:rsid w:val="004E5D28"/>
    <w:rsid w:val="004E5D78"/>
    <w:rsid w:val="004E5E69"/>
    <w:rsid w:val="004E5E75"/>
    <w:rsid w:val="004E5F4E"/>
    <w:rsid w:val="004E6073"/>
    <w:rsid w:val="004E6246"/>
    <w:rsid w:val="004E6678"/>
    <w:rsid w:val="004E6719"/>
    <w:rsid w:val="004E6A86"/>
    <w:rsid w:val="004E6DD8"/>
    <w:rsid w:val="004E7104"/>
    <w:rsid w:val="004E7519"/>
    <w:rsid w:val="004E769A"/>
    <w:rsid w:val="004E7985"/>
    <w:rsid w:val="004E7ABA"/>
    <w:rsid w:val="004E7C01"/>
    <w:rsid w:val="004E7EF1"/>
    <w:rsid w:val="004E7F69"/>
    <w:rsid w:val="004F0068"/>
    <w:rsid w:val="004F00A4"/>
    <w:rsid w:val="004F03E0"/>
    <w:rsid w:val="004F03FE"/>
    <w:rsid w:val="004F0864"/>
    <w:rsid w:val="004F0958"/>
    <w:rsid w:val="004F1192"/>
    <w:rsid w:val="004F1295"/>
    <w:rsid w:val="004F1885"/>
    <w:rsid w:val="004F1A13"/>
    <w:rsid w:val="004F1AC9"/>
    <w:rsid w:val="004F1ADE"/>
    <w:rsid w:val="004F1B5C"/>
    <w:rsid w:val="004F1BA7"/>
    <w:rsid w:val="004F2064"/>
    <w:rsid w:val="004F20BF"/>
    <w:rsid w:val="004F224C"/>
    <w:rsid w:val="004F229D"/>
    <w:rsid w:val="004F2872"/>
    <w:rsid w:val="004F29B5"/>
    <w:rsid w:val="004F2ACF"/>
    <w:rsid w:val="004F2DB5"/>
    <w:rsid w:val="004F2E83"/>
    <w:rsid w:val="004F2EE1"/>
    <w:rsid w:val="004F2F39"/>
    <w:rsid w:val="004F2F52"/>
    <w:rsid w:val="004F304F"/>
    <w:rsid w:val="004F31AE"/>
    <w:rsid w:val="004F3247"/>
    <w:rsid w:val="004F35FA"/>
    <w:rsid w:val="004F37F4"/>
    <w:rsid w:val="004F37F9"/>
    <w:rsid w:val="004F383C"/>
    <w:rsid w:val="004F392A"/>
    <w:rsid w:val="004F3A1C"/>
    <w:rsid w:val="004F3A8E"/>
    <w:rsid w:val="004F3AB3"/>
    <w:rsid w:val="004F3B60"/>
    <w:rsid w:val="004F3D87"/>
    <w:rsid w:val="004F40DD"/>
    <w:rsid w:val="004F41CF"/>
    <w:rsid w:val="004F41E4"/>
    <w:rsid w:val="004F4466"/>
    <w:rsid w:val="004F44FC"/>
    <w:rsid w:val="004F4585"/>
    <w:rsid w:val="004F4700"/>
    <w:rsid w:val="004F4712"/>
    <w:rsid w:val="004F482C"/>
    <w:rsid w:val="004F486F"/>
    <w:rsid w:val="004F491F"/>
    <w:rsid w:val="004F4A13"/>
    <w:rsid w:val="004F4AD4"/>
    <w:rsid w:val="004F523F"/>
    <w:rsid w:val="004F5251"/>
    <w:rsid w:val="004F53E2"/>
    <w:rsid w:val="004F5700"/>
    <w:rsid w:val="004F5751"/>
    <w:rsid w:val="004F57BA"/>
    <w:rsid w:val="004F58D3"/>
    <w:rsid w:val="004F593E"/>
    <w:rsid w:val="004F595A"/>
    <w:rsid w:val="004F5BA2"/>
    <w:rsid w:val="004F5CEF"/>
    <w:rsid w:val="004F5F48"/>
    <w:rsid w:val="004F61FE"/>
    <w:rsid w:val="004F6230"/>
    <w:rsid w:val="004F6279"/>
    <w:rsid w:val="004F628E"/>
    <w:rsid w:val="004F6375"/>
    <w:rsid w:val="004F6794"/>
    <w:rsid w:val="004F6A18"/>
    <w:rsid w:val="004F6DA3"/>
    <w:rsid w:val="004F7531"/>
    <w:rsid w:val="004F7600"/>
    <w:rsid w:val="004F78AA"/>
    <w:rsid w:val="004F796E"/>
    <w:rsid w:val="004F7987"/>
    <w:rsid w:val="004F7E37"/>
    <w:rsid w:val="00500230"/>
    <w:rsid w:val="005006BB"/>
    <w:rsid w:val="00500743"/>
    <w:rsid w:val="005007A6"/>
    <w:rsid w:val="005007BA"/>
    <w:rsid w:val="0050084E"/>
    <w:rsid w:val="00500A23"/>
    <w:rsid w:val="00500ACD"/>
    <w:rsid w:val="00500D49"/>
    <w:rsid w:val="00500F3B"/>
    <w:rsid w:val="00501138"/>
    <w:rsid w:val="00501181"/>
    <w:rsid w:val="005012C0"/>
    <w:rsid w:val="0050153D"/>
    <w:rsid w:val="005017F8"/>
    <w:rsid w:val="005019CA"/>
    <w:rsid w:val="00501DBB"/>
    <w:rsid w:val="00501F68"/>
    <w:rsid w:val="00501FD4"/>
    <w:rsid w:val="00501FFE"/>
    <w:rsid w:val="0050246A"/>
    <w:rsid w:val="0050259C"/>
    <w:rsid w:val="00502A5F"/>
    <w:rsid w:val="00502ADC"/>
    <w:rsid w:val="00502AFE"/>
    <w:rsid w:val="00502E0E"/>
    <w:rsid w:val="00502EAF"/>
    <w:rsid w:val="005030C7"/>
    <w:rsid w:val="005031E6"/>
    <w:rsid w:val="00503994"/>
    <w:rsid w:val="00503A10"/>
    <w:rsid w:val="00503A5B"/>
    <w:rsid w:val="00503A82"/>
    <w:rsid w:val="00503C1E"/>
    <w:rsid w:val="00503CB9"/>
    <w:rsid w:val="00503D2C"/>
    <w:rsid w:val="00503EF3"/>
    <w:rsid w:val="00504061"/>
    <w:rsid w:val="005043B0"/>
    <w:rsid w:val="0050462E"/>
    <w:rsid w:val="00504A11"/>
    <w:rsid w:val="00504F4D"/>
    <w:rsid w:val="00505210"/>
    <w:rsid w:val="0050535E"/>
    <w:rsid w:val="005053F8"/>
    <w:rsid w:val="00505688"/>
    <w:rsid w:val="0050579D"/>
    <w:rsid w:val="0050592E"/>
    <w:rsid w:val="00505A6E"/>
    <w:rsid w:val="00505A74"/>
    <w:rsid w:val="00505BAE"/>
    <w:rsid w:val="00505E22"/>
    <w:rsid w:val="00505F8D"/>
    <w:rsid w:val="00506055"/>
    <w:rsid w:val="0050606D"/>
    <w:rsid w:val="005062FE"/>
    <w:rsid w:val="0050650F"/>
    <w:rsid w:val="0050671C"/>
    <w:rsid w:val="00506826"/>
    <w:rsid w:val="00506956"/>
    <w:rsid w:val="00506973"/>
    <w:rsid w:val="00506C2E"/>
    <w:rsid w:val="0050707B"/>
    <w:rsid w:val="00507082"/>
    <w:rsid w:val="005074E8"/>
    <w:rsid w:val="0050758F"/>
    <w:rsid w:val="0050779D"/>
    <w:rsid w:val="005078BD"/>
    <w:rsid w:val="00510097"/>
    <w:rsid w:val="0051064A"/>
    <w:rsid w:val="005107FE"/>
    <w:rsid w:val="005108DE"/>
    <w:rsid w:val="00510907"/>
    <w:rsid w:val="0051108E"/>
    <w:rsid w:val="00511267"/>
    <w:rsid w:val="005112D6"/>
    <w:rsid w:val="0051130A"/>
    <w:rsid w:val="00511631"/>
    <w:rsid w:val="00511662"/>
    <w:rsid w:val="005116B4"/>
    <w:rsid w:val="0051184A"/>
    <w:rsid w:val="00511863"/>
    <w:rsid w:val="00511885"/>
    <w:rsid w:val="0051195F"/>
    <w:rsid w:val="00511B85"/>
    <w:rsid w:val="00511BD8"/>
    <w:rsid w:val="00511CE8"/>
    <w:rsid w:val="00512025"/>
    <w:rsid w:val="00512042"/>
    <w:rsid w:val="00512CC3"/>
    <w:rsid w:val="00512CDB"/>
    <w:rsid w:val="005130AA"/>
    <w:rsid w:val="005132EB"/>
    <w:rsid w:val="00513390"/>
    <w:rsid w:val="0051339F"/>
    <w:rsid w:val="005138B1"/>
    <w:rsid w:val="005139E0"/>
    <w:rsid w:val="00513E3C"/>
    <w:rsid w:val="00513E6D"/>
    <w:rsid w:val="00513F21"/>
    <w:rsid w:val="00513F64"/>
    <w:rsid w:val="00513F97"/>
    <w:rsid w:val="00514014"/>
    <w:rsid w:val="00514161"/>
    <w:rsid w:val="0051451C"/>
    <w:rsid w:val="005145B3"/>
    <w:rsid w:val="005145D5"/>
    <w:rsid w:val="0051465A"/>
    <w:rsid w:val="005146E7"/>
    <w:rsid w:val="00514A33"/>
    <w:rsid w:val="00514DDD"/>
    <w:rsid w:val="00515380"/>
    <w:rsid w:val="0051545E"/>
    <w:rsid w:val="0051549E"/>
    <w:rsid w:val="00515668"/>
    <w:rsid w:val="005156CC"/>
    <w:rsid w:val="00515808"/>
    <w:rsid w:val="00515B51"/>
    <w:rsid w:val="00515B60"/>
    <w:rsid w:val="00515FBB"/>
    <w:rsid w:val="0051639F"/>
    <w:rsid w:val="0051681F"/>
    <w:rsid w:val="00516C0E"/>
    <w:rsid w:val="00516F9C"/>
    <w:rsid w:val="0051711B"/>
    <w:rsid w:val="005171F2"/>
    <w:rsid w:val="00517264"/>
    <w:rsid w:val="00517534"/>
    <w:rsid w:val="0051761C"/>
    <w:rsid w:val="005176A8"/>
    <w:rsid w:val="005176CA"/>
    <w:rsid w:val="00517761"/>
    <w:rsid w:val="0051783F"/>
    <w:rsid w:val="00517B22"/>
    <w:rsid w:val="00517FE0"/>
    <w:rsid w:val="0052016F"/>
    <w:rsid w:val="0052036E"/>
    <w:rsid w:val="005205DF"/>
    <w:rsid w:val="0052098E"/>
    <w:rsid w:val="00520995"/>
    <w:rsid w:val="00520AF2"/>
    <w:rsid w:val="00520D09"/>
    <w:rsid w:val="00520E1D"/>
    <w:rsid w:val="00520FD5"/>
    <w:rsid w:val="00520FED"/>
    <w:rsid w:val="0052116B"/>
    <w:rsid w:val="005212F2"/>
    <w:rsid w:val="00521321"/>
    <w:rsid w:val="005213E7"/>
    <w:rsid w:val="005213EB"/>
    <w:rsid w:val="005216A8"/>
    <w:rsid w:val="00521758"/>
    <w:rsid w:val="0052180E"/>
    <w:rsid w:val="00521A5F"/>
    <w:rsid w:val="00521AE5"/>
    <w:rsid w:val="005220E2"/>
    <w:rsid w:val="005221A7"/>
    <w:rsid w:val="00522222"/>
    <w:rsid w:val="005222F1"/>
    <w:rsid w:val="00522660"/>
    <w:rsid w:val="005227D4"/>
    <w:rsid w:val="00522B86"/>
    <w:rsid w:val="00522C4A"/>
    <w:rsid w:val="00522D5E"/>
    <w:rsid w:val="0052316F"/>
    <w:rsid w:val="0052325F"/>
    <w:rsid w:val="005233AA"/>
    <w:rsid w:val="0052365A"/>
    <w:rsid w:val="005236C0"/>
    <w:rsid w:val="00523823"/>
    <w:rsid w:val="00523B18"/>
    <w:rsid w:val="00523BFF"/>
    <w:rsid w:val="00523DCF"/>
    <w:rsid w:val="00524134"/>
    <w:rsid w:val="0052422A"/>
    <w:rsid w:val="005243A8"/>
    <w:rsid w:val="005245F3"/>
    <w:rsid w:val="0052476B"/>
    <w:rsid w:val="005249A0"/>
    <w:rsid w:val="00524A7D"/>
    <w:rsid w:val="00524AB3"/>
    <w:rsid w:val="00524BD3"/>
    <w:rsid w:val="00524CE9"/>
    <w:rsid w:val="0052511E"/>
    <w:rsid w:val="00525187"/>
    <w:rsid w:val="005253CA"/>
    <w:rsid w:val="00525415"/>
    <w:rsid w:val="00525598"/>
    <w:rsid w:val="00525785"/>
    <w:rsid w:val="005259C4"/>
    <w:rsid w:val="005260D0"/>
    <w:rsid w:val="005260FD"/>
    <w:rsid w:val="005262EC"/>
    <w:rsid w:val="00526498"/>
    <w:rsid w:val="005264D3"/>
    <w:rsid w:val="00526568"/>
    <w:rsid w:val="00526B72"/>
    <w:rsid w:val="00526DF1"/>
    <w:rsid w:val="00526F0C"/>
    <w:rsid w:val="00527084"/>
    <w:rsid w:val="005272F7"/>
    <w:rsid w:val="005273C0"/>
    <w:rsid w:val="00527486"/>
    <w:rsid w:val="00527628"/>
    <w:rsid w:val="00527902"/>
    <w:rsid w:val="00527965"/>
    <w:rsid w:val="00527B01"/>
    <w:rsid w:val="00527B3B"/>
    <w:rsid w:val="0053019D"/>
    <w:rsid w:val="00530381"/>
    <w:rsid w:val="00530505"/>
    <w:rsid w:val="005305EF"/>
    <w:rsid w:val="00530736"/>
    <w:rsid w:val="0053127E"/>
    <w:rsid w:val="00531534"/>
    <w:rsid w:val="00531B9A"/>
    <w:rsid w:val="00531C43"/>
    <w:rsid w:val="00531D15"/>
    <w:rsid w:val="00531DF0"/>
    <w:rsid w:val="005322AB"/>
    <w:rsid w:val="005322AE"/>
    <w:rsid w:val="005322E6"/>
    <w:rsid w:val="00532688"/>
    <w:rsid w:val="00532A9B"/>
    <w:rsid w:val="00532BD4"/>
    <w:rsid w:val="00532BF0"/>
    <w:rsid w:val="00532CB2"/>
    <w:rsid w:val="00532D10"/>
    <w:rsid w:val="00532DBC"/>
    <w:rsid w:val="0053371D"/>
    <w:rsid w:val="00533A0A"/>
    <w:rsid w:val="005340FD"/>
    <w:rsid w:val="0053444E"/>
    <w:rsid w:val="0053466E"/>
    <w:rsid w:val="00534685"/>
    <w:rsid w:val="0053472C"/>
    <w:rsid w:val="00534951"/>
    <w:rsid w:val="005350A4"/>
    <w:rsid w:val="00535138"/>
    <w:rsid w:val="005351A7"/>
    <w:rsid w:val="00535327"/>
    <w:rsid w:val="0053535B"/>
    <w:rsid w:val="00535372"/>
    <w:rsid w:val="0053539E"/>
    <w:rsid w:val="005356E4"/>
    <w:rsid w:val="0053580E"/>
    <w:rsid w:val="00535811"/>
    <w:rsid w:val="0053583D"/>
    <w:rsid w:val="005358C3"/>
    <w:rsid w:val="00535C83"/>
    <w:rsid w:val="00535F78"/>
    <w:rsid w:val="00536010"/>
    <w:rsid w:val="00536248"/>
    <w:rsid w:val="0053646F"/>
    <w:rsid w:val="0053655D"/>
    <w:rsid w:val="00536801"/>
    <w:rsid w:val="00537146"/>
    <w:rsid w:val="0053739A"/>
    <w:rsid w:val="005377D4"/>
    <w:rsid w:val="005377FE"/>
    <w:rsid w:val="00537904"/>
    <w:rsid w:val="00537961"/>
    <w:rsid w:val="00537A77"/>
    <w:rsid w:val="00537F8A"/>
    <w:rsid w:val="00540128"/>
    <w:rsid w:val="005402C8"/>
    <w:rsid w:val="00540C2C"/>
    <w:rsid w:val="00540F53"/>
    <w:rsid w:val="00540F6B"/>
    <w:rsid w:val="00541024"/>
    <w:rsid w:val="005412CF"/>
    <w:rsid w:val="0054154D"/>
    <w:rsid w:val="005415D1"/>
    <w:rsid w:val="00541770"/>
    <w:rsid w:val="0054186F"/>
    <w:rsid w:val="0054198C"/>
    <w:rsid w:val="00541A14"/>
    <w:rsid w:val="00541E20"/>
    <w:rsid w:val="00541EF3"/>
    <w:rsid w:val="00542042"/>
    <w:rsid w:val="00542142"/>
    <w:rsid w:val="00542189"/>
    <w:rsid w:val="0054239B"/>
    <w:rsid w:val="0054256D"/>
    <w:rsid w:val="0054328E"/>
    <w:rsid w:val="0054338C"/>
    <w:rsid w:val="005433B3"/>
    <w:rsid w:val="005433FB"/>
    <w:rsid w:val="00543462"/>
    <w:rsid w:val="00543725"/>
    <w:rsid w:val="00543828"/>
    <w:rsid w:val="00543D04"/>
    <w:rsid w:val="00543F9C"/>
    <w:rsid w:val="00543FA5"/>
    <w:rsid w:val="00544023"/>
    <w:rsid w:val="00544556"/>
    <w:rsid w:val="00544774"/>
    <w:rsid w:val="005448BA"/>
    <w:rsid w:val="00544BF1"/>
    <w:rsid w:val="00544F45"/>
    <w:rsid w:val="0054515E"/>
    <w:rsid w:val="005455A5"/>
    <w:rsid w:val="0054560F"/>
    <w:rsid w:val="0054599E"/>
    <w:rsid w:val="00545D06"/>
    <w:rsid w:val="00545EF7"/>
    <w:rsid w:val="00546175"/>
    <w:rsid w:val="005461AA"/>
    <w:rsid w:val="005462D0"/>
    <w:rsid w:val="00546522"/>
    <w:rsid w:val="00546A6F"/>
    <w:rsid w:val="00546D39"/>
    <w:rsid w:val="00546F85"/>
    <w:rsid w:val="00547299"/>
    <w:rsid w:val="005472F3"/>
    <w:rsid w:val="0054741B"/>
    <w:rsid w:val="00547922"/>
    <w:rsid w:val="00547A88"/>
    <w:rsid w:val="00547ACA"/>
    <w:rsid w:val="00547AD7"/>
    <w:rsid w:val="00547AED"/>
    <w:rsid w:val="00547B50"/>
    <w:rsid w:val="00548960"/>
    <w:rsid w:val="0055047F"/>
    <w:rsid w:val="0055057E"/>
    <w:rsid w:val="005506A5"/>
    <w:rsid w:val="0055087D"/>
    <w:rsid w:val="00550BD1"/>
    <w:rsid w:val="00550D0E"/>
    <w:rsid w:val="00550D2D"/>
    <w:rsid w:val="00550D9A"/>
    <w:rsid w:val="00550E84"/>
    <w:rsid w:val="00551176"/>
    <w:rsid w:val="005511A9"/>
    <w:rsid w:val="00551226"/>
    <w:rsid w:val="0055123A"/>
    <w:rsid w:val="0055123F"/>
    <w:rsid w:val="005512D0"/>
    <w:rsid w:val="00551349"/>
    <w:rsid w:val="00551368"/>
    <w:rsid w:val="0055141A"/>
    <w:rsid w:val="0055146E"/>
    <w:rsid w:val="00551B62"/>
    <w:rsid w:val="00551D52"/>
    <w:rsid w:val="00551DE6"/>
    <w:rsid w:val="00551EBA"/>
    <w:rsid w:val="00551ECF"/>
    <w:rsid w:val="0055225E"/>
    <w:rsid w:val="0055247B"/>
    <w:rsid w:val="0055248C"/>
    <w:rsid w:val="00552849"/>
    <w:rsid w:val="00552CD2"/>
    <w:rsid w:val="00552F7C"/>
    <w:rsid w:val="00553CF1"/>
    <w:rsid w:val="00553D16"/>
    <w:rsid w:val="00553F43"/>
    <w:rsid w:val="005541B2"/>
    <w:rsid w:val="00554627"/>
    <w:rsid w:val="00554683"/>
    <w:rsid w:val="0055470D"/>
    <w:rsid w:val="00554894"/>
    <w:rsid w:val="00554996"/>
    <w:rsid w:val="00554CBB"/>
    <w:rsid w:val="00554F08"/>
    <w:rsid w:val="005551BE"/>
    <w:rsid w:val="00555396"/>
    <w:rsid w:val="005553C1"/>
    <w:rsid w:val="00555493"/>
    <w:rsid w:val="00555674"/>
    <w:rsid w:val="0055587F"/>
    <w:rsid w:val="00555AAB"/>
    <w:rsid w:val="00555AE0"/>
    <w:rsid w:val="00555BF8"/>
    <w:rsid w:val="00555E51"/>
    <w:rsid w:val="00556028"/>
    <w:rsid w:val="00556280"/>
    <w:rsid w:val="005562D2"/>
    <w:rsid w:val="00556460"/>
    <w:rsid w:val="005566A3"/>
    <w:rsid w:val="00556E31"/>
    <w:rsid w:val="005570B1"/>
    <w:rsid w:val="005571B5"/>
    <w:rsid w:val="00557296"/>
    <w:rsid w:val="005575FB"/>
    <w:rsid w:val="00557758"/>
    <w:rsid w:val="005577B0"/>
    <w:rsid w:val="00557B13"/>
    <w:rsid w:val="00557DE0"/>
    <w:rsid w:val="00557DF1"/>
    <w:rsid w:val="00557F7A"/>
    <w:rsid w:val="00560192"/>
    <w:rsid w:val="0056066A"/>
    <w:rsid w:val="005606CA"/>
    <w:rsid w:val="00560767"/>
    <w:rsid w:val="00560A0A"/>
    <w:rsid w:val="00560BA7"/>
    <w:rsid w:val="00560C04"/>
    <w:rsid w:val="00560CF8"/>
    <w:rsid w:val="00561028"/>
    <w:rsid w:val="00561067"/>
    <w:rsid w:val="00561196"/>
    <w:rsid w:val="00561241"/>
    <w:rsid w:val="005616A8"/>
    <w:rsid w:val="00561813"/>
    <w:rsid w:val="0056198E"/>
    <w:rsid w:val="00561AB7"/>
    <w:rsid w:val="00561C28"/>
    <w:rsid w:val="00561D35"/>
    <w:rsid w:val="00561EFE"/>
    <w:rsid w:val="00562084"/>
    <w:rsid w:val="005626EF"/>
    <w:rsid w:val="0056289A"/>
    <w:rsid w:val="005628BC"/>
    <w:rsid w:val="005628F2"/>
    <w:rsid w:val="00562D59"/>
    <w:rsid w:val="00563154"/>
    <w:rsid w:val="00563165"/>
    <w:rsid w:val="005632E4"/>
    <w:rsid w:val="00563316"/>
    <w:rsid w:val="005639D8"/>
    <w:rsid w:val="00563DF2"/>
    <w:rsid w:val="00563EE5"/>
    <w:rsid w:val="00564067"/>
    <w:rsid w:val="0056487B"/>
    <w:rsid w:val="0056493C"/>
    <w:rsid w:val="00564B82"/>
    <w:rsid w:val="00564BF2"/>
    <w:rsid w:val="00564C58"/>
    <w:rsid w:val="00564E45"/>
    <w:rsid w:val="00564EDF"/>
    <w:rsid w:val="00565254"/>
    <w:rsid w:val="00565266"/>
    <w:rsid w:val="005655B1"/>
    <w:rsid w:val="0056582D"/>
    <w:rsid w:val="00565C5D"/>
    <w:rsid w:val="00565DB9"/>
    <w:rsid w:val="00565F06"/>
    <w:rsid w:val="00565F2B"/>
    <w:rsid w:val="00566B0C"/>
    <w:rsid w:val="00566CD7"/>
    <w:rsid w:val="00566F39"/>
    <w:rsid w:val="005670BA"/>
    <w:rsid w:val="0056715A"/>
    <w:rsid w:val="00567165"/>
    <w:rsid w:val="00567562"/>
    <w:rsid w:val="00567A66"/>
    <w:rsid w:val="00567DE1"/>
    <w:rsid w:val="00567E56"/>
    <w:rsid w:val="00567F97"/>
    <w:rsid w:val="005701E7"/>
    <w:rsid w:val="00570225"/>
    <w:rsid w:val="005707EE"/>
    <w:rsid w:val="00570832"/>
    <w:rsid w:val="00570902"/>
    <w:rsid w:val="00570967"/>
    <w:rsid w:val="00570983"/>
    <w:rsid w:val="00570BFD"/>
    <w:rsid w:val="00570EED"/>
    <w:rsid w:val="00570F18"/>
    <w:rsid w:val="005712B0"/>
    <w:rsid w:val="0057132E"/>
    <w:rsid w:val="005713ED"/>
    <w:rsid w:val="005716FC"/>
    <w:rsid w:val="0057175A"/>
    <w:rsid w:val="005717B1"/>
    <w:rsid w:val="005717C1"/>
    <w:rsid w:val="0057198F"/>
    <w:rsid w:val="00571D2A"/>
    <w:rsid w:val="00571DBD"/>
    <w:rsid w:val="00571E32"/>
    <w:rsid w:val="00571EE9"/>
    <w:rsid w:val="00571FE8"/>
    <w:rsid w:val="00572056"/>
    <w:rsid w:val="0057237B"/>
    <w:rsid w:val="005723C9"/>
    <w:rsid w:val="005724FE"/>
    <w:rsid w:val="00572561"/>
    <w:rsid w:val="00572D3D"/>
    <w:rsid w:val="00572EF2"/>
    <w:rsid w:val="00573869"/>
    <w:rsid w:val="00573A7D"/>
    <w:rsid w:val="00574916"/>
    <w:rsid w:val="00574A1E"/>
    <w:rsid w:val="00574A40"/>
    <w:rsid w:val="00574D1F"/>
    <w:rsid w:val="00575176"/>
    <w:rsid w:val="005754ED"/>
    <w:rsid w:val="0057554E"/>
    <w:rsid w:val="00575638"/>
    <w:rsid w:val="005756BF"/>
    <w:rsid w:val="00575738"/>
    <w:rsid w:val="00575AE0"/>
    <w:rsid w:val="00575B53"/>
    <w:rsid w:val="00575B8A"/>
    <w:rsid w:val="00575BDF"/>
    <w:rsid w:val="00575C73"/>
    <w:rsid w:val="00575CAC"/>
    <w:rsid w:val="00575DEF"/>
    <w:rsid w:val="00576142"/>
    <w:rsid w:val="00576366"/>
    <w:rsid w:val="005765B6"/>
    <w:rsid w:val="0057673A"/>
    <w:rsid w:val="0057684A"/>
    <w:rsid w:val="00576E9B"/>
    <w:rsid w:val="00577004"/>
    <w:rsid w:val="005770EA"/>
    <w:rsid w:val="005771F0"/>
    <w:rsid w:val="00577499"/>
    <w:rsid w:val="005774C6"/>
    <w:rsid w:val="005778C8"/>
    <w:rsid w:val="005778EF"/>
    <w:rsid w:val="00577A25"/>
    <w:rsid w:val="00577A7F"/>
    <w:rsid w:val="00577A86"/>
    <w:rsid w:val="00577C6E"/>
    <w:rsid w:val="00577EA4"/>
    <w:rsid w:val="00577F3D"/>
    <w:rsid w:val="00577FBE"/>
    <w:rsid w:val="00577FC1"/>
    <w:rsid w:val="0058013F"/>
    <w:rsid w:val="0058056A"/>
    <w:rsid w:val="00580BDB"/>
    <w:rsid w:val="00580C3D"/>
    <w:rsid w:val="00580EAE"/>
    <w:rsid w:val="00580F99"/>
    <w:rsid w:val="00581282"/>
    <w:rsid w:val="0058131B"/>
    <w:rsid w:val="005816FA"/>
    <w:rsid w:val="00581748"/>
    <w:rsid w:val="0058179A"/>
    <w:rsid w:val="0058186C"/>
    <w:rsid w:val="0058197D"/>
    <w:rsid w:val="005819F3"/>
    <w:rsid w:val="00581B35"/>
    <w:rsid w:val="00581C13"/>
    <w:rsid w:val="00581F6D"/>
    <w:rsid w:val="00581F91"/>
    <w:rsid w:val="00582039"/>
    <w:rsid w:val="0058248A"/>
    <w:rsid w:val="005826C5"/>
    <w:rsid w:val="005826EA"/>
    <w:rsid w:val="0058279D"/>
    <w:rsid w:val="00582D2F"/>
    <w:rsid w:val="00582F5F"/>
    <w:rsid w:val="0058303D"/>
    <w:rsid w:val="0058329D"/>
    <w:rsid w:val="00583506"/>
    <w:rsid w:val="00583722"/>
    <w:rsid w:val="00583A33"/>
    <w:rsid w:val="00583DAA"/>
    <w:rsid w:val="00583FCA"/>
    <w:rsid w:val="00584123"/>
    <w:rsid w:val="00584154"/>
    <w:rsid w:val="00584390"/>
    <w:rsid w:val="005843C7"/>
    <w:rsid w:val="0058451D"/>
    <w:rsid w:val="00584619"/>
    <w:rsid w:val="00584631"/>
    <w:rsid w:val="005852E8"/>
    <w:rsid w:val="005852F7"/>
    <w:rsid w:val="00585423"/>
    <w:rsid w:val="0058543E"/>
    <w:rsid w:val="00585459"/>
    <w:rsid w:val="0058546C"/>
    <w:rsid w:val="005854C4"/>
    <w:rsid w:val="005855DE"/>
    <w:rsid w:val="005857ED"/>
    <w:rsid w:val="00585E0D"/>
    <w:rsid w:val="005862A3"/>
    <w:rsid w:val="00586384"/>
    <w:rsid w:val="005863E0"/>
    <w:rsid w:val="005864A2"/>
    <w:rsid w:val="005867D2"/>
    <w:rsid w:val="00586C69"/>
    <w:rsid w:val="00586F20"/>
    <w:rsid w:val="00586F3D"/>
    <w:rsid w:val="0058723C"/>
    <w:rsid w:val="0058725F"/>
    <w:rsid w:val="00587395"/>
    <w:rsid w:val="00587500"/>
    <w:rsid w:val="005877B0"/>
    <w:rsid w:val="00587D98"/>
    <w:rsid w:val="0059005C"/>
    <w:rsid w:val="0059013D"/>
    <w:rsid w:val="00590723"/>
    <w:rsid w:val="005909A8"/>
    <w:rsid w:val="00590A99"/>
    <w:rsid w:val="00590CE4"/>
    <w:rsid w:val="00590D4E"/>
    <w:rsid w:val="0059118F"/>
    <w:rsid w:val="0059163C"/>
    <w:rsid w:val="00591B88"/>
    <w:rsid w:val="00591C16"/>
    <w:rsid w:val="00591DC8"/>
    <w:rsid w:val="005922E1"/>
    <w:rsid w:val="005926A5"/>
    <w:rsid w:val="00592808"/>
    <w:rsid w:val="00592A8E"/>
    <w:rsid w:val="00592B45"/>
    <w:rsid w:val="00592B70"/>
    <w:rsid w:val="00592D8E"/>
    <w:rsid w:val="00593028"/>
    <w:rsid w:val="00593117"/>
    <w:rsid w:val="005936A6"/>
    <w:rsid w:val="00593732"/>
    <w:rsid w:val="0059393F"/>
    <w:rsid w:val="00593FA4"/>
    <w:rsid w:val="00594136"/>
    <w:rsid w:val="00594376"/>
    <w:rsid w:val="005946DF"/>
    <w:rsid w:val="00594AAD"/>
    <w:rsid w:val="00594C1D"/>
    <w:rsid w:val="00594C3A"/>
    <w:rsid w:val="00594F6F"/>
    <w:rsid w:val="005951FA"/>
    <w:rsid w:val="005955F0"/>
    <w:rsid w:val="005956B6"/>
    <w:rsid w:val="005956D8"/>
    <w:rsid w:val="0059580E"/>
    <w:rsid w:val="00595E5B"/>
    <w:rsid w:val="00596154"/>
    <w:rsid w:val="005963CC"/>
    <w:rsid w:val="00596622"/>
    <w:rsid w:val="005967F8"/>
    <w:rsid w:val="00596C9B"/>
    <w:rsid w:val="00596E19"/>
    <w:rsid w:val="00596EAB"/>
    <w:rsid w:val="0059701D"/>
    <w:rsid w:val="005970ED"/>
    <w:rsid w:val="00597491"/>
    <w:rsid w:val="00597762"/>
    <w:rsid w:val="005978AA"/>
    <w:rsid w:val="0059794D"/>
    <w:rsid w:val="00597A14"/>
    <w:rsid w:val="00597AA8"/>
    <w:rsid w:val="00597B41"/>
    <w:rsid w:val="00597E5E"/>
    <w:rsid w:val="005A0241"/>
    <w:rsid w:val="005A0337"/>
    <w:rsid w:val="005A0573"/>
    <w:rsid w:val="005A0843"/>
    <w:rsid w:val="005A08EA"/>
    <w:rsid w:val="005A0D48"/>
    <w:rsid w:val="005A0E45"/>
    <w:rsid w:val="005A0F11"/>
    <w:rsid w:val="005A1101"/>
    <w:rsid w:val="005A12E2"/>
    <w:rsid w:val="005A160F"/>
    <w:rsid w:val="005A1946"/>
    <w:rsid w:val="005A1C71"/>
    <w:rsid w:val="005A1C9F"/>
    <w:rsid w:val="005A1E8C"/>
    <w:rsid w:val="005A2049"/>
    <w:rsid w:val="005A22EA"/>
    <w:rsid w:val="005A2353"/>
    <w:rsid w:val="005A2402"/>
    <w:rsid w:val="005A241E"/>
    <w:rsid w:val="005A26FB"/>
    <w:rsid w:val="005A27FB"/>
    <w:rsid w:val="005A28B4"/>
    <w:rsid w:val="005A2934"/>
    <w:rsid w:val="005A305D"/>
    <w:rsid w:val="005A339D"/>
    <w:rsid w:val="005A3417"/>
    <w:rsid w:val="005A39C3"/>
    <w:rsid w:val="005A3A02"/>
    <w:rsid w:val="005A3C9B"/>
    <w:rsid w:val="005A3CF1"/>
    <w:rsid w:val="005A3FBF"/>
    <w:rsid w:val="005A3FFB"/>
    <w:rsid w:val="005A401E"/>
    <w:rsid w:val="005A46EE"/>
    <w:rsid w:val="005A4964"/>
    <w:rsid w:val="005A4A43"/>
    <w:rsid w:val="005A4B25"/>
    <w:rsid w:val="005A4B7A"/>
    <w:rsid w:val="005A4BCD"/>
    <w:rsid w:val="005A4D8D"/>
    <w:rsid w:val="005A4DDE"/>
    <w:rsid w:val="005A4EC6"/>
    <w:rsid w:val="005A514F"/>
    <w:rsid w:val="005A522E"/>
    <w:rsid w:val="005A5449"/>
    <w:rsid w:val="005A59A5"/>
    <w:rsid w:val="005A61A7"/>
    <w:rsid w:val="005A627D"/>
    <w:rsid w:val="005A636F"/>
    <w:rsid w:val="005A64C1"/>
    <w:rsid w:val="005A65CC"/>
    <w:rsid w:val="005A65FD"/>
    <w:rsid w:val="005A665A"/>
    <w:rsid w:val="005A67AB"/>
    <w:rsid w:val="005A6A20"/>
    <w:rsid w:val="005A6E23"/>
    <w:rsid w:val="005A6F2A"/>
    <w:rsid w:val="005A6FED"/>
    <w:rsid w:val="005A70E5"/>
    <w:rsid w:val="005A7175"/>
    <w:rsid w:val="005A7182"/>
    <w:rsid w:val="005A7206"/>
    <w:rsid w:val="005A73B9"/>
    <w:rsid w:val="005A74A9"/>
    <w:rsid w:val="005A7858"/>
    <w:rsid w:val="005B020E"/>
    <w:rsid w:val="005B05E7"/>
    <w:rsid w:val="005B0648"/>
    <w:rsid w:val="005B0690"/>
    <w:rsid w:val="005B07FF"/>
    <w:rsid w:val="005B0806"/>
    <w:rsid w:val="005B088A"/>
    <w:rsid w:val="005B08F5"/>
    <w:rsid w:val="005B0A5A"/>
    <w:rsid w:val="005B0AE8"/>
    <w:rsid w:val="005B0D3F"/>
    <w:rsid w:val="005B0D62"/>
    <w:rsid w:val="005B0DA9"/>
    <w:rsid w:val="005B12C2"/>
    <w:rsid w:val="005B1374"/>
    <w:rsid w:val="005B166A"/>
    <w:rsid w:val="005B1844"/>
    <w:rsid w:val="005B18EF"/>
    <w:rsid w:val="005B1A25"/>
    <w:rsid w:val="005B1B3E"/>
    <w:rsid w:val="005B1B86"/>
    <w:rsid w:val="005B1BC4"/>
    <w:rsid w:val="005B1E00"/>
    <w:rsid w:val="005B2119"/>
    <w:rsid w:val="005B2736"/>
    <w:rsid w:val="005B2836"/>
    <w:rsid w:val="005B2A7B"/>
    <w:rsid w:val="005B2A96"/>
    <w:rsid w:val="005B2D30"/>
    <w:rsid w:val="005B2D9E"/>
    <w:rsid w:val="005B2F08"/>
    <w:rsid w:val="005B3226"/>
    <w:rsid w:val="005B3312"/>
    <w:rsid w:val="005B3350"/>
    <w:rsid w:val="005B3821"/>
    <w:rsid w:val="005B3C66"/>
    <w:rsid w:val="005B3E2D"/>
    <w:rsid w:val="005B3EF5"/>
    <w:rsid w:val="005B4536"/>
    <w:rsid w:val="005B46CE"/>
    <w:rsid w:val="005B47A0"/>
    <w:rsid w:val="005B4855"/>
    <w:rsid w:val="005B49B0"/>
    <w:rsid w:val="005B4B88"/>
    <w:rsid w:val="005B4D2B"/>
    <w:rsid w:val="005B4F4F"/>
    <w:rsid w:val="005B4F77"/>
    <w:rsid w:val="005B57AC"/>
    <w:rsid w:val="005B5BDE"/>
    <w:rsid w:val="005B5D8A"/>
    <w:rsid w:val="005B63CD"/>
    <w:rsid w:val="005B63FE"/>
    <w:rsid w:val="005B656D"/>
    <w:rsid w:val="005B6654"/>
    <w:rsid w:val="005B6661"/>
    <w:rsid w:val="005B668D"/>
    <w:rsid w:val="005B6894"/>
    <w:rsid w:val="005B6AEB"/>
    <w:rsid w:val="005B6ED8"/>
    <w:rsid w:val="005B6FEC"/>
    <w:rsid w:val="005B7121"/>
    <w:rsid w:val="005B7297"/>
    <w:rsid w:val="005B741D"/>
    <w:rsid w:val="005B776D"/>
    <w:rsid w:val="005B779C"/>
    <w:rsid w:val="005B784E"/>
    <w:rsid w:val="005B78D8"/>
    <w:rsid w:val="005B7B47"/>
    <w:rsid w:val="005B7D6E"/>
    <w:rsid w:val="005C01A8"/>
    <w:rsid w:val="005C0536"/>
    <w:rsid w:val="005C0580"/>
    <w:rsid w:val="005C06B2"/>
    <w:rsid w:val="005C072C"/>
    <w:rsid w:val="005C074A"/>
    <w:rsid w:val="005C0AC9"/>
    <w:rsid w:val="005C0E15"/>
    <w:rsid w:val="005C1384"/>
    <w:rsid w:val="005C13B2"/>
    <w:rsid w:val="005C14A7"/>
    <w:rsid w:val="005C14F8"/>
    <w:rsid w:val="005C17A1"/>
    <w:rsid w:val="005C17B7"/>
    <w:rsid w:val="005C18B2"/>
    <w:rsid w:val="005C1A85"/>
    <w:rsid w:val="005C27D8"/>
    <w:rsid w:val="005C27E3"/>
    <w:rsid w:val="005C299F"/>
    <w:rsid w:val="005C2A3B"/>
    <w:rsid w:val="005C2A4F"/>
    <w:rsid w:val="005C2B60"/>
    <w:rsid w:val="005C2C1E"/>
    <w:rsid w:val="005C30CE"/>
    <w:rsid w:val="005C32C0"/>
    <w:rsid w:val="005C3305"/>
    <w:rsid w:val="005C33AA"/>
    <w:rsid w:val="005C33F7"/>
    <w:rsid w:val="005C3419"/>
    <w:rsid w:val="005C36A9"/>
    <w:rsid w:val="005C3758"/>
    <w:rsid w:val="005C37AF"/>
    <w:rsid w:val="005C37CB"/>
    <w:rsid w:val="005C39ED"/>
    <w:rsid w:val="005C3BE8"/>
    <w:rsid w:val="005C3D19"/>
    <w:rsid w:val="005C3FE3"/>
    <w:rsid w:val="005C459C"/>
    <w:rsid w:val="005C47DA"/>
    <w:rsid w:val="005C4C47"/>
    <w:rsid w:val="005C4D17"/>
    <w:rsid w:val="005C4D80"/>
    <w:rsid w:val="005C4F69"/>
    <w:rsid w:val="005C4FFA"/>
    <w:rsid w:val="005C51BF"/>
    <w:rsid w:val="005C51E2"/>
    <w:rsid w:val="005C5258"/>
    <w:rsid w:val="005C5813"/>
    <w:rsid w:val="005C5855"/>
    <w:rsid w:val="005C5BBF"/>
    <w:rsid w:val="005C5CB7"/>
    <w:rsid w:val="005C5D72"/>
    <w:rsid w:val="005C5D9B"/>
    <w:rsid w:val="005C63E6"/>
    <w:rsid w:val="005C642D"/>
    <w:rsid w:val="005C670B"/>
    <w:rsid w:val="005C6794"/>
    <w:rsid w:val="005C67A1"/>
    <w:rsid w:val="005C682D"/>
    <w:rsid w:val="005C6843"/>
    <w:rsid w:val="005C6CB7"/>
    <w:rsid w:val="005C71FB"/>
    <w:rsid w:val="005C7457"/>
    <w:rsid w:val="005C7473"/>
    <w:rsid w:val="005C74AE"/>
    <w:rsid w:val="005C76D4"/>
    <w:rsid w:val="005C76E6"/>
    <w:rsid w:val="005C7796"/>
    <w:rsid w:val="005C79AD"/>
    <w:rsid w:val="005C7AE5"/>
    <w:rsid w:val="005C7D38"/>
    <w:rsid w:val="005C7E78"/>
    <w:rsid w:val="005C7EC9"/>
    <w:rsid w:val="005C7ED9"/>
    <w:rsid w:val="005C7F85"/>
    <w:rsid w:val="005C7FE7"/>
    <w:rsid w:val="005D022F"/>
    <w:rsid w:val="005D04B9"/>
    <w:rsid w:val="005D054D"/>
    <w:rsid w:val="005D059A"/>
    <w:rsid w:val="005D099B"/>
    <w:rsid w:val="005D0D28"/>
    <w:rsid w:val="005D1111"/>
    <w:rsid w:val="005D1180"/>
    <w:rsid w:val="005D13CA"/>
    <w:rsid w:val="005D1480"/>
    <w:rsid w:val="005D14B9"/>
    <w:rsid w:val="005D14EE"/>
    <w:rsid w:val="005D1A9F"/>
    <w:rsid w:val="005D1B08"/>
    <w:rsid w:val="005D1B23"/>
    <w:rsid w:val="005D23EC"/>
    <w:rsid w:val="005D25B4"/>
    <w:rsid w:val="005D25BF"/>
    <w:rsid w:val="005D26FC"/>
    <w:rsid w:val="005D27AD"/>
    <w:rsid w:val="005D292F"/>
    <w:rsid w:val="005D29D4"/>
    <w:rsid w:val="005D2A87"/>
    <w:rsid w:val="005D2EA1"/>
    <w:rsid w:val="005D34EA"/>
    <w:rsid w:val="005D3CE7"/>
    <w:rsid w:val="005D403F"/>
    <w:rsid w:val="005D40A9"/>
    <w:rsid w:val="005D42BD"/>
    <w:rsid w:val="005D4421"/>
    <w:rsid w:val="005D4561"/>
    <w:rsid w:val="005D4661"/>
    <w:rsid w:val="005D47DC"/>
    <w:rsid w:val="005D4F32"/>
    <w:rsid w:val="005D4FE1"/>
    <w:rsid w:val="005D5075"/>
    <w:rsid w:val="005D50C0"/>
    <w:rsid w:val="005D50C4"/>
    <w:rsid w:val="005D52FA"/>
    <w:rsid w:val="005D53D0"/>
    <w:rsid w:val="005D5717"/>
    <w:rsid w:val="005D5926"/>
    <w:rsid w:val="005D596F"/>
    <w:rsid w:val="005D5F2A"/>
    <w:rsid w:val="005D600F"/>
    <w:rsid w:val="005D61AD"/>
    <w:rsid w:val="005D6612"/>
    <w:rsid w:val="005D66F5"/>
    <w:rsid w:val="005D6B4E"/>
    <w:rsid w:val="005D6DE3"/>
    <w:rsid w:val="005D71DF"/>
    <w:rsid w:val="005D7346"/>
    <w:rsid w:val="005D748A"/>
    <w:rsid w:val="005D777B"/>
    <w:rsid w:val="005D783B"/>
    <w:rsid w:val="005D7A7F"/>
    <w:rsid w:val="005D7A86"/>
    <w:rsid w:val="005D7BB6"/>
    <w:rsid w:val="005D7EBF"/>
    <w:rsid w:val="005D7FC8"/>
    <w:rsid w:val="005E05A1"/>
    <w:rsid w:val="005E05DD"/>
    <w:rsid w:val="005E0780"/>
    <w:rsid w:val="005E07D9"/>
    <w:rsid w:val="005E085D"/>
    <w:rsid w:val="005E0D78"/>
    <w:rsid w:val="005E0DA8"/>
    <w:rsid w:val="005E0DBD"/>
    <w:rsid w:val="005E1001"/>
    <w:rsid w:val="005E14F9"/>
    <w:rsid w:val="005E1577"/>
    <w:rsid w:val="005E1726"/>
    <w:rsid w:val="005E19DC"/>
    <w:rsid w:val="005E1A28"/>
    <w:rsid w:val="005E1BD2"/>
    <w:rsid w:val="005E2265"/>
    <w:rsid w:val="005E226C"/>
    <w:rsid w:val="005E266F"/>
    <w:rsid w:val="005E28C4"/>
    <w:rsid w:val="005E2933"/>
    <w:rsid w:val="005E2BFB"/>
    <w:rsid w:val="005E2F47"/>
    <w:rsid w:val="005E2FE2"/>
    <w:rsid w:val="005E308D"/>
    <w:rsid w:val="005E33F4"/>
    <w:rsid w:val="005E38C1"/>
    <w:rsid w:val="005E38DE"/>
    <w:rsid w:val="005E3959"/>
    <w:rsid w:val="005E39E9"/>
    <w:rsid w:val="005E3B1A"/>
    <w:rsid w:val="005E3F34"/>
    <w:rsid w:val="005E46BB"/>
    <w:rsid w:val="005E48BF"/>
    <w:rsid w:val="005E4953"/>
    <w:rsid w:val="005E4C8B"/>
    <w:rsid w:val="005E4CD6"/>
    <w:rsid w:val="005E50EE"/>
    <w:rsid w:val="005E51CD"/>
    <w:rsid w:val="005E5370"/>
    <w:rsid w:val="005E5734"/>
    <w:rsid w:val="005E5741"/>
    <w:rsid w:val="005E5AFB"/>
    <w:rsid w:val="005E5E18"/>
    <w:rsid w:val="005E5EC3"/>
    <w:rsid w:val="005E5ED8"/>
    <w:rsid w:val="005E5F1D"/>
    <w:rsid w:val="005E61B6"/>
    <w:rsid w:val="005E6514"/>
    <w:rsid w:val="005E6CF4"/>
    <w:rsid w:val="005E71DA"/>
    <w:rsid w:val="005E72E5"/>
    <w:rsid w:val="005E73CE"/>
    <w:rsid w:val="005E774D"/>
    <w:rsid w:val="005E77C1"/>
    <w:rsid w:val="005E77E3"/>
    <w:rsid w:val="005E7C6B"/>
    <w:rsid w:val="005E7C8C"/>
    <w:rsid w:val="005F00D7"/>
    <w:rsid w:val="005F023E"/>
    <w:rsid w:val="005F02B0"/>
    <w:rsid w:val="005F0374"/>
    <w:rsid w:val="005F060D"/>
    <w:rsid w:val="005F0616"/>
    <w:rsid w:val="005F0619"/>
    <w:rsid w:val="005F07DC"/>
    <w:rsid w:val="005F085B"/>
    <w:rsid w:val="005F08F5"/>
    <w:rsid w:val="005F0950"/>
    <w:rsid w:val="005F0C34"/>
    <w:rsid w:val="005F0E93"/>
    <w:rsid w:val="005F0FB4"/>
    <w:rsid w:val="005F1132"/>
    <w:rsid w:val="005F1154"/>
    <w:rsid w:val="005F136B"/>
    <w:rsid w:val="005F17F2"/>
    <w:rsid w:val="005F19E6"/>
    <w:rsid w:val="005F1AD3"/>
    <w:rsid w:val="005F1CFD"/>
    <w:rsid w:val="005F2083"/>
    <w:rsid w:val="005F21FB"/>
    <w:rsid w:val="005F257C"/>
    <w:rsid w:val="005F2870"/>
    <w:rsid w:val="005F2A7F"/>
    <w:rsid w:val="005F2BB0"/>
    <w:rsid w:val="005F2C77"/>
    <w:rsid w:val="005F2D14"/>
    <w:rsid w:val="005F2FDF"/>
    <w:rsid w:val="005F3171"/>
    <w:rsid w:val="005F3AA9"/>
    <w:rsid w:val="005F3E5F"/>
    <w:rsid w:val="005F40B6"/>
    <w:rsid w:val="005F4421"/>
    <w:rsid w:val="005F486A"/>
    <w:rsid w:val="005F4927"/>
    <w:rsid w:val="005F49F4"/>
    <w:rsid w:val="005F4CDD"/>
    <w:rsid w:val="005F4D34"/>
    <w:rsid w:val="005F4E65"/>
    <w:rsid w:val="005F4F0C"/>
    <w:rsid w:val="005F5768"/>
    <w:rsid w:val="005F59E5"/>
    <w:rsid w:val="005F5A0F"/>
    <w:rsid w:val="005F5D21"/>
    <w:rsid w:val="005F5EDF"/>
    <w:rsid w:val="005F5F5D"/>
    <w:rsid w:val="005F63E4"/>
    <w:rsid w:val="005F64FB"/>
    <w:rsid w:val="005F675A"/>
    <w:rsid w:val="005F683A"/>
    <w:rsid w:val="005F6A28"/>
    <w:rsid w:val="005F6A4D"/>
    <w:rsid w:val="005F6BBB"/>
    <w:rsid w:val="005F6C45"/>
    <w:rsid w:val="005F6D15"/>
    <w:rsid w:val="005F6D7A"/>
    <w:rsid w:val="005F703A"/>
    <w:rsid w:val="005F7102"/>
    <w:rsid w:val="005F71EC"/>
    <w:rsid w:val="005F734D"/>
    <w:rsid w:val="005F789F"/>
    <w:rsid w:val="006000CD"/>
    <w:rsid w:val="00600152"/>
    <w:rsid w:val="00600265"/>
    <w:rsid w:val="006004A2"/>
    <w:rsid w:val="006007D3"/>
    <w:rsid w:val="006008CA"/>
    <w:rsid w:val="00600BBB"/>
    <w:rsid w:val="00600F05"/>
    <w:rsid w:val="006016A1"/>
    <w:rsid w:val="00601A07"/>
    <w:rsid w:val="00601C08"/>
    <w:rsid w:val="00601DDF"/>
    <w:rsid w:val="00602225"/>
    <w:rsid w:val="006022D0"/>
    <w:rsid w:val="006023B3"/>
    <w:rsid w:val="006023C7"/>
    <w:rsid w:val="0060251E"/>
    <w:rsid w:val="00602887"/>
    <w:rsid w:val="00602CD5"/>
    <w:rsid w:val="00602DDE"/>
    <w:rsid w:val="0060339B"/>
    <w:rsid w:val="00603528"/>
    <w:rsid w:val="00603552"/>
    <w:rsid w:val="00603A0D"/>
    <w:rsid w:val="00603AB4"/>
    <w:rsid w:val="00603F08"/>
    <w:rsid w:val="00603F1F"/>
    <w:rsid w:val="00604239"/>
    <w:rsid w:val="0060457A"/>
    <w:rsid w:val="006046E4"/>
    <w:rsid w:val="00604A31"/>
    <w:rsid w:val="00604A65"/>
    <w:rsid w:val="00604BC5"/>
    <w:rsid w:val="00604D5A"/>
    <w:rsid w:val="00605037"/>
    <w:rsid w:val="00605E0D"/>
    <w:rsid w:val="00605EFB"/>
    <w:rsid w:val="006061C0"/>
    <w:rsid w:val="006062C4"/>
    <w:rsid w:val="006063E4"/>
    <w:rsid w:val="006063FC"/>
    <w:rsid w:val="006064E8"/>
    <w:rsid w:val="00606776"/>
    <w:rsid w:val="00606B37"/>
    <w:rsid w:val="00606C58"/>
    <w:rsid w:val="00606F64"/>
    <w:rsid w:val="006070FE"/>
    <w:rsid w:val="00607291"/>
    <w:rsid w:val="00607305"/>
    <w:rsid w:val="0060732D"/>
    <w:rsid w:val="00607756"/>
    <w:rsid w:val="0060778E"/>
    <w:rsid w:val="00607AEF"/>
    <w:rsid w:val="00607C17"/>
    <w:rsid w:val="00610200"/>
    <w:rsid w:val="00610220"/>
    <w:rsid w:val="00610308"/>
    <w:rsid w:val="0061038C"/>
    <w:rsid w:val="006106C1"/>
    <w:rsid w:val="0061085A"/>
    <w:rsid w:val="00610B28"/>
    <w:rsid w:val="00610C1C"/>
    <w:rsid w:val="00610D4B"/>
    <w:rsid w:val="006110C2"/>
    <w:rsid w:val="006112FD"/>
    <w:rsid w:val="006113C5"/>
    <w:rsid w:val="0061169D"/>
    <w:rsid w:val="006116AF"/>
    <w:rsid w:val="00611737"/>
    <w:rsid w:val="00611C1D"/>
    <w:rsid w:val="00612065"/>
    <w:rsid w:val="006123B2"/>
    <w:rsid w:val="006123DB"/>
    <w:rsid w:val="006125E0"/>
    <w:rsid w:val="00612904"/>
    <w:rsid w:val="00612970"/>
    <w:rsid w:val="00612A39"/>
    <w:rsid w:val="00612B36"/>
    <w:rsid w:val="00612C4E"/>
    <w:rsid w:val="00612E32"/>
    <w:rsid w:val="00612FDD"/>
    <w:rsid w:val="0061316B"/>
    <w:rsid w:val="006136FB"/>
    <w:rsid w:val="00613929"/>
    <w:rsid w:val="00613A7F"/>
    <w:rsid w:val="00613BDC"/>
    <w:rsid w:val="00613ECE"/>
    <w:rsid w:val="006141A5"/>
    <w:rsid w:val="006148BD"/>
    <w:rsid w:val="006148C3"/>
    <w:rsid w:val="00614B35"/>
    <w:rsid w:val="00614BB9"/>
    <w:rsid w:val="00614DE8"/>
    <w:rsid w:val="00615440"/>
    <w:rsid w:val="0061564F"/>
    <w:rsid w:val="00615832"/>
    <w:rsid w:val="00615AE0"/>
    <w:rsid w:val="00615F06"/>
    <w:rsid w:val="0061625A"/>
    <w:rsid w:val="00616C42"/>
    <w:rsid w:val="00616E80"/>
    <w:rsid w:val="00616F71"/>
    <w:rsid w:val="0061709B"/>
    <w:rsid w:val="00617108"/>
    <w:rsid w:val="00617211"/>
    <w:rsid w:val="0061731A"/>
    <w:rsid w:val="0061750E"/>
    <w:rsid w:val="0061757B"/>
    <w:rsid w:val="0061784D"/>
    <w:rsid w:val="00617994"/>
    <w:rsid w:val="00617B8B"/>
    <w:rsid w:val="00617F79"/>
    <w:rsid w:val="0062002A"/>
    <w:rsid w:val="0062010D"/>
    <w:rsid w:val="00620231"/>
    <w:rsid w:val="00620262"/>
    <w:rsid w:val="00620467"/>
    <w:rsid w:val="0062046B"/>
    <w:rsid w:val="00620710"/>
    <w:rsid w:val="0062074C"/>
    <w:rsid w:val="006207B2"/>
    <w:rsid w:val="00620885"/>
    <w:rsid w:val="00620AFF"/>
    <w:rsid w:val="00620E50"/>
    <w:rsid w:val="00620EDC"/>
    <w:rsid w:val="00621336"/>
    <w:rsid w:val="00621625"/>
    <w:rsid w:val="0062183B"/>
    <w:rsid w:val="00621B6C"/>
    <w:rsid w:val="00621FE6"/>
    <w:rsid w:val="00622388"/>
    <w:rsid w:val="00622494"/>
    <w:rsid w:val="00622669"/>
    <w:rsid w:val="006229AE"/>
    <w:rsid w:val="00622B1A"/>
    <w:rsid w:val="00622E0B"/>
    <w:rsid w:val="00622F99"/>
    <w:rsid w:val="00622FE1"/>
    <w:rsid w:val="00623438"/>
    <w:rsid w:val="006237DE"/>
    <w:rsid w:val="006237E3"/>
    <w:rsid w:val="00623960"/>
    <w:rsid w:val="00623D96"/>
    <w:rsid w:val="00623E88"/>
    <w:rsid w:val="00624118"/>
    <w:rsid w:val="00624159"/>
    <w:rsid w:val="0062416C"/>
    <w:rsid w:val="006241BC"/>
    <w:rsid w:val="00624606"/>
    <w:rsid w:val="0062482F"/>
    <w:rsid w:val="00624B90"/>
    <w:rsid w:val="00624BA6"/>
    <w:rsid w:val="00624F7C"/>
    <w:rsid w:val="006250B7"/>
    <w:rsid w:val="006253B7"/>
    <w:rsid w:val="006254C0"/>
    <w:rsid w:val="006256A7"/>
    <w:rsid w:val="0062572E"/>
    <w:rsid w:val="00625968"/>
    <w:rsid w:val="00625A56"/>
    <w:rsid w:val="00625C77"/>
    <w:rsid w:val="00625CE5"/>
    <w:rsid w:val="00625DA4"/>
    <w:rsid w:val="00625EE9"/>
    <w:rsid w:val="00626171"/>
    <w:rsid w:val="00626216"/>
    <w:rsid w:val="0062621B"/>
    <w:rsid w:val="006267E9"/>
    <w:rsid w:val="00626DB2"/>
    <w:rsid w:val="00626E06"/>
    <w:rsid w:val="00626F07"/>
    <w:rsid w:val="0062707D"/>
    <w:rsid w:val="00630008"/>
    <w:rsid w:val="006300C5"/>
    <w:rsid w:val="0063024E"/>
    <w:rsid w:val="00630256"/>
    <w:rsid w:val="006302E1"/>
    <w:rsid w:val="00630B4E"/>
    <w:rsid w:val="00630C5E"/>
    <w:rsid w:val="00630CFB"/>
    <w:rsid w:val="006312AF"/>
    <w:rsid w:val="006315D8"/>
    <w:rsid w:val="00631873"/>
    <w:rsid w:val="00631AB6"/>
    <w:rsid w:val="00631BCE"/>
    <w:rsid w:val="00631DD7"/>
    <w:rsid w:val="00631E00"/>
    <w:rsid w:val="00631E33"/>
    <w:rsid w:val="00631E85"/>
    <w:rsid w:val="00632459"/>
    <w:rsid w:val="00632497"/>
    <w:rsid w:val="006325FF"/>
    <w:rsid w:val="0063264A"/>
    <w:rsid w:val="00632AF9"/>
    <w:rsid w:val="00632E50"/>
    <w:rsid w:val="00632ED3"/>
    <w:rsid w:val="00632F01"/>
    <w:rsid w:val="00633068"/>
    <w:rsid w:val="00633239"/>
    <w:rsid w:val="00633665"/>
    <w:rsid w:val="00633B99"/>
    <w:rsid w:val="00633D58"/>
    <w:rsid w:val="0063407B"/>
    <w:rsid w:val="0063440B"/>
    <w:rsid w:val="006345C9"/>
    <w:rsid w:val="0063472A"/>
    <w:rsid w:val="00634826"/>
    <w:rsid w:val="00634B42"/>
    <w:rsid w:val="00634C1E"/>
    <w:rsid w:val="00634CBE"/>
    <w:rsid w:val="00635027"/>
    <w:rsid w:val="006351F6"/>
    <w:rsid w:val="006355C4"/>
    <w:rsid w:val="00635685"/>
    <w:rsid w:val="00635726"/>
    <w:rsid w:val="00635B96"/>
    <w:rsid w:val="00635C5A"/>
    <w:rsid w:val="00635D5A"/>
    <w:rsid w:val="00635D95"/>
    <w:rsid w:val="00635E1A"/>
    <w:rsid w:val="00635F1D"/>
    <w:rsid w:val="006360F4"/>
    <w:rsid w:val="00636459"/>
    <w:rsid w:val="0063647E"/>
    <w:rsid w:val="00636694"/>
    <w:rsid w:val="0063670C"/>
    <w:rsid w:val="006368A0"/>
    <w:rsid w:val="00636A58"/>
    <w:rsid w:val="00636B6A"/>
    <w:rsid w:val="00636FA7"/>
    <w:rsid w:val="00637028"/>
    <w:rsid w:val="0063713E"/>
    <w:rsid w:val="00637170"/>
    <w:rsid w:val="00637208"/>
    <w:rsid w:val="006373E2"/>
    <w:rsid w:val="00637408"/>
    <w:rsid w:val="006375AE"/>
    <w:rsid w:val="00637CBA"/>
    <w:rsid w:val="006403E3"/>
    <w:rsid w:val="0064083F"/>
    <w:rsid w:val="00640849"/>
    <w:rsid w:val="00640962"/>
    <w:rsid w:val="00640BCE"/>
    <w:rsid w:val="00640C62"/>
    <w:rsid w:val="00640DEA"/>
    <w:rsid w:val="00640E49"/>
    <w:rsid w:val="00641011"/>
    <w:rsid w:val="00641525"/>
    <w:rsid w:val="00641D96"/>
    <w:rsid w:val="006423AA"/>
    <w:rsid w:val="00642411"/>
    <w:rsid w:val="00642483"/>
    <w:rsid w:val="0064264A"/>
    <w:rsid w:val="006428FE"/>
    <w:rsid w:val="00642C77"/>
    <w:rsid w:val="00642D26"/>
    <w:rsid w:val="0064319B"/>
    <w:rsid w:val="0064330D"/>
    <w:rsid w:val="0064357C"/>
    <w:rsid w:val="00643AF4"/>
    <w:rsid w:val="00643D85"/>
    <w:rsid w:val="00643E35"/>
    <w:rsid w:val="00643EFF"/>
    <w:rsid w:val="00643F83"/>
    <w:rsid w:val="00644135"/>
    <w:rsid w:val="006441A0"/>
    <w:rsid w:val="0064422A"/>
    <w:rsid w:val="0064462B"/>
    <w:rsid w:val="00644A7B"/>
    <w:rsid w:val="00644C0E"/>
    <w:rsid w:val="00644CF9"/>
    <w:rsid w:val="00644D3A"/>
    <w:rsid w:val="00644D84"/>
    <w:rsid w:val="00644E0D"/>
    <w:rsid w:val="00644F0D"/>
    <w:rsid w:val="00644FC4"/>
    <w:rsid w:val="00645188"/>
    <w:rsid w:val="00645358"/>
    <w:rsid w:val="00645369"/>
    <w:rsid w:val="00645795"/>
    <w:rsid w:val="006457FE"/>
    <w:rsid w:val="00645DA5"/>
    <w:rsid w:val="00646135"/>
    <w:rsid w:val="0064618F"/>
    <w:rsid w:val="0064652F"/>
    <w:rsid w:val="006465C7"/>
    <w:rsid w:val="0064672C"/>
    <w:rsid w:val="006467AE"/>
    <w:rsid w:val="00646A1F"/>
    <w:rsid w:val="00646BB3"/>
    <w:rsid w:val="00646F54"/>
    <w:rsid w:val="00646F86"/>
    <w:rsid w:val="006470C4"/>
    <w:rsid w:val="00647163"/>
    <w:rsid w:val="0064722E"/>
    <w:rsid w:val="0064728E"/>
    <w:rsid w:val="0064732B"/>
    <w:rsid w:val="0064737F"/>
    <w:rsid w:val="006474F2"/>
    <w:rsid w:val="006479EE"/>
    <w:rsid w:val="00647AB5"/>
    <w:rsid w:val="00647B14"/>
    <w:rsid w:val="00647C4B"/>
    <w:rsid w:val="006502AB"/>
    <w:rsid w:val="006503BE"/>
    <w:rsid w:val="00650400"/>
    <w:rsid w:val="006505D1"/>
    <w:rsid w:val="00650A65"/>
    <w:rsid w:val="00650A75"/>
    <w:rsid w:val="00650E6D"/>
    <w:rsid w:val="00651019"/>
    <w:rsid w:val="006512D6"/>
    <w:rsid w:val="006513EE"/>
    <w:rsid w:val="0065173E"/>
    <w:rsid w:val="00651B32"/>
    <w:rsid w:val="00651E83"/>
    <w:rsid w:val="006521F8"/>
    <w:rsid w:val="006522D9"/>
    <w:rsid w:val="006522DF"/>
    <w:rsid w:val="00652880"/>
    <w:rsid w:val="00652B98"/>
    <w:rsid w:val="00652C3A"/>
    <w:rsid w:val="00652D42"/>
    <w:rsid w:val="00652D5E"/>
    <w:rsid w:val="00652DB7"/>
    <w:rsid w:val="006537C4"/>
    <w:rsid w:val="0065394F"/>
    <w:rsid w:val="00653B1B"/>
    <w:rsid w:val="00653B60"/>
    <w:rsid w:val="00653F22"/>
    <w:rsid w:val="00653F5F"/>
    <w:rsid w:val="0065406B"/>
    <w:rsid w:val="006541F5"/>
    <w:rsid w:val="006543BA"/>
    <w:rsid w:val="006547C8"/>
    <w:rsid w:val="0065497D"/>
    <w:rsid w:val="00654E64"/>
    <w:rsid w:val="00654F80"/>
    <w:rsid w:val="00655141"/>
    <w:rsid w:val="0065525B"/>
    <w:rsid w:val="006553F3"/>
    <w:rsid w:val="006556D1"/>
    <w:rsid w:val="006556D9"/>
    <w:rsid w:val="006559D2"/>
    <w:rsid w:val="00655A68"/>
    <w:rsid w:val="00655A7E"/>
    <w:rsid w:val="00655B43"/>
    <w:rsid w:val="00655BE3"/>
    <w:rsid w:val="00655E50"/>
    <w:rsid w:val="00655FB6"/>
    <w:rsid w:val="006564CB"/>
    <w:rsid w:val="00656565"/>
    <w:rsid w:val="006565BE"/>
    <w:rsid w:val="00656775"/>
    <w:rsid w:val="006567FA"/>
    <w:rsid w:val="00656B2F"/>
    <w:rsid w:val="00657123"/>
    <w:rsid w:val="00657189"/>
    <w:rsid w:val="006571A8"/>
    <w:rsid w:val="0065724E"/>
    <w:rsid w:val="00657567"/>
    <w:rsid w:val="00657AEB"/>
    <w:rsid w:val="00657E85"/>
    <w:rsid w:val="00657F90"/>
    <w:rsid w:val="0066014E"/>
    <w:rsid w:val="00660157"/>
    <w:rsid w:val="00660198"/>
    <w:rsid w:val="006601B6"/>
    <w:rsid w:val="0066045C"/>
    <w:rsid w:val="00660656"/>
    <w:rsid w:val="006613C0"/>
    <w:rsid w:val="0066194E"/>
    <w:rsid w:val="00661A0B"/>
    <w:rsid w:val="00661ABE"/>
    <w:rsid w:val="00661C46"/>
    <w:rsid w:val="00661D10"/>
    <w:rsid w:val="00661D3C"/>
    <w:rsid w:val="00661DD1"/>
    <w:rsid w:val="00661F36"/>
    <w:rsid w:val="0066202F"/>
    <w:rsid w:val="00662072"/>
    <w:rsid w:val="00662570"/>
    <w:rsid w:val="00662571"/>
    <w:rsid w:val="0066275B"/>
    <w:rsid w:val="00662B6D"/>
    <w:rsid w:val="00662CE5"/>
    <w:rsid w:val="006631BF"/>
    <w:rsid w:val="006633B4"/>
    <w:rsid w:val="006635EA"/>
    <w:rsid w:val="006636A0"/>
    <w:rsid w:val="006637BE"/>
    <w:rsid w:val="00663856"/>
    <w:rsid w:val="00663929"/>
    <w:rsid w:val="00663A27"/>
    <w:rsid w:val="00663DFB"/>
    <w:rsid w:val="006640A6"/>
    <w:rsid w:val="006644E1"/>
    <w:rsid w:val="006645EC"/>
    <w:rsid w:val="006645ED"/>
    <w:rsid w:val="00664642"/>
    <w:rsid w:val="006646CC"/>
    <w:rsid w:val="00664B92"/>
    <w:rsid w:val="00664BC3"/>
    <w:rsid w:val="00664E13"/>
    <w:rsid w:val="006651E9"/>
    <w:rsid w:val="006652D3"/>
    <w:rsid w:val="0066552D"/>
    <w:rsid w:val="00665574"/>
    <w:rsid w:val="00665888"/>
    <w:rsid w:val="00665A2B"/>
    <w:rsid w:val="00665EE8"/>
    <w:rsid w:val="00666367"/>
    <w:rsid w:val="00666972"/>
    <w:rsid w:val="00666CAD"/>
    <w:rsid w:val="00666CBE"/>
    <w:rsid w:val="006671B7"/>
    <w:rsid w:val="0066727E"/>
    <w:rsid w:val="006672EF"/>
    <w:rsid w:val="006679F8"/>
    <w:rsid w:val="00667BBC"/>
    <w:rsid w:val="00667BC6"/>
    <w:rsid w:val="00667CF3"/>
    <w:rsid w:val="00667E32"/>
    <w:rsid w:val="00667F94"/>
    <w:rsid w:val="006701E0"/>
    <w:rsid w:val="00670380"/>
    <w:rsid w:val="00670C07"/>
    <w:rsid w:val="00670F81"/>
    <w:rsid w:val="00671047"/>
    <w:rsid w:val="00671636"/>
    <w:rsid w:val="006716C0"/>
    <w:rsid w:val="006718CE"/>
    <w:rsid w:val="006719B2"/>
    <w:rsid w:val="00671B3A"/>
    <w:rsid w:val="00671C3F"/>
    <w:rsid w:val="00671E93"/>
    <w:rsid w:val="00671F47"/>
    <w:rsid w:val="00672026"/>
    <w:rsid w:val="00672235"/>
    <w:rsid w:val="006726CD"/>
    <w:rsid w:val="00672762"/>
    <w:rsid w:val="0067291A"/>
    <w:rsid w:val="006729F9"/>
    <w:rsid w:val="00672C45"/>
    <w:rsid w:val="00672CA7"/>
    <w:rsid w:val="00672D1A"/>
    <w:rsid w:val="0067319C"/>
    <w:rsid w:val="006731DF"/>
    <w:rsid w:val="0067380C"/>
    <w:rsid w:val="00673858"/>
    <w:rsid w:val="00673DC1"/>
    <w:rsid w:val="00673DD5"/>
    <w:rsid w:val="00673E04"/>
    <w:rsid w:val="00673E17"/>
    <w:rsid w:val="00673F75"/>
    <w:rsid w:val="00674AB3"/>
    <w:rsid w:val="00674DBC"/>
    <w:rsid w:val="00674ED9"/>
    <w:rsid w:val="0067518D"/>
    <w:rsid w:val="00675269"/>
    <w:rsid w:val="0067562B"/>
    <w:rsid w:val="006757FC"/>
    <w:rsid w:val="006758BF"/>
    <w:rsid w:val="006758C9"/>
    <w:rsid w:val="006758DE"/>
    <w:rsid w:val="0067593B"/>
    <w:rsid w:val="006759A8"/>
    <w:rsid w:val="00675A5F"/>
    <w:rsid w:val="00675E59"/>
    <w:rsid w:val="00675ECD"/>
    <w:rsid w:val="006764C7"/>
    <w:rsid w:val="006766ED"/>
    <w:rsid w:val="006769C4"/>
    <w:rsid w:val="00676C6F"/>
    <w:rsid w:val="0067742C"/>
    <w:rsid w:val="00677627"/>
    <w:rsid w:val="00677732"/>
    <w:rsid w:val="006777E6"/>
    <w:rsid w:val="00677BD5"/>
    <w:rsid w:val="00677E3C"/>
    <w:rsid w:val="006801E4"/>
    <w:rsid w:val="0068025E"/>
    <w:rsid w:val="0068051B"/>
    <w:rsid w:val="0068068D"/>
    <w:rsid w:val="00680771"/>
    <w:rsid w:val="006809F2"/>
    <w:rsid w:val="00680A78"/>
    <w:rsid w:val="00680B98"/>
    <w:rsid w:val="00680DD6"/>
    <w:rsid w:val="006813F6"/>
    <w:rsid w:val="0068150F"/>
    <w:rsid w:val="0068159B"/>
    <w:rsid w:val="00681E2F"/>
    <w:rsid w:val="00682374"/>
    <w:rsid w:val="006823D2"/>
    <w:rsid w:val="006823DD"/>
    <w:rsid w:val="00682671"/>
    <w:rsid w:val="00682AB4"/>
    <w:rsid w:val="00682BC2"/>
    <w:rsid w:val="00682DE3"/>
    <w:rsid w:val="00682E55"/>
    <w:rsid w:val="006832D8"/>
    <w:rsid w:val="00683695"/>
    <w:rsid w:val="00683722"/>
    <w:rsid w:val="00683B36"/>
    <w:rsid w:val="00683CE7"/>
    <w:rsid w:val="00684044"/>
    <w:rsid w:val="006843F6"/>
    <w:rsid w:val="006844C2"/>
    <w:rsid w:val="006844D9"/>
    <w:rsid w:val="0068471B"/>
    <w:rsid w:val="0068488C"/>
    <w:rsid w:val="0068494A"/>
    <w:rsid w:val="006849A5"/>
    <w:rsid w:val="00684BAB"/>
    <w:rsid w:val="00684BF8"/>
    <w:rsid w:val="006851A2"/>
    <w:rsid w:val="00685314"/>
    <w:rsid w:val="0068535D"/>
    <w:rsid w:val="00685403"/>
    <w:rsid w:val="00685516"/>
    <w:rsid w:val="0068562D"/>
    <w:rsid w:val="0068570F"/>
    <w:rsid w:val="00685A04"/>
    <w:rsid w:val="00685DAC"/>
    <w:rsid w:val="00685DC9"/>
    <w:rsid w:val="00685F27"/>
    <w:rsid w:val="00686118"/>
    <w:rsid w:val="006861C0"/>
    <w:rsid w:val="00686411"/>
    <w:rsid w:val="00686596"/>
    <w:rsid w:val="00686634"/>
    <w:rsid w:val="006869E6"/>
    <w:rsid w:val="00686B1F"/>
    <w:rsid w:val="00686C74"/>
    <w:rsid w:val="00686CC2"/>
    <w:rsid w:val="00686D00"/>
    <w:rsid w:val="00686D87"/>
    <w:rsid w:val="00686F0F"/>
    <w:rsid w:val="00687093"/>
    <w:rsid w:val="0068729E"/>
    <w:rsid w:val="0068733B"/>
    <w:rsid w:val="006873FC"/>
    <w:rsid w:val="0068743E"/>
    <w:rsid w:val="00687777"/>
    <w:rsid w:val="00687932"/>
    <w:rsid w:val="00687B4B"/>
    <w:rsid w:val="00687C97"/>
    <w:rsid w:val="00687D0E"/>
    <w:rsid w:val="00690319"/>
    <w:rsid w:val="00690324"/>
    <w:rsid w:val="006903F5"/>
    <w:rsid w:val="00690E71"/>
    <w:rsid w:val="00690F41"/>
    <w:rsid w:val="00691373"/>
    <w:rsid w:val="00691459"/>
    <w:rsid w:val="006914E6"/>
    <w:rsid w:val="006916A1"/>
    <w:rsid w:val="006919CA"/>
    <w:rsid w:val="00691D09"/>
    <w:rsid w:val="00691EA2"/>
    <w:rsid w:val="0069204C"/>
    <w:rsid w:val="006923B5"/>
    <w:rsid w:val="0069244F"/>
    <w:rsid w:val="006928FB"/>
    <w:rsid w:val="00692AB0"/>
    <w:rsid w:val="006931B1"/>
    <w:rsid w:val="00693242"/>
    <w:rsid w:val="006932E9"/>
    <w:rsid w:val="00693661"/>
    <w:rsid w:val="006936BF"/>
    <w:rsid w:val="006939B6"/>
    <w:rsid w:val="006939F4"/>
    <w:rsid w:val="00693C87"/>
    <w:rsid w:val="00693CBF"/>
    <w:rsid w:val="00693D3E"/>
    <w:rsid w:val="00693FFB"/>
    <w:rsid w:val="0069406F"/>
    <w:rsid w:val="006940C6"/>
    <w:rsid w:val="00694527"/>
    <w:rsid w:val="0069457A"/>
    <w:rsid w:val="006946A3"/>
    <w:rsid w:val="00694704"/>
    <w:rsid w:val="00694B7A"/>
    <w:rsid w:val="00694D53"/>
    <w:rsid w:val="00694D70"/>
    <w:rsid w:val="00694FD4"/>
    <w:rsid w:val="006953F2"/>
    <w:rsid w:val="0069561C"/>
    <w:rsid w:val="00695958"/>
    <w:rsid w:val="00695AA5"/>
    <w:rsid w:val="00695FCA"/>
    <w:rsid w:val="0069601C"/>
    <w:rsid w:val="006961B8"/>
    <w:rsid w:val="00696335"/>
    <w:rsid w:val="00696355"/>
    <w:rsid w:val="00696438"/>
    <w:rsid w:val="0069659F"/>
    <w:rsid w:val="0069674A"/>
    <w:rsid w:val="0069676C"/>
    <w:rsid w:val="00696911"/>
    <w:rsid w:val="00696B0B"/>
    <w:rsid w:val="00696B77"/>
    <w:rsid w:val="00696C18"/>
    <w:rsid w:val="00696D81"/>
    <w:rsid w:val="00696F5D"/>
    <w:rsid w:val="006971AF"/>
    <w:rsid w:val="006972B4"/>
    <w:rsid w:val="00697842"/>
    <w:rsid w:val="006978E5"/>
    <w:rsid w:val="00697AC9"/>
    <w:rsid w:val="00697D19"/>
    <w:rsid w:val="00697F25"/>
    <w:rsid w:val="006A04B3"/>
    <w:rsid w:val="006A05C7"/>
    <w:rsid w:val="006A07AF"/>
    <w:rsid w:val="006A08AC"/>
    <w:rsid w:val="006A08CA"/>
    <w:rsid w:val="006A0B03"/>
    <w:rsid w:val="006A0B7C"/>
    <w:rsid w:val="006A0C3D"/>
    <w:rsid w:val="006A0D8E"/>
    <w:rsid w:val="006A0EBF"/>
    <w:rsid w:val="006A102D"/>
    <w:rsid w:val="006A11E4"/>
    <w:rsid w:val="006A147D"/>
    <w:rsid w:val="006A14E5"/>
    <w:rsid w:val="006A160C"/>
    <w:rsid w:val="006A1630"/>
    <w:rsid w:val="006A16F0"/>
    <w:rsid w:val="006A175F"/>
    <w:rsid w:val="006A196B"/>
    <w:rsid w:val="006A1D09"/>
    <w:rsid w:val="006A1EBD"/>
    <w:rsid w:val="006A1FDB"/>
    <w:rsid w:val="006A2024"/>
    <w:rsid w:val="006A22C9"/>
    <w:rsid w:val="006A25C2"/>
    <w:rsid w:val="006A2742"/>
    <w:rsid w:val="006A27EC"/>
    <w:rsid w:val="006A29E2"/>
    <w:rsid w:val="006A2AB9"/>
    <w:rsid w:val="006A2DB4"/>
    <w:rsid w:val="006A372F"/>
    <w:rsid w:val="006A3912"/>
    <w:rsid w:val="006A3E0E"/>
    <w:rsid w:val="006A410A"/>
    <w:rsid w:val="006A43FA"/>
    <w:rsid w:val="006A47ED"/>
    <w:rsid w:val="006A4883"/>
    <w:rsid w:val="006A4D05"/>
    <w:rsid w:val="006A4D8E"/>
    <w:rsid w:val="006A4DFF"/>
    <w:rsid w:val="006A4E52"/>
    <w:rsid w:val="006A4FC8"/>
    <w:rsid w:val="006A5005"/>
    <w:rsid w:val="006A55E1"/>
    <w:rsid w:val="006A5D86"/>
    <w:rsid w:val="006A5E53"/>
    <w:rsid w:val="006A607B"/>
    <w:rsid w:val="006A69C4"/>
    <w:rsid w:val="006A6C1E"/>
    <w:rsid w:val="006A6C8A"/>
    <w:rsid w:val="006A6E27"/>
    <w:rsid w:val="006A6FB3"/>
    <w:rsid w:val="006A72B0"/>
    <w:rsid w:val="006A73EC"/>
    <w:rsid w:val="006A74E5"/>
    <w:rsid w:val="006A7501"/>
    <w:rsid w:val="006A78A9"/>
    <w:rsid w:val="006A7A7C"/>
    <w:rsid w:val="006A7D1C"/>
    <w:rsid w:val="006A7EB1"/>
    <w:rsid w:val="006B02C4"/>
    <w:rsid w:val="006B06E3"/>
    <w:rsid w:val="006B06E8"/>
    <w:rsid w:val="006B075C"/>
    <w:rsid w:val="006B09B0"/>
    <w:rsid w:val="006B0F29"/>
    <w:rsid w:val="006B13AD"/>
    <w:rsid w:val="006B16C4"/>
    <w:rsid w:val="006B1C49"/>
    <w:rsid w:val="006B1DAF"/>
    <w:rsid w:val="006B1FC0"/>
    <w:rsid w:val="006B2321"/>
    <w:rsid w:val="006B288B"/>
    <w:rsid w:val="006B2929"/>
    <w:rsid w:val="006B2BFF"/>
    <w:rsid w:val="006B2D0F"/>
    <w:rsid w:val="006B2D1A"/>
    <w:rsid w:val="006B2D30"/>
    <w:rsid w:val="006B2FC4"/>
    <w:rsid w:val="006B3272"/>
    <w:rsid w:val="006B3585"/>
    <w:rsid w:val="006B36AE"/>
    <w:rsid w:val="006B3980"/>
    <w:rsid w:val="006B3C34"/>
    <w:rsid w:val="006B3D24"/>
    <w:rsid w:val="006B3E4D"/>
    <w:rsid w:val="006B3EB1"/>
    <w:rsid w:val="006B4118"/>
    <w:rsid w:val="006B417B"/>
    <w:rsid w:val="006B472F"/>
    <w:rsid w:val="006B4D90"/>
    <w:rsid w:val="006B4F4D"/>
    <w:rsid w:val="006B4FA7"/>
    <w:rsid w:val="006B5091"/>
    <w:rsid w:val="006B50B8"/>
    <w:rsid w:val="006B54F1"/>
    <w:rsid w:val="006B55F4"/>
    <w:rsid w:val="006B5859"/>
    <w:rsid w:val="006B5B85"/>
    <w:rsid w:val="006B5D79"/>
    <w:rsid w:val="006B5FBC"/>
    <w:rsid w:val="006B6000"/>
    <w:rsid w:val="006B64A7"/>
    <w:rsid w:val="006B64CA"/>
    <w:rsid w:val="006B654C"/>
    <w:rsid w:val="006B656A"/>
    <w:rsid w:val="006B669B"/>
    <w:rsid w:val="006B68E1"/>
    <w:rsid w:val="006B6ADB"/>
    <w:rsid w:val="006B6AEF"/>
    <w:rsid w:val="006B6B71"/>
    <w:rsid w:val="006B6EF0"/>
    <w:rsid w:val="006B6F90"/>
    <w:rsid w:val="006B712A"/>
    <w:rsid w:val="006B7153"/>
    <w:rsid w:val="006B7192"/>
    <w:rsid w:val="006B7264"/>
    <w:rsid w:val="006B72BA"/>
    <w:rsid w:val="006B753B"/>
    <w:rsid w:val="006B7868"/>
    <w:rsid w:val="006C0134"/>
    <w:rsid w:val="006C049B"/>
    <w:rsid w:val="006C0635"/>
    <w:rsid w:val="006C06E5"/>
    <w:rsid w:val="006C07A9"/>
    <w:rsid w:val="006C0903"/>
    <w:rsid w:val="006C0D7C"/>
    <w:rsid w:val="006C10ED"/>
    <w:rsid w:val="006C112C"/>
    <w:rsid w:val="006C12F8"/>
    <w:rsid w:val="006C1383"/>
    <w:rsid w:val="006C13A3"/>
    <w:rsid w:val="006C1425"/>
    <w:rsid w:val="006C16FD"/>
    <w:rsid w:val="006C1796"/>
    <w:rsid w:val="006C199F"/>
    <w:rsid w:val="006C20FF"/>
    <w:rsid w:val="006C2832"/>
    <w:rsid w:val="006C2C86"/>
    <w:rsid w:val="006C2D1A"/>
    <w:rsid w:val="006C3376"/>
    <w:rsid w:val="006C3419"/>
    <w:rsid w:val="006C34A1"/>
    <w:rsid w:val="006C3A48"/>
    <w:rsid w:val="006C3B2B"/>
    <w:rsid w:val="006C3B31"/>
    <w:rsid w:val="006C3C24"/>
    <w:rsid w:val="006C3D01"/>
    <w:rsid w:val="006C3D6A"/>
    <w:rsid w:val="006C3E57"/>
    <w:rsid w:val="006C3EF3"/>
    <w:rsid w:val="006C4043"/>
    <w:rsid w:val="006C41AE"/>
    <w:rsid w:val="006C41ED"/>
    <w:rsid w:val="006C47D0"/>
    <w:rsid w:val="006C47D6"/>
    <w:rsid w:val="006C4802"/>
    <w:rsid w:val="006C4950"/>
    <w:rsid w:val="006C4AE9"/>
    <w:rsid w:val="006C4C4D"/>
    <w:rsid w:val="006C51E7"/>
    <w:rsid w:val="006C52B9"/>
    <w:rsid w:val="006C536C"/>
    <w:rsid w:val="006C559A"/>
    <w:rsid w:val="006C585E"/>
    <w:rsid w:val="006C5866"/>
    <w:rsid w:val="006C58E3"/>
    <w:rsid w:val="006C5C20"/>
    <w:rsid w:val="006C5CDD"/>
    <w:rsid w:val="006C5D0C"/>
    <w:rsid w:val="006C5F6D"/>
    <w:rsid w:val="006C62FA"/>
    <w:rsid w:val="006C6513"/>
    <w:rsid w:val="006C676F"/>
    <w:rsid w:val="006C679F"/>
    <w:rsid w:val="006C67B9"/>
    <w:rsid w:val="006C6D14"/>
    <w:rsid w:val="006C6EE5"/>
    <w:rsid w:val="006C7019"/>
    <w:rsid w:val="006C729D"/>
    <w:rsid w:val="006C7362"/>
    <w:rsid w:val="006C7500"/>
    <w:rsid w:val="006C7692"/>
    <w:rsid w:val="006C7C50"/>
    <w:rsid w:val="006C7C8D"/>
    <w:rsid w:val="006C7FB8"/>
    <w:rsid w:val="006CE3B3"/>
    <w:rsid w:val="006D0186"/>
    <w:rsid w:val="006D055C"/>
    <w:rsid w:val="006D0561"/>
    <w:rsid w:val="006D0605"/>
    <w:rsid w:val="006D087C"/>
    <w:rsid w:val="006D08C9"/>
    <w:rsid w:val="006D098F"/>
    <w:rsid w:val="006D1247"/>
    <w:rsid w:val="006D12D6"/>
    <w:rsid w:val="006D16ED"/>
    <w:rsid w:val="006D1779"/>
    <w:rsid w:val="006D1870"/>
    <w:rsid w:val="006D19D6"/>
    <w:rsid w:val="006D1A50"/>
    <w:rsid w:val="006D1DFE"/>
    <w:rsid w:val="006D20A4"/>
    <w:rsid w:val="006D2560"/>
    <w:rsid w:val="006D29AF"/>
    <w:rsid w:val="006D2A42"/>
    <w:rsid w:val="006D2E50"/>
    <w:rsid w:val="006D31CD"/>
    <w:rsid w:val="006D328B"/>
    <w:rsid w:val="006D362B"/>
    <w:rsid w:val="006D3744"/>
    <w:rsid w:val="006D398E"/>
    <w:rsid w:val="006D3A6A"/>
    <w:rsid w:val="006D41CE"/>
    <w:rsid w:val="006D4431"/>
    <w:rsid w:val="006D460E"/>
    <w:rsid w:val="006D4725"/>
    <w:rsid w:val="006D472A"/>
    <w:rsid w:val="006D4BD0"/>
    <w:rsid w:val="006D4D61"/>
    <w:rsid w:val="006D5201"/>
    <w:rsid w:val="006D52E9"/>
    <w:rsid w:val="006D5313"/>
    <w:rsid w:val="006D5510"/>
    <w:rsid w:val="006D55C0"/>
    <w:rsid w:val="006D5886"/>
    <w:rsid w:val="006D5D57"/>
    <w:rsid w:val="006D5E6F"/>
    <w:rsid w:val="006D5F7D"/>
    <w:rsid w:val="006D60B4"/>
    <w:rsid w:val="006D6989"/>
    <w:rsid w:val="006D6C48"/>
    <w:rsid w:val="006D6F24"/>
    <w:rsid w:val="006D70CB"/>
    <w:rsid w:val="006D746A"/>
    <w:rsid w:val="006D752F"/>
    <w:rsid w:val="006D7652"/>
    <w:rsid w:val="006D7C7E"/>
    <w:rsid w:val="006D7CD4"/>
    <w:rsid w:val="006D7E86"/>
    <w:rsid w:val="006D7F5A"/>
    <w:rsid w:val="006E03BF"/>
    <w:rsid w:val="006E058C"/>
    <w:rsid w:val="006E08E6"/>
    <w:rsid w:val="006E0922"/>
    <w:rsid w:val="006E0973"/>
    <w:rsid w:val="006E0CE1"/>
    <w:rsid w:val="006E0E6F"/>
    <w:rsid w:val="006E0F5D"/>
    <w:rsid w:val="006E0F9D"/>
    <w:rsid w:val="006E0FA4"/>
    <w:rsid w:val="006E0FA8"/>
    <w:rsid w:val="006E1033"/>
    <w:rsid w:val="006E15E8"/>
    <w:rsid w:val="006E1629"/>
    <w:rsid w:val="006E1A3B"/>
    <w:rsid w:val="006E1C26"/>
    <w:rsid w:val="006E1D89"/>
    <w:rsid w:val="006E1E8C"/>
    <w:rsid w:val="006E1E92"/>
    <w:rsid w:val="006E2429"/>
    <w:rsid w:val="006E2656"/>
    <w:rsid w:val="006E2833"/>
    <w:rsid w:val="006E2BB3"/>
    <w:rsid w:val="006E2E53"/>
    <w:rsid w:val="006E2F0C"/>
    <w:rsid w:val="006E30C6"/>
    <w:rsid w:val="006E3623"/>
    <w:rsid w:val="006E3834"/>
    <w:rsid w:val="006E3888"/>
    <w:rsid w:val="006E3C05"/>
    <w:rsid w:val="006E3DB0"/>
    <w:rsid w:val="006E4021"/>
    <w:rsid w:val="006E4654"/>
    <w:rsid w:val="006E46F9"/>
    <w:rsid w:val="006E48EE"/>
    <w:rsid w:val="006E4D4B"/>
    <w:rsid w:val="006E50E1"/>
    <w:rsid w:val="006E5147"/>
    <w:rsid w:val="006E55DE"/>
    <w:rsid w:val="006E5934"/>
    <w:rsid w:val="006E5B1D"/>
    <w:rsid w:val="006E5D8E"/>
    <w:rsid w:val="006E5EEF"/>
    <w:rsid w:val="006E626F"/>
    <w:rsid w:val="006E6272"/>
    <w:rsid w:val="006E630A"/>
    <w:rsid w:val="006E63DD"/>
    <w:rsid w:val="006E654D"/>
    <w:rsid w:val="006E669B"/>
    <w:rsid w:val="006E6779"/>
    <w:rsid w:val="006E6A54"/>
    <w:rsid w:val="006E6ABB"/>
    <w:rsid w:val="006E6BAF"/>
    <w:rsid w:val="006E6BB3"/>
    <w:rsid w:val="006E6BC2"/>
    <w:rsid w:val="006E6C6B"/>
    <w:rsid w:val="006E7090"/>
    <w:rsid w:val="006E711C"/>
    <w:rsid w:val="006E7143"/>
    <w:rsid w:val="006E7304"/>
    <w:rsid w:val="006E7505"/>
    <w:rsid w:val="006E76D1"/>
    <w:rsid w:val="006E77A5"/>
    <w:rsid w:val="006E77BB"/>
    <w:rsid w:val="006E785A"/>
    <w:rsid w:val="006F02B5"/>
    <w:rsid w:val="006F061C"/>
    <w:rsid w:val="006F0800"/>
    <w:rsid w:val="006F08FA"/>
    <w:rsid w:val="006F0A6B"/>
    <w:rsid w:val="006F1024"/>
    <w:rsid w:val="006F1243"/>
    <w:rsid w:val="006F13E0"/>
    <w:rsid w:val="006F1450"/>
    <w:rsid w:val="006F1576"/>
    <w:rsid w:val="006F1886"/>
    <w:rsid w:val="006F1C6A"/>
    <w:rsid w:val="006F205C"/>
    <w:rsid w:val="006F23EF"/>
    <w:rsid w:val="006F2801"/>
    <w:rsid w:val="006F28D1"/>
    <w:rsid w:val="006F2A0D"/>
    <w:rsid w:val="006F32B2"/>
    <w:rsid w:val="006F36F1"/>
    <w:rsid w:val="006F3ABE"/>
    <w:rsid w:val="006F3C1F"/>
    <w:rsid w:val="006F3FCE"/>
    <w:rsid w:val="006F42B5"/>
    <w:rsid w:val="006F44E7"/>
    <w:rsid w:val="006F477D"/>
    <w:rsid w:val="006F48C6"/>
    <w:rsid w:val="006F4928"/>
    <w:rsid w:val="006F50F8"/>
    <w:rsid w:val="006F524B"/>
    <w:rsid w:val="006F532D"/>
    <w:rsid w:val="006F5430"/>
    <w:rsid w:val="006F54C9"/>
    <w:rsid w:val="006F575B"/>
    <w:rsid w:val="006F5ACA"/>
    <w:rsid w:val="006F5C34"/>
    <w:rsid w:val="006F5C35"/>
    <w:rsid w:val="006F5E26"/>
    <w:rsid w:val="006F6303"/>
    <w:rsid w:val="006F6316"/>
    <w:rsid w:val="006F6526"/>
    <w:rsid w:val="006F6795"/>
    <w:rsid w:val="006F6885"/>
    <w:rsid w:val="006F7497"/>
    <w:rsid w:val="006F777B"/>
    <w:rsid w:val="006F79AB"/>
    <w:rsid w:val="006F7BF7"/>
    <w:rsid w:val="006F7DEF"/>
    <w:rsid w:val="00700159"/>
    <w:rsid w:val="007007CF"/>
    <w:rsid w:val="00700AA4"/>
    <w:rsid w:val="00700D46"/>
    <w:rsid w:val="00700EA8"/>
    <w:rsid w:val="00701182"/>
    <w:rsid w:val="007011CC"/>
    <w:rsid w:val="00701388"/>
    <w:rsid w:val="0070150E"/>
    <w:rsid w:val="007016DD"/>
    <w:rsid w:val="00701715"/>
    <w:rsid w:val="007017CE"/>
    <w:rsid w:val="00701CC3"/>
    <w:rsid w:val="00702977"/>
    <w:rsid w:val="00702CBD"/>
    <w:rsid w:val="00702FEC"/>
    <w:rsid w:val="0070319D"/>
    <w:rsid w:val="00703238"/>
    <w:rsid w:val="007034FA"/>
    <w:rsid w:val="007035C3"/>
    <w:rsid w:val="007035DC"/>
    <w:rsid w:val="007036E1"/>
    <w:rsid w:val="007037DF"/>
    <w:rsid w:val="007037E0"/>
    <w:rsid w:val="00703BB3"/>
    <w:rsid w:val="00703F05"/>
    <w:rsid w:val="00703F92"/>
    <w:rsid w:val="00704080"/>
    <w:rsid w:val="00704164"/>
    <w:rsid w:val="007041F9"/>
    <w:rsid w:val="0070436A"/>
    <w:rsid w:val="007043D6"/>
    <w:rsid w:val="0070461B"/>
    <w:rsid w:val="00704DD6"/>
    <w:rsid w:val="00704F73"/>
    <w:rsid w:val="00705200"/>
    <w:rsid w:val="00705CA0"/>
    <w:rsid w:val="00705D72"/>
    <w:rsid w:val="00705DB8"/>
    <w:rsid w:val="00705FF9"/>
    <w:rsid w:val="0070614A"/>
    <w:rsid w:val="0070625C"/>
    <w:rsid w:val="00706322"/>
    <w:rsid w:val="0070644C"/>
    <w:rsid w:val="0070659C"/>
    <w:rsid w:val="00706900"/>
    <w:rsid w:val="00706B8B"/>
    <w:rsid w:val="00706C87"/>
    <w:rsid w:val="007071C4"/>
    <w:rsid w:val="007073A0"/>
    <w:rsid w:val="0070740A"/>
    <w:rsid w:val="00707608"/>
    <w:rsid w:val="00707B11"/>
    <w:rsid w:val="00707B5B"/>
    <w:rsid w:val="00707BCA"/>
    <w:rsid w:val="00707BE4"/>
    <w:rsid w:val="00707C73"/>
    <w:rsid w:val="00707CDC"/>
    <w:rsid w:val="00707D40"/>
    <w:rsid w:val="00707FE1"/>
    <w:rsid w:val="0071024E"/>
    <w:rsid w:val="00710349"/>
    <w:rsid w:val="007103C5"/>
    <w:rsid w:val="0071089B"/>
    <w:rsid w:val="007108DF"/>
    <w:rsid w:val="00710B13"/>
    <w:rsid w:val="00710FD5"/>
    <w:rsid w:val="00711002"/>
    <w:rsid w:val="00711154"/>
    <w:rsid w:val="00711184"/>
    <w:rsid w:val="00711412"/>
    <w:rsid w:val="007116BB"/>
    <w:rsid w:val="00711738"/>
    <w:rsid w:val="00711AE3"/>
    <w:rsid w:val="00711BCC"/>
    <w:rsid w:val="00711C71"/>
    <w:rsid w:val="007120BF"/>
    <w:rsid w:val="0071285F"/>
    <w:rsid w:val="00712870"/>
    <w:rsid w:val="007129BE"/>
    <w:rsid w:val="00712C87"/>
    <w:rsid w:val="00712D86"/>
    <w:rsid w:val="00712DEF"/>
    <w:rsid w:val="00713225"/>
    <w:rsid w:val="007135DA"/>
    <w:rsid w:val="00713885"/>
    <w:rsid w:val="007139AB"/>
    <w:rsid w:val="00713BB3"/>
    <w:rsid w:val="00713FFA"/>
    <w:rsid w:val="007140E8"/>
    <w:rsid w:val="00714300"/>
    <w:rsid w:val="00714930"/>
    <w:rsid w:val="007149B8"/>
    <w:rsid w:val="00714CC2"/>
    <w:rsid w:val="00714EF7"/>
    <w:rsid w:val="00714F97"/>
    <w:rsid w:val="0071573B"/>
    <w:rsid w:val="0071587B"/>
    <w:rsid w:val="00715DB9"/>
    <w:rsid w:val="00715F2F"/>
    <w:rsid w:val="007164EF"/>
    <w:rsid w:val="00716547"/>
    <w:rsid w:val="00716B9A"/>
    <w:rsid w:val="00716C13"/>
    <w:rsid w:val="00716CF9"/>
    <w:rsid w:val="00716E25"/>
    <w:rsid w:val="00716FAA"/>
    <w:rsid w:val="0071717E"/>
    <w:rsid w:val="00717355"/>
    <w:rsid w:val="00717404"/>
    <w:rsid w:val="007176B5"/>
    <w:rsid w:val="0071795D"/>
    <w:rsid w:val="00717A60"/>
    <w:rsid w:val="00717C05"/>
    <w:rsid w:val="00717E5B"/>
    <w:rsid w:val="007203BC"/>
    <w:rsid w:val="007205E1"/>
    <w:rsid w:val="007208C9"/>
    <w:rsid w:val="00720F4A"/>
    <w:rsid w:val="00720FDD"/>
    <w:rsid w:val="007210BE"/>
    <w:rsid w:val="00721638"/>
    <w:rsid w:val="00721826"/>
    <w:rsid w:val="00721A6F"/>
    <w:rsid w:val="00721C77"/>
    <w:rsid w:val="00721D06"/>
    <w:rsid w:val="00722693"/>
    <w:rsid w:val="00722699"/>
    <w:rsid w:val="00722974"/>
    <w:rsid w:val="00722B70"/>
    <w:rsid w:val="00722D6F"/>
    <w:rsid w:val="00722ED6"/>
    <w:rsid w:val="00722F0D"/>
    <w:rsid w:val="00723516"/>
    <w:rsid w:val="00723582"/>
    <w:rsid w:val="00723736"/>
    <w:rsid w:val="00723770"/>
    <w:rsid w:val="00723C55"/>
    <w:rsid w:val="00723EF5"/>
    <w:rsid w:val="007243F0"/>
    <w:rsid w:val="007244F6"/>
    <w:rsid w:val="00724801"/>
    <w:rsid w:val="00724958"/>
    <w:rsid w:val="007249EB"/>
    <w:rsid w:val="00724B34"/>
    <w:rsid w:val="00724F18"/>
    <w:rsid w:val="00725056"/>
    <w:rsid w:val="007250A3"/>
    <w:rsid w:val="0072512A"/>
    <w:rsid w:val="00725254"/>
    <w:rsid w:val="007254EE"/>
    <w:rsid w:val="00725EC5"/>
    <w:rsid w:val="00725F91"/>
    <w:rsid w:val="00726444"/>
    <w:rsid w:val="007264B1"/>
    <w:rsid w:val="00726862"/>
    <w:rsid w:val="007269A5"/>
    <w:rsid w:val="00726C80"/>
    <w:rsid w:val="00726CE1"/>
    <w:rsid w:val="00726EB4"/>
    <w:rsid w:val="00726F11"/>
    <w:rsid w:val="00726F7A"/>
    <w:rsid w:val="00726FC7"/>
    <w:rsid w:val="00727529"/>
    <w:rsid w:val="0072778C"/>
    <w:rsid w:val="00727930"/>
    <w:rsid w:val="0072799E"/>
    <w:rsid w:val="00727EC3"/>
    <w:rsid w:val="00730245"/>
    <w:rsid w:val="00731222"/>
    <w:rsid w:val="007312CE"/>
    <w:rsid w:val="007312EB"/>
    <w:rsid w:val="00731330"/>
    <w:rsid w:val="00731557"/>
    <w:rsid w:val="00731719"/>
    <w:rsid w:val="00731899"/>
    <w:rsid w:val="007319D5"/>
    <w:rsid w:val="00731EDE"/>
    <w:rsid w:val="00731EE6"/>
    <w:rsid w:val="00732270"/>
    <w:rsid w:val="0073236B"/>
    <w:rsid w:val="007325BB"/>
    <w:rsid w:val="00732884"/>
    <w:rsid w:val="00732906"/>
    <w:rsid w:val="00732B12"/>
    <w:rsid w:val="00732B87"/>
    <w:rsid w:val="00732D26"/>
    <w:rsid w:val="00732D7D"/>
    <w:rsid w:val="007333EA"/>
    <w:rsid w:val="0073347A"/>
    <w:rsid w:val="0073356D"/>
    <w:rsid w:val="00733A84"/>
    <w:rsid w:val="00733BFC"/>
    <w:rsid w:val="00733D09"/>
    <w:rsid w:val="00733FD7"/>
    <w:rsid w:val="007341F7"/>
    <w:rsid w:val="007343D5"/>
    <w:rsid w:val="00734664"/>
    <w:rsid w:val="00734689"/>
    <w:rsid w:val="00734D16"/>
    <w:rsid w:val="00734E55"/>
    <w:rsid w:val="00734F40"/>
    <w:rsid w:val="00735025"/>
    <w:rsid w:val="007354AB"/>
    <w:rsid w:val="007355A6"/>
    <w:rsid w:val="00735938"/>
    <w:rsid w:val="00735BBD"/>
    <w:rsid w:val="00736289"/>
    <w:rsid w:val="0073666D"/>
    <w:rsid w:val="007366FC"/>
    <w:rsid w:val="00736790"/>
    <w:rsid w:val="007368D0"/>
    <w:rsid w:val="00736909"/>
    <w:rsid w:val="00736915"/>
    <w:rsid w:val="00736A40"/>
    <w:rsid w:val="00736B69"/>
    <w:rsid w:val="00736C0C"/>
    <w:rsid w:val="00736D30"/>
    <w:rsid w:val="00737416"/>
    <w:rsid w:val="00737577"/>
    <w:rsid w:val="007375B6"/>
    <w:rsid w:val="0073795B"/>
    <w:rsid w:val="0073797A"/>
    <w:rsid w:val="00737E19"/>
    <w:rsid w:val="00737E50"/>
    <w:rsid w:val="00737E88"/>
    <w:rsid w:val="00737F87"/>
    <w:rsid w:val="00740502"/>
    <w:rsid w:val="00740A71"/>
    <w:rsid w:val="00740CE8"/>
    <w:rsid w:val="00740D4C"/>
    <w:rsid w:val="00740ED2"/>
    <w:rsid w:val="00741167"/>
    <w:rsid w:val="0074125C"/>
    <w:rsid w:val="00741384"/>
    <w:rsid w:val="0074146C"/>
    <w:rsid w:val="007417B1"/>
    <w:rsid w:val="007418ED"/>
    <w:rsid w:val="00741A67"/>
    <w:rsid w:val="00741F34"/>
    <w:rsid w:val="00741FC8"/>
    <w:rsid w:val="00742378"/>
    <w:rsid w:val="007427B5"/>
    <w:rsid w:val="00742A8C"/>
    <w:rsid w:val="00742CBD"/>
    <w:rsid w:val="00742D96"/>
    <w:rsid w:val="00743047"/>
    <w:rsid w:val="00743335"/>
    <w:rsid w:val="007434C1"/>
    <w:rsid w:val="00743ADB"/>
    <w:rsid w:val="00743E88"/>
    <w:rsid w:val="00743F25"/>
    <w:rsid w:val="00744015"/>
    <w:rsid w:val="0074402D"/>
    <w:rsid w:val="00744041"/>
    <w:rsid w:val="007440A1"/>
    <w:rsid w:val="007442A2"/>
    <w:rsid w:val="0074436B"/>
    <w:rsid w:val="00744690"/>
    <w:rsid w:val="0074517E"/>
    <w:rsid w:val="00745336"/>
    <w:rsid w:val="007454A1"/>
    <w:rsid w:val="007456BB"/>
    <w:rsid w:val="007456ED"/>
    <w:rsid w:val="007457D0"/>
    <w:rsid w:val="007459B1"/>
    <w:rsid w:val="00745A74"/>
    <w:rsid w:val="00745D20"/>
    <w:rsid w:val="00745D90"/>
    <w:rsid w:val="007460BC"/>
    <w:rsid w:val="007460DA"/>
    <w:rsid w:val="007468F9"/>
    <w:rsid w:val="007469C9"/>
    <w:rsid w:val="00746C52"/>
    <w:rsid w:val="00746D42"/>
    <w:rsid w:val="00746EB7"/>
    <w:rsid w:val="00746F6C"/>
    <w:rsid w:val="0074703D"/>
    <w:rsid w:val="00747126"/>
    <w:rsid w:val="00747452"/>
    <w:rsid w:val="007474FC"/>
    <w:rsid w:val="007477C5"/>
    <w:rsid w:val="00747873"/>
    <w:rsid w:val="0074792C"/>
    <w:rsid w:val="00747938"/>
    <w:rsid w:val="00747A83"/>
    <w:rsid w:val="00747D8D"/>
    <w:rsid w:val="007504E3"/>
    <w:rsid w:val="0075052B"/>
    <w:rsid w:val="00750944"/>
    <w:rsid w:val="00750D65"/>
    <w:rsid w:val="0075148C"/>
    <w:rsid w:val="00751551"/>
    <w:rsid w:val="00751C88"/>
    <w:rsid w:val="00751D32"/>
    <w:rsid w:val="00751E39"/>
    <w:rsid w:val="00751E77"/>
    <w:rsid w:val="00752121"/>
    <w:rsid w:val="007529ED"/>
    <w:rsid w:val="00752DD8"/>
    <w:rsid w:val="00753108"/>
    <w:rsid w:val="007532F4"/>
    <w:rsid w:val="007532FA"/>
    <w:rsid w:val="00753532"/>
    <w:rsid w:val="0075377A"/>
    <w:rsid w:val="0075444D"/>
    <w:rsid w:val="00754A4C"/>
    <w:rsid w:val="00754B0B"/>
    <w:rsid w:val="00754C4B"/>
    <w:rsid w:val="0075534E"/>
    <w:rsid w:val="00755467"/>
    <w:rsid w:val="00755817"/>
    <w:rsid w:val="00755866"/>
    <w:rsid w:val="00755C61"/>
    <w:rsid w:val="00755E5C"/>
    <w:rsid w:val="0075631F"/>
    <w:rsid w:val="0075658C"/>
    <w:rsid w:val="00756893"/>
    <w:rsid w:val="007569B6"/>
    <w:rsid w:val="00757BFC"/>
    <w:rsid w:val="00757C55"/>
    <w:rsid w:val="00757CF3"/>
    <w:rsid w:val="00757E5B"/>
    <w:rsid w:val="00757EB9"/>
    <w:rsid w:val="00757EEA"/>
    <w:rsid w:val="00757FB7"/>
    <w:rsid w:val="00757FE7"/>
    <w:rsid w:val="0076020B"/>
    <w:rsid w:val="0076037C"/>
    <w:rsid w:val="0076045D"/>
    <w:rsid w:val="00760479"/>
    <w:rsid w:val="00760491"/>
    <w:rsid w:val="007605AD"/>
    <w:rsid w:val="0076068E"/>
    <w:rsid w:val="00760768"/>
    <w:rsid w:val="00760A2F"/>
    <w:rsid w:val="00760D3C"/>
    <w:rsid w:val="00760D7F"/>
    <w:rsid w:val="00760F9D"/>
    <w:rsid w:val="00761022"/>
    <w:rsid w:val="0076106B"/>
    <w:rsid w:val="007610F0"/>
    <w:rsid w:val="0076144D"/>
    <w:rsid w:val="0076150F"/>
    <w:rsid w:val="007615CB"/>
    <w:rsid w:val="007617F6"/>
    <w:rsid w:val="0076181B"/>
    <w:rsid w:val="007618D2"/>
    <w:rsid w:val="007619C8"/>
    <w:rsid w:val="00761A7B"/>
    <w:rsid w:val="00761B62"/>
    <w:rsid w:val="00761B86"/>
    <w:rsid w:val="00761F1B"/>
    <w:rsid w:val="00762AFB"/>
    <w:rsid w:val="00762B95"/>
    <w:rsid w:val="00762C8D"/>
    <w:rsid w:val="00762CE7"/>
    <w:rsid w:val="00762D19"/>
    <w:rsid w:val="00762D66"/>
    <w:rsid w:val="00762D8F"/>
    <w:rsid w:val="00762E1A"/>
    <w:rsid w:val="0076322C"/>
    <w:rsid w:val="00763388"/>
    <w:rsid w:val="007633E9"/>
    <w:rsid w:val="007637BC"/>
    <w:rsid w:val="007637F9"/>
    <w:rsid w:val="007637FE"/>
    <w:rsid w:val="007639D9"/>
    <w:rsid w:val="00763A1A"/>
    <w:rsid w:val="00763AA9"/>
    <w:rsid w:val="00763CFD"/>
    <w:rsid w:val="007640AF"/>
    <w:rsid w:val="007641A1"/>
    <w:rsid w:val="00764266"/>
    <w:rsid w:val="00764330"/>
    <w:rsid w:val="007643CE"/>
    <w:rsid w:val="00764549"/>
    <w:rsid w:val="00764A32"/>
    <w:rsid w:val="00764B31"/>
    <w:rsid w:val="00764B5D"/>
    <w:rsid w:val="00764BEE"/>
    <w:rsid w:val="00764F4D"/>
    <w:rsid w:val="00764FD5"/>
    <w:rsid w:val="007656CA"/>
    <w:rsid w:val="00765BA8"/>
    <w:rsid w:val="00765E04"/>
    <w:rsid w:val="00766007"/>
    <w:rsid w:val="007662D3"/>
    <w:rsid w:val="007665D3"/>
    <w:rsid w:val="00766C7A"/>
    <w:rsid w:val="00766E34"/>
    <w:rsid w:val="00766E86"/>
    <w:rsid w:val="00766EA0"/>
    <w:rsid w:val="007672F9"/>
    <w:rsid w:val="00767389"/>
    <w:rsid w:val="007674E9"/>
    <w:rsid w:val="007674FC"/>
    <w:rsid w:val="007676DF"/>
    <w:rsid w:val="00767768"/>
    <w:rsid w:val="00767850"/>
    <w:rsid w:val="007678F4"/>
    <w:rsid w:val="00767B0B"/>
    <w:rsid w:val="00767C30"/>
    <w:rsid w:val="00767E85"/>
    <w:rsid w:val="00767EC8"/>
    <w:rsid w:val="00767FFC"/>
    <w:rsid w:val="0077018F"/>
    <w:rsid w:val="00770725"/>
    <w:rsid w:val="0077083D"/>
    <w:rsid w:val="00770978"/>
    <w:rsid w:val="00770988"/>
    <w:rsid w:val="00770A26"/>
    <w:rsid w:val="00770A57"/>
    <w:rsid w:val="00770B12"/>
    <w:rsid w:val="00770B82"/>
    <w:rsid w:val="00770C1F"/>
    <w:rsid w:val="00771247"/>
    <w:rsid w:val="007712A2"/>
    <w:rsid w:val="0077163A"/>
    <w:rsid w:val="0077165A"/>
    <w:rsid w:val="00771816"/>
    <w:rsid w:val="00771879"/>
    <w:rsid w:val="007718B8"/>
    <w:rsid w:val="00771A1D"/>
    <w:rsid w:val="00771EF6"/>
    <w:rsid w:val="00771FB5"/>
    <w:rsid w:val="00772220"/>
    <w:rsid w:val="0077225F"/>
    <w:rsid w:val="007722BB"/>
    <w:rsid w:val="007722F9"/>
    <w:rsid w:val="0077248E"/>
    <w:rsid w:val="007726FA"/>
    <w:rsid w:val="007727D4"/>
    <w:rsid w:val="00772945"/>
    <w:rsid w:val="00772BC1"/>
    <w:rsid w:val="00772E31"/>
    <w:rsid w:val="0077336A"/>
    <w:rsid w:val="00773481"/>
    <w:rsid w:val="00773743"/>
    <w:rsid w:val="00773950"/>
    <w:rsid w:val="00773A10"/>
    <w:rsid w:val="00773DCB"/>
    <w:rsid w:val="00773DF6"/>
    <w:rsid w:val="00774025"/>
    <w:rsid w:val="007740FE"/>
    <w:rsid w:val="007741E7"/>
    <w:rsid w:val="00774423"/>
    <w:rsid w:val="007745A0"/>
    <w:rsid w:val="0077460C"/>
    <w:rsid w:val="00775218"/>
    <w:rsid w:val="0077563E"/>
    <w:rsid w:val="00775C59"/>
    <w:rsid w:val="00775D63"/>
    <w:rsid w:val="007761B0"/>
    <w:rsid w:val="00776280"/>
    <w:rsid w:val="00776542"/>
    <w:rsid w:val="007765A4"/>
    <w:rsid w:val="0077688B"/>
    <w:rsid w:val="00776B3D"/>
    <w:rsid w:val="00776C7B"/>
    <w:rsid w:val="007772CF"/>
    <w:rsid w:val="0077769A"/>
    <w:rsid w:val="0077786C"/>
    <w:rsid w:val="007779AB"/>
    <w:rsid w:val="00777ADC"/>
    <w:rsid w:val="00777BDD"/>
    <w:rsid w:val="00777C8B"/>
    <w:rsid w:val="00780374"/>
    <w:rsid w:val="00780536"/>
    <w:rsid w:val="007806C3"/>
    <w:rsid w:val="0078089A"/>
    <w:rsid w:val="00780B25"/>
    <w:rsid w:val="00780EFE"/>
    <w:rsid w:val="00780FE7"/>
    <w:rsid w:val="00781028"/>
    <w:rsid w:val="00781315"/>
    <w:rsid w:val="0078138F"/>
    <w:rsid w:val="007814F2"/>
    <w:rsid w:val="0078159F"/>
    <w:rsid w:val="00781943"/>
    <w:rsid w:val="00781B8E"/>
    <w:rsid w:val="00781B92"/>
    <w:rsid w:val="00781E7D"/>
    <w:rsid w:val="007824B2"/>
    <w:rsid w:val="0078259B"/>
    <w:rsid w:val="007826B7"/>
    <w:rsid w:val="00782785"/>
    <w:rsid w:val="00782AC8"/>
    <w:rsid w:val="00782D18"/>
    <w:rsid w:val="00782D7F"/>
    <w:rsid w:val="00782DFC"/>
    <w:rsid w:val="00782EC4"/>
    <w:rsid w:val="00783153"/>
    <w:rsid w:val="00783186"/>
    <w:rsid w:val="0078323B"/>
    <w:rsid w:val="00783352"/>
    <w:rsid w:val="00783699"/>
    <w:rsid w:val="00783962"/>
    <w:rsid w:val="00783A77"/>
    <w:rsid w:val="00783C60"/>
    <w:rsid w:val="00783FC9"/>
    <w:rsid w:val="007840B9"/>
    <w:rsid w:val="0078436E"/>
    <w:rsid w:val="00784378"/>
    <w:rsid w:val="007845E9"/>
    <w:rsid w:val="00784B60"/>
    <w:rsid w:val="00784B98"/>
    <w:rsid w:val="007850E5"/>
    <w:rsid w:val="0078565B"/>
    <w:rsid w:val="0078566C"/>
    <w:rsid w:val="007857FB"/>
    <w:rsid w:val="007859CD"/>
    <w:rsid w:val="007860E5"/>
    <w:rsid w:val="00786143"/>
    <w:rsid w:val="007862DC"/>
    <w:rsid w:val="007869E1"/>
    <w:rsid w:val="00786C90"/>
    <w:rsid w:val="0078733D"/>
    <w:rsid w:val="00787807"/>
    <w:rsid w:val="00787A15"/>
    <w:rsid w:val="00787B2D"/>
    <w:rsid w:val="00787B36"/>
    <w:rsid w:val="00787F07"/>
    <w:rsid w:val="0079001F"/>
    <w:rsid w:val="007904EA"/>
    <w:rsid w:val="0079058D"/>
    <w:rsid w:val="00790767"/>
    <w:rsid w:val="007908EA"/>
    <w:rsid w:val="00790ED8"/>
    <w:rsid w:val="00790F89"/>
    <w:rsid w:val="007911EA"/>
    <w:rsid w:val="00791534"/>
    <w:rsid w:val="00791A5B"/>
    <w:rsid w:val="00791C7E"/>
    <w:rsid w:val="00791FAE"/>
    <w:rsid w:val="00792211"/>
    <w:rsid w:val="00792431"/>
    <w:rsid w:val="007924B7"/>
    <w:rsid w:val="0079288D"/>
    <w:rsid w:val="00792908"/>
    <w:rsid w:val="00792C01"/>
    <w:rsid w:val="00793541"/>
    <w:rsid w:val="007935AF"/>
    <w:rsid w:val="007937D2"/>
    <w:rsid w:val="0079385E"/>
    <w:rsid w:val="00793B12"/>
    <w:rsid w:val="00793B42"/>
    <w:rsid w:val="00793C9B"/>
    <w:rsid w:val="007940F9"/>
    <w:rsid w:val="00794154"/>
    <w:rsid w:val="007942EE"/>
    <w:rsid w:val="00794428"/>
    <w:rsid w:val="007947FF"/>
    <w:rsid w:val="00794B0B"/>
    <w:rsid w:val="00794BEB"/>
    <w:rsid w:val="00794E3F"/>
    <w:rsid w:val="00794E59"/>
    <w:rsid w:val="00794E6A"/>
    <w:rsid w:val="00795273"/>
    <w:rsid w:val="007954CF"/>
    <w:rsid w:val="0079564F"/>
    <w:rsid w:val="00795730"/>
    <w:rsid w:val="00795C3E"/>
    <w:rsid w:val="00795D09"/>
    <w:rsid w:val="00795DDD"/>
    <w:rsid w:val="00795E3C"/>
    <w:rsid w:val="00795F56"/>
    <w:rsid w:val="00796251"/>
    <w:rsid w:val="00796341"/>
    <w:rsid w:val="0079652A"/>
    <w:rsid w:val="00796696"/>
    <w:rsid w:val="0079691E"/>
    <w:rsid w:val="007969D2"/>
    <w:rsid w:val="00796CD0"/>
    <w:rsid w:val="00796E5B"/>
    <w:rsid w:val="00796E96"/>
    <w:rsid w:val="00796F1F"/>
    <w:rsid w:val="00796F62"/>
    <w:rsid w:val="00797236"/>
    <w:rsid w:val="007972EA"/>
    <w:rsid w:val="00797A92"/>
    <w:rsid w:val="00797AA1"/>
    <w:rsid w:val="00797C3F"/>
    <w:rsid w:val="007A0055"/>
    <w:rsid w:val="007A0065"/>
    <w:rsid w:val="007A0200"/>
    <w:rsid w:val="007A04E1"/>
    <w:rsid w:val="007A06CB"/>
    <w:rsid w:val="007A08FA"/>
    <w:rsid w:val="007A092C"/>
    <w:rsid w:val="007A0BB7"/>
    <w:rsid w:val="007A1293"/>
    <w:rsid w:val="007A1364"/>
    <w:rsid w:val="007A15E3"/>
    <w:rsid w:val="007A16D1"/>
    <w:rsid w:val="007A1785"/>
    <w:rsid w:val="007A1889"/>
    <w:rsid w:val="007A1939"/>
    <w:rsid w:val="007A1B2D"/>
    <w:rsid w:val="007A2485"/>
    <w:rsid w:val="007A24A0"/>
    <w:rsid w:val="007A2720"/>
    <w:rsid w:val="007A2938"/>
    <w:rsid w:val="007A2997"/>
    <w:rsid w:val="007A2BD1"/>
    <w:rsid w:val="007A2E83"/>
    <w:rsid w:val="007A3281"/>
    <w:rsid w:val="007A332C"/>
    <w:rsid w:val="007A334B"/>
    <w:rsid w:val="007A336C"/>
    <w:rsid w:val="007A35AC"/>
    <w:rsid w:val="007A384B"/>
    <w:rsid w:val="007A3FC1"/>
    <w:rsid w:val="007A41A1"/>
    <w:rsid w:val="007A4377"/>
    <w:rsid w:val="007A4452"/>
    <w:rsid w:val="007A4637"/>
    <w:rsid w:val="007A4740"/>
    <w:rsid w:val="007A48CA"/>
    <w:rsid w:val="007A4AB1"/>
    <w:rsid w:val="007A4AB2"/>
    <w:rsid w:val="007A4E13"/>
    <w:rsid w:val="007A4FCA"/>
    <w:rsid w:val="007A5126"/>
    <w:rsid w:val="007A51CA"/>
    <w:rsid w:val="007A546B"/>
    <w:rsid w:val="007A548D"/>
    <w:rsid w:val="007A54CC"/>
    <w:rsid w:val="007A58DD"/>
    <w:rsid w:val="007A5C1D"/>
    <w:rsid w:val="007A5C33"/>
    <w:rsid w:val="007A5E68"/>
    <w:rsid w:val="007A5F53"/>
    <w:rsid w:val="007A63A9"/>
    <w:rsid w:val="007A660A"/>
    <w:rsid w:val="007A68CB"/>
    <w:rsid w:val="007A6D87"/>
    <w:rsid w:val="007A6E05"/>
    <w:rsid w:val="007A6FFF"/>
    <w:rsid w:val="007A7372"/>
    <w:rsid w:val="007A753B"/>
    <w:rsid w:val="007A7825"/>
    <w:rsid w:val="007A7E8C"/>
    <w:rsid w:val="007B08C9"/>
    <w:rsid w:val="007B099C"/>
    <w:rsid w:val="007B0E20"/>
    <w:rsid w:val="007B101B"/>
    <w:rsid w:val="007B10F8"/>
    <w:rsid w:val="007B14FD"/>
    <w:rsid w:val="007B161E"/>
    <w:rsid w:val="007B1667"/>
    <w:rsid w:val="007B18D5"/>
    <w:rsid w:val="007B1A5F"/>
    <w:rsid w:val="007B1ACF"/>
    <w:rsid w:val="007B1AE0"/>
    <w:rsid w:val="007B1BF7"/>
    <w:rsid w:val="007B2229"/>
    <w:rsid w:val="007B2584"/>
    <w:rsid w:val="007B25E4"/>
    <w:rsid w:val="007B2892"/>
    <w:rsid w:val="007B2930"/>
    <w:rsid w:val="007B2C33"/>
    <w:rsid w:val="007B2F4D"/>
    <w:rsid w:val="007B2F88"/>
    <w:rsid w:val="007B31B5"/>
    <w:rsid w:val="007B33E5"/>
    <w:rsid w:val="007B35EE"/>
    <w:rsid w:val="007B3831"/>
    <w:rsid w:val="007B3AE2"/>
    <w:rsid w:val="007B3C14"/>
    <w:rsid w:val="007B3E4C"/>
    <w:rsid w:val="007B3F90"/>
    <w:rsid w:val="007B46A6"/>
    <w:rsid w:val="007B488D"/>
    <w:rsid w:val="007B4A59"/>
    <w:rsid w:val="007B4E8A"/>
    <w:rsid w:val="007B4F72"/>
    <w:rsid w:val="007B51B5"/>
    <w:rsid w:val="007B51C3"/>
    <w:rsid w:val="007B52A5"/>
    <w:rsid w:val="007B539B"/>
    <w:rsid w:val="007B5918"/>
    <w:rsid w:val="007B5983"/>
    <w:rsid w:val="007B5B32"/>
    <w:rsid w:val="007B5F8B"/>
    <w:rsid w:val="007B5FBF"/>
    <w:rsid w:val="007B6181"/>
    <w:rsid w:val="007B629E"/>
    <w:rsid w:val="007B635E"/>
    <w:rsid w:val="007B63CF"/>
    <w:rsid w:val="007B67B0"/>
    <w:rsid w:val="007B6AEE"/>
    <w:rsid w:val="007B6CAB"/>
    <w:rsid w:val="007B6D72"/>
    <w:rsid w:val="007B7102"/>
    <w:rsid w:val="007B7799"/>
    <w:rsid w:val="007B78D5"/>
    <w:rsid w:val="007B7940"/>
    <w:rsid w:val="007B7BA1"/>
    <w:rsid w:val="007B7C0D"/>
    <w:rsid w:val="007B7E03"/>
    <w:rsid w:val="007B7EB5"/>
    <w:rsid w:val="007C0532"/>
    <w:rsid w:val="007C06B2"/>
    <w:rsid w:val="007C09F0"/>
    <w:rsid w:val="007C0D67"/>
    <w:rsid w:val="007C0F44"/>
    <w:rsid w:val="007C107A"/>
    <w:rsid w:val="007C13AE"/>
    <w:rsid w:val="007C14DA"/>
    <w:rsid w:val="007C162D"/>
    <w:rsid w:val="007C1745"/>
    <w:rsid w:val="007C1822"/>
    <w:rsid w:val="007C2375"/>
    <w:rsid w:val="007C23A1"/>
    <w:rsid w:val="007C245C"/>
    <w:rsid w:val="007C2536"/>
    <w:rsid w:val="007C2973"/>
    <w:rsid w:val="007C2FFF"/>
    <w:rsid w:val="007C3085"/>
    <w:rsid w:val="007C3203"/>
    <w:rsid w:val="007C378F"/>
    <w:rsid w:val="007C3810"/>
    <w:rsid w:val="007C38B5"/>
    <w:rsid w:val="007C3914"/>
    <w:rsid w:val="007C3960"/>
    <w:rsid w:val="007C3BB1"/>
    <w:rsid w:val="007C3FC2"/>
    <w:rsid w:val="007C3FE2"/>
    <w:rsid w:val="007C404B"/>
    <w:rsid w:val="007C4187"/>
    <w:rsid w:val="007C41A0"/>
    <w:rsid w:val="007C4468"/>
    <w:rsid w:val="007C447E"/>
    <w:rsid w:val="007C4BAE"/>
    <w:rsid w:val="007C4D55"/>
    <w:rsid w:val="007C4D99"/>
    <w:rsid w:val="007C4F76"/>
    <w:rsid w:val="007C51E6"/>
    <w:rsid w:val="007C52D0"/>
    <w:rsid w:val="007C52D8"/>
    <w:rsid w:val="007C5581"/>
    <w:rsid w:val="007C5702"/>
    <w:rsid w:val="007C597B"/>
    <w:rsid w:val="007C5998"/>
    <w:rsid w:val="007C5BB7"/>
    <w:rsid w:val="007C60AF"/>
    <w:rsid w:val="007C612A"/>
    <w:rsid w:val="007C61BE"/>
    <w:rsid w:val="007C61DA"/>
    <w:rsid w:val="007C6332"/>
    <w:rsid w:val="007C6423"/>
    <w:rsid w:val="007C656C"/>
    <w:rsid w:val="007C667A"/>
    <w:rsid w:val="007C6F2E"/>
    <w:rsid w:val="007C6FB1"/>
    <w:rsid w:val="007C72C9"/>
    <w:rsid w:val="007C764E"/>
    <w:rsid w:val="007C7C49"/>
    <w:rsid w:val="007C7DA4"/>
    <w:rsid w:val="007C7DF6"/>
    <w:rsid w:val="007C7E66"/>
    <w:rsid w:val="007D0210"/>
    <w:rsid w:val="007D044C"/>
    <w:rsid w:val="007D0639"/>
    <w:rsid w:val="007D081E"/>
    <w:rsid w:val="007D0AE9"/>
    <w:rsid w:val="007D10CA"/>
    <w:rsid w:val="007D14FB"/>
    <w:rsid w:val="007D185F"/>
    <w:rsid w:val="007D1AC9"/>
    <w:rsid w:val="007D1B31"/>
    <w:rsid w:val="007D1D1E"/>
    <w:rsid w:val="007D1D3B"/>
    <w:rsid w:val="007D2013"/>
    <w:rsid w:val="007D2299"/>
    <w:rsid w:val="007D23C4"/>
    <w:rsid w:val="007D2501"/>
    <w:rsid w:val="007D2623"/>
    <w:rsid w:val="007D2773"/>
    <w:rsid w:val="007D2DCD"/>
    <w:rsid w:val="007D3106"/>
    <w:rsid w:val="007D3165"/>
    <w:rsid w:val="007D3354"/>
    <w:rsid w:val="007D3765"/>
    <w:rsid w:val="007D3B9D"/>
    <w:rsid w:val="007D3D72"/>
    <w:rsid w:val="007D3E75"/>
    <w:rsid w:val="007D4068"/>
    <w:rsid w:val="007D4D21"/>
    <w:rsid w:val="007D4E67"/>
    <w:rsid w:val="007D4E69"/>
    <w:rsid w:val="007D543C"/>
    <w:rsid w:val="007D54E2"/>
    <w:rsid w:val="007D553C"/>
    <w:rsid w:val="007D5545"/>
    <w:rsid w:val="007D5787"/>
    <w:rsid w:val="007D585D"/>
    <w:rsid w:val="007D5960"/>
    <w:rsid w:val="007D5AE9"/>
    <w:rsid w:val="007D5B97"/>
    <w:rsid w:val="007D5C01"/>
    <w:rsid w:val="007D5C12"/>
    <w:rsid w:val="007D5D1E"/>
    <w:rsid w:val="007D6002"/>
    <w:rsid w:val="007D62A1"/>
    <w:rsid w:val="007D6346"/>
    <w:rsid w:val="007D66A1"/>
    <w:rsid w:val="007D66A3"/>
    <w:rsid w:val="007D6C0C"/>
    <w:rsid w:val="007D71B8"/>
    <w:rsid w:val="007D727D"/>
    <w:rsid w:val="007D755A"/>
    <w:rsid w:val="007D7677"/>
    <w:rsid w:val="007D78AD"/>
    <w:rsid w:val="007D7B15"/>
    <w:rsid w:val="007D7D35"/>
    <w:rsid w:val="007E06F7"/>
    <w:rsid w:val="007E08A8"/>
    <w:rsid w:val="007E096C"/>
    <w:rsid w:val="007E0C42"/>
    <w:rsid w:val="007E0F1A"/>
    <w:rsid w:val="007E1116"/>
    <w:rsid w:val="007E114E"/>
    <w:rsid w:val="007E1480"/>
    <w:rsid w:val="007E1528"/>
    <w:rsid w:val="007E1715"/>
    <w:rsid w:val="007E1923"/>
    <w:rsid w:val="007E1A46"/>
    <w:rsid w:val="007E1A4A"/>
    <w:rsid w:val="007E1BD0"/>
    <w:rsid w:val="007E1C08"/>
    <w:rsid w:val="007E202F"/>
    <w:rsid w:val="007E24F0"/>
    <w:rsid w:val="007E250B"/>
    <w:rsid w:val="007E2AC3"/>
    <w:rsid w:val="007E30F1"/>
    <w:rsid w:val="007E35D3"/>
    <w:rsid w:val="007E35F1"/>
    <w:rsid w:val="007E36D4"/>
    <w:rsid w:val="007E36ED"/>
    <w:rsid w:val="007E36FD"/>
    <w:rsid w:val="007E3930"/>
    <w:rsid w:val="007E4214"/>
    <w:rsid w:val="007E42E6"/>
    <w:rsid w:val="007E4607"/>
    <w:rsid w:val="007E470E"/>
    <w:rsid w:val="007E4778"/>
    <w:rsid w:val="007E47E4"/>
    <w:rsid w:val="007E4848"/>
    <w:rsid w:val="007E487F"/>
    <w:rsid w:val="007E49D0"/>
    <w:rsid w:val="007E4A0D"/>
    <w:rsid w:val="007E4AAF"/>
    <w:rsid w:val="007E4B2D"/>
    <w:rsid w:val="007E4DEC"/>
    <w:rsid w:val="007E5105"/>
    <w:rsid w:val="007E5388"/>
    <w:rsid w:val="007E5614"/>
    <w:rsid w:val="007E579E"/>
    <w:rsid w:val="007E57CF"/>
    <w:rsid w:val="007E587D"/>
    <w:rsid w:val="007E5915"/>
    <w:rsid w:val="007E59BE"/>
    <w:rsid w:val="007E5A31"/>
    <w:rsid w:val="007E5AD9"/>
    <w:rsid w:val="007E5C56"/>
    <w:rsid w:val="007E5CBF"/>
    <w:rsid w:val="007E5DE7"/>
    <w:rsid w:val="007E5E64"/>
    <w:rsid w:val="007E6122"/>
    <w:rsid w:val="007E62C8"/>
    <w:rsid w:val="007E6447"/>
    <w:rsid w:val="007E644B"/>
    <w:rsid w:val="007E6510"/>
    <w:rsid w:val="007E6600"/>
    <w:rsid w:val="007E66F6"/>
    <w:rsid w:val="007E6757"/>
    <w:rsid w:val="007E68BE"/>
    <w:rsid w:val="007E68C0"/>
    <w:rsid w:val="007E68DB"/>
    <w:rsid w:val="007E6D75"/>
    <w:rsid w:val="007E6E9A"/>
    <w:rsid w:val="007E7082"/>
    <w:rsid w:val="007E7124"/>
    <w:rsid w:val="007E71E9"/>
    <w:rsid w:val="007E76FB"/>
    <w:rsid w:val="007E7B1C"/>
    <w:rsid w:val="007E7BA9"/>
    <w:rsid w:val="007E7C2B"/>
    <w:rsid w:val="007E7C5C"/>
    <w:rsid w:val="007E7CB2"/>
    <w:rsid w:val="007E7CF2"/>
    <w:rsid w:val="007E7D86"/>
    <w:rsid w:val="007E7DC3"/>
    <w:rsid w:val="007F0024"/>
    <w:rsid w:val="007F07EB"/>
    <w:rsid w:val="007F0972"/>
    <w:rsid w:val="007F09D8"/>
    <w:rsid w:val="007F0B28"/>
    <w:rsid w:val="007F0F98"/>
    <w:rsid w:val="007F10CC"/>
    <w:rsid w:val="007F1649"/>
    <w:rsid w:val="007F1873"/>
    <w:rsid w:val="007F1D06"/>
    <w:rsid w:val="007F1E23"/>
    <w:rsid w:val="007F1F62"/>
    <w:rsid w:val="007F239B"/>
    <w:rsid w:val="007F25A1"/>
    <w:rsid w:val="007F29DE"/>
    <w:rsid w:val="007F2A32"/>
    <w:rsid w:val="007F2C72"/>
    <w:rsid w:val="007F2DFB"/>
    <w:rsid w:val="007F2E53"/>
    <w:rsid w:val="007F2FD3"/>
    <w:rsid w:val="007F3034"/>
    <w:rsid w:val="007F322D"/>
    <w:rsid w:val="007F3363"/>
    <w:rsid w:val="007F344C"/>
    <w:rsid w:val="007F3564"/>
    <w:rsid w:val="007F3B91"/>
    <w:rsid w:val="007F3D92"/>
    <w:rsid w:val="007F4195"/>
    <w:rsid w:val="007F4277"/>
    <w:rsid w:val="007F43D7"/>
    <w:rsid w:val="007F4899"/>
    <w:rsid w:val="007F4E3D"/>
    <w:rsid w:val="007F4F3C"/>
    <w:rsid w:val="007F4F4E"/>
    <w:rsid w:val="007F523D"/>
    <w:rsid w:val="007F5267"/>
    <w:rsid w:val="007F52ED"/>
    <w:rsid w:val="007F5617"/>
    <w:rsid w:val="007F5799"/>
    <w:rsid w:val="007F5825"/>
    <w:rsid w:val="007F58C9"/>
    <w:rsid w:val="007F593E"/>
    <w:rsid w:val="007F5A0C"/>
    <w:rsid w:val="007F5A11"/>
    <w:rsid w:val="007F5BF1"/>
    <w:rsid w:val="007F5DE0"/>
    <w:rsid w:val="007F5F44"/>
    <w:rsid w:val="007F6169"/>
    <w:rsid w:val="007F62F3"/>
    <w:rsid w:val="007F6655"/>
    <w:rsid w:val="007F6CC5"/>
    <w:rsid w:val="007F6F84"/>
    <w:rsid w:val="007F6F9E"/>
    <w:rsid w:val="007F6FBF"/>
    <w:rsid w:val="007F70B9"/>
    <w:rsid w:val="007F7360"/>
    <w:rsid w:val="007F749A"/>
    <w:rsid w:val="007F75F1"/>
    <w:rsid w:val="007F76FF"/>
    <w:rsid w:val="007F77E3"/>
    <w:rsid w:val="007F7933"/>
    <w:rsid w:val="007F7A0A"/>
    <w:rsid w:val="007F7A75"/>
    <w:rsid w:val="007F7C3B"/>
    <w:rsid w:val="007F7C48"/>
    <w:rsid w:val="007F7E05"/>
    <w:rsid w:val="007F7ECC"/>
    <w:rsid w:val="0080004A"/>
    <w:rsid w:val="0080022F"/>
    <w:rsid w:val="008003AC"/>
    <w:rsid w:val="0080052E"/>
    <w:rsid w:val="00800752"/>
    <w:rsid w:val="00800A0B"/>
    <w:rsid w:val="00800E62"/>
    <w:rsid w:val="00800F35"/>
    <w:rsid w:val="008010D7"/>
    <w:rsid w:val="0080128D"/>
    <w:rsid w:val="008012F4"/>
    <w:rsid w:val="008017B6"/>
    <w:rsid w:val="00801A75"/>
    <w:rsid w:val="00802132"/>
    <w:rsid w:val="008021A2"/>
    <w:rsid w:val="00802329"/>
    <w:rsid w:val="00802658"/>
    <w:rsid w:val="0080293A"/>
    <w:rsid w:val="00802A65"/>
    <w:rsid w:val="00802DF1"/>
    <w:rsid w:val="00802ED4"/>
    <w:rsid w:val="00802F38"/>
    <w:rsid w:val="008031D7"/>
    <w:rsid w:val="0080322C"/>
    <w:rsid w:val="008032FB"/>
    <w:rsid w:val="00803443"/>
    <w:rsid w:val="008035E3"/>
    <w:rsid w:val="00803792"/>
    <w:rsid w:val="0080383E"/>
    <w:rsid w:val="00803D2E"/>
    <w:rsid w:val="00803DD2"/>
    <w:rsid w:val="0080402A"/>
    <w:rsid w:val="00804144"/>
    <w:rsid w:val="00804198"/>
    <w:rsid w:val="0080450E"/>
    <w:rsid w:val="00804519"/>
    <w:rsid w:val="00804530"/>
    <w:rsid w:val="00804574"/>
    <w:rsid w:val="0080488F"/>
    <w:rsid w:val="008048F5"/>
    <w:rsid w:val="00804980"/>
    <w:rsid w:val="00804BB6"/>
    <w:rsid w:val="00805041"/>
    <w:rsid w:val="00805159"/>
    <w:rsid w:val="0080516A"/>
    <w:rsid w:val="0080523F"/>
    <w:rsid w:val="0080533F"/>
    <w:rsid w:val="00805443"/>
    <w:rsid w:val="00805449"/>
    <w:rsid w:val="008057DC"/>
    <w:rsid w:val="00805B99"/>
    <w:rsid w:val="00805BF8"/>
    <w:rsid w:val="00805D94"/>
    <w:rsid w:val="008061D1"/>
    <w:rsid w:val="00806472"/>
    <w:rsid w:val="00806695"/>
    <w:rsid w:val="0080675A"/>
    <w:rsid w:val="0080680D"/>
    <w:rsid w:val="00806A9F"/>
    <w:rsid w:val="00806AD2"/>
    <w:rsid w:val="00806EEF"/>
    <w:rsid w:val="00806F1F"/>
    <w:rsid w:val="00807138"/>
    <w:rsid w:val="00807761"/>
    <w:rsid w:val="0080786A"/>
    <w:rsid w:val="00807960"/>
    <w:rsid w:val="00807E53"/>
    <w:rsid w:val="008100C1"/>
    <w:rsid w:val="00810130"/>
    <w:rsid w:val="008102A1"/>
    <w:rsid w:val="0081079B"/>
    <w:rsid w:val="0081084E"/>
    <w:rsid w:val="0081091F"/>
    <w:rsid w:val="00810DBD"/>
    <w:rsid w:val="008110AD"/>
    <w:rsid w:val="008110E1"/>
    <w:rsid w:val="00811680"/>
    <w:rsid w:val="008117E0"/>
    <w:rsid w:val="00811B3F"/>
    <w:rsid w:val="00811D79"/>
    <w:rsid w:val="00811DEA"/>
    <w:rsid w:val="00811F34"/>
    <w:rsid w:val="00811FC7"/>
    <w:rsid w:val="0081219B"/>
    <w:rsid w:val="00812300"/>
    <w:rsid w:val="0081230D"/>
    <w:rsid w:val="00812310"/>
    <w:rsid w:val="008123BB"/>
    <w:rsid w:val="0081240B"/>
    <w:rsid w:val="0081248E"/>
    <w:rsid w:val="008125C9"/>
    <w:rsid w:val="0081260B"/>
    <w:rsid w:val="008127F9"/>
    <w:rsid w:val="00812BB8"/>
    <w:rsid w:val="00812BC4"/>
    <w:rsid w:val="00812C05"/>
    <w:rsid w:val="00812D3D"/>
    <w:rsid w:val="00812DF0"/>
    <w:rsid w:val="00813162"/>
    <w:rsid w:val="0081322A"/>
    <w:rsid w:val="008135A2"/>
    <w:rsid w:val="0081367C"/>
    <w:rsid w:val="00813934"/>
    <w:rsid w:val="00813BD6"/>
    <w:rsid w:val="00813C26"/>
    <w:rsid w:val="00813DC9"/>
    <w:rsid w:val="00813FD4"/>
    <w:rsid w:val="00814385"/>
    <w:rsid w:val="00814402"/>
    <w:rsid w:val="0081451C"/>
    <w:rsid w:val="00814746"/>
    <w:rsid w:val="008147B0"/>
    <w:rsid w:val="00814991"/>
    <w:rsid w:val="00814BFA"/>
    <w:rsid w:val="00814EDF"/>
    <w:rsid w:val="008153C9"/>
    <w:rsid w:val="00815601"/>
    <w:rsid w:val="00815617"/>
    <w:rsid w:val="0081572C"/>
    <w:rsid w:val="00815817"/>
    <w:rsid w:val="00815C59"/>
    <w:rsid w:val="00815DFC"/>
    <w:rsid w:val="008162AB"/>
    <w:rsid w:val="00816390"/>
    <w:rsid w:val="008164CD"/>
    <w:rsid w:val="008164FE"/>
    <w:rsid w:val="0081660E"/>
    <w:rsid w:val="008169E7"/>
    <w:rsid w:val="00816AE7"/>
    <w:rsid w:val="00816E3D"/>
    <w:rsid w:val="00816E7C"/>
    <w:rsid w:val="00816F60"/>
    <w:rsid w:val="00816F9A"/>
    <w:rsid w:val="0081782A"/>
    <w:rsid w:val="00817A14"/>
    <w:rsid w:val="00817A9F"/>
    <w:rsid w:val="00817B79"/>
    <w:rsid w:val="00817D02"/>
    <w:rsid w:val="00817D35"/>
    <w:rsid w:val="00817E58"/>
    <w:rsid w:val="008201C2"/>
    <w:rsid w:val="00820281"/>
    <w:rsid w:val="008206B5"/>
    <w:rsid w:val="0082130E"/>
    <w:rsid w:val="008214D1"/>
    <w:rsid w:val="00821747"/>
    <w:rsid w:val="00821993"/>
    <w:rsid w:val="00821BFD"/>
    <w:rsid w:val="00821C6A"/>
    <w:rsid w:val="00821ECD"/>
    <w:rsid w:val="00821EE8"/>
    <w:rsid w:val="00822048"/>
    <w:rsid w:val="00822262"/>
    <w:rsid w:val="00822421"/>
    <w:rsid w:val="00822842"/>
    <w:rsid w:val="008228A4"/>
    <w:rsid w:val="008228C1"/>
    <w:rsid w:val="00822D96"/>
    <w:rsid w:val="00822DBC"/>
    <w:rsid w:val="00822E52"/>
    <w:rsid w:val="00822EBC"/>
    <w:rsid w:val="00822EE4"/>
    <w:rsid w:val="00823089"/>
    <w:rsid w:val="00823265"/>
    <w:rsid w:val="008233D2"/>
    <w:rsid w:val="00823636"/>
    <w:rsid w:val="00823A28"/>
    <w:rsid w:val="00823B83"/>
    <w:rsid w:val="00823DE2"/>
    <w:rsid w:val="00823F22"/>
    <w:rsid w:val="0082406C"/>
    <w:rsid w:val="00824975"/>
    <w:rsid w:val="008249A1"/>
    <w:rsid w:val="00824B70"/>
    <w:rsid w:val="00824E21"/>
    <w:rsid w:val="00825231"/>
    <w:rsid w:val="00825243"/>
    <w:rsid w:val="008252F9"/>
    <w:rsid w:val="008253BF"/>
    <w:rsid w:val="0082544E"/>
    <w:rsid w:val="0082556F"/>
    <w:rsid w:val="00825A74"/>
    <w:rsid w:val="00825BDE"/>
    <w:rsid w:val="00825C5F"/>
    <w:rsid w:val="00826220"/>
    <w:rsid w:val="00826276"/>
    <w:rsid w:val="00826355"/>
    <w:rsid w:val="008263EA"/>
    <w:rsid w:val="008264F4"/>
    <w:rsid w:val="0082652C"/>
    <w:rsid w:val="00826621"/>
    <w:rsid w:val="0082674C"/>
    <w:rsid w:val="00826AA5"/>
    <w:rsid w:val="00826C4D"/>
    <w:rsid w:val="00826CAF"/>
    <w:rsid w:val="00826D29"/>
    <w:rsid w:val="00827429"/>
    <w:rsid w:val="0082755D"/>
    <w:rsid w:val="008278E3"/>
    <w:rsid w:val="008279BA"/>
    <w:rsid w:val="00827BB3"/>
    <w:rsid w:val="00827BB8"/>
    <w:rsid w:val="00827BCA"/>
    <w:rsid w:val="00827DC0"/>
    <w:rsid w:val="00827F65"/>
    <w:rsid w:val="00830084"/>
    <w:rsid w:val="008302B7"/>
    <w:rsid w:val="00830717"/>
    <w:rsid w:val="00830A35"/>
    <w:rsid w:val="00830C16"/>
    <w:rsid w:val="00830E36"/>
    <w:rsid w:val="00831223"/>
    <w:rsid w:val="00831547"/>
    <w:rsid w:val="008316E8"/>
    <w:rsid w:val="00831949"/>
    <w:rsid w:val="00831A2C"/>
    <w:rsid w:val="00831BC0"/>
    <w:rsid w:val="00831DD6"/>
    <w:rsid w:val="00832187"/>
    <w:rsid w:val="00832457"/>
    <w:rsid w:val="00832666"/>
    <w:rsid w:val="008329BC"/>
    <w:rsid w:val="00832AEA"/>
    <w:rsid w:val="00832B42"/>
    <w:rsid w:val="00832DB5"/>
    <w:rsid w:val="008330AF"/>
    <w:rsid w:val="008330C7"/>
    <w:rsid w:val="00833270"/>
    <w:rsid w:val="00833400"/>
    <w:rsid w:val="008337D2"/>
    <w:rsid w:val="008341D6"/>
    <w:rsid w:val="0083438F"/>
    <w:rsid w:val="00834608"/>
    <w:rsid w:val="0083498A"/>
    <w:rsid w:val="00834C8B"/>
    <w:rsid w:val="00834ED8"/>
    <w:rsid w:val="00834EEC"/>
    <w:rsid w:val="00834FC5"/>
    <w:rsid w:val="0083508E"/>
    <w:rsid w:val="008350FC"/>
    <w:rsid w:val="00835353"/>
    <w:rsid w:val="0083564E"/>
    <w:rsid w:val="00835671"/>
    <w:rsid w:val="0083582D"/>
    <w:rsid w:val="00835DCD"/>
    <w:rsid w:val="00835FA6"/>
    <w:rsid w:val="00836154"/>
    <w:rsid w:val="008364E2"/>
    <w:rsid w:val="008365E8"/>
    <w:rsid w:val="00836673"/>
    <w:rsid w:val="008366E0"/>
    <w:rsid w:val="008366F3"/>
    <w:rsid w:val="00836975"/>
    <w:rsid w:val="00836A60"/>
    <w:rsid w:val="00836B08"/>
    <w:rsid w:val="00836E96"/>
    <w:rsid w:val="008370B2"/>
    <w:rsid w:val="00837106"/>
    <w:rsid w:val="00837208"/>
    <w:rsid w:val="008377B4"/>
    <w:rsid w:val="00837AA4"/>
    <w:rsid w:val="00837B1B"/>
    <w:rsid w:val="00837D26"/>
    <w:rsid w:val="00840140"/>
    <w:rsid w:val="008403A7"/>
    <w:rsid w:val="0084072B"/>
    <w:rsid w:val="00840965"/>
    <w:rsid w:val="00840D8A"/>
    <w:rsid w:val="00840F01"/>
    <w:rsid w:val="00841223"/>
    <w:rsid w:val="008414E5"/>
    <w:rsid w:val="008415C2"/>
    <w:rsid w:val="00841B05"/>
    <w:rsid w:val="00841B23"/>
    <w:rsid w:val="00841E10"/>
    <w:rsid w:val="008428A7"/>
    <w:rsid w:val="00842C66"/>
    <w:rsid w:val="00842E09"/>
    <w:rsid w:val="00842F41"/>
    <w:rsid w:val="008435F6"/>
    <w:rsid w:val="00843748"/>
    <w:rsid w:val="00843D72"/>
    <w:rsid w:val="00843E6F"/>
    <w:rsid w:val="008445A6"/>
    <w:rsid w:val="00844890"/>
    <w:rsid w:val="00844984"/>
    <w:rsid w:val="008449B1"/>
    <w:rsid w:val="00844C8A"/>
    <w:rsid w:val="00844F83"/>
    <w:rsid w:val="008450C7"/>
    <w:rsid w:val="0084524A"/>
    <w:rsid w:val="00845499"/>
    <w:rsid w:val="008454AD"/>
    <w:rsid w:val="00845A30"/>
    <w:rsid w:val="00845BB4"/>
    <w:rsid w:val="00845D2B"/>
    <w:rsid w:val="0084600D"/>
    <w:rsid w:val="008460D6"/>
    <w:rsid w:val="0084610E"/>
    <w:rsid w:val="008467D4"/>
    <w:rsid w:val="008467E1"/>
    <w:rsid w:val="00846C00"/>
    <w:rsid w:val="00846C2F"/>
    <w:rsid w:val="00846E32"/>
    <w:rsid w:val="00846E4A"/>
    <w:rsid w:val="00847595"/>
    <w:rsid w:val="00847A21"/>
    <w:rsid w:val="00847C2B"/>
    <w:rsid w:val="00847D01"/>
    <w:rsid w:val="00850042"/>
    <w:rsid w:val="0085034B"/>
    <w:rsid w:val="00850532"/>
    <w:rsid w:val="00850581"/>
    <w:rsid w:val="008506ED"/>
    <w:rsid w:val="008506F4"/>
    <w:rsid w:val="0085094F"/>
    <w:rsid w:val="00850958"/>
    <w:rsid w:val="00850959"/>
    <w:rsid w:val="00850B03"/>
    <w:rsid w:val="008510EA"/>
    <w:rsid w:val="00851100"/>
    <w:rsid w:val="0085122D"/>
    <w:rsid w:val="0085127C"/>
    <w:rsid w:val="00851443"/>
    <w:rsid w:val="008516B4"/>
    <w:rsid w:val="008518AA"/>
    <w:rsid w:val="0085197B"/>
    <w:rsid w:val="008519C2"/>
    <w:rsid w:val="00851AF5"/>
    <w:rsid w:val="00851E85"/>
    <w:rsid w:val="00851EA9"/>
    <w:rsid w:val="00851FB5"/>
    <w:rsid w:val="00852330"/>
    <w:rsid w:val="008523B5"/>
    <w:rsid w:val="00852413"/>
    <w:rsid w:val="008526DF"/>
    <w:rsid w:val="008529E1"/>
    <w:rsid w:val="00852D83"/>
    <w:rsid w:val="00852DB9"/>
    <w:rsid w:val="00852EC6"/>
    <w:rsid w:val="00853063"/>
    <w:rsid w:val="00853173"/>
    <w:rsid w:val="008532DA"/>
    <w:rsid w:val="00853771"/>
    <w:rsid w:val="00853785"/>
    <w:rsid w:val="00853BE7"/>
    <w:rsid w:val="008544FC"/>
    <w:rsid w:val="00854566"/>
    <w:rsid w:val="0085493B"/>
    <w:rsid w:val="00854ABC"/>
    <w:rsid w:val="00854AF1"/>
    <w:rsid w:val="00854DAA"/>
    <w:rsid w:val="0085505D"/>
    <w:rsid w:val="008550A4"/>
    <w:rsid w:val="008553A9"/>
    <w:rsid w:val="00855513"/>
    <w:rsid w:val="008556B3"/>
    <w:rsid w:val="0085578C"/>
    <w:rsid w:val="00855794"/>
    <w:rsid w:val="00855795"/>
    <w:rsid w:val="008557E4"/>
    <w:rsid w:val="00855B60"/>
    <w:rsid w:val="00855EBE"/>
    <w:rsid w:val="00856067"/>
    <w:rsid w:val="008560B9"/>
    <w:rsid w:val="0085612E"/>
    <w:rsid w:val="008561AB"/>
    <w:rsid w:val="008561CE"/>
    <w:rsid w:val="008561E8"/>
    <w:rsid w:val="00856617"/>
    <w:rsid w:val="00856801"/>
    <w:rsid w:val="00856B04"/>
    <w:rsid w:val="00856F14"/>
    <w:rsid w:val="00856FF4"/>
    <w:rsid w:val="0085709E"/>
    <w:rsid w:val="008570F9"/>
    <w:rsid w:val="0085717D"/>
    <w:rsid w:val="008573C0"/>
    <w:rsid w:val="00857454"/>
    <w:rsid w:val="00857483"/>
    <w:rsid w:val="0085756F"/>
    <w:rsid w:val="00857587"/>
    <w:rsid w:val="0085764C"/>
    <w:rsid w:val="00857750"/>
    <w:rsid w:val="00857836"/>
    <w:rsid w:val="00857A81"/>
    <w:rsid w:val="00857BD4"/>
    <w:rsid w:val="00857DB8"/>
    <w:rsid w:val="0085ED54"/>
    <w:rsid w:val="00860320"/>
    <w:rsid w:val="008603CB"/>
    <w:rsid w:val="008603E4"/>
    <w:rsid w:val="00860505"/>
    <w:rsid w:val="00860699"/>
    <w:rsid w:val="008608E5"/>
    <w:rsid w:val="008608EF"/>
    <w:rsid w:val="0086092E"/>
    <w:rsid w:val="0086100F"/>
    <w:rsid w:val="0086108D"/>
    <w:rsid w:val="0086122A"/>
    <w:rsid w:val="008612B7"/>
    <w:rsid w:val="008615F5"/>
    <w:rsid w:val="00861FB0"/>
    <w:rsid w:val="0086206A"/>
    <w:rsid w:val="00862196"/>
    <w:rsid w:val="008621F8"/>
    <w:rsid w:val="0086242C"/>
    <w:rsid w:val="00862721"/>
    <w:rsid w:val="00862948"/>
    <w:rsid w:val="00862CD4"/>
    <w:rsid w:val="00862D6E"/>
    <w:rsid w:val="00863037"/>
    <w:rsid w:val="0086338B"/>
    <w:rsid w:val="0086349C"/>
    <w:rsid w:val="008635A9"/>
    <w:rsid w:val="008636D8"/>
    <w:rsid w:val="00863864"/>
    <w:rsid w:val="00863B67"/>
    <w:rsid w:val="00863BEB"/>
    <w:rsid w:val="008640F8"/>
    <w:rsid w:val="008641B8"/>
    <w:rsid w:val="008641F6"/>
    <w:rsid w:val="0086447F"/>
    <w:rsid w:val="008647DE"/>
    <w:rsid w:val="008648A0"/>
    <w:rsid w:val="00864A23"/>
    <w:rsid w:val="00864B95"/>
    <w:rsid w:val="00865462"/>
    <w:rsid w:val="008654B7"/>
    <w:rsid w:val="008656A2"/>
    <w:rsid w:val="008656EC"/>
    <w:rsid w:val="00865737"/>
    <w:rsid w:val="008658C0"/>
    <w:rsid w:val="00865AF0"/>
    <w:rsid w:val="00865B28"/>
    <w:rsid w:val="00865D30"/>
    <w:rsid w:val="00865F27"/>
    <w:rsid w:val="0086600A"/>
    <w:rsid w:val="00866057"/>
    <w:rsid w:val="00866142"/>
    <w:rsid w:val="00866587"/>
    <w:rsid w:val="00866788"/>
    <w:rsid w:val="0086682C"/>
    <w:rsid w:val="008668F6"/>
    <w:rsid w:val="008669E3"/>
    <w:rsid w:val="00866B1D"/>
    <w:rsid w:val="00866EFA"/>
    <w:rsid w:val="00867003"/>
    <w:rsid w:val="008670E3"/>
    <w:rsid w:val="008672B6"/>
    <w:rsid w:val="00867DA2"/>
    <w:rsid w:val="00867DD1"/>
    <w:rsid w:val="0087023D"/>
    <w:rsid w:val="008702F2"/>
    <w:rsid w:val="008705D6"/>
    <w:rsid w:val="00870893"/>
    <w:rsid w:val="00870BC6"/>
    <w:rsid w:val="00870BFB"/>
    <w:rsid w:val="00870E58"/>
    <w:rsid w:val="008712E0"/>
    <w:rsid w:val="0087144D"/>
    <w:rsid w:val="00872163"/>
    <w:rsid w:val="00872200"/>
    <w:rsid w:val="008724EB"/>
    <w:rsid w:val="008725C7"/>
    <w:rsid w:val="0087271E"/>
    <w:rsid w:val="0087274A"/>
    <w:rsid w:val="00872B31"/>
    <w:rsid w:val="00872DA2"/>
    <w:rsid w:val="00872E7F"/>
    <w:rsid w:val="00873203"/>
    <w:rsid w:val="0087330E"/>
    <w:rsid w:val="0087349B"/>
    <w:rsid w:val="00873A24"/>
    <w:rsid w:val="00873A8E"/>
    <w:rsid w:val="00873C67"/>
    <w:rsid w:val="00873D5B"/>
    <w:rsid w:val="00873EFF"/>
    <w:rsid w:val="00874007"/>
    <w:rsid w:val="00874159"/>
    <w:rsid w:val="008741E3"/>
    <w:rsid w:val="00874440"/>
    <w:rsid w:val="008745EB"/>
    <w:rsid w:val="00874BAB"/>
    <w:rsid w:val="00874C18"/>
    <w:rsid w:val="00874C7F"/>
    <w:rsid w:val="00874C85"/>
    <w:rsid w:val="00874DE4"/>
    <w:rsid w:val="00874E64"/>
    <w:rsid w:val="00874F57"/>
    <w:rsid w:val="00874FC5"/>
    <w:rsid w:val="00875037"/>
    <w:rsid w:val="008755AA"/>
    <w:rsid w:val="00875645"/>
    <w:rsid w:val="0087577F"/>
    <w:rsid w:val="0087581F"/>
    <w:rsid w:val="008758F8"/>
    <w:rsid w:val="00875992"/>
    <w:rsid w:val="008759AE"/>
    <w:rsid w:val="00875A72"/>
    <w:rsid w:val="00875AD8"/>
    <w:rsid w:val="00875C69"/>
    <w:rsid w:val="008761C6"/>
    <w:rsid w:val="0087629B"/>
    <w:rsid w:val="00876358"/>
    <w:rsid w:val="00876567"/>
    <w:rsid w:val="008767F7"/>
    <w:rsid w:val="008771EA"/>
    <w:rsid w:val="008773AE"/>
    <w:rsid w:val="008775A9"/>
    <w:rsid w:val="00877974"/>
    <w:rsid w:val="00877DAD"/>
    <w:rsid w:val="00877E3E"/>
    <w:rsid w:val="00877E7E"/>
    <w:rsid w:val="00877E9C"/>
    <w:rsid w:val="00880049"/>
    <w:rsid w:val="008800D3"/>
    <w:rsid w:val="008805CE"/>
    <w:rsid w:val="0088066E"/>
    <w:rsid w:val="00880686"/>
    <w:rsid w:val="00880C60"/>
    <w:rsid w:val="00880D63"/>
    <w:rsid w:val="00880D6E"/>
    <w:rsid w:val="00880E3B"/>
    <w:rsid w:val="0088129B"/>
    <w:rsid w:val="0088141F"/>
    <w:rsid w:val="008816A8"/>
    <w:rsid w:val="008816CF"/>
    <w:rsid w:val="00881B11"/>
    <w:rsid w:val="00881B16"/>
    <w:rsid w:val="00881C85"/>
    <w:rsid w:val="0088236F"/>
    <w:rsid w:val="008824E6"/>
    <w:rsid w:val="0088260C"/>
    <w:rsid w:val="00882617"/>
    <w:rsid w:val="00882748"/>
    <w:rsid w:val="0088275B"/>
    <w:rsid w:val="0088283C"/>
    <w:rsid w:val="0088294E"/>
    <w:rsid w:val="008829D5"/>
    <w:rsid w:val="00882A6C"/>
    <w:rsid w:val="00882AB1"/>
    <w:rsid w:val="00882AC7"/>
    <w:rsid w:val="00882D12"/>
    <w:rsid w:val="008831D1"/>
    <w:rsid w:val="0088349C"/>
    <w:rsid w:val="00883976"/>
    <w:rsid w:val="00883B36"/>
    <w:rsid w:val="00883BD3"/>
    <w:rsid w:val="00883C4D"/>
    <w:rsid w:val="00883E37"/>
    <w:rsid w:val="008840A0"/>
    <w:rsid w:val="008840CA"/>
    <w:rsid w:val="00884194"/>
    <w:rsid w:val="008841C5"/>
    <w:rsid w:val="008846BA"/>
    <w:rsid w:val="00884EA2"/>
    <w:rsid w:val="00884FD6"/>
    <w:rsid w:val="00885005"/>
    <w:rsid w:val="00885118"/>
    <w:rsid w:val="008853D7"/>
    <w:rsid w:val="00885515"/>
    <w:rsid w:val="0088575B"/>
    <w:rsid w:val="00885825"/>
    <w:rsid w:val="00885A35"/>
    <w:rsid w:val="00885B9B"/>
    <w:rsid w:val="00885BF2"/>
    <w:rsid w:val="00885D80"/>
    <w:rsid w:val="00885E7E"/>
    <w:rsid w:val="008863BF"/>
    <w:rsid w:val="00886501"/>
    <w:rsid w:val="00886A5A"/>
    <w:rsid w:val="00886CDD"/>
    <w:rsid w:val="00886F38"/>
    <w:rsid w:val="008874F3"/>
    <w:rsid w:val="0088768D"/>
    <w:rsid w:val="00887A37"/>
    <w:rsid w:val="00887DA0"/>
    <w:rsid w:val="00887EB1"/>
    <w:rsid w:val="00887FE4"/>
    <w:rsid w:val="008905EB"/>
    <w:rsid w:val="0089086F"/>
    <w:rsid w:val="00890A0C"/>
    <w:rsid w:val="00891064"/>
    <w:rsid w:val="00891480"/>
    <w:rsid w:val="008914FB"/>
    <w:rsid w:val="00891577"/>
    <w:rsid w:val="008916AF"/>
    <w:rsid w:val="00891866"/>
    <w:rsid w:val="00891B1E"/>
    <w:rsid w:val="00891B7A"/>
    <w:rsid w:val="00891C63"/>
    <w:rsid w:val="00891C8A"/>
    <w:rsid w:val="00891F92"/>
    <w:rsid w:val="0089214D"/>
    <w:rsid w:val="008921E0"/>
    <w:rsid w:val="00892389"/>
    <w:rsid w:val="00892635"/>
    <w:rsid w:val="0089289A"/>
    <w:rsid w:val="0089301A"/>
    <w:rsid w:val="0089316A"/>
    <w:rsid w:val="008931EB"/>
    <w:rsid w:val="0089325D"/>
    <w:rsid w:val="00893B6C"/>
    <w:rsid w:val="00893BF0"/>
    <w:rsid w:val="00893C0D"/>
    <w:rsid w:val="00893D72"/>
    <w:rsid w:val="00893DB2"/>
    <w:rsid w:val="00893E05"/>
    <w:rsid w:val="00893F13"/>
    <w:rsid w:val="008940F6"/>
    <w:rsid w:val="0089435A"/>
    <w:rsid w:val="0089439A"/>
    <w:rsid w:val="008945C5"/>
    <w:rsid w:val="00894781"/>
    <w:rsid w:val="0089485F"/>
    <w:rsid w:val="0089489F"/>
    <w:rsid w:val="0089539F"/>
    <w:rsid w:val="008953F2"/>
    <w:rsid w:val="008957DD"/>
    <w:rsid w:val="008959B5"/>
    <w:rsid w:val="00895B79"/>
    <w:rsid w:val="00895D45"/>
    <w:rsid w:val="00895E80"/>
    <w:rsid w:val="008961DF"/>
    <w:rsid w:val="00896449"/>
    <w:rsid w:val="00896B18"/>
    <w:rsid w:val="00896D32"/>
    <w:rsid w:val="00896E52"/>
    <w:rsid w:val="00896FE5"/>
    <w:rsid w:val="0089724F"/>
    <w:rsid w:val="0089766E"/>
    <w:rsid w:val="00897936"/>
    <w:rsid w:val="00897BC6"/>
    <w:rsid w:val="00897D85"/>
    <w:rsid w:val="008A00AF"/>
    <w:rsid w:val="008A0479"/>
    <w:rsid w:val="008A099E"/>
    <w:rsid w:val="008A0AE9"/>
    <w:rsid w:val="008A0CD9"/>
    <w:rsid w:val="008A0E11"/>
    <w:rsid w:val="008A160E"/>
    <w:rsid w:val="008A17E6"/>
    <w:rsid w:val="008A1B0F"/>
    <w:rsid w:val="008A1FF0"/>
    <w:rsid w:val="008A20DA"/>
    <w:rsid w:val="008A21C0"/>
    <w:rsid w:val="008A22BE"/>
    <w:rsid w:val="008A2375"/>
    <w:rsid w:val="008A2720"/>
    <w:rsid w:val="008A292C"/>
    <w:rsid w:val="008A29DB"/>
    <w:rsid w:val="008A2CD8"/>
    <w:rsid w:val="008A2D0B"/>
    <w:rsid w:val="008A2FBA"/>
    <w:rsid w:val="008A31DA"/>
    <w:rsid w:val="008A343E"/>
    <w:rsid w:val="008A3612"/>
    <w:rsid w:val="008A37E7"/>
    <w:rsid w:val="008A3993"/>
    <w:rsid w:val="008A3B02"/>
    <w:rsid w:val="008A3BF4"/>
    <w:rsid w:val="008A3CC4"/>
    <w:rsid w:val="008A3D5A"/>
    <w:rsid w:val="008A4019"/>
    <w:rsid w:val="008A4066"/>
    <w:rsid w:val="008A4145"/>
    <w:rsid w:val="008A41F6"/>
    <w:rsid w:val="008A4219"/>
    <w:rsid w:val="008A4424"/>
    <w:rsid w:val="008A469C"/>
    <w:rsid w:val="008A46CF"/>
    <w:rsid w:val="008A4B56"/>
    <w:rsid w:val="008A4F3D"/>
    <w:rsid w:val="008A5399"/>
    <w:rsid w:val="008A557A"/>
    <w:rsid w:val="008A58E2"/>
    <w:rsid w:val="008A5955"/>
    <w:rsid w:val="008A595E"/>
    <w:rsid w:val="008A5ECF"/>
    <w:rsid w:val="008A60BB"/>
    <w:rsid w:val="008A6156"/>
    <w:rsid w:val="008A622A"/>
    <w:rsid w:val="008A6395"/>
    <w:rsid w:val="008A6648"/>
    <w:rsid w:val="008A68CD"/>
    <w:rsid w:val="008A69B7"/>
    <w:rsid w:val="008A6A2E"/>
    <w:rsid w:val="008A6D38"/>
    <w:rsid w:val="008A6D59"/>
    <w:rsid w:val="008A7212"/>
    <w:rsid w:val="008A73EC"/>
    <w:rsid w:val="008A75AF"/>
    <w:rsid w:val="008A766C"/>
    <w:rsid w:val="008A782A"/>
    <w:rsid w:val="008A7878"/>
    <w:rsid w:val="008A78F5"/>
    <w:rsid w:val="008A7A36"/>
    <w:rsid w:val="008A7B52"/>
    <w:rsid w:val="008A7DF0"/>
    <w:rsid w:val="008A7E55"/>
    <w:rsid w:val="008A7F89"/>
    <w:rsid w:val="008B001C"/>
    <w:rsid w:val="008B0254"/>
    <w:rsid w:val="008B044E"/>
    <w:rsid w:val="008B0526"/>
    <w:rsid w:val="008B0755"/>
    <w:rsid w:val="008B08CF"/>
    <w:rsid w:val="008B09D8"/>
    <w:rsid w:val="008B0C52"/>
    <w:rsid w:val="008B0F41"/>
    <w:rsid w:val="008B182E"/>
    <w:rsid w:val="008B1ACB"/>
    <w:rsid w:val="008B1B25"/>
    <w:rsid w:val="008B1BD7"/>
    <w:rsid w:val="008B1DE7"/>
    <w:rsid w:val="008B1E89"/>
    <w:rsid w:val="008B1F63"/>
    <w:rsid w:val="008B20E3"/>
    <w:rsid w:val="008B21D4"/>
    <w:rsid w:val="008B2268"/>
    <w:rsid w:val="008B261F"/>
    <w:rsid w:val="008B2679"/>
    <w:rsid w:val="008B2923"/>
    <w:rsid w:val="008B29DB"/>
    <w:rsid w:val="008B2A8E"/>
    <w:rsid w:val="008B3031"/>
    <w:rsid w:val="008B3612"/>
    <w:rsid w:val="008B3745"/>
    <w:rsid w:val="008B387D"/>
    <w:rsid w:val="008B38E2"/>
    <w:rsid w:val="008B3B25"/>
    <w:rsid w:val="008B3CDE"/>
    <w:rsid w:val="008B406E"/>
    <w:rsid w:val="008B4093"/>
    <w:rsid w:val="008B4101"/>
    <w:rsid w:val="008B4271"/>
    <w:rsid w:val="008B4306"/>
    <w:rsid w:val="008B444A"/>
    <w:rsid w:val="008B46F5"/>
    <w:rsid w:val="008B4756"/>
    <w:rsid w:val="008B4770"/>
    <w:rsid w:val="008B4A75"/>
    <w:rsid w:val="008B4EDD"/>
    <w:rsid w:val="008B51CC"/>
    <w:rsid w:val="008B5321"/>
    <w:rsid w:val="008B53DD"/>
    <w:rsid w:val="008B54F1"/>
    <w:rsid w:val="008B561B"/>
    <w:rsid w:val="008B58BC"/>
    <w:rsid w:val="008B59B5"/>
    <w:rsid w:val="008B5C40"/>
    <w:rsid w:val="008B5C8F"/>
    <w:rsid w:val="008B5F16"/>
    <w:rsid w:val="008B643A"/>
    <w:rsid w:val="008B672A"/>
    <w:rsid w:val="008B6917"/>
    <w:rsid w:val="008B6A50"/>
    <w:rsid w:val="008B6A70"/>
    <w:rsid w:val="008B6C0C"/>
    <w:rsid w:val="008B718C"/>
    <w:rsid w:val="008B7451"/>
    <w:rsid w:val="008B7500"/>
    <w:rsid w:val="008B7624"/>
    <w:rsid w:val="008B768A"/>
    <w:rsid w:val="008B7722"/>
    <w:rsid w:val="008B786F"/>
    <w:rsid w:val="008B79C4"/>
    <w:rsid w:val="008B7ABD"/>
    <w:rsid w:val="008B7E41"/>
    <w:rsid w:val="008B7F9A"/>
    <w:rsid w:val="008C00E1"/>
    <w:rsid w:val="008C02BE"/>
    <w:rsid w:val="008C04C8"/>
    <w:rsid w:val="008C0720"/>
    <w:rsid w:val="008C077A"/>
    <w:rsid w:val="008C07DA"/>
    <w:rsid w:val="008C0B0C"/>
    <w:rsid w:val="008C0B4A"/>
    <w:rsid w:val="008C0BC5"/>
    <w:rsid w:val="008C0C78"/>
    <w:rsid w:val="008C0E5C"/>
    <w:rsid w:val="008C0E92"/>
    <w:rsid w:val="008C0F7A"/>
    <w:rsid w:val="008C12F1"/>
    <w:rsid w:val="008C14A2"/>
    <w:rsid w:val="008C16D2"/>
    <w:rsid w:val="008C1724"/>
    <w:rsid w:val="008C17E4"/>
    <w:rsid w:val="008C1A99"/>
    <w:rsid w:val="008C1ADE"/>
    <w:rsid w:val="008C1B45"/>
    <w:rsid w:val="008C1CE8"/>
    <w:rsid w:val="008C1EBB"/>
    <w:rsid w:val="008C1ECC"/>
    <w:rsid w:val="008C212A"/>
    <w:rsid w:val="008C2238"/>
    <w:rsid w:val="008C22F8"/>
    <w:rsid w:val="008C23AE"/>
    <w:rsid w:val="008C2421"/>
    <w:rsid w:val="008C2600"/>
    <w:rsid w:val="008C2877"/>
    <w:rsid w:val="008C28D0"/>
    <w:rsid w:val="008C2945"/>
    <w:rsid w:val="008C2AB2"/>
    <w:rsid w:val="008C2BB5"/>
    <w:rsid w:val="008C3306"/>
    <w:rsid w:val="008C360F"/>
    <w:rsid w:val="008C3921"/>
    <w:rsid w:val="008C3BB0"/>
    <w:rsid w:val="008C3BB5"/>
    <w:rsid w:val="008C3C63"/>
    <w:rsid w:val="008C43E2"/>
    <w:rsid w:val="008C44E3"/>
    <w:rsid w:val="008C4581"/>
    <w:rsid w:val="008C46B1"/>
    <w:rsid w:val="008C489E"/>
    <w:rsid w:val="008C4B28"/>
    <w:rsid w:val="008C4CC5"/>
    <w:rsid w:val="008C4D30"/>
    <w:rsid w:val="008C4E6F"/>
    <w:rsid w:val="008C509F"/>
    <w:rsid w:val="008C5154"/>
    <w:rsid w:val="008C59D9"/>
    <w:rsid w:val="008C5D76"/>
    <w:rsid w:val="008C5DFA"/>
    <w:rsid w:val="008C5EE3"/>
    <w:rsid w:val="008C5F73"/>
    <w:rsid w:val="008C5F8B"/>
    <w:rsid w:val="008C6021"/>
    <w:rsid w:val="008C6235"/>
    <w:rsid w:val="008C672A"/>
    <w:rsid w:val="008C67EF"/>
    <w:rsid w:val="008C698F"/>
    <w:rsid w:val="008C6B32"/>
    <w:rsid w:val="008C6B6D"/>
    <w:rsid w:val="008C6E0E"/>
    <w:rsid w:val="008C6E40"/>
    <w:rsid w:val="008C6F63"/>
    <w:rsid w:val="008C73CF"/>
    <w:rsid w:val="008C76CB"/>
    <w:rsid w:val="008C7C57"/>
    <w:rsid w:val="008D0149"/>
    <w:rsid w:val="008D0187"/>
    <w:rsid w:val="008D0EC4"/>
    <w:rsid w:val="008D1660"/>
    <w:rsid w:val="008D16C2"/>
    <w:rsid w:val="008D16E9"/>
    <w:rsid w:val="008D1B71"/>
    <w:rsid w:val="008D1D1C"/>
    <w:rsid w:val="008D2099"/>
    <w:rsid w:val="008D2326"/>
    <w:rsid w:val="008D24CB"/>
    <w:rsid w:val="008D2655"/>
    <w:rsid w:val="008D26AB"/>
    <w:rsid w:val="008D2965"/>
    <w:rsid w:val="008D29B4"/>
    <w:rsid w:val="008D2BBF"/>
    <w:rsid w:val="008D2D6F"/>
    <w:rsid w:val="008D31C0"/>
    <w:rsid w:val="008D348B"/>
    <w:rsid w:val="008D3548"/>
    <w:rsid w:val="008D36F4"/>
    <w:rsid w:val="008D398F"/>
    <w:rsid w:val="008D3EA4"/>
    <w:rsid w:val="008D3EF9"/>
    <w:rsid w:val="008D419E"/>
    <w:rsid w:val="008D4269"/>
    <w:rsid w:val="008D43C4"/>
    <w:rsid w:val="008D448D"/>
    <w:rsid w:val="008D4639"/>
    <w:rsid w:val="008D46EE"/>
    <w:rsid w:val="008D4B7A"/>
    <w:rsid w:val="008D4D3A"/>
    <w:rsid w:val="008D4E5B"/>
    <w:rsid w:val="008D50A8"/>
    <w:rsid w:val="008D52CE"/>
    <w:rsid w:val="008D53C3"/>
    <w:rsid w:val="008D5705"/>
    <w:rsid w:val="008D5D6E"/>
    <w:rsid w:val="008D5EAD"/>
    <w:rsid w:val="008D62C5"/>
    <w:rsid w:val="008D64DB"/>
    <w:rsid w:val="008D6600"/>
    <w:rsid w:val="008D6782"/>
    <w:rsid w:val="008D6CB7"/>
    <w:rsid w:val="008D6D34"/>
    <w:rsid w:val="008D72F4"/>
    <w:rsid w:val="008D73A9"/>
    <w:rsid w:val="008D7477"/>
    <w:rsid w:val="008D776A"/>
    <w:rsid w:val="008D7B65"/>
    <w:rsid w:val="008D7CD8"/>
    <w:rsid w:val="008E0020"/>
    <w:rsid w:val="008E0086"/>
    <w:rsid w:val="008E015F"/>
    <w:rsid w:val="008E027A"/>
    <w:rsid w:val="008E0629"/>
    <w:rsid w:val="008E094D"/>
    <w:rsid w:val="008E097D"/>
    <w:rsid w:val="008E0BB1"/>
    <w:rsid w:val="008E0ED4"/>
    <w:rsid w:val="008E0F26"/>
    <w:rsid w:val="008E12CD"/>
    <w:rsid w:val="008E14F9"/>
    <w:rsid w:val="008E1BF5"/>
    <w:rsid w:val="008E1FC2"/>
    <w:rsid w:val="008E2063"/>
    <w:rsid w:val="008E2136"/>
    <w:rsid w:val="008E270D"/>
    <w:rsid w:val="008E2A20"/>
    <w:rsid w:val="008E2A76"/>
    <w:rsid w:val="008E2AE8"/>
    <w:rsid w:val="008E2BE4"/>
    <w:rsid w:val="008E2D39"/>
    <w:rsid w:val="008E2D6E"/>
    <w:rsid w:val="008E2D82"/>
    <w:rsid w:val="008E2E68"/>
    <w:rsid w:val="008E3191"/>
    <w:rsid w:val="008E31DC"/>
    <w:rsid w:val="008E345C"/>
    <w:rsid w:val="008E381C"/>
    <w:rsid w:val="008E3BF9"/>
    <w:rsid w:val="008E3ED5"/>
    <w:rsid w:val="008E4254"/>
    <w:rsid w:val="008E42C8"/>
    <w:rsid w:val="008E42CF"/>
    <w:rsid w:val="008E4375"/>
    <w:rsid w:val="008E459F"/>
    <w:rsid w:val="008E45EF"/>
    <w:rsid w:val="008E45FD"/>
    <w:rsid w:val="008E4678"/>
    <w:rsid w:val="008E475B"/>
    <w:rsid w:val="008E49F3"/>
    <w:rsid w:val="008E4B22"/>
    <w:rsid w:val="008E5049"/>
    <w:rsid w:val="008E504B"/>
    <w:rsid w:val="008E50DA"/>
    <w:rsid w:val="008E5175"/>
    <w:rsid w:val="008E53A2"/>
    <w:rsid w:val="008E5653"/>
    <w:rsid w:val="008E56F2"/>
    <w:rsid w:val="008E5786"/>
    <w:rsid w:val="008E5929"/>
    <w:rsid w:val="008E6104"/>
    <w:rsid w:val="008E62D2"/>
    <w:rsid w:val="008E6B4E"/>
    <w:rsid w:val="008E6DC0"/>
    <w:rsid w:val="008E719C"/>
    <w:rsid w:val="008E7455"/>
    <w:rsid w:val="008E74E9"/>
    <w:rsid w:val="008E768F"/>
    <w:rsid w:val="008E7694"/>
    <w:rsid w:val="008E772F"/>
    <w:rsid w:val="008E7970"/>
    <w:rsid w:val="008E79D9"/>
    <w:rsid w:val="008E7A2F"/>
    <w:rsid w:val="008E7C34"/>
    <w:rsid w:val="008E7D4F"/>
    <w:rsid w:val="008E7F4A"/>
    <w:rsid w:val="008F0155"/>
    <w:rsid w:val="008F019C"/>
    <w:rsid w:val="008F019F"/>
    <w:rsid w:val="008F0204"/>
    <w:rsid w:val="008F0324"/>
    <w:rsid w:val="008F053F"/>
    <w:rsid w:val="008F080B"/>
    <w:rsid w:val="008F0B57"/>
    <w:rsid w:val="008F0C36"/>
    <w:rsid w:val="008F0FF2"/>
    <w:rsid w:val="008F102B"/>
    <w:rsid w:val="008F1040"/>
    <w:rsid w:val="008F107F"/>
    <w:rsid w:val="008F10B3"/>
    <w:rsid w:val="008F10D9"/>
    <w:rsid w:val="008F10DD"/>
    <w:rsid w:val="008F10DF"/>
    <w:rsid w:val="008F12C0"/>
    <w:rsid w:val="008F15C7"/>
    <w:rsid w:val="008F1695"/>
    <w:rsid w:val="008F1708"/>
    <w:rsid w:val="008F1810"/>
    <w:rsid w:val="008F1959"/>
    <w:rsid w:val="008F1B69"/>
    <w:rsid w:val="008F1BDA"/>
    <w:rsid w:val="008F1BF6"/>
    <w:rsid w:val="008F1C38"/>
    <w:rsid w:val="008F21B8"/>
    <w:rsid w:val="008F2847"/>
    <w:rsid w:val="008F294C"/>
    <w:rsid w:val="008F2CB1"/>
    <w:rsid w:val="008F2DB8"/>
    <w:rsid w:val="008F2F7D"/>
    <w:rsid w:val="008F2F92"/>
    <w:rsid w:val="008F328D"/>
    <w:rsid w:val="008F344E"/>
    <w:rsid w:val="008F36E2"/>
    <w:rsid w:val="008F376C"/>
    <w:rsid w:val="008F377B"/>
    <w:rsid w:val="008F37E4"/>
    <w:rsid w:val="008F3AA3"/>
    <w:rsid w:val="008F3EA6"/>
    <w:rsid w:val="008F3EBB"/>
    <w:rsid w:val="008F42CA"/>
    <w:rsid w:val="008F43F5"/>
    <w:rsid w:val="008F471B"/>
    <w:rsid w:val="008F47B2"/>
    <w:rsid w:val="008F4823"/>
    <w:rsid w:val="008F4835"/>
    <w:rsid w:val="008F48F6"/>
    <w:rsid w:val="008F49CE"/>
    <w:rsid w:val="008F4B4D"/>
    <w:rsid w:val="008F4BB8"/>
    <w:rsid w:val="008F4D48"/>
    <w:rsid w:val="008F4FC9"/>
    <w:rsid w:val="008F5347"/>
    <w:rsid w:val="008F566F"/>
    <w:rsid w:val="008F56DE"/>
    <w:rsid w:val="008F5BFB"/>
    <w:rsid w:val="008F5EAA"/>
    <w:rsid w:val="008F61A0"/>
    <w:rsid w:val="008F67CC"/>
    <w:rsid w:val="008F6AD6"/>
    <w:rsid w:val="008F6C92"/>
    <w:rsid w:val="008F6F9D"/>
    <w:rsid w:val="008F700F"/>
    <w:rsid w:val="008F7329"/>
    <w:rsid w:val="008F74EA"/>
    <w:rsid w:val="008F75A1"/>
    <w:rsid w:val="008F787C"/>
    <w:rsid w:val="008F78AF"/>
    <w:rsid w:val="008F78F4"/>
    <w:rsid w:val="008F7DCE"/>
    <w:rsid w:val="009004DE"/>
    <w:rsid w:val="00900532"/>
    <w:rsid w:val="009008DA"/>
    <w:rsid w:val="00900D77"/>
    <w:rsid w:val="00901012"/>
    <w:rsid w:val="00901143"/>
    <w:rsid w:val="009011C6"/>
    <w:rsid w:val="009011CE"/>
    <w:rsid w:val="00901511"/>
    <w:rsid w:val="00901541"/>
    <w:rsid w:val="0090155B"/>
    <w:rsid w:val="00901A56"/>
    <w:rsid w:val="0090252A"/>
    <w:rsid w:val="0090258C"/>
    <w:rsid w:val="009025AB"/>
    <w:rsid w:val="00902C00"/>
    <w:rsid w:val="00902CC7"/>
    <w:rsid w:val="00902D1B"/>
    <w:rsid w:val="00902D45"/>
    <w:rsid w:val="00902D4F"/>
    <w:rsid w:val="00902E75"/>
    <w:rsid w:val="0090319F"/>
    <w:rsid w:val="00903207"/>
    <w:rsid w:val="009034B9"/>
    <w:rsid w:val="009037C7"/>
    <w:rsid w:val="00903979"/>
    <w:rsid w:val="00903B01"/>
    <w:rsid w:val="00903CC5"/>
    <w:rsid w:val="00903E81"/>
    <w:rsid w:val="00903EF8"/>
    <w:rsid w:val="0090402D"/>
    <w:rsid w:val="009043C1"/>
    <w:rsid w:val="0090445B"/>
    <w:rsid w:val="00904C44"/>
    <w:rsid w:val="00904D19"/>
    <w:rsid w:val="00904FD7"/>
    <w:rsid w:val="00905263"/>
    <w:rsid w:val="00905336"/>
    <w:rsid w:val="0090570A"/>
    <w:rsid w:val="00905726"/>
    <w:rsid w:val="00905750"/>
    <w:rsid w:val="0090589A"/>
    <w:rsid w:val="00905CE1"/>
    <w:rsid w:val="00905D5C"/>
    <w:rsid w:val="009065F0"/>
    <w:rsid w:val="00906CF2"/>
    <w:rsid w:val="00906E22"/>
    <w:rsid w:val="00907242"/>
    <w:rsid w:val="00907298"/>
    <w:rsid w:val="00907390"/>
    <w:rsid w:val="00907441"/>
    <w:rsid w:val="00907475"/>
    <w:rsid w:val="00907904"/>
    <w:rsid w:val="00907AA0"/>
    <w:rsid w:val="00907AD9"/>
    <w:rsid w:val="00907BE4"/>
    <w:rsid w:val="00907DA5"/>
    <w:rsid w:val="009101A3"/>
    <w:rsid w:val="0091038E"/>
    <w:rsid w:val="0091053D"/>
    <w:rsid w:val="009106A2"/>
    <w:rsid w:val="0091073D"/>
    <w:rsid w:val="00910B4C"/>
    <w:rsid w:val="00910E61"/>
    <w:rsid w:val="00911186"/>
    <w:rsid w:val="009113B6"/>
    <w:rsid w:val="009114FF"/>
    <w:rsid w:val="0091155F"/>
    <w:rsid w:val="00911A14"/>
    <w:rsid w:val="00911BF9"/>
    <w:rsid w:val="00911F7E"/>
    <w:rsid w:val="0091200C"/>
    <w:rsid w:val="00912087"/>
    <w:rsid w:val="009122DB"/>
    <w:rsid w:val="0091242A"/>
    <w:rsid w:val="009127AF"/>
    <w:rsid w:val="00912A9D"/>
    <w:rsid w:val="00912C1F"/>
    <w:rsid w:val="00912E6B"/>
    <w:rsid w:val="00912F70"/>
    <w:rsid w:val="00913309"/>
    <w:rsid w:val="009133E1"/>
    <w:rsid w:val="00913480"/>
    <w:rsid w:val="0091353B"/>
    <w:rsid w:val="0091365C"/>
    <w:rsid w:val="009136D9"/>
    <w:rsid w:val="009137D6"/>
    <w:rsid w:val="00913A50"/>
    <w:rsid w:val="00913D4C"/>
    <w:rsid w:val="0091415F"/>
    <w:rsid w:val="00914381"/>
    <w:rsid w:val="00914594"/>
    <w:rsid w:val="009145F4"/>
    <w:rsid w:val="00914820"/>
    <w:rsid w:val="00914947"/>
    <w:rsid w:val="00914D48"/>
    <w:rsid w:val="00914ED4"/>
    <w:rsid w:val="00915015"/>
    <w:rsid w:val="00915512"/>
    <w:rsid w:val="00915777"/>
    <w:rsid w:val="009157BA"/>
    <w:rsid w:val="0091582A"/>
    <w:rsid w:val="009158FF"/>
    <w:rsid w:val="00915C0D"/>
    <w:rsid w:val="00915EB1"/>
    <w:rsid w:val="00915F16"/>
    <w:rsid w:val="00915F40"/>
    <w:rsid w:val="00916057"/>
    <w:rsid w:val="009160F9"/>
    <w:rsid w:val="009163A0"/>
    <w:rsid w:val="00916432"/>
    <w:rsid w:val="0091646D"/>
    <w:rsid w:val="00916487"/>
    <w:rsid w:val="00916551"/>
    <w:rsid w:val="00916563"/>
    <w:rsid w:val="0091696F"/>
    <w:rsid w:val="00916A6E"/>
    <w:rsid w:val="00916C99"/>
    <w:rsid w:val="00916EE9"/>
    <w:rsid w:val="00917159"/>
    <w:rsid w:val="0091717D"/>
    <w:rsid w:val="00917616"/>
    <w:rsid w:val="009176F9"/>
    <w:rsid w:val="00917856"/>
    <w:rsid w:val="00917C58"/>
    <w:rsid w:val="00917C84"/>
    <w:rsid w:val="00920022"/>
    <w:rsid w:val="009200EC"/>
    <w:rsid w:val="009207E9"/>
    <w:rsid w:val="00920A43"/>
    <w:rsid w:val="00920A87"/>
    <w:rsid w:val="00920B5E"/>
    <w:rsid w:val="00920BAE"/>
    <w:rsid w:val="00920DD5"/>
    <w:rsid w:val="00920FCF"/>
    <w:rsid w:val="00921125"/>
    <w:rsid w:val="009216BA"/>
    <w:rsid w:val="009218A2"/>
    <w:rsid w:val="009218E2"/>
    <w:rsid w:val="00921933"/>
    <w:rsid w:val="0092196C"/>
    <w:rsid w:val="00921C9F"/>
    <w:rsid w:val="00922325"/>
    <w:rsid w:val="0092246C"/>
    <w:rsid w:val="0092261B"/>
    <w:rsid w:val="009227BC"/>
    <w:rsid w:val="0092289A"/>
    <w:rsid w:val="00922E3B"/>
    <w:rsid w:val="009233CC"/>
    <w:rsid w:val="00923509"/>
    <w:rsid w:val="00923551"/>
    <w:rsid w:val="00923598"/>
    <w:rsid w:val="0092366B"/>
    <w:rsid w:val="00923705"/>
    <w:rsid w:val="009238A9"/>
    <w:rsid w:val="00923C25"/>
    <w:rsid w:val="00923CE6"/>
    <w:rsid w:val="00923D2E"/>
    <w:rsid w:val="00923E4E"/>
    <w:rsid w:val="009240D8"/>
    <w:rsid w:val="009240FF"/>
    <w:rsid w:val="0092414D"/>
    <w:rsid w:val="0092419F"/>
    <w:rsid w:val="009242C9"/>
    <w:rsid w:val="00924471"/>
    <w:rsid w:val="00924787"/>
    <w:rsid w:val="00924AC1"/>
    <w:rsid w:val="00924BE7"/>
    <w:rsid w:val="00924D08"/>
    <w:rsid w:val="00924EC9"/>
    <w:rsid w:val="00925024"/>
    <w:rsid w:val="0092512C"/>
    <w:rsid w:val="009251AF"/>
    <w:rsid w:val="0092523D"/>
    <w:rsid w:val="0092571D"/>
    <w:rsid w:val="00925796"/>
    <w:rsid w:val="00925831"/>
    <w:rsid w:val="00925886"/>
    <w:rsid w:val="00925911"/>
    <w:rsid w:val="0092594E"/>
    <w:rsid w:val="009259B7"/>
    <w:rsid w:val="00925B64"/>
    <w:rsid w:val="00925C17"/>
    <w:rsid w:val="00925ED9"/>
    <w:rsid w:val="00925F7F"/>
    <w:rsid w:val="009264CA"/>
    <w:rsid w:val="00926548"/>
    <w:rsid w:val="009269B7"/>
    <w:rsid w:val="00926B7D"/>
    <w:rsid w:val="00926E19"/>
    <w:rsid w:val="00926F34"/>
    <w:rsid w:val="00927038"/>
    <w:rsid w:val="00927308"/>
    <w:rsid w:val="009277B6"/>
    <w:rsid w:val="00927935"/>
    <w:rsid w:val="00927A08"/>
    <w:rsid w:val="00927F26"/>
    <w:rsid w:val="0093002A"/>
    <w:rsid w:val="00930032"/>
    <w:rsid w:val="00930047"/>
    <w:rsid w:val="0093008A"/>
    <w:rsid w:val="0093046A"/>
    <w:rsid w:val="00930803"/>
    <w:rsid w:val="00930948"/>
    <w:rsid w:val="00930A17"/>
    <w:rsid w:val="00930A39"/>
    <w:rsid w:val="00930A74"/>
    <w:rsid w:val="00930ADC"/>
    <w:rsid w:val="00930C0A"/>
    <w:rsid w:val="00930C64"/>
    <w:rsid w:val="0093118B"/>
    <w:rsid w:val="00931338"/>
    <w:rsid w:val="009319CE"/>
    <w:rsid w:val="00931B5E"/>
    <w:rsid w:val="00931B81"/>
    <w:rsid w:val="00931CD0"/>
    <w:rsid w:val="00932100"/>
    <w:rsid w:val="009321DC"/>
    <w:rsid w:val="00932202"/>
    <w:rsid w:val="00932396"/>
    <w:rsid w:val="009323E5"/>
    <w:rsid w:val="00932509"/>
    <w:rsid w:val="009325EC"/>
    <w:rsid w:val="00932869"/>
    <w:rsid w:val="00932929"/>
    <w:rsid w:val="00932959"/>
    <w:rsid w:val="009329B0"/>
    <w:rsid w:val="009329B2"/>
    <w:rsid w:val="00932A92"/>
    <w:rsid w:val="00932D59"/>
    <w:rsid w:val="00933440"/>
    <w:rsid w:val="009337E5"/>
    <w:rsid w:val="00933A35"/>
    <w:rsid w:val="00933B49"/>
    <w:rsid w:val="00933D8D"/>
    <w:rsid w:val="00933F7A"/>
    <w:rsid w:val="00933FE3"/>
    <w:rsid w:val="00934293"/>
    <w:rsid w:val="009343B0"/>
    <w:rsid w:val="00934595"/>
    <w:rsid w:val="00934C3D"/>
    <w:rsid w:val="00934EE4"/>
    <w:rsid w:val="00934F29"/>
    <w:rsid w:val="00935172"/>
    <w:rsid w:val="0093523F"/>
    <w:rsid w:val="009354E5"/>
    <w:rsid w:val="00935AE2"/>
    <w:rsid w:val="00936027"/>
    <w:rsid w:val="0093603E"/>
    <w:rsid w:val="009360D7"/>
    <w:rsid w:val="009362C9"/>
    <w:rsid w:val="00936476"/>
    <w:rsid w:val="0093662D"/>
    <w:rsid w:val="009369C5"/>
    <w:rsid w:val="00936F2A"/>
    <w:rsid w:val="0093703F"/>
    <w:rsid w:val="00937509"/>
    <w:rsid w:val="00937935"/>
    <w:rsid w:val="00937A8B"/>
    <w:rsid w:val="00937E54"/>
    <w:rsid w:val="0094002C"/>
    <w:rsid w:val="009401A0"/>
    <w:rsid w:val="009404D7"/>
    <w:rsid w:val="009407AA"/>
    <w:rsid w:val="00940897"/>
    <w:rsid w:val="00940AD1"/>
    <w:rsid w:val="00940C4F"/>
    <w:rsid w:val="00940EAB"/>
    <w:rsid w:val="00941600"/>
    <w:rsid w:val="00941EC5"/>
    <w:rsid w:val="00941FB6"/>
    <w:rsid w:val="00942188"/>
    <w:rsid w:val="00942387"/>
    <w:rsid w:val="0094246A"/>
    <w:rsid w:val="0094254B"/>
    <w:rsid w:val="00942D23"/>
    <w:rsid w:val="0094380C"/>
    <w:rsid w:val="009438FE"/>
    <w:rsid w:val="00943991"/>
    <w:rsid w:val="00943BB5"/>
    <w:rsid w:val="00943ED2"/>
    <w:rsid w:val="009442CB"/>
    <w:rsid w:val="00944959"/>
    <w:rsid w:val="00944AF1"/>
    <w:rsid w:val="00944B8C"/>
    <w:rsid w:val="00944D20"/>
    <w:rsid w:val="0094517F"/>
    <w:rsid w:val="009453D0"/>
    <w:rsid w:val="0094554C"/>
    <w:rsid w:val="00945639"/>
    <w:rsid w:val="009457B0"/>
    <w:rsid w:val="0094587C"/>
    <w:rsid w:val="009459F4"/>
    <w:rsid w:val="00945D86"/>
    <w:rsid w:val="00945EF3"/>
    <w:rsid w:val="00945F79"/>
    <w:rsid w:val="00946019"/>
    <w:rsid w:val="0094626F"/>
    <w:rsid w:val="009462D2"/>
    <w:rsid w:val="00946BCF"/>
    <w:rsid w:val="00946D27"/>
    <w:rsid w:val="0094711E"/>
    <w:rsid w:val="00947419"/>
    <w:rsid w:val="009476AB"/>
    <w:rsid w:val="009479A6"/>
    <w:rsid w:val="00947A0B"/>
    <w:rsid w:val="00947BE7"/>
    <w:rsid w:val="00947D27"/>
    <w:rsid w:val="00950971"/>
    <w:rsid w:val="009509BB"/>
    <w:rsid w:val="00950A20"/>
    <w:rsid w:val="00950BCE"/>
    <w:rsid w:val="00950D16"/>
    <w:rsid w:val="00950DC4"/>
    <w:rsid w:val="00951071"/>
    <w:rsid w:val="0095118D"/>
    <w:rsid w:val="00951396"/>
    <w:rsid w:val="0095144C"/>
    <w:rsid w:val="0095148D"/>
    <w:rsid w:val="0095165B"/>
    <w:rsid w:val="0095180A"/>
    <w:rsid w:val="009518AB"/>
    <w:rsid w:val="00951BB7"/>
    <w:rsid w:val="00951BBE"/>
    <w:rsid w:val="00951BD0"/>
    <w:rsid w:val="00952439"/>
    <w:rsid w:val="00952548"/>
    <w:rsid w:val="009529F9"/>
    <w:rsid w:val="00953429"/>
    <w:rsid w:val="0095347C"/>
    <w:rsid w:val="00953516"/>
    <w:rsid w:val="0095380E"/>
    <w:rsid w:val="0095381A"/>
    <w:rsid w:val="00953D79"/>
    <w:rsid w:val="00953D91"/>
    <w:rsid w:val="00953F61"/>
    <w:rsid w:val="00954148"/>
    <w:rsid w:val="009542EA"/>
    <w:rsid w:val="009542ED"/>
    <w:rsid w:val="009545F9"/>
    <w:rsid w:val="0095485B"/>
    <w:rsid w:val="009549B3"/>
    <w:rsid w:val="00954A6A"/>
    <w:rsid w:val="00954ACD"/>
    <w:rsid w:val="00954B6E"/>
    <w:rsid w:val="00954CDD"/>
    <w:rsid w:val="00954F46"/>
    <w:rsid w:val="00954F82"/>
    <w:rsid w:val="00955007"/>
    <w:rsid w:val="00955184"/>
    <w:rsid w:val="009551D7"/>
    <w:rsid w:val="00955687"/>
    <w:rsid w:val="009556AB"/>
    <w:rsid w:val="00955A58"/>
    <w:rsid w:val="00955B55"/>
    <w:rsid w:val="00955D5C"/>
    <w:rsid w:val="00955DF3"/>
    <w:rsid w:val="00955F70"/>
    <w:rsid w:val="009561DC"/>
    <w:rsid w:val="009564ED"/>
    <w:rsid w:val="0095654C"/>
    <w:rsid w:val="00956581"/>
    <w:rsid w:val="0095686C"/>
    <w:rsid w:val="009568C9"/>
    <w:rsid w:val="00956F61"/>
    <w:rsid w:val="00956FC5"/>
    <w:rsid w:val="00957021"/>
    <w:rsid w:val="009573AA"/>
    <w:rsid w:val="0095751D"/>
    <w:rsid w:val="009575D0"/>
    <w:rsid w:val="009579E5"/>
    <w:rsid w:val="00957AB5"/>
    <w:rsid w:val="00957D5D"/>
    <w:rsid w:val="00957E79"/>
    <w:rsid w:val="00957E8C"/>
    <w:rsid w:val="00957FAD"/>
    <w:rsid w:val="00960089"/>
    <w:rsid w:val="00960178"/>
    <w:rsid w:val="00960334"/>
    <w:rsid w:val="009606E6"/>
    <w:rsid w:val="00960733"/>
    <w:rsid w:val="00960849"/>
    <w:rsid w:val="00960E8B"/>
    <w:rsid w:val="009611CA"/>
    <w:rsid w:val="00961406"/>
    <w:rsid w:val="00961678"/>
    <w:rsid w:val="0096179E"/>
    <w:rsid w:val="009619B3"/>
    <w:rsid w:val="00961E83"/>
    <w:rsid w:val="00961FD6"/>
    <w:rsid w:val="00962178"/>
    <w:rsid w:val="0096245B"/>
    <w:rsid w:val="009624E5"/>
    <w:rsid w:val="009626AC"/>
    <w:rsid w:val="00962759"/>
    <w:rsid w:val="009628C5"/>
    <w:rsid w:val="00962CFE"/>
    <w:rsid w:val="00962F31"/>
    <w:rsid w:val="009638B8"/>
    <w:rsid w:val="00963B85"/>
    <w:rsid w:val="00963C5B"/>
    <w:rsid w:val="00963F1A"/>
    <w:rsid w:val="009643EE"/>
    <w:rsid w:val="009644A1"/>
    <w:rsid w:val="009648FE"/>
    <w:rsid w:val="00964A1C"/>
    <w:rsid w:val="00964B03"/>
    <w:rsid w:val="00964C14"/>
    <w:rsid w:val="00964CF1"/>
    <w:rsid w:val="00965166"/>
    <w:rsid w:val="009652D5"/>
    <w:rsid w:val="00965DB4"/>
    <w:rsid w:val="009663F9"/>
    <w:rsid w:val="009665AB"/>
    <w:rsid w:val="00966731"/>
    <w:rsid w:val="00966A8B"/>
    <w:rsid w:val="00967468"/>
    <w:rsid w:val="009675B3"/>
    <w:rsid w:val="009677F8"/>
    <w:rsid w:val="00967C4E"/>
    <w:rsid w:val="00967D80"/>
    <w:rsid w:val="00970139"/>
    <w:rsid w:val="0097041A"/>
    <w:rsid w:val="00970622"/>
    <w:rsid w:val="009709F6"/>
    <w:rsid w:val="00970A53"/>
    <w:rsid w:val="00970BA3"/>
    <w:rsid w:val="00970C46"/>
    <w:rsid w:val="00970EF1"/>
    <w:rsid w:val="00971146"/>
    <w:rsid w:val="009717F0"/>
    <w:rsid w:val="0097181A"/>
    <w:rsid w:val="00971AA1"/>
    <w:rsid w:val="00971DC0"/>
    <w:rsid w:val="00972278"/>
    <w:rsid w:val="00972356"/>
    <w:rsid w:val="009723EC"/>
    <w:rsid w:val="00972765"/>
    <w:rsid w:val="00972916"/>
    <w:rsid w:val="00972A03"/>
    <w:rsid w:val="00972A9A"/>
    <w:rsid w:val="00972B99"/>
    <w:rsid w:val="00972CAB"/>
    <w:rsid w:val="00972DD1"/>
    <w:rsid w:val="00972DF0"/>
    <w:rsid w:val="00972ECB"/>
    <w:rsid w:val="00972F80"/>
    <w:rsid w:val="0097326B"/>
    <w:rsid w:val="00973451"/>
    <w:rsid w:val="009736EC"/>
    <w:rsid w:val="009738F2"/>
    <w:rsid w:val="00973C85"/>
    <w:rsid w:val="00973C94"/>
    <w:rsid w:val="0097412D"/>
    <w:rsid w:val="00974148"/>
    <w:rsid w:val="009744AF"/>
    <w:rsid w:val="00974594"/>
    <w:rsid w:val="0097488F"/>
    <w:rsid w:val="00974C02"/>
    <w:rsid w:val="00974F11"/>
    <w:rsid w:val="00974FE2"/>
    <w:rsid w:val="009750EA"/>
    <w:rsid w:val="0097515A"/>
    <w:rsid w:val="00975303"/>
    <w:rsid w:val="0097546E"/>
    <w:rsid w:val="00975490"/>
    <w:rsid w:val="00975B8C"/>
    <w:rsid w:val="00975C49"/>
    <w:rsid w:val="00975CAA"/>
    <w:rsid w:val="0097600B"/>
    <w:rsid w:val="00976243"/>
    <w:rsid w:val="0097624A"/>
    <w:rsid w:val="00976301"/>
    <w:rsid w:val="00976646"/>
    <w:rsid w:val="00976915"/>
    <w:rsid w:val="0097691F"/>
    <w:rsid w:val="00976994"/>
    <w:rsid w:val="009769C3"/>
    <w:rsid w:val="00976F48"/>
    <w:rsid w:val="00977308"/>
    <w:rsid w:val="009779D1"/>
    <w:rsid w:val="00977D3B"/>
    <w:rsid w:val="00977D99"/>
    <w:rsid w:val="00977ECB"/>
    <w:rsid w:val="0098007A"/>
    <w:rsid w:val="0098043F"/>
    <w:rsid w:val="009804EC"/>
    <w:rsid w:val="0098078D"/>
    <w:rsid w:val="009808A2"/>
    <w:rsid w:val="009809C7"/>
    <w:rsid w:val="009809DC"/>
    <w:rsid w:val="00980A3B"/>
    <w:rsid w:val="00980C12"/>
    <w:rsid w:val="00980E2A"/>
    <w:rsid w:val="009811EE"/>
    <w:rsid w:val="009812C8"/>
    <w:rsid w:val="0098132A"/>
    <w:rsid w:val="0098143E"/>
    <w:rsid w:val="00981490"/>
    <w:rsid w:val="0098162B"/>
    <w:rsid w:val="009817EC"/>
    <w:rsid w:val="0098180E"/>
    <w:rsid w:val="0098193C"/>
    <w:rsid w:val="00981B8E"/>
    <w:rsid w:val="00981BAD"/>
    <w:rsid w:val="00981DAA"/>
    <w:rsid w:val="00981E75"/>
    <w:rsid w:val="0098224D"/>
    <w:rsid w:val="00982719"/>
    <w:rsid w:val="009828CC"/>
    <w:rsid w:val="00982F01"/>
    <w:rsid w:val="00982F93"/>
    <w:rsid w:val="0098334B"/>
    <w:rsid w:val="0098338D"/>
    <w:rsid w:val="00983603"/>
    <w:rsid w:val="00983C99"/>
    <w:rsid w:val="00983E12"/>
    <w:rsid w:val="00983F93"/>
    <w:rsid w:val="0098401C"/>
    <w:rsid w:val="0098407D"/>
    <w:rsid w:val="00984100"/>
    <w:rsid w:val="00984191"/>
    <w:rsid w:val="009841C1"/>
    <w:rsid w:val="00984740"/>
    <w:rsid w:val="009847F4"/>
    <w:rsid w:val="00984A1E"/>
    <w:rsid w:val="00984E8C"/>
    <w:rsid w:val="00985015"/>
    <w:rsid w:val="00985121"/>
    <w:rsid w:val="0098574F"/>
    <w:rsid w:val="00985764"/>
    <w:rsid w:val="00985C4A"/>
    <w:rsid w:val="00985C83"/>
    <w:rsid w:val="00985D1B"/>
    <w:rsid w:val="00985DFB"/>
    <w:rsid w:val="00985E04"/>
    <w:rsid w:val="0098603F"/>
    <w:rsid w:val="00986203"/>
    <w:rsid w:val="0098625B"/>
    <w:rsid w:val="00986352"/>
    <w:rsid w:val="00986398"/>
    <w:rsid w:val="009864F0"/>
    <w:rsid w:val="00986582"/>
    <w:rsid w:val="0098681B"/>
    <w:rsid w:val="00986C44"/>
    <w:rsid w:val="009871AA"/>
    <w:rsid w:val="0098725A"/>
    <w:rsid w:val="0098751E"/>
    <w:rsid w:val="0098765E"/>
    <w:rsid w:val="00987665"/>
    <w:rsid w:val="0098777C"/>
    <w:rsid w:val="009877F4"/>
    <w:rsid w:val="00987BF9"/>
    <w:rsid w:val="00987C50"/>
    <w:rsid w:val="00987ED0"/>
    <w:rsid w:val="00990049"/>
    <w:rsid w:val="00990169"/>
    <w:rsid w:val="009901A0"/>
    <w:rsid w:val="009901C7"/>
    <w:rsid w:val="009902C6"/>
    <w:rsid w:val="00990359"/>
    <w:rsid w:val="00990553"/>
    <w:rsid w:val="0099148F"/>
    <w:rsid w:val="00991675"/>
    <w:rsid w:val="0099167F"/>
    <w:rsid w:val="009916CE"/>
    <w:rsid w:val="009916D4"/>
    <w:rsid w:val="0099174C"/>
    <w:rsid w:val="00991806"/>
    <w:rsid w:val="00991823"/>
    <w:rsid w:val="00991BEC"/>
    <w:rsid w:val="00992008"/>
    <w:rsid w:val="009920FE"/>
    <w:rsid w:val="00992446"/>
    <w:rsid w:val="009928FE"/>
    <w:rsid w:val="00992B05"/>
    <w:rsid w:val="00992EEF"/>
    <w:rsid w:val="0099333D"/>
    <w:rsid w:val="009934E5"/>
    <w:rsid w:val="009935F8"/>
    <w:rsid w:val="00993700"/>
    <w:rsid w:val="00993775"/>
    <w:rsid w:val="00993921"/>
    <w:rsid w:val="00993A84"/>
    <w:rsid w:val="00993E14"/>
    <w:rsid w:val="0099403A"/>
    <w:rsid w:val="0099439D"/>
    <w:rsid w:val="0099497B"/>
    <w:rsid w:val="0099499F"/>
    <w:rsid w:val="00994A9D"/>
    <w:rsid w:val="00994BED"/>
    <w:rsid w:val="00995117"/>
    <w:rsid w:val="0099513F"/>
    <w:rsid w:val="00995257"/>
    <w:rsid w:val="00995331"/>
    <w:rsid w:val="0099566F"/>
    <w:rsid w:val="00995760"/>
    <w:rsid w:val="00995B6A"/>
    <w:rsid w:val="0099606C"/>
    <w:rsid w:val="00996169"/>
    <w:rsid w:val="009963DB"/>
    <w:rsid w:val="00996409"/>
    <w:rsid w:val="009964B4"/>
    <w:rsid w:val="00996750"/>
    <w:rsid w:val="00996839"/>
    <w:rsid w:val="0099693F"/>
    <w:rsid w:val="00996ACD"/>
    <w:rsid w:val="00996BB0"/>
    <w:rsid w:val="00996D00"/>
    <w:rsid w:val="00996F5F"/>
    <w:rsid w:val="0099700C"/>
    <w:rsid w:val="009970BF"/>
    <w:rsid w:val="009974F2"/>
    <w:rsid w:val="0099752F"/>
    <w:rsid w:val="00997827"/>
    <w:rsid w:val="009979FF"/>
    <w:rsid w:val="00997C5D"/>
    <w:rsid w:val="00997F1B"/>
    <w:rsid w:val="009A0196"/>
    <w:rsid w:val="009A03DC"/>
    <w:rsid w:val="009A058D"/>
    <w:rsid w:val="009A07E9"/>
    <w:rsid w:val="009A08DC"/>
    <w:rsid w:val="009A0B67"/>
    <w:rsid w:val="009A0E79"/>
    <w:rsid w:val="009A0FCA"/>
    <w:rsid w:val="009A13A0"/>
    <w:rsid w:val="009A1400"/>
    <w:rsid w:val="009A161D"/>
    <w:rsid w:val="009A16C3"/>
    <w:rsid w:val="009A18B4"/>
    <w:rsid w:val="009A1957"/>
    <w:rsid w:val="009A19D7"/>
    <w:rsid w:val="009A1B1B"/>
    <w:rsid w:val="009A1D04"/>
    <w:rsid w:val="009A2217"/>
    <w:rsid w:val="009A228E"/>
    <w:rsid w:val="009A230F"/>
    <w:rsid w:val="009A295A"/>
    <w:rsid w:val="009A2EC4"/>
    <w:rsid w:val="009A3110"/>
    <w:rsid w:val="009A35F7"/>
    <w:rsid w:val="009A3D40"/>
    <w:rsid w:val="009A413F"/>
    <w:rsid w:val="009A41A1"/>
    <w:rsid w:val="009A43C5"/>
    <w:rsid w:val="009A43D8"/>
    <w:rsid w:val="009A4665"/>
    <w:rsid w:val="009A4CD2"/>
    <w:rsid w:val="009A4D04"/>
    <w:rsid w:val="009A4F5C"/>
    <w:rsid w:val="009A5096"/>
    <w:rsid w:val="009A5265"/>
    <w:rsid w:val="009A52C1"/>
    <w:rsid w:val="009A567A"/>
    <w:rsid w:val="009A58F9"/>
    <w:rsid w:val="009A5B05"/>
    <w:rsid w:val="009A5BC7"/>
    <w:rsid w:val="009A5FE9"/>
    <w:rsid w:val="009A6532"/>
    <w:rsid w:val="009A6719"/>
    <w:rsid w:val="009A6AEF"/>
    <w:rsid w:val="009A6CF3"/>
    <w:rsid w:val="009A6F6E"/>
    <w:rsid w:val="009A7288"/>
    <w:rsid w:val="009A72DD"/>
    <w:rsid w:val="009A73C6"/>
    <w:rsid w:val="009A7F65"/>
    <w:rsid w:val="009B0134"/>
    <w:rsid w:val="009B0655"/>
    <w:rsid w:val="009B0C63"/>
    <w:rsid w:val="009B1238"/>
    <w:rsid w:val="009B13B3"/>
    <w:rsid w:val="009B14BF"/>
    <w:rsid w:val="009B15E6"/>
    <w:rsid w:val="009B1624"/>
    <w:rsid w:val="009B1A42"/>
    <w:rsid w:val="009B1A57"/>
    <w:rsid w:val="009B1A72"/>
    <w:rsid w:val="009B1A98"/>
    <w:rsid w:val="009B1F66"/>
    <w:rsid w:val="009B21CE"/>
    <w:rsid w:val="009B248E"/>
    <w:rsid w:val="009B24CB"/>
    <w:rsid w:val="009B2B5A"/>
    <w:rsid w:val="009B2DBA"/>
    <w:rsid w:val="009B2FB5"/>
    <w:rsid w:val="009B303F"/>
    <w:rsid w:val="009B3178"/>
    <w:rsid w:val="009B34F2"/>
    <w:rsid w:val="009B366F"/>
    <w:rsid w:val="009B367F"/>
    <w:rsid w:val="009B38BC"/>
    <w:rsid w:val="009B3ACC"/>
    <w:rsid w:val="009B3B5F"/>
    <w:rsid w:val="009B3D94"/>
    <w:rsid w:val="009B41AC"/>
    <w:rsid w:val="009B43BF"/>
    <w:rsid w:val="009B449D"/>
    <w:rsid w:val="009B4693"/>
    <w:rsid w:val="009B4A2D"/>
    <w:rsid w:val="009B4AE7"/>
    <w:rsid w:val="009B4C8B"/>
    <w:rsid w:val="009B4DCE"/>
    <w:rsid w:val="009B5027"/>
    <w:rsid w:val="009B5342"/>
    <w:rsid w:val="009B54E0"/>
    <w:rsid w:val="009B56F9"/>
    <w:rsid w:val="009B57F3"/>
    <w:rsid w:val="009B582F"/>
    <w:rsid w:val="009B5A07"/>
    <w:rsid w:val="009B5AA1"/>
    <w:rsid w:val="009B5B8E"/>
    <w:rsid w:val="009B5EC8"/>
    <w:rsid w:val="009B60E7"/>
    <w:rsid w:val="009B6217"/>
    <w:rsid w:val="009B64D1"/>
    <w:rsid w:val="009B665E"/>
    <w:rsid w:val="009B6D2F"/>
    <w:rsid w:val="009B6DE3"/>
    <w:rsid w:val="009B702F"/>
    <w:rsid w:val="009B7202"/>
    <w:rsid w:val="009B73B5"/>
    <w:rsid w:val="009B7DAB"/>
    <w:rsid w:val="009B7E4C"/>
    <w:rsid w:val="009B7F34"/>
    <w:rsid w:val="009C0242"/>
    <w:rsid w:val="009C09C4"/>
    <w:rsid w:val="009C0D78"/>
    <w:rsid w:val="009C10C5"/>
    <w:rsid w:val="009C11CD"/>
    <w:rsid w:val="009C13D0"/>
    <w:rsid w:val="009C145B"/>
    <w:rsid w:val="009C14A4"/>
    <w:rsid w:val="009C18B8"/>
    <w:rsid w:val="009C1B3C"/>
    <w:rsid w:val="009C1E0B"/>
    <w:rsid w:val="009C24CC"/>
    <w:rsid w:val="009C2871"/>
    <w:rsid w:val="009C2BF9"/>
    <w:rsid w:val="009C2EC7"/>
    <w:rsid w:val="009C2F43"/>
    <w:rsid w:val="009C32C2"/>
    <w:rsid w:val="009C36C3"/>
    <w:rsid w:val="009C3811"/>
    <w:rsid w:val="009C3861"/>
    <w:rsid w:val="009C391D"/>
    <w:rsid w:val="009C3987"/>
    <w:rsid w:val="009C3B31"/>
    <w:rsid w:val="009C3BB6"/>
    <w:rsid w:val="009C3CE6"/>
    <w:rsid w:val="009C3D11"/>
    <w:rsid w:val="009C3F8C"/>
    <w:rsid w:val="009C4176"/>
    <w:rsid w:val="009C4524"/>
    <w:rsid w:val="009C4651"/>
    <w:rsid w:val="009C479D"/>
    <w:rsid w:val="009C4851"/>
    <w:rsid w:val="009C4A6C"/>
    <w:rsid w:val="009C4EAE"/>
    <w:rsid w:val="009C51A6"/>
    <w:rsid w:val="009C52A7"/>
    <w:rsid w:val="009C5522"/>
    <w:rsid w:val="009C5753"/>
    <w:rsid w:val="009C5A67"/>
    <w:rsid w:val="009C5AFF"/>
    <w:rsid w:val="009C5C77"/>
    <w:rsid w:val="009C5FC4"/>
    <w:rsid w:val="009C601F"/>
    <w:rsid w:val="009C61BD"/>
    <w:rsid w:val="009C6484"/>
    <w:rsid w:val="009C6595"/>
    <w:rsid w:val="009C681B"/>
    <w:rsid w:val="009C69B7"/>
    <w:rsid w:val="009C69BE"/>
    <w:rsid w:val="009C6BB7"/>
    <w:rsid w:val="009C6C48"/>
    <w:rsid w:val="009C6E21"/>
    <w:rsid w:val="009C705A"/>
    <w:rsid w:val="009C7333"/>
    <w:rsid w:val="009C73CB"/>
    <w:rsid w:val="009C73CF"/>
    <w:rsid w:val="009C7551"/>
    <w:rsid w:val="009C7599"/>
    <w:rsid w:val="009C780F"/>
    <w:rsid w:val="009C7933"/>
    <w:rsid w:val="009C7951"/>
    <w:rsid w:val="009C79E0"/>
    <w:rsid w:val="009C7A9B"/>
    <w:rsid w:val="009C7F36"/>
    <w:rsid w:val="009D0246"/>
    <w:rsid w:val="009D03E1"/>
    <w:rsid w:val="009D0622"/>
    <w:rsid w:val="009D07C3"/>
    <w:rsid w:val="009D0946"/>
    <w:rsid w:val="009D0D3A"/>
    <w:rsid w:val="009D0DA2"/>
    <w:rsid w:val="009D15AA"/>
    <w:rsid w:val="009D15C6"/>
    <w:rsid w:val="009D1F69"/>
    <w:rsid w:val="009D2056"/>
    <w:rsid w:val="009D21C2"/>
    <w:rsid w:val="009D24D7"/>
    <w:rsid w:val="009D2703"/>
    <w:rsid w:val="009D3382"/>
    <w:rsid w:val="009D33D3"/>
    <w:rsid w:val="009D341B"/>
    <w:rsid w:val="009D344C"/>
    <w:rsid w:val="009D37B6"/>
    <w:rsid w:val="009D38C7"/>
    <w:rsid w:val="009D38F7"/>
    <w:rsid w:val="009D3972"/>
    <w:rsid w:val="009D3A25"/>
    <w:rsid w:val="009D3AAF"/>
    <w:rsid w:val="009D3BE3"/>
    <w:rsid w:val="009D406F"/>
    <w:rsid w:val="009D428D"/>
    <w:rsid w:val="009D4452"/>
    <w:rsid w:val="009D4A4C"/>
    <w:rsid w:val="009D4B29"/>
    <w:rsid w:val="009D4C57"/>
    <w:rsid w:val="009D51E5"/>
    <w:rsid w:val="009D524B"/>
    <w:rsid w:val="009D533F"/>
    <w:rsid w:val="009D545A"/>
    <w:rsid w:val="009D57FC"/>
    <w:rsid w:val="009D5BCD"/>
    <w:rsid w:val="009D5BF0"/>
    <w:rsid w:val="009D5CE5"/>
    <w:rsid w:val="009D6454"/>
    <w:rsid w:val="009D656F"/>
    <w:rsid w:val="009D669A"/>
    <w:rsid w:val="009D6ACC"/>
    <w:rsid w:val="009D6D44"/>
    <w:rsid w:val="009D6E97"/>
    <w:rsid w:val="009D71DA"/>
    <w:rsid w:val="009D7225"/>
    <w:rsid w:val="009D738A"/>
    <w:rsid w:val="009E02E3"/>
    <w:rsid w:val="009E02E6"/>
    <w:rsid w:val="009E0554"/>
    <w:rsid w:val="009E0593"/>
    <w:rsid w:val="009E0655"/>
    <w:rsid w:val="009E091C"/>
    <w:rsid w:val="009E0952"/>
    <w:rsid w:val="009E0D18"/>
    <w:rsid w:val="009E0F4D"/>
    <w:rsid w:val="009E0FBF"/>
    <w:rsid w:val="009E11F6"/>
    <w:rsid w:val="009E124A"/>
    <w:rsid w:val="009E165F"/>
    <w:rsid w:val="009E170E"/>
    <w:rsid w:val="009E19B2"/>
    <w:rsid w:val="009E1CCF"/>
    <w:rsid w:val="009E1F4C"/>
    <w:rsid w:val="009E20CC"/>
    <w:rsid w:val="009E2174"/>
    <w:rsid w:val="009E2203"/>
    <w:rsid w:val="009E22FA"/>
    <w:rsid w:val="009E2863"/>
    <w:rsid w:val="009E28C0"/>
    <w:rsid w:val="009E2B23"/>
    <w:rsid w:val="009E2CEC"/>
    <w:rsid w:val="009E2DCF"/>
    <w:rsid w:val="009E2E6B"/>
    <w:rsid w:val="009E34A1"/>
    <w:rsid w:val="009E37DD"/>
    <w:rsid w:val="009E3F46"/>
    <w:rsid w:val="009E3FA9"/>
    <w:rsid w:val="009E4076"/>
    <w:rsid w:val="009E410B"/>
    <w:rsid w:val="009E4155"/>
    <w:rsid w:val="009E446F"/>
    <w:rsid w:val="009E44DA"/>
    <w:rsid w:val="009E4647"/>
    <w:rsid w:val="009E4744"/>
    <w:rsid w:val="009E47E0"/>
    <w:rsid w:val="009E4950"/>
    <w:rsid w:val="009E4B25"/>
    <w:rsid w:val="009E4CBA"/>
    <w:rsid w:val="009E4EC9"/>
    <w:rsid w:val="009E4F62"/>
    <w:rsid w:val="009E4FA3"/>
    <w:rsid w:val="009E5860"/>
    <w:rsid w:val="009E587C"/>
    <w:rsid w:val="009E58B0"/>
    <w:rsid w:val="009E5D00"/>
    <w:rsid w:val="009E5D5A"/>
    <w:rsid w:val="009E5DEE"/>
    <w:rsid w:val="009E5E7B"/>
    <w:rsid w:val="009E6016"/>
    <w:rsid w:val="009E634E"/>
    <w:rsid w:val="009E6544"/>
    <w:rsid w:val="009E666C"/>
    <w:rsid w:val="009E67F6"/>
    <w:rsid w:val="009E6D30"/>
    <w:rsid w:val="009E715A"/>
    <w:rsid w:val="009E7171"/>
    <w:rsid w:val="009E73E1"/>
    <w:rsid w:val="009E76C2"/>
    <w:rsid w:val="009E77BA"/>
    <w:rsid w:val="009E7926"/>
    <w:rsid w:val="009E793E"/>
    <w:rsid w:val="009F01EF"/>
    <w:rsid w:val="009F05B6"/>
    <w:rsid w:val="009F0630"/>
    <w:rsid w:val="009F0984"/>
    <w:rsid w:val="009F0BED"/>
    <w:rsid w:val="009F0C8E"/>
    <w:rsid w:val="009F10A7"/>
    <w:rsid w:val="009F1180"/>
    <w:rsid w:val="009F12F7"/>
    <w:rsid w:val="009F134F"/>
    <w:rsid w:val="009F1673"/>
    <w:rsid w:val="009F1758"/>
    <w:rsid w:val="009F1C26"/>
    <w:rsid w:val="009F1C84"/>
    <w:rsid w:val="009F1DA6"/>
    <w:rsid w:val="009F20C7"/>
    <w:rsid w:val="009F20EA"/>
    <w:rsid w:val="009F20EC"/>
    <w:rsid w:val="009F21E2"/>
    <w:rsid w:val="009F2262"/>
    <w:rsid w:val="009F279D"/>
    <w:rsid w:val="009F299F"/>
    <w:rsid w:val="009F2B1F"/>
    <w:rsid w:val="009F2E71"/>
    <w:rsid w:val="009F2F9B"/>
    <w:rsid w:val="009F3377"/>
    <w:rsid w:val="009F3461"/>
    <w:rsid w:val="009F3546"/>
    <w:rsid w:val="009F397E"/>
    <w:rsid w:val="009F3BF8"/>
    <w:rsid w:val="009F4171"/>
    <w:rsid w:val="009F43CB"/>
    <w:rsid w:val="009F43EE"/>
    <w:rsid w:val="009F441E"/>
    <w:rsid w:val="009F488A"/>
    <w:rsid w:val="009F4ADA"/>
    <w:rsid w:val="009F4BE2"/>
    <w:rsid w:val="009F4D22"/>
    <w:rsid w:val="009F552C"/>
    <w:rsid w:val="009F5730"/>
    <w:rsid w:val="009F5848"/>
    <w:rsid w:val="009F5916"/>
    <w:rsid w:val="009F5AA9"/>
    <w:rsid w:val="009F5B06"/>
    <w:rsid w:val="009F5C11"/>
    <w:rsid w:val="009F5E38"/>
    <w:rsid w:val="009F6161"/>
    <w:rsid w:val="009F61F5"/>
    <w:rsid w:val="009F66C5"/>
    <w:rsid w:val="009F670C"/>
    <w:rsid w:val="009F6918"/>
    <w:rsid w:val="009F6A0D"/>
    <w:rsid w:val="009F6C05"/>
    <w:rsid w:val="009F7130"/>
    <w:rsid w:val="009F7269"/>
    <w:rsid w:val="009F746A"/>
    <w:rsid w:val="009F7711"/>
    <w:rsid w:val="009F7800"/>
    <w:rsid w:val="009F7B3F"/>
    <w:rsid w:val="009F7E87"/>
    <w:rsid w:val="009F7FCD"/>
    <w:rsid w:val="00A001B3"/>
    <w:rsid w:val="00A008A4"/>
    <w:rsid w:val="00A008DE"/>
    <w:rsid w:val="00A00B1B"/>
    <w:rsid w:val="00A0112F"/>
    <w:rsid w:val="00A01371"/>
    <w:rsid w:val="00A016DB"/>
    <w:rsid w:val="00A017AD"/>
    <w:rsid w:val="00A01A6B"/>
    <w:rsid w:val="00A01AAD"/>
    <w:rsid w:val="00A01BA3"/>
    <w:rsid w:val="00A01CC2"/>
    <w:rsid w:val="00A01EAA"/>
    <w:rsid w:val="00A02260"/>
    <w:rsid w:val="00A02452"/>
    <w:rsid w:val="00A0246A"/>
    <w:rsid w:val="00A027E0"/>
    <w:rsid w:val="00A02A27"/>
    <w:rsid w:val="00A02A77"/>
    <w:rsid w:val="00A02AAC"/>
    <w:rsid w:val="00A02BE2"/>
    <w:rsid w:val="00A02CE0"/>
    <w:rsid w:val="00A02FB8"/>
    <w:rsid w:val="00A02FD1"/>
    <w:rsid w:val="00A031AE"/>
    <w:rsid w:val="00A03764"/>
    <w:rsid w:val="00A03BF6"/>
    <w:rsid w:val="00A03D76"/>
    <w:rsid w:val="00A03F67"/>
    <w:rsid w:val="00A04139"/>
    <w:rsid w:val="00A0459D"/>
    <w:rsid w:val="00A046A3"/>
    <w:rsid w:val="00A047A1"/>
    <w:rsid w:val="00A04992"/>
    <w:rsid w:val="00A04BB5"/>
    <w:rsid w:val="00A04C9B"/>
    <w:rsid w:val="00A04DD2"/>
    <w:rsid w:val="00A05069"/>
    <w:rsid w:val="00A050D7"/>
    <w:rsid w:val="00A05531"/>
    <w:rsid w:val="00A058D7"/>
    <w:rsid w:val="00A059BA"/>
    <w:rsid w:val="00A05B7C"/>
    <w:rsid w:val="00A05DD2"/>
    <w:rsid w:val="00A05EAB"/>
    <w:rsid w:val="00A0638A"/>
    <w:rsid w:val="00A0670F"/>
    <w:rsid w:val="00A06AFD"/>
    <w:rsid w:val="00A06DCA"/>
    <w:rsid w:val="00A06F25"/>
    <w:rsid w:val="00A06F73"/>
    <w:rsid w:val="00A07005"/>
    <w:rsid w:val="00A0720B"/>
    <w:rsid w:val="00A073AA"/>
    <w:rsid w:val="00A074B7"/>
    <w:rsid w:val="00A074FF"/>
    <w:rsid w:val="00A07576"/>
    <w:rsid w:val="00A077E9"/>
    <w:rsid w:val="00A07950"/>
    <w:rsid w:val="00A07991"/>
    <w:rsid w:val="00A079A5"/>
    <w:rsid w:val="00A10344"/>
    <w:rsid w:val="00A103F1"/>
    <w:rsid w:val="00A10592"/>
    <w:rsid w:val="00A106AC"/>
    <w:rsid w:val="00A1092B"/>
    <w:rsid w:val="00A10B05"/>
    <w:rsid w:val="00A10B65"/>
    <w:rsid w:val="00A10BE2"/>
    <w:rsid w:val="00A10CDE"/>
    <w:rsid w:val="00A11161"/>
    <w:rsid w:val="00A114EB"/>
    <w:rsid w:val="00A11545"/>
    <w:rsid w:val="00A1181D"/>
    <w:rsid w:val="00A118A7"/>
    <w:rsid w:val="00A118C4"/>
    <w:rsid w:val="00A11AC1"/>
    <w:rsid w:val="00A11B69"/>
    <w:rsid w:val="00A11C86"/>
    <w:rsid w:val="00A11EAA"/>
    <w:rsid w:val="00A11EBE"/>
    <w:rsid w:val="00A11EFD"/>
    <w:rsid w:val="00A11F88"/>
    <w:rsid w:val="00A11F95"/>
    <w:rsid w:val="00A124B5"/>
    <w:rsid w:val="00A12626"/>
    <w:rsid w:val="00A12877"/>
    <w:rsid w:val="00A12B05"/>
    <w:rsid w:val="00A13058"/>
    <w:rsid w:val="00A13E76"/>
    <w:rsid w:val="00A141D5"/>
    <w:rsid w:val="00A143B6"/>
    <w:rsid w:val="00A143E1"/>
    <w:rsid w:val="00A143F0"/>
    <w:rsid w:val="00A14582"/>
    <w:rsid w:val="00A14598"/>
    <w:rsid w:val="00A14640"/>
    <w:rsid w:val="00A147F0"/>
    <w:rsid w:val="00A148CB"/>
    <w:rsid w:val="00A1500E"/>
    <w:rsid w:val="00A151C6"/>
    <w:rsid w:val="00A15531"/>
    <w:rsid w:val="00A15831"/>
    <w:rsid w:val="00A15855"/>
    <w:rsid w:val="00A15987"/>
    <w:rsid w:val="00A15A67"/>
    <w:rsid w:val="00A15D4C"/>
    <w:rsid w:val="00A15E25"/>
    <w:rsid w:val="00A15F04"/>
    <w:rsid w:val="00A15F6E"/>
    <w:rsid w:val="00A15FDD"/>
    <w:rsid w:val="00A162C0"/>
    <w:rsid w:val="00A16495"/>
    <w:rsid w:val="00A164D8"/>
    <w:rsid w:val="00A164E2"/>
    <w:rsid w:val="00A1680D"/>
    <w:rsid w:val="00A168D9"/>
    <w:rsid w:val="00A16CA1"/>
    <w:rsid w:val="00A16D10"/>
    <w:rsid w:val="00A16D76"/>
    <w:rsid w:val="00A16EA7"/>
    <w:rsid w:val="00A17113"/>
    <w:rsid w:val="00A17461"/>
    <w:rsid w:val="00A17802"/>
    <w:rsid w:val="00A1798A"/>
    <w:rsid w:val="00A17B84"/>
    <w:rsid w:val="00A17CC1"/>
    <w:rsid w:val="00A2050E"/>
    <w:rsid w:val="00A206BF"/>
    <w:rsid w:val="00A20776"/>
    <w:rsid w:val="00A210DA"/>
    <w:rsid w:val="00A21962"/>
    <w:rsid w:val="00A21B20"/>
    <w:rsid w:val="00A21D13"/>
    <w:rsid w:val="00A21DA9"/>
    <w:rsid w:val="00A222CC"/>
    <w:rsid w:val="00A2247C"/>
    <w:rsid w:val="00A22BA1"/>
    <w:rsid w:val="00A22D11"/>
    <w:rsid w:val="00A22DD7"/>
    <w:rsid w:val="00A22FA8"/>
    <w:rsid w:val="00A23209"/>
    <w:rsid w:val="00A233CE"/>
    <w:rsid w:val="00A237B1"/>
    <w:rsid w:val="00A237D1"/>
    <w:rsid w:val="00A23AB0"/>
    <w:rsid w:val="00A23C91"/>
    <w:rsid w:val="00A240C7"/>
    <w:rsid w:val="00A241A2"/>
    <w:rsid w:val="00A246AC"/>
    <w:rsid w:val="00A2472B"/>
    <w:rsid w:val="00A2474B"/>
    <w:rsid w:val="00A248C2"/>
    <w:rsid w:val="00A24C1A"/>
    <w:rsid w:val="00A24DAF"/>
    <w:rsid w:val="00A24DB1"/>
    <w:rsid w:val="00A24F8F"/>
    <w:rsid w:val="00A2517C"/>
    <w:rsid w:val="00A25234"/>
    <w:rsid w:val="00A2533A"/>
    <w:rsid w:val="00A25559"/>
    <w:rsid w:val="00A25CFF"/>
    <w:rsid w:val="00A25D3B"/>
    <w:rsid w:val="00A26215"/>
    <w:rsid w:val="00A2660D"/>
    <w:rsid w:val="00A266C5"/>
    <w:rsid w:val="00A26779"/>
    <w:rsid w:val="00A26AC9"/>
    <w:rsid w:val="00A26B02"/>
    <w:rsid w:val="00A26D68"/>
    <w:rsid w:val="00A26E70"/>
    <w:rsid w:val="00A2712F"/>
    <w:rsid w:val="00A27315"/>
    <w:rsid w:val="00A2736D"/>
    <w:rsid w:val="00A278DB"/>
    <w:rsid w:val="00A279CA"/>
    <w:rsid w:val="00A27D75"/>
    <w:rsid w:val="00A27FAB"/>
    <w:rsid w:val="00A3052D"/>
    <w:rsid w:val="00A30559"/>
    <w:rsid w:val="00A305A1"/>
    <w:rsid w:val="00A30673"/>
    <w:rsid w:val="00A30680"/>
    <w:rsid w:val="00A309C6"/>
    <w:rsid w:val="00A30A8F"/>
    <w:rsid w:val="00A30BC0"/>
    <w:rsid w:val="00A30FC7"/>
    <w:rsid w:val="00A30FDD"/>
    <w:rsid w:val="00A3115A"/>
    <w:rsid w:val="00A3146F"/>
    <w:rsid w:val="00A3149A"/>
    <w:rsid w:val="00A31519"/>
    <w:rsid w:val="00A31565"/>
    <w:rsid w:val="00A3163F"/>
    <w:rsid w:val="00A31734"/>
    <w:rsid w:val="00A317A3"/>
    <w:rsid w:val="00A31D50"/>
    <w:rsid w:val="00A31E96"/>
    <w:rsid w:val="00A321D6"/>
    <w:rsid w:val="00A321FA"/>
    <w:rsid w:val="00A32873"/>
    <w:rsid w:val="00A3290B"/>
    <w:rsid w:val="00A32948"/>
    <w:rsid w:val="00A32CEF"/>
    <w:rsid w:val="00A32CF3"/>
    <w:rsid w:val="00A32E4E"/>
    <w:rsid w:val="00A32FAC"/>
    <w:rsid w:val="00A33019"/>
    <w:rsid w:val="00A33118"/>
    <w:rsid w:val="00A333B0"/>
    <w:rsid w:val="00A33D1E"/>
    <w:rsid w:val="00A33D44"/>
    <w:rsid w:val="00A3430F"/>
    <w:rsid w:val="00A3443F"/>
    <w:rsid w:val="00A34641"/>
    <w:rsid w:val="00A34D12"/>
    <w:rsid w:val="00A34F40"/>
    <w:rsid w:val="00A35424"/>
    <w:rsid w:val="00A3551E"/>
    <w:rsid w:val="00A3553E"/>
    <w:rsid w:val="00A35ACA"/>
    <w:rsid w:val="00A35AF1"/>
    <w:rsid w:val="00A35F2D"/>
    <w:rsid w:val="00A36400"/>
    <w:rsid w:val="00A36457"/>
    <w:rsid w:val="00A3647F"/>
    <w:rsid w:val="00A36842"/>
    <w:rsid w:val="00A36DE7"/>
    <w:rsid w:val="00A37342"/>
    <w:rsid w:val="00A37692"/>
    <w:rsid w:val="00A379D9"/>
    <w:rsid w:val="00A37AE9"/>
    <w:rsid w:val="00A40075"/>
    <w:rsid w:val="00A40351"/>
    <w:rsid w:val="00A40552"/>
    <w:rsid w:val="00A4089E"/>
    <w:rsid w:val="00A40AA7"/>
    <w:rsid w:val="00A40CBA"/>
    <w:rsid w:val="00A40EC8"/>
    <w:rsid w:val="00A4103C"/>
    <w:rsid w:val="00A4109C"/>
    <w:rsid w:val="00A4121C"/>
    <w:rsid w:val="00A416BE"/>
    <w:rsid w:val="00A4185F"/>
    <w:rsid w:val="00A41886"/>
    <w:rsid w:val="00A41998"/>
    <w:rsid w:val="00A41AE8"/>
    <w:rsid w:val="00A41D03"/>
    <w:rsid w:val="00A41E49"/>
    <w:rsid w:val="00A41F61"/>
    <w:rsid w:val="00A426D3"/>
    <w:rsid w:val="00A427D6"/>
    <w:rsid w:val="00A427E2"/>
    <w:rsid w:val="00A42A1A"/>
    <w:rsid w:val="00A43147"/>
    <w:rsid w:val="00A4327B"/>
    <w:rsid w:val="00A435B3"/>
    <w:rsid w:val="00A43A94"/>
    <w:rsid w:val="00A4437C"/>
    <w:rsid w:val="00A4459D"/>
    <w:rsid w:val="00A4479E"/>
    <w:rsid w:val="00A447E4"/>
    <w:rsid w:val="00A44973"/>
    <w:rsid w:val="00A44C91"/>
    <w:rsid w:val="00A44CD2"/>
    <w:rsid w:val="00A44EA7"/>
    <w:rsid w:val="00A451A0"/>
    <w:rsid w:val="00A453DF"/>
    <w:rsid w:val="00A4542B"/>
    <w:rsid w:val="00A457E7"/>
    <w:rsid w:val="00A45A61"/>
    <w:rsid w:val="00A45A80"/>
    <w:rsid w:val="00A45FF3"/>
    <w:rsid w:val="00A461CF"/>
    <w:rsid w:val="00A461EF"/>
    <w:rsid w:val="00A463D9"/>
    <w:rsid w:val="00A463F9"/>
    <w:rsid w:val="00A466A3"/>
    <w:rsid w:val="00A466C2"/>
    <w:rsid w:val="00A4693B"/>
    <w:rsid w:val="00A46ADB"/>
    <w:rsid w:val="00A46BD1"/>
    <w:rsid w:val="00A46C51"/>
    <w:rsid w:val="00A4744C"/>
    <w:rsid w:val="00A474C3"/>
    <w:rsid w:val="00A474CB"/>
    <w:rsid w:val="00A47877"/>
    <w:rsid w:val="00A47D63"/>
    <w:rsid w:val="00A47ECE"/>
    <w:rsid w:val="00A5046F"/>
    <w:rsid w:val="00A505DE"/>
    <w:rsid w:val="00A5072E"/>
    <w:rsid w:val="00A507CD"/>
    <w:rsid w:val="00A5091A"/>
    <w:rsid w:val="00A50B8A"/>
    <w:rsid w:val="00A50D3F"/>
    <w:rsid w:val="00A50D47"/>
    <w:rsid w:val="00A50D81"/>
    <w:rsid w:val="00A50DBB"/>
    <w:rsid w:val="00A50F09"/>
    <w:rsid w:val="00A5104F"/>
    <w:rsid w:val="00A51164"/>
    <w:rsid w:val="00A51818"/>
    <w:rsid w:val="00A51893"/>
    <w:rsid w:val="00A51B5D"/>
    <w:rsid w:val="00A51BF7"/>
    <w:rsid w:val="00A51E7C"/>
    <w:rsid w:val="00A5227C"/>
    <w:rsid w:val="00A525F4"/>
    <w:rsid w:val="00A5272E"/>
    <w:rsid w:val="00A529E8"/>
    <w:rsid w:val="00A52AD3"/>
    <w:rsid w:val="00A52AF4"/>
    <w:rsid w:val="00A52D07"/>
    <w:rsid w:val="00A53126"/>
    <w:rsid w:val="00A531BB"/>
    <w:rsid w:val="00A53210"/>
    <w:rsid w:val="00A5327C"/>
    <w:rsid w:val="00A536A7"/>
    <w:rsid w:val="00A53815"/>
    <w:rsid w:val="00A53A7F"/>
    <w:rsid w:val="00A53D9A"/>
    <w:rsid w:val="00A54280"/>
    <w:rsid w:val="00A54439"/>
    <w:rsid w:val="00A54E94"/>
    <w:rsid w:val="00A55240"/>
    <w:rsid w:val="00A55757"/>
    <w:rsid w:val="00A55774"/>
    <w:rsid w:val="00A558F9"/>
    <w:rsid w:val="00A55E45"/>
    <w:rsid w:val="00A560B2"/>
    <w:rsid w:val="00A5648D"/>
    <w:rsid w:val="00A56701"/>
    <w:rsid w:val="00A56C49"/>
    <w:rsid w:val="00A56C71"/>
    <w:rsid w:val="00A56CA5"/>
    <w:rsid w:val="00A5721C"/>
    <w:rsid w:val="00A572D1"/>
    <w:rsid w:val="00A57336"/>
    <w:rsid w:val="00A576AD"/>
    <w:rsid w:val="00A57FC4"/>
    <w:rsid w:val="00A601D4"/>
    <w:rsid w:val="00A604BB"/>
    <w:rsid w:val="00A606A3"/>
    <w:rsid w:val="00A60BB9"/>
    <w:rsid w:val="00A61251"/>
    <w:rsid w:val="00A6146C"/>
    <w:rsid w:val="00A614EB"/>
    <w:rsid w:val="00A61612"/>
    <w:rsid w:val="00A6178F"/>
    <w:rsid w:val="00A618E9"/>
    <w:rsid w:val="00A61DFC"/>
    <w:rsid w:val="00A61F47"/>
    <w:rsid w:val="00A62A60"/>
    <w:rsid w:val="00A62AA3"/>
    <w:rsid w:val="00A62B13"/>
    <w:rsid w:val="00A62B1D"/>
    <w:rsid w:val="00A62D68"/>
    <w:rsid w:val="00A630BF"/>
    <w:rsid w:val="00A63372"/>
    <w:rsid w:val="00A633F1"/>
    <w:rsid w:val="00A6354A"/>
    <w:rsid w:val="00A638EF"/>
    <w:rsid w:val="00A63BAE"/>
    <w:rsid w:val="00A63D22"/>
    <w:rsid w:val="00A63F85"/>
    <w:rsid w:val="00A640DB"/>
    <w:rsid w:val="00A64532"/>
    <w:rsid w:val="00A64585"/>
    <w:rsid w:val="00A6461D"/>
    <w:rsid w:val="00A64A79"/>
    <w:rsid w:val="00A65106"/>
    <w:rsid w:val="00A65157"/>
    <w:rsid w:val="00A653AC"/>
    <w:rsid w:val="00A65719"/>
    <w:rsid w:val="00A65745"/>
    <w:rsid w:val="00A65CDD"/>
    <w:rsid w:val="00A65CEA"/>
    <w:rsid w:val="00A65FBF"/>
    <w:rsid w:val="00A6608F"/>
    <w:rsid w:val="00A662C5"/>
    <w:rsid w:val="00A66478"/>
    <w:rsid w:val="00A66623"/>
    <w:rsid w:val="00A667F3"/>
    <w:rsid w:val="00A66D34"/>
    <w:rsid w:val="00A66DE4"/>
    <w:rsid w:val="00A67241"/>
    <w:rsid w:val="00A67560"/>
    <w:rsid w:val="00A675C7"/>
    <w:rsid w:val="00A678A7"/>
    <w:rsid w:val="00A67913"/>
    <w:rsid w:val="00A67969"/>
    <w:rsid w:val="00A67AC2"/>
    <w:rsid w:val="00A67B22"/>
    <w:rsid w:val="00A67B9E"/>
    <w:rsid w:val="00A67F9C"/>
    <w:rsid w:val="00A7048A"/>
    <w:rsid w:val="00A7048F"/>
    <w:rsid w:val="00A7074E"/>
    <w:rsid w:val="00A70BC9"/>
    <w:rsid w:val="00A71138"/>
    <w:rsid w:val="00A7113E"/>
    <w:rsid w:val="00A711E7"/>
    <w:rsid w:val="00A71320"/>
    <w:rsid w:val="00A716AC"/>
    <w:rsid w:val="00A716F7"/>
    <w:rsid w:val="00A717E0"/>
    <w:rsid w:val="00A719DD"/>
    <w:rsid w:val="00A71E99"/>
    <w:rsid w:val="00A7218E"/>
    <w:rsid w:val="00A723A9"/>
    <w:rsid w:val="00A72432"/>
    <w:rsid w:val="00A72E6E"/>
    <w:rsid w:val="00A730B3"/>
    <w:rsid w:val="00A732C4"/>
    <w:rsid w:val="00A74064"/>
    <w:rsid w:val="00A74256"/>
    <w:rsid w:val="00A7458C"/>
    <w:rsid w:val="00A74599"/>
    <w:rsid w:val="00A7483E"/>
    <w:rsid w:val="00A74934"/>
    <w:rsid w:val="00A749A2"/>
    <w:rsid w:val="00A74AE5"/>
    <w:rsid w:val="00A74DE0"/>
    <w:rsid w:val="00A74FA8"/>
    <w:rsid w:val="00A750EE"/>
    <w:rsid w:val="00A75829"/>
    <w:rsid w:val="00A75832"/>
    <w:rsid w:val="00A75D3B"/>
    <w:rsid w:val="00A76271"/>
    <w:rsid w:val="00A7702D"/>
    <w:rsid w:val="00A770B8"/>
    <w:rsid w:val="00A773F6"/>
    <w:rsid w:val="00A775E5"/>
    <w:rsid w:val="00A77716"/>
    <w:rsid w:val="00A77959"/>
    <w:rsid w:val="00A77A3D"/>
    <w:rsid w:val="00A77BAC"/>
    <w:rsid w:val="00A77E7D"/>
    <w:rsid w:val="00A80293"/>
    <w:rsid w:val="00A80335"/>
    <w:rsid w:val="00A8054D"/>
    <w:rsid w:val="00A80855"/>
    <w:rsid w:val="00A80875"/>
    <w:rsid w:val="00A80BBB"/>
    <w:rsid w:val="00A814FC"/>
    <w:rsid w:val="00A81607"/>
    <w:rsid w:val="00A81973"/>
    <w:rsid w:val="00A81A94"/>
    <w:rsid w:val="00A81B19"/>
    <w:rsid w:val="00A81D0A"/>
    <w:rsid w:val="00A81D45"/>
    <w:rsid w:val="00A821D6"/>
    <w:rsid w:val="00A82237"/>
    <w:rsid w:val="00A822B7"/>
    <w:rsid w:val="00A82534"/>
    <w:rsid w:val="00A8260B"/>
    <w:rsid w:val="00A82647"/>
    <w:rsid w:val="00A826DD"/>
    <w:rsid w:val="00A829CF"/>
    <w:rsid w:val="00A829FA"/>
    <w:rsid w:val="00A82BA1"/>
    <w:rsid w:val="00A82C5B"/>
    <w:rsid w:val="00A82ECD"/>
    <w:rsid w:val="00A8306E"/>
    <w:rsid w:val="00A83249"/>
    <w:rsid w:val="00A83561"/>
    <w:rsid w:val="00A835EE"/>
    <w:rsid w:val="00A8364E"/>
    <w:rsid w:val="00A83DFA"/>
    <w:rsid w:val="00A83FB7"/>
    <w:rsid w:val="00A84080"/>
    <w:rsid w:val="00A843C4"/>
    <w:rsid w:val="00A8464B"/>
    <w:rsid w:val="00A84971"/>
    <w:rsid w:val="00A84AA2"/>
    <w:rsid w:val="00A84B2B"/>
    <w:rsid w:val="00A84D87"/>
    <w:rsid w:val="00A84DFC"/>
    <w:rsid w:val="00A84E12"/>
    <w:rsid w:val="00A84E61"/>
    <w:rsid w:val="00A85987"/>
    <w:rsid w:val="00A85A21"/>
    <w:rsid w:val="00A85BC2"/>
    <w:rsid w:val="00A85D0F"/>
    <w:rsid w:val="00A85EDA"/>
    <w:rsid w:val="00A85F34"/>
    <w:rsid w:val="00A85FD2"/>
    <w:rsid w:val="00A860BF"/>
    <w:rsid w:val="00A863B8"/>
    <w:rsid w:val="00A867F7"/>
    <w:rsid w:val="00A86874"/>
    <w:rsid w:val="00A8689A"/>
    <w:rsid w:val="00A869D8"/>
    <w:rsid w:val="00A86C8F"/>
    <w:rsid w:val="00A86DF5"/>
    <w:rsid w:val="00A86E2E"/>
    <w:rsid w:val="00A87056"/>
    <w:rsid w:val="00A87171"/>
    <w:rsid w:val="00A87332"/>
    <w:rsid w:val="00A876A5"/>
    <w:rsid w:val="00A87973"/>
    <w:rsid w:val="00A87B5B"/>
    <w:rsid w:val="00A87CB4"/>
    <w:rsid w:val="00A87E23"/>
    <w:rsid w:val="00A87FF6"/>
    <w:rsid w:val="00A903EF"/>
    <w:rsid w:val="00A906B6"/>
    <w:rsid w:val="00A90950"/>
    <w:rsid w:val="00A90B83"/>
    <w:rsid w:val="00A90C7B"/>
    <w:rsid w:val="00A9119A"/>
    <w:rsid w:val="00A916AD"/>
    <w:rsid w:val="00A918AA"/>
    <w:rsid w:val="00A91929"/>
    <w:rsid w:val="00A91B07"/>
    <w:rsid w:val="00A91C5F"/>
    <w:rsid w:val="00A91C69"/>
    <w:rsid w:val="00A92146"/>
    <w:rsid w:val="00A926F0"/>
    <w:rsid w:val="00A92846"/>
    <w:rsid w:val="00A9289F"/>
    <w:rsid w:val="00A92A30"/>
    <w:rsid w:val="00A92E6F"/>
    <w:rsid w:val="00A93472"/>
    <w:rsid w:val="00A93636"/>
    <w:rsid w:val="00A93F5D"/>
    <w:rsid w:val="00A93FDF"/>
    <w:rsid w:val="00A94301"/>
    <w:rsid w:val="00A94413"/>
    <w:rsid w:val="00A94437"/>
    <w:rsid w:val="00A9458A"/>
    <w:rsid w:val="00A94623"/>
    <w:rsid w:val="00A94832"/>
    <w:rsid w:val="00A94AB4"/>
    <w:rsid w:val="00A94F3E"/>
    <w:rsid w:val="00A94FB2"/>
    <w:rsid w:val="00A9501B"/>
    <w:rsid w:val="00A9522D"/>
    <w:rsid w:val="00A956B1"/>
    <w:rsid w:val="00A956FA"/>
    <w:rsid w:val="00A95752"/>
    <w:rsid w:val="00A95939"/>
    <w:rsid w:val="00A95A19"/>
    <w:rsid w:val="00A95B8B"/>
    <w:rsid w:val="00A95BC8"/>
    <w:rsid w:val="00A960D6"/>
    <w:rsid w:val="00A964B2"/>
    <w:rsid w:val="00A966A5"/>
    <w:rsid w:val="00A9681E"/>
    <w:rsid w:val="00A96838"/>
    <w:rsid w:val="00A96976"/>
    <w:rsid w:val="00A96A38"/>
    <w:rsid w:val="00A96FE1"/>
    <w:rsid w:val="00A97100"/>
    <w:rsid w:val="00A97147"/>
    <w:rsid w:val="00A971C6"/>
    <w:rsid w:val="00A9725F"/>
    <w:rsid w:val="00A97462"/>
    <w:rsid w:val="00A9748D"/>
    <w:rsid w:val="00A97948"/>
    <w:rsid w:val="00AA007A"/>
    <w:rsid w:val="00AA0247"/>
    <w:rsid w:val="00AA059F"/>
    <w:rsid w:val="00AA0703"/>
    <w:rsid w:val="00AA09CB"/>
    <w:rsid w:val="00AA0D5E"/>
    <w:rsid w:val="00AA0D6A"/>
    <w:rsid w:val="00AA0E8A"/>
    <w:rsid w:val="00AA0EFF"/>
    <w:rsid w:val="00AA12B3"/>
    <w:rsid w:val="00AA1C2C"/>
    <w:rsid w:val="00AA2011"/>
    <w:rsid w:val="00AA255D"/>
    <w:rsid w:val="00AA2798"/>
    <w:rsid w:val="00AA2CB7"/>
    <w:rsid w:val="00AA3260"/>
    <w:rsid w:val="00AA353F"/>
    <w:rsid w:val="00AA35B4"/>
    <w:rsid w:val="00AA36A0"/>
    <w:rsid w:val="00AA378E"/>
    <w:rsid w:val="00AA39F7"/>
    <w:rsid w:val="00AA3B49"/>
    <w:rsid w:val="00AA3B57"/>
    <w:rsid w:val="00AA3E98"/>
    <w:rsid w:val="00AA3F42"/>
    <w:rsid w:val="00AA3FD8"/>
    <w:rsid w:val="00AA4048"/>
    <w:rsid w:val="00AA452C"/>
    <w:rsid w:val="00AA4557"/>
    <w:rsid w:val="00AA4727"/>
    <w:rsid w:val="00AA47C6"/>
    <w:rsid w:val="00AA48BB"/>
    <w:rsid w:val="00AA4A6F"/>
    <w:rsid w:val="00AA4DB7"/>
    <w:rsid w:val="00AA4DD2"/>
    <w:rsid w:val="00AA4E9D"/>
    <w:rsid w:val="00AA4F49"/>
    <w:rsid w:val="00AA5069"/>
    <w:rsid w:val="00AA5467"/>
    <w:rsid w:val="00AA5CF6"/>
    <w:rsid w:val="00AA60D0"/>
    <w:rsid w:val="00AA610E"/>
    <w:rsid w:val="00AA6586"/>
    <w:rsid w:val="00AA66A4"/>
    <w:rsid w:val="00AA6D13"/>
    <w:rsid w:val="00AA6D58"/>
    <w:rsid w:val="00AA6E00"/>
    <w:rsid w:val="00AA6EA0"/>
    <w:rsid w:val="00AA70B4"/>
    <w:rsid w:val="00AA756E"/>
    <w:rsid w:val="00AA75F7"/>
    <w:rsid w:val="00AA76F7"/>
    <w:rsid w:val="00AA7C01"/>
    <w:rsid w:val="00AA7D79"/>
    <w:rsid w:val="00AA7DB5"/>
    <w:rsid w:val="00AB000E"/>
    <w:rsid w:val="00AB035E"/>
    <w:rsid w:val="00AB073E"/>
    <w:rsid w:val="00AB0989"/>
    <w:rsid w:val="00AB0ABE"/>
    <w:rsid w:val="00AB0CBB"/>
    <w:rsid w:val="00AB0DDB"/>
    <w:rsid w:val="00AB0FA6"/>
    <w:rsid w:val="00AB10DB"/>
    <w:rsid w:val="00AB10FD"/>
    <w:rsid w:val="00AB13FE"/>
    <w:rsid w:val="00AB14AE"/>
    <w:rsid w:val="00AB15A3"/>
    <w:rsid w:val="00AB164D"/>
    <w:rsid w:val="00AB1651"/>
    <w:rsid w:val="00AB17C3"/>
    <w:rsid w:val="00AB184A"/>
    <w:rsid w:val="00AB186A"/>
    <w:rsid w:val="00AB187F"/>
    <w:rsid w:val="00AB1941"/>
    <w:rsid w:val="00AB195E"/>
    <w:rsid w:val="00AB19FB"/>
    <w:rsid w:val="00AB1A13"/>
    <w:rsid w:val="00AB1B66"/>
    <w:rsid w:val="00AB1ED3"/>
    <w:rsid w:val="00AB1FE3"/>
    <w:rsid w:val="00AB24A4"/>
    <w:rsid w:val="00AB24C5"/>
    <w:rsid w:val="00AB25BF"/>
    <w:rsid w:val="00AB2632"/>
    <w:rsid w:val="00AB2643"/>
    <w:rsid w:val="00AB2810"/>
    <w:rsid w:val="00AB2B4C"/>
    <w:rsid w:val="00AB2DF0"/>
    <w:rsid w:val="00AB2E6F"/>
    <w:rsid w:val="00AB2F09"/>
    <w:rsid w:val="00AB313F"/>
    <w:rsid w:val="00AB31BC"/>
    <w:rsid w:val="00AB37C6"/>
    <w:rsid w:val="00AB3A43"/>
    <w:rsid w:val="00AB3ABE"/>
    <w:rsid w:val="00AB3C5B"/>
    <w:rsid w:val="00AB3D7C"/>
    <w:rsid w:val="00AB41A7"/>
    <w:rsid w:val="00AB4200"/>
    <w:rsid w:val="00AB43D1"/>
    <w:rsid w:val="00AB4DDB"/>
    <w:rsid w:val="00AB4E79"/>
    <w:rsid w:val="00AB4E9F"/>
    <w:rsid w:val="00AB506E"/>
    <w:rsid w:val="00AB52C0"/>
    <w:rsid w:val="00AB546A"/>
    <w:rsid w:val="00AB54F0"/>
    <w:rsid w:val="00AB55C8"/>
    <w:rsid w:val="00AB5666"/>
    <w:rsid w:val="00AB56EC"/>
    <w:rsid w:val="00AB5703"/>
    <w:rsid w:val="00AB57C0"/>
    <w:rsid w:val="00AB5E22"/>
    <w:rsid w:val="00AB5E60"/>
    <w:rsid w:val="00AB6002"/>
    <w:rsid w:val="00AB60E2"/>
    <w:rsid w:val="00AB61FE"/>
    <w:rsid w:val="00AB63B3"/>
    <w:rsid w:val="00AB641A"/>
    <w:rsid w:val="00AB66D0"/>
    <w:rsid w:val="00AB6883"/>
    <w:rsid w:val="00AB7419"/>
    <w:rsid w:val="00AB7A2F"/>
    <w:rsid w:val="00AB7D18"/>
    <w:rsid w:val="00AC046E"/>
    <w:rsid w:val="00AC07DD"/>
    <w:rsid w:val="00AC0880"/>
    <w:rsid w:val="00AC0B0B"/>
    <w:rsid w:val="00AC0C2F"/>
    <w:rsid w:val="00AC0D99"/>
    <w:rsid w:val="00AC16A7"/>
    <w:rsid w:val="00AC19AE"/>
    <w:rsid w:val="00AC1C55"/>
    <w:rsid w:val="00AC1D2B"/>
    <w:rsid w:val="00AC1DB3"/>
    <w:rsid w:val="00AC1EEA"/>
    <w:rsid w:val="00AC210F"/>
    <w:rsid w:val="00AC256F"/>
    <w:rsid w:val="00AC25B3"/>
    <w:rsid w:val="00AC265C"/>
    <w:rsid w:val="00AC2757"/>
    <w:rsid w:val="00AC27FF"/>
    <w:rsid w:val="00AC2816"/>
    <w:rsid w:val="00AC2956"/>
    <w:rsid w:val="00AC2AD1"/>
    <w:rsid w:val="00AC3010"/>
    <w:rsid w:val="00AC319E"/>
    <w:rsid w:val="00AC32BA"/>
    <w:rsid w:val="00AC3301"/>
    <w:rsid w:val="00AC3357"/>
    <w:rsid w:val="00AC3370"/>
    <w:rsid w:val="00AC35FD"/>
    <w:rsid w:val="00AC38F3"/>
    <w:rsid w:val="00AC390D"/>
    <w:rsid w:val="00AC3B36"/>
    <w:rsid w:val="00AC3D4E"/>
    <w:rsid w:val="00AC3DAA"/>
    <w:rsid w:val="00AC4047"/>
    <w:rsid w:val="00AC42ED"/>
    <w:rsid w:val="00AC45B4"/>
    <w:rsid w:val="00AC45F3"/>
    <w:rsid w:val="00AC46EC"/>
    <w:rsid w:val="00AC4777"/>
    <w:rsid w:val="00AC4A4B"/>
    <w:rsid w:val="00AC4B61"/>
    <w:rsid w:val="00AC4D13"/>
    <w:rsid w:val="00AC4F26"/>
    <w:rsid w:val="00AC59B1"/>
    <w:rsid w:val="00AC5A12"/>
    <w:rsid w:val="00AC5C30"/>
    <w:rsid w:val="00AC5EE0"/>
    <w:rsid w:val="00AC624F"/>
    <w:rsid w:val="00AC6594"/>
    <w:rsid w:val="00AC65DB"/>
    <w:rsid w:val="00AC67FE"/>
    <w:rsid w:val="00AC69AF"/>
    <w:rsid w:val="00AC6AAA"/>
    <w:rsid w:val="00AC6BCD"/>
    <w:rsid w:val="00AC6CAD"/>
    <w:rsid w:val="00AC6CD3"/>
    <w:rsid w:val="00AC6F7A"/>
    <w:rsid w:val="00AC7577"/>
    <w:rsid w:val="00AC7586"/>
    <w:rsid w:val="00AC768D"/>
    <w:rsid w:val="00AC775C"/>
    <w:rsid w:val="00AC7812"/>
    <w:rsid w:val="00AC7945"/>
    <w:rsid w:val="00AC79CC"/>
    <w:rsid w:val="00AC7A60"/>
    <w:rsid w:val="00AC7CC5"/>
    <w:rsid w:val="00AC7CEC"/>
    <w:rsid w:val="00AC7D5E"/>
    <w:rsid w:val="00AC7D89"/>
    <w:rsid w:val="00AC7EBD"/>
    <w:rsid w:val="00AD0493"/>
    <w:rsid w:val="00AD05B9"/>
    <w:rsid w:val="00AD06BC"/>
    <w:rsid w:val="00AD09B3"/>
    <w:rsid w:val="00AD0CF7"/>
    <w:rsid w:val="00AD0D14"/>
    <w:rsid w:val="00AD0D56"/>
    <w:rsid w:val="00AD0EBF"/>
    <w:rsid w:val="00AD1072"/>
    <w:rsid w:val="00AD129A"/>
    <w:rsid w:val="00AD134C"/>
    <w:rsid w:val="00AD14BC"/>
    <w:rsid w:val="00AD1678"/>
    <w:rsid w:val="00AD18B7"/>
    <w:rsid w:val="00AD1CDC"/>
    <w:rsid w:val="00AD1E90"/>
    <w:rsid w:val="00AD2152"/>
    <w:rsid w:val="00AD21A0"/>
    <w:rsid w:val="00AD21A1"/>
    <w:rsid w:val="00AD26C1"/>
    <w:rsid w:val="00AD273D"/>
    <w:rsid w:val="00AD281F"/>
    <w:rsid w:val="00AD290E"/>
    <w:rsid w:val="00AD2BAE"/>
    <w:rsid w:val="00AD2CD8"/>
    <w:rsid w:val="00AD2E7B"/>
    <w:rsid w:val="00AD2F70"/>
    <w:rsid w:val="00AD3039"/>
    <w:rsid w:val="00AD327B"/>
    <w:rsid w:val="00AD3708"/>
    <w:rsid w:val="00AD386C"/>
    <w:rsid w:val="00AD38DA"/>
    <w:rsid w:val="00AD3A0B"/>
    <w:rsid w:val="00AD3F4A"/>
    <w:rsid w:val="00AD3F5E"/>
    <w:rsid w:val="00AD42A4"/>
    <w:rsid w:val="00AD455C"/>
    <w:rsid w:val="00AD464E"/>
    <w:rsid w:val="00AD48CE"/>
    <w:rsid w:val="00AD494E"/>
    <w:rsid w:val="00AD5720"/>
    <w:rsid w:val="00AD574F"/>
    <w:rsid w:val="00AD5771"/>
    <w:rsid w:val="00AD59B1"/>
    <w:rsid w:val="00AD5E38"/>
    <w:rsid w:val="00AD5F24"/>
    <w:rsid w:val="00AD5FE2"/>
    <w:rsid w:val="00AD6196"/>
    <w:rsid w:val="00AD626F"/>
    <w:rsid w:val="00AD66BE"/>
    <w:rsid w:val="00AD6A5B"/>
    <w:rsid w:val="00AD6AD3"/>
    <w:rsid w:val="00AD6CA5"/>
    <w:rsid w:val="00AD6E05"/>
    <w:rsid w:val="00AD7157"/>
    <w:rsid w:val="00AD7239"/>
    <w:rsid w:val="00AD74E8"/>
    <w:rsid w:val="00AD756D"/>
    <w:rsid w:val="00AD7967"/>
    <w:rsid w:val="00AD7EF3"/>
    <w:rsid w:val="00AD7FEB"/>
    <w:rsid w:val="00AE0356"/>
    <w:rsid w:val="00AE035A"/>
    <w:rsid w:val="00AE037B"/>
    <w:rsid w:val="00AE0649"/>
    <w:rsid w:val="00AE081C"/>
    <w:rsid w:val="00AE0B90"/>
    <w:rsid w:val="00AE0FF8"/>
    <w:rsid w:val="00AE1122"/>
    <w:rsid w:val="00AE128F"/>
    <w:rsid w:val="00AE1416"/>
    <w:rsid w:val="00AE1495"/>
    <w:rsid w:val="00AE14CC"/>
    <w:rsid w:val="00AE1529"/>
    <w:rsid w:val="00AE159D"/>
    <w:rsid w:val="00AE1C46"/>
    <w:rsid w:val="00AE1EE2"/>
    <w:rsid w:val="00AE22AA"/>
    <w:rsid w:val="00AE23DB"/>
    <w:rsid w:val="00AE24E2"/>
    <w:rsid w:val="00AE2671"/>
    <w:rsid w:val="00AE28E4"/>
    <w:rsid w:val="00AE2B5B"/>
    <w:rsid w:val="00AE2DCB"/>
    <w:rsid w:val="00AE2FC6"/>
    <w:rsid w:val="00AE32A6"/>
    <w:rsid w:val="00AE3482"/>
    <w:rsid w:val="00AE387C"/>
    <w:rsid w:val="00AE38E5"/>
    <w:rsid w:val="00AE3A1E"/>
    <w:rsid w:val="00AE3A8D"/>
    <w:rsid w:val="00AE3AA3"/>
    <w:rsid w:val="00AE3BFC"/>
    <w:rsid w:val="00AE3CE2"/>
    <w:rsid w:val="00AE3CF5"/>
    <w:rsid w:val="00AE3D37"/>
    <w:rsid w:val="00AE3D8C"/>
    <w:rsid w:val="00AE4170"/>
    <w:rsid w:val="00AE42F7"/>
    <w:rsid w:val="00AE4457"/>
    <w:rsid w:val="00AE459D"/>
    <w:rsid w:val="00AE4791"/>
    <w:rsid w:val="00AE494B"/>
    <w:rsid w:val="00AE499F"/>
    <w:rsid w:val="00AE4AC3"/>
    <w:rsid w:val="00AE4AFB"/>
    <w:rsid w:val="00AE4B30"/>
    <w:rsid w:val="00AE4C55"/>
    <w:rsid w:val="00AE4D53"/>
    <w:rsid w:val="00AE4D6D"/>
    <w:rsid w:val="00AE4E1E"/>
    <w:rsid w:val="00AE5064"/>
    <w:rsid w:val="00AE554B"/>
    <w:rsid w:val="00AE578C"/>
    <w:rsid w:val="00AE58CD"/>
    <w:rsid w:val="00AE5B4C"/>
    <w:rsid w:val="00AE5F32"/>
    <w:rsid w:val="00AE604F"/>
    <w:rsid w:val="00AE6B62"/>
    <w:rsid w:val="00AE6CD0"/>
    <w:rsid w:val="00AE6F80"/>
    <w:rsid w:val="00AE734F"/>
    <w:rsid w:val="00AE7510"/>
    <w:rsid w:val="00AE7623"/>
    <w:rsid w:val="00AE77DA"/>
    <w:rsid w:val="00AE783D"/>
    <w:rsid w:val="00AE7960"/>
    <w:rsid w:val="00AE7BE9"/>
    <w:rsid w:val="00AE7C38"/>
    <w:rsid w:val="00AE7E25"/>
    <w:rsid w:val="00AE7FF4"/>
    <w:rsid w:val="00AF02A3"/>
    <w:rsid w:val="00AF0308"/>
    <w:rsid w:val="00AF067A"/>
    <w:rsid w:val="00AF0940"/>
    <w:rsid w:val="00AF0A5F"/>
    <w:rsid w:val="00AF0CA7"/>
    <w:rsid w:val="00AF0E9A"/>
    <w:rsid w:val="00AF16C6"/>
    <w:rsid w:val="00AF18AB"/>
    <w:rsid w:val="00AF1BD4"/>
    <w:rsid w:val="00AF2656"/>
    <w:rsid w:val="00AF294A"/>
    <w:rsid w:val="00AF2DBC"/>
    <w:rsid w:val="00AF2DF1"/>
    <w:rsid w:val="00AF2E22"/>
    <w:rsid w:val="00AF2E33"/>
    <w:rsid w:val="00AF2F2A"/>
    <w:rsid w:val="00AF33D1"/>
    <w:rsid w:val="00AF37F1"/>
    <w:rsid w:val="00AF3C74"/>
    <w:rsid w:val="00AF3E8F"/>
    <w:rsid w:val="00AF4170"/>
    <w:rsid w:val="00AF418E"/>
    <w:rsid w:val="00AF41B7"/>
    <w:rsid w:val="00AF4489"/>
    <w:rsid w:val="00AF4536"/>
    <w:rsid w:val="00AF477A"/>
    <w:rsid w:val="00AF4CF9"/>
    <w:rsid w:val="00AF4DBF"/>
    <w:rsid w:val="00AF4E5E"/>
    <w:rsid w:val="00AF4FD5"/>
    <w:rsid w:val="00AF50E0"/>
    <w:rsid w:val="00AF5255"/>
    <w:rsid w:val="00AF57DB"/>
    <w:rsid w:val="00AF591E"/>
    <w:rsid w:val="00AF5ACD"/>
    <w:rsid w:val="00AF5C81"/>
    <w:rsid w:val="00AF5C9A"/>
    <w:rsid w:val="00AF5CC6"/>
    <w:rsid w:val="00AF5D13"/>
    <w:rsid w:val="00AF5D79"/>
    <w:rsid w:val="00AF5EDC"/>
    <w:rsid w:val="00AF5FD2"/>
    <w:rsid w:val="00AF6110"/>
    <w:rsid w:val="00AF61F8"/>
    <w:rsid w:val="00AF620A"/>
    <w:rsid w:val="00AF63E9"/>
    <w:rsid w:val="00AF6404"/>
    <w:rsid w:val="00AF6425"/>
    <w:rsid w:val="00AF66DF"/>
    <w:rsid w:val="00AF66F5"/>
    <w:rsid w:val="00AF67A3"/>
    <w:rsid w:val="00AF685D"/>
    <w:rsid w:val="00AF692F"/>
    <w:rsid w:val="00AF6AC6"/>
    <w:rsid w:val="00AF6C08"/>
    <w:rsid w:val="00AF6F69"/>
    <w:rsid w:val="00AF70D8"/>
    <w:rsid w:val="00AF71F6"/>
    <w:rsid w:val="00AF7BBC"/>
    <w:rsid w:val="00AF7D99"/>
    <w:rsid w:val="00B00611"/>
    <w:rsid w:val="00B00D5C"/>
    <w:rsid w:val="00B013E3"/>
    <w:rsid w:val="00B0182A"/>
    <w:rsid w:val="00B018F8"/>
    <w:rsid w:val="00B01F45"/>
    <w:rsid w:val="00B02141"/>
    <w:rsid w:val="00B021CC"/>
    <w:rsid w:val="00B02325"/>
    <w:rsid w:val="00B024EF"/>
    <w:rsid w:val="00B02698"/>
    <w:rsid w:val="00B027F0"/>
    <w:rsid w:val="00B028E8"/>
    <w:rsid w:val="00B029DC"/>
    <w:rsid w:val="00B029E0"/>
    <w:rsid w:val="00B02B76"/>
    <w:rsid w:val="00B02BE3"/>
    <w:rsid w:val="00B02F12"/>
    <w:rsid w:val="00B03037"/>
    <w:rsid w:val="00B030CD"/>
    <w:rsid w:val="00B03321"/>
    <w:rsid w:val="00B03484"/>
    <w:rsid w:val="00B03513"/>
    <w:rsid w:val="00B03719"/>
    <w:rsid w:val="00B0391C"/>
    <w:rsid w:val="00B03AA6"/>
    <w:rsid w:val="00B03ACB"/>
    <w:rsid w:val="00B03F9A"/>
    <w:rsid w:val="00B04108"/>
    <w:rsid w:val="00B0430D"/>
    <w:rsid w:val="00B0431F"/>
    <w:rsid w:val="00B0432C"/>
    <w:rsid w:val="00B04354"/>
    <w:rsid w:val="00B0461C"/>
    <w:rsid w:val="00B04663"/>
    <w:rsid w:val="00B048E4"/>
    <w:rsid w:val="00B048F9"/>
    <w:rsid w:val="00B04BF6"/>
    <w:rsid w:val="00B04E00"/>
    <w:rsid w:val="00B04FD3"/>
    <w:rsid w:val="00B04FD7"/>
    <w:rsid w:val="00B0527C"/>
    <w:rsid w:val="00B053BF"/>
    <w:rsid w:val="00B05686"/>
    <w:rsid w:val="00B0575B"/>
    <w:rsid w:val="00B057BA"/>
    <w:rsid w:val="00B0599C"/>
    <w:rsid w:val="00B05D52"/>
    <w:rsid w:val="00B05E57"/>
    <w:rsid w:val="00B05E91"/>
    <w:rsid w:val="00B0619F"/>
    <w:rsid w:val="00B065B9"/>
    <w:rsid w:val="00B067B9"/>
    <w:rsid w:val="00B0684A"/>
    <w:rsid w:val="00B06BDC"/>
    <w:rsid w:val="00B06BF5"/>
    <w:rsid w:val="00B06C48"/>
    <w:rsid w:val="00B06CE6"/>
    <w:rsid w:val="00B06FF1"/>
    <w:rsid w:val="00B0734F"/>
    <w:rsid w:val="00B07391"/>
    <w:rsid w:val="00B073E6"/>
    <w:rsid w:val="00B07527"/>
    <w:rsid w:val="00B07875"/>
    <w:rsid w:val="00B07AD4"/>
    <w:rsid w:val="00B07D9B"/>
    <w:rsid w:val="00B07DAF"/>
    <w:rsid w:val="00B07DB8"/>
    <w:rsid w:val="00B07EDF"/>
    <w:rsid w:val="00B1000D"/>
    <w:rsid w:val="00B100FF"/>
    <w:rsid w:val="00B101C7"/>
    <w:rsid w:val="00B101E6"/>
    <w:rsid w:val="00B10374"/>
    <w:rsid w:val="00B10696"/>
    <w:rsid w:val="00B108E1"/>
    <w:rsid w:val="00B10B2C"/>
    <w:rsid w:val="00B10C2A"/>
    <w:rsid w:val="00B10F8A"/>
    <w:rsid w:val="00B10FE4"/>
    <w:rsid w:val="00B110C0"/>
    <w:rsid w:val="00B11226"/>
    <w:rsid w:val="00B11254"/>
    <w:rsid w:val="00B112D2"/>
    <w:rsid w:val="00B11402"/>
    <w:rsid w:val="00B1144C"/>
    <w:rsid w:val="00B11519"/>
    <w:rsid w:val="00B115D0"/>
    <w:rsid w:val="00B11706"/>
    <w:rsid w:val="00B11A52"/>
    <w:rsid w:val="00B11D53"/>
    <w:rsid w:val="00B11F33"/>
    <w:rsid w:val="00B1232A"/>
    <w:rsid w:val="00B12428"/>
    <w:rsid w:val="00B1250F"/>
    <w:rsid w:val="00B12808"/>
    <w:rsid w:val="00B12C1E"/>
    <w:rsid w:val="00B12E88"/>
    <w:rsid w:val="00B13013"/>
    <w:rsid w:val="00B130FC"/>
    <w:rsid w:val="00B1328F"/>
    <w:rsid w:val="00B13430"/>
    <w:rsid w:val="00B134A3"/>
    <w:rsid w:val="00B134ED"/>
    <w:rsid w:val="00B13CC9"/>
    <w:rsid w:val="00B140EF"/>
    <w:rsid w:val="00B1412B"/>
    <w:rsid w:val="00B14359"/>
    <w:rsid w:val="00B14490"/>
    <w:rsid w:val="00B144BB"/>
    <w:rsid w:val="00B1450D"/>
    <w:rsid w:val="00B14A62"/>
    <w:rsid w:val="00B14B41"/>
    <w:rsid w:val="00B14BB1"/>
    <w:rsid w:val="00B14CD8"/>
    <w:rsid w:val="00B14E00"/>
    <w:rsid w:val="00B15196"/>
    <w:rsid w:val="00B154F0"/>
    <w:rsid w:val="00B15596"/>
    <w:rsid w:val="00B15603"/>
    <w:rsid w:val="00B157A5"/>
    <w:rsid w:val="00B157B6"/>
    <w:rsid w:val="00B158DE"/>
    <w:rsid w:val="00B15BAF"/>
    <w:rsid w:val="00B15D44"/>
    <w:rsid w:val="00B15DFC"/>
    <w:rsid w:val="00B1654E"/>
    <w:rsid w:val="00B165E8"/>
    <w:rsid w:val="00B1675A"/>
    <w:rsid w:val="00B16D7F"/>
    <w:rsid w:val="00B16F72"/>
    <w:rsid w:val="00B16FAD"/>
    <w:rsid w:val="00B170AE"/>
    <w:rsid w:val="00B17F25"/>
    <w:rsid w:val="00B20184"/>
    <w:rsid w:val="00B202C4"/>
    <w:rsid w:val="00B20CCB"/>
    <w:rsid w:val="00B2107E"/>
    <w:rsid w:val="00B213B5"/>
    <w:rsid w:val="00B21696"/>
    <w:rsid w:val="00B21C66"/>
    <w:rsid w:val="00B21D61"/>
    <w:rsid w:val="00B22146"/>
    <w:rsid w:val="00B22173"/>
    <w:rsid w:val="00B222C8"/>
    <w:rsid w:val="00B2234B"/>
    <w:rsid w:val="00B225FC"/>
    <w:rsid w:val="00B2271B"/>
    <w:rsid w:val="00B2283A"/>
    <w:rsid w:val="00B22ADE"/>
    <w:rsid w:val="00B22E00"/>
    <w:rsid w:val="00B2323E"/>
    <w:rsid w:val="00B234FF"/>
    <w:rsid w:val="00B238A4"/>
    <w:rsid w:val="00B238E4"/>
    <w:rsid w:val="00B23A6B"/>
    <w:rsid w:val="00B23AA7"/>
    <w:rsid w:val="00B23C2F"/>
    <w:rsid w:val="00B23C92"/>
    <w:rsid w:val="00B242C5"/>
    <w:rsid w:val="00B24352"/>
    <w:rsid w:val="00B2436E"/>
    <w:rsid w:val="00B243B0"/>
    <w:rsid w:val="00B2462E"/>
    <w:rsid w:val="00B24696"/>
    <w:rsid w:val="00B249FC"/>
    <w:rsid w:val="00B24CE9"/>
    <w:rsid w:val="00B25299"/>
    <w:rsid w:val="00B25436"/>
    <w:rsid w:val="00B2548E"/>
    <w:rsid w:val="00B255E3"/>
    <w:rsid w:val="00B258DE"/>
    <w:rsid w:val="00B2594B"/>
    <w:rsid w:val="00B259DE"/>
    <w:rsid w:val="00B25C8C"/>
    <w:rsid w:val="00B2600D"/>
    <w:rsid w:val="00B262B7"/>
    <w:rsid w:val="00B26399"/>
    <w:rsid w:val="00B26569"/>
    <w:rsid w:val="00B2663C"/>
    <w:rsid w:val="00B26741"/>
    <w:rsid w:val="00B268A9"/>
    <w:rsid w:val="00B26BFC"/>
    <w:rsid w:val="00B27001"/>
    <w:rsid w:val="00B27054"/>
    <w:rsid w:val="00B273BE"/>
    <w:rsid w:val="00B274AC"/>
    <w:rsid w:val="00B27548"/>
    <w:rsid w:val="00B278A6"/>
    <w:rsid w:val="00B27AC1"/>
    <w:rsid w:val="00B27BE7"/>
    <w:rsid w:val="00B27D9E"/>
    <w:rsid w:val="00B27F8A"/>
    <w:rsid w:val="00B30032"/>
    <w:rsid w:val="00B30110"/>
    <w:rsid w:val="00B304EB"/>
    <w:rsid w:val="00B306BD"/>
    <w:rsid w:val="00B3095A"/>
    <w:rsid w:val="00B30A95"/>
    <w:rsid w:val="00B30B09"/>
    <w:rsid w:val="00B30E07"/>
    <w:rsid w:val="00B31035"/>
    <w:rsid w:val="00B314B9"/>
    <w:rsid w:val="00B31552"/>
    <w:rsid w:val="00B317E7"/>
    <w:rsid w:val="00B31A4F"/>
    <w:rsid w:val="00B31A96"/>
    <w:rsid w:val="00B31B8B"/>
    <w:rsid w:val="00B31BC2"/>
    <w:rsid w:val="00B31C0F"/>
    <w:rsid w:val="00B31DC8"/>
    <w:rsid w:val="00B32138"/>
    <w:rsid w:val="00B32170"/>
    <w:rsid w:val="00B328B0"/>
    <w:rsid w:val="00B328C2"/>
    <w:rsid w:val="00B32ACB"/>
    <w:rsid w:val="00B32C4E"/>
    <w:rsid w:val="00B32DB5"/>
    <w:rsid w:val="00B32FB1"/>
    <w:rsid w:val="00B333DC"/>
    <w:rsid w:val="00B33733"/>
    <w:rsid w:val="00B338FB"/>
    <w:rsid w:val="00B33A0F"/>
    <w:rsid w:val="00B33A57"/>
    <w:rsid w:val="00B33D84"/>
    <w:rsid w:val="00B33E77"/>
    <w:rsid w:val="00B33F1F"/>
    <w:rsid w:val="00B34083"/>
    <w:rsid w:val="00B341E8"/>
    <w:rsid w:val="00B34368"/>
    <w:rsid w:val="00B345B3"/>
    <w:rsid w:val="00B34744"/>
    <w:rsid w:val="00B347B5"/>
    <w:rsid w:val="00B34809"/>
    <w:rsid w:val="00B34825"/>
    <w:rsid w:val="00B3493E"/>
    <w:rsid w:val="00B349C5"/>
    <w:rsid w:val="00B34C57"/>
    <w:rsid w:val="00B34D22"/>
    <w:rsid w:val="00B34E15"/>
    <w:rsid w:val="00B34F17"/>
    <w:rsid w:val="00B34F8F"/>
    <w:rsid w:val="00B34F90"/>
    <w:rsid w:val="00B34FFF"/>
    <w:rsid w:val="00B35155"/>
    <w:rsid w:val="00B352AA"/>
    <w:rsid w:val="00B35392"/>
    <w:rsid w:val="00B35704"/>
    <w:rsid w:val="00B35F59"/>
    <w:rsid w:val="00B360AC"/>
    <w:rsid w:val="00B36170"/>
    <w:rsid w:val="00B361C6"/>
    <w:rsid w:val="00B362E2"/>
    <w:rsid w:val="00B36323"/>
    <w:rsid w:val="00B36627"/>
    <w:rsid w:val="00B36704"/>
    <w:rsid w:val="00B3678D"/>
    <w:rsid w:val="00B368D6"/>
    <w:rsid w:val="00B36919"/>
    <w:rsid w:val="00B3693B"/>
    <w:rsid w:val="00B36981"/>
    <w:rsid w:val="00B36A09"/>
    <w:rsid w:val="00B36A48"/>
    <w:rsid w:val="00B36B4B"/>
    <w:rsid w:val="00B36EA6"/>
    <w:rsid w:val="00B36ECE"/>
    <w:rsid w:val="00B36FC9"/>
    <w:rsid w:val="00B371B3"/>
    <w:rsid w:val="00B371C5"/>
    <w:rsid w:val="00B3736D"/>
    <w:rsid w:val="00B37728"/>
    <w:rsid w:val="00B37838"/>
    <w:rsid w:val="00B378FD"/>
    <w:rsid w:val="00B37A99"/>
    <w:rsid w:val="00B37AB4"/>
    <w:rsid w:val="00B37C3F"/>
    <w:rsid w:val="00B4020A"/>
    <w:rsid w:val="00B40687"/>
    <w:rsid w:val="00B40949"/>
    <w:rsid w:val="00B409A3"/>
    <w:rsid w:val="00B40AC0"/>
    <w:rsid w:val="00B40D03"/>
    <w:rsid w:val="00B40FDA"/>
    <w:rsid w:val="00B41001"/>
    <w:rsid w:val="00B41618"/>
    <w:rsid w:val="00B41B52"/>
    <w:rsid w:val="00B41D16"/>
    <w:rsid w:val="00B41D2D"/>
    <w:rsid w:val="00B41D3A"/>
    <w:rsid w:val="00B41DBE"/>
    <w:rsid w:val="00B41F28"/>
    <w:rsid w:val="00B4246D"/>
    <w:rsid w:val="00B425F1"/>
    <w:rsid w:val="00B428D1"/>
    <w:rsid w:val="00B43010"/>
    <w:rsid w:val="00B4316D"/>
    <w:rsid w:val="00B432C6"/>
    <w:rsid w:val="00B435BD"/>
    <w:rsid w:val="00B43787"/>
    <w:rsid w:val="00B43979"/>
    <w:rsid w:val="00B43ACF"/>
    <w:rsid w:val="00B43AF1"/>
    <w:rsid w:val="00B43C14"/>
    <w:rsid w:val="00B43C7F"/>
    <w:rsid w:val="00B43C88"/>
    <w:rsid w:val="00B4418B"/>
    <w:rsid w:val="00B442F6"/>
    <w:rsid w:val="00B44559"/>
    <w:rsid w:val="00B44F50"/>
    <w:rsid w:val="00B44F9C"/>
    <w:rsid w:val="00B4515C"/>
    <w:rsid w:val="00B451D2"/>
    <w:rsid w:val="00B4541C"/>
    <w:rsid w:val="00B45684"/>
    <w:rsid w:val="00B45C64"/>
    <w:rsid w:val="00B45CB6"/>
    <w:rsid w:val="00B45DA0"/>
    <w:rsid w:val="00B4671C"/>
    <w:rsid w:val="00B46A32"/>
    <w:rsid w:val="00B46B29"/>
    <w:rsid w:val="00B46FE3"/>
    <w:rsid w:val="00B4746B"/>
    <w:rsid w:val="00B476D2"/>
    <w:rsid w:val="00B47954"/>
    <w:rsid w:val="00B479E4"/>
    <w:rsid w:val="00B47C01"/>
    <w:rsid w:val="00B500D0"/>
    <w:rsid w:val="00B5027C"/>
    <w:rsid w:val="00B5054D"/>
    <w:rsid w:val="00B5067D"/>
    <w:rsid w:val="00B50765"/>
    <w:rsid w:val="00B507F2"/>
    <w:rsid w:val="00B50A40"/>
    <w:rsid w:val="00B50ADB"/>
    <w:rsid w:val="00B50D20"/>
    <w:rsid w:val="00B50F19"/>
    <w:rsid w:val="00B51089"/>
    <w:rsid w:val="00B51301"/>
    <w:rsid w:val="00B516BC"/>
    <w:rsid w:val="00B51706"/>
    <w:rsid w:val="00B51910"/>
    <w:rsid w:val="00B51B18"/>
    <w:rsid w:val="00B51D59"/>
    <w:rsid w:val="00B51EEC"/>
    <w:rsid w:val="00B523BB"/>
    <w:rsid w:val="00B52961"/>
    <w:rsid w:val="00B52BE4"/>
    <w:rsid w:val="00B52DE1"/>
    <w:rsid w:val="00B52E18"/>
    <w:rsid w:val="00B52E68"/>
    <w:rsid w:val="00B52EFA"/>
    <w:rsid w:val="00B53547"/>
    <w:rsid w:val="00B53597"/>
    <w:rsid w:val="00B536CC"/>
    <w:rsid w:val="00B53B31"/>
    <w:rsid w:val="00B53D47"/>
    <w:rsid w:val="00B543CB"/>
    <w:rsid w:val="00B5462B"/>
    <w:rsid w:val="00B5462F"/>
    <w:rsid w:val="00B546A6"/>
    <w:rsid w:val="00B547B8"/>
    <w:rsid w:val="00B54925"/>
    <w:rsid w:val="00B5494B"/>
    <w:rsid w:val="00B549F4"/>
    <w:rsid w:val="00B54A2D"/>
    <w:rsid w:val="00B54FE1"/>
    <w:rsid w:val="00B550D8"/>
    <w:rsid w:val="00B5524F"/>
    <w:rsid w:val="00B557F4"/>
    <w:rsid w:val="00B55970"/>
    <w:rsid w:val="00B55A41"/>
    <w:rsid w:val="00B55AED"/>
    <w:rsid w:val="00B55D3E"/>
    <w:rsid w:val="00B55D81"/>
    <w:rsid w:val="00B56000"/>
    <w:rsid w:val="00B561E3"/>
    <w:rsid w:val="00B56201"/>
    <w:rsid w:val="00B5696D"/>
    <w:rsid w:val="00B56A25"/>
    <w:rsid w:val="00B56A8C"/>
    <w:rsid w:val="00B56A9F"/>
    <w:rsid w:val="00B57F5C"/>
    <w:rsid w:val="00B6006D"/>
    <w:rsid w:val="00B602ED"/>
    <w:rsid w:val="00B603FC"/>
    <w:rsid w:val="00B60476"/>
    <w:rsid w:val="00B60515"/>
    <w:rsid w:val="00B607D8"/>
    <w:rsid w:val="00B610F4"/>
    <w:rsid w:val="00B61283"/>
    <w:rsid w:val="00B61624"/>
    <w:rsid w:val="00B61A01"/>
    <w:rsid w:val="00B61C49"/>
    <w:rsid w:val="00B61F4E"/>
    <w:rsid w:val="00B62283"/>
    <w:rsid w:val="00B6249C"/>
    <w:rsid w:val="00B62590"/>
    <w:rsid w:val="00B62973"/>
    <w:rsid w:val="00B62F20"/>
    <w:rsid w:val="00B63455"/>
    <w:rsid w:val="00B63770"/>
    <w:rsid w:val="00B6386B"/>
    <w:rsid w:val="00B63C36"/>
    <w:rsid w:val="00B63CD9"/>
    <w:rsid w:val="00B63EE7"/>
    <w:rsid w:val="00B64016"/>
    <w:rsid w:val="00B6406E"/>
    <w:rsid w:val="00B643F7"/>
    <w:rsid w:val="00B645A3"/>
    <w:rsid w:val="00B646A9"/>
    <w:rsid w:val="00B64930"/>
    <w:rsid w:val="00B64BA6"/>
    <w:rsid w:val="00B64C49"/>
    <w:rsid w:val="00B64CD5"/>
    <w:rsid w:val="00B64D90"/>
    <w:rsid w:val="00B64EDF"/>
    <w:rsid w:val="00B651BD"/>
    <w:rsid w:val="00B653E2"/>
    <w:rsid w:val="00B65998"/>
    <w:rsid w:val="00B65AF3"/>
    <w:rsid w:val="00B65B67"/>
    <w:rsid w:val="00B65EEA"/>
    <w:rsid w:val="00B6634B"/>
    <w:rsid w:val="00B66383"/>
    <w:rsid w:val="00B6660E"/>
    <w:rsid w:val="00B669A8"/>
    <w:rsid w:val="00B669CE"/>
    <w:rsid w:val="00B66FE8"/>
    <w:rsid w:val="00B6729F"/>
    <w:rsid w:val="00B676E1"/>
    <w:rsid w:val="00B678A6"/>
    <w:rsid w:val="00B678B6"/>
    <w:rsid w:val="00B6794C"/>
    <w:rsid w:val="00B701A1"/>
    <w:rsid w:val="00B701BF"/>
    <w:rsid w:val="00B70525"/>
    <w:rsid w:val="00B70632"/>
    <w:rsid w:val="00B706E2"/>
    <w:rsid w:val="00B70A8C"/>
    <w:rsid w:val="00B70AA8"/>
    <w:rsid w:val="00B71382"/>
    <w:rsid w:val="00B7144A"/>
    <w:rsid w:val="00B718C8"/>
    <w:rsid w:val="00B718EA"/>
    <w:rsid w:val="00B71A7D"/>
    <w:rsid w:val="00B71B85"/>
    <w:rsid w:val="00B71B92"/>
    <w:rsid w:val="00B71D32"/>
    <w:rsid w:val="00B71FCE"/>
    <w:rsid w:val="00B720D4"/>
    <w:rsid w:val="00B721B4"/>
    <w:rsid w:val="00B7222D"/>
    <w:rsid w:val="00B7225D"/>
    <w:rsid w:val="00B723F0"/>
    <w:rsid w:val="00B72676"/>
    <w:rsid w:val="00B7267A"/>
    <w:rsid w:val="00B7289F"/>
    <w:rsid w:val="00B7292B"/>
    <w:rsid w:val="00B72BD2"/>
    <w:rsid w:val="00B72C45"/>
    <w:rsid w:val="00B72CEE"/>
    <w:rsid w:val="00B72D0D"/>
    <w:rsid w:val="00B7300F"/>
    <w:rsid w:val="00B73222"/>
    <w:rsid w:val="00B7337F"/>
    <w:rsid w:val="00B7346E"/>
    <w:rsid w:val="00B734FB"/>
    <w:rsid w:val="00B73731"/>
    <w:rsid w:val="00B73788"/>
    <w:rsid w:val="00B73817"/>
    <w:rsid w:val="00B739B0"/>
    <w:rsid w:val="00B742DF"/>
    <w:rsid w:val="00B74674"/>
    <w:rsid w:val="00B7493A"/>
    <w:rsid w:val="00B74B9C"/>
    <w:rsid w:val="00B74BD9"/>
    <w:rsid w:val="00B74DAE"/>
    <w:rsid w:val="00B74F2D"/>
    <w:rsid w:val="00B7516D"/>
    <w:rsid w:val="00B754A4"/>
    <w:rsid w:val="00B755ED"/>
    <w:rsid w:val="00B75682"/>
    <w:rsid w:val="00B757F1"/>
    <w:rsid w:val="00B75B39"/>
    <w:rsid w:val="00B75DB8"/>
    <w:rsid w:val="00B75FCD"/>
    <w:rsid w:val="00B76285"/>
    <w:rsid w:val="00B762F4"/>
    <w:rsid w:val="00B7636A"/>
    <w:rsid w:val="00B76522"/>
    <w:rsid w:val="00B765B5"/>
    <w:rsid w:val="00B768C2"/>
    <w:rsid w:val="00B76D2D"/>
    <w:rsid w:val="00B77203"/>
    <w:rsid w:val="00B772F0"/>
    <w:rsid w:val="00B77499"/>
    <w:rsid w:val="00B777A1"/>
    <w:rsid w:val="00B77A56"/>
    <w:rsid w:val="00B77B6B"/>
    <w:rsid w:val="00B77BBF"/>
    <w:rsid w:val="00B77D2C"/>
    <w:rsid w:val="00B80772"/>
    <w:rsid w:val="00B8082C"/>
    <w:rsid w:val="00B8096B"/>
    <w:rsid w:val="00B80B00"/>
    <w:rsid w:val="00B80B35"/>
    <w:rsid w:val="00B80C43"/>
    <w:rsid w:val="00B81153"/>
    <w:rsid w:val="00B81389"/>
    <w:rsid w:val="00B813C3"/>
    <w:rsid w:val="00B816A0"/>
    <w:rsid w:val="00B81AA6"/>
    <w:rsid w:val="00B81CA9"/>
    <w:rsid w:val="00B81CEC"/>
    <w:rsid w:val="00B82109"/>
    <w:rsid w:val="00B823C1"/>
    <w:rsid w:val="00B82442"/>
    <w:rsid w:val="00B82627"/>
    <w:rsid w:val="00B82960"/>
    <w:rsid w:val="00B82AA6"/>
    <w:rsid w:val="00B82DF3"/>
    <w:rsid w:val="00B82F72"/>
    <w:rsid w:val="00B82F86"/>
    <w:rsid w:val="00B8305C"/>
    <w:rsid w:val="00B83181"/>
    <w:rsid w:val="00B83297"/>
    <w:rsid w:val="00B83298"/>
    <w:rsid w:val="00B8358F"/>
    <w:rsid w:val="00B835C4"/>
    <w:rsid w:val="00B83605"/>
    <w:rsid w:val="00B8367B"/>
    <w:rsid w:val="00B83DDE"/>
    <w:rsid w:val="00B83FEF"/>
    <w:rsid w:val="00B84032"/>
    <w:rsid w:val="00B842C5"/>
    <w:rsid w:val="00B84331"/>
    <w:rsid w:val="00B84663"/>
    <w:rsid w:val="00B8474F"/>
    <w:rsid w:val="00B84B6C"/>
    <w:rsid w:val="00B84D44"/>
    <w:rsid w:val="00B8517B"/>
    <w:rsid w:val="00B85271"/>
    <w:rsid w:val="00B85397"/>
    <w:rsid w:val="00B854C7"/>
    <w:rsid w:val="00B8562E"/>
    <w:rsid w:val="00B85681"/>
    <w:rsid w:val="00B856CE"/>
    <w:rsid w:val="00B85886"/>
    <w:rsid w:val="00B859BB"/>
    <w:rsid w:val="00B85BC7"/>
    <w:rsid w:val="00B85E1F"/>
    <w:rsid w:val="00B85FE6"/>
    <w:rsid w:val="00B8624B"/>
    <w:rsid w:val="00B86354"/>
    <w:rsid w:val="00B86804"/>
    <w:rsid w:val="00B8693B"/>
    <w:rsid w:val="00B86978"/>
    <w:rsid w:val="00B86AEA"/>
    <w:rsid w:val="00B86AF9"/>
    <w:rsid w:val="00B86CD4"/>
    <w:rsid w:val="00B86D0D"/>
    <w:rsid w:val="00B86E31"/>
    <w:rsid w:val="00B86F99"/>
    <w:rsid w:val="00B86FFF"/>
    <w:rsid w:val="00B87027"/>
    <w:rsid w:val="00B87122"/>
    <w:rsid w:val="00B8751C"/>
    <w:rsid w:val="00B87555"/>
    <w:rsid w:val="00B878BC"/>
    <w:rsid w:val="00B878C4"/>
    <w:rsid w:val="00B87A52"/>
    <w:rsid w:val="00B87AF4"/>
    <w:rsid w:val="00B87F6F"/>
    <w:rsid w:val="00B90081"/>
    <w:rsid w:val="00B9022C"/>
    <w:rsid w:val="00B903F8"/>
    <w:rsid w:val="00B90461"/>
    <w:rsid w:val="00B904E9"/>
    <w:rsid w:val="00B9061B"/>
    <w:rsid w:val="00B90A0B"/>
    <w:rsid w:val="00B90AA7"/>
    <w:rsid w:val="00B90D03"/>
    <w:rsid w:val="00B9137B"/>
    <w:rsid w:val="00B913B7"/>
    <w:rsid w:val="00B91453"/>
    <w:rsid w:val="00B91A38"/>
    <w:rsid w:val="00B91BA4"/>
    <w:rsid w:val="00B91BDE"/>
    <w:rsid w:val="00B91CC6"/>
    <w:rsid w:val="00B9208F"/>
    <w:rsid w:val="00B920B0"/>
    <w:rsid w:val="00B9230F"/>
    <w:rsid w:val="00B92375"/>
    <w:rsid w:val="00B92FCA"/>
    <w:rsid w:val="00B93004"/>
    <w:rsid w:val="00B931AE"/>
    <w:rsid w:val="00B93311"/>
    <w:rsid w:val="00B9361B"/>
    <w:rsid w:val="00B936E9"/>
    <w:rsid w:val="00B93809"/>
    <w:rsid w:val="00B938DC"/>
    <w:rsid w:val="00B93A2C"/>
    <w:rsid w:val="00B93EF5"/>
    <w:rsid w:val="00B942A6"/>
    <w:rsid w:val="00B94335"/>
    <w:rsid w:val="00B943DF"/>
    <w:rsid w:val="00B94532"/>
    <w:rsid w:val="00B946E5"/>
    <w:rsid w:val="00B9471A"/>
    <w:rsid w:val="00B94780"/>
    <w:rsid w:val="00B94879"/>
    <w:rsid w:val="00B94887"/>
    <w:rsid w:val="00B948CD"/>
    <w:rsid w:val="00B94A4D"/>
    <w:rsid w:val="00B94B0F"/>
    <w:rsid w:val="00B94B98"/>
    <w:rsid w:val="00B94E34"/>
    <w:rsid w:val="00B9506C"/>
    <w:rsid w:val="00B95273"/>
    <w:rsid w:val="00B9581F"/>
    <w:rsid w:val="00B95A6E"/>
    <w:rsid w:val="00B962F2"/>
    <w:rsid w:val="00B9655A"/>
    <w:rsid w:val="00B9667C"/>
    <w:rsid w:val="00B96777"/>
    <w:rsid w:val="00B96B82"/>
    <w:rsid w:val="00B96EB8"/>
    <w:rsid w:val="00B970B4"/>
    <w:rsid w:val="00B971C9"/>
    <w:rsid w:val="00B971FC"/>
    <w:rsid w:val="00B97350"/>
    <w:rsid w:val="00B973B0"/>
    <w:rsid w:val="00B97536"/>
    <w:rsid w:val="00B97647"/>
    <w:rsid w:val="00B97BE6"/>
    <w:rsid w:val="00B97DA4"/>
    <w:rsid w:val="00B97E8C"/>
    <w:rsid w:val="00BA0002"/>
    <w:rsid w:val="00BA0033"/>
    <w:rsid w:val="00BA012A"/>
    <w:rsid w:val="00BA019D"/>
    <w:rsid w:val="00BA0227"/>
    <w:rsid w:val="00BA0312"/>
    <w:rsid w:val="00BA0782"/>
    <w:rsid w:val="00BA0791"/>
    <w:rsid w:val="00BA0822"/>
    <w:rsid w:val="00BA0B59"/>
    <w:rsid w:val="00BA0B9F"/>
    <w:rsid w:val="00BA0FC7"/>
    <w:rsid w:val="00BA1405"/>
    <w:rsid w:val="00BA14EB"/>
    <w:rsid w:val="00BA166F"/>
    <w:rsid w:val="00BA17DE"/>
    <w:rsid w:val="00BA1D1A"/>
    <w:rsid w:val="00BA200F"/>
    <w:rsid w:val="00BA22B3"/>
    <w:rsid w:val="00BA23CC"/>
    <w:rsid w:val="00BA24E0"/>
    <w:rsid w:val="00BA24EC"/>
    <w:rsid w:val="00BA2571"/>
    <w:rsid w:val="00BA2A82"/>
    <w:rsid w:val="00BA2AC3"/>
    <w:rsid w:val="00BA2C2C"/>
    <w:rsid w:val="00BA2C2D"/>
    <w:rsid w:val="00BA2CCB"/>
    <w:rsid w:val="00BA2DC7"/>
    <w:rsid w:val="00BA3151"/>
    <w:rsid w:val="00BA317C"/>
    <w:rsid w:val="00BA3359"/>
    <w:rsid w:val="00BA3454"/>
    <w:rsid w:val="00BA35C7"/>
    <w:rsid w:val="00BA3717"/>
    <w:rsid w:val="00BA38CD"/>
    <w:rsid w:val="00BA38F6"/>
    <w:rsid w:val="00BA3996"/>
    <w:rsid w:val="00BA3A33"/>
    <w:rsid w:val="00BA3D5D"/>
    <w:rsid w:val="00BA40EA"/>
    <w:rsid w:val="00BA411D"/>
    <w:rsid w:val="00BA4136"/>
    <w:rsid w:val="00BA41E2"/>
    <w:rsid w:val="00BA472B"/>
    <w:rsid w:val="00BA479D"/>
    <w:rsid w:val="00BA47AF"/>
    <w:rsid w:val="00BA4BBA"/>
    <w:rsid w:val="00BA5121"/>
    <w:rsid w:val="00BA569B"/>
    <w:rsid w:val="00BA56C3"/>
    <w:rsid w:val="00BA57C0"/>
    <w:rsid w:val="00BA5D39"/>
    <w:rsid w:val="00BA5DC4"/>
    <w:rsid w:val="00BA5E4B"/>
    <w:rsid w:val="00BA5EC0"/>
    <w:rsid w:val="00BA609F"/>
    <w:rsid w:val="00BA659D"/>
    <w:rsid w:val="00BA65E5"/>
    <w:rsid w:val="00BA6635"/>
    <w:rsid w:val="00BA6CCF"/>
    <w:rsid w:val="00BA6E21"/>
    <w:rsid w:val="00BA72D4"/>
    <w:rsid w:val="00BA7410"/>
    <w:rsid w:val="00BA7469"/>
    <w:rsid w:val="00BA7590"/>
    <w:rsid w:val="00BA7903"/>
    <w:rsid w:val="00BA79F3"/>
    <w:rsid w:val="00BA7AC1"/>
    <w:rsid w:val="00BA7DB3"/>
    <w:rsid w:val="00BA7E17"/>
    <w:rsid w:val="00BA7E23"/>
    <w:rsid w:val="00BB041F"/>
    <w:rsid w:val="00BB064D"/>
    <w:rsid w:val="00BB0759"/>
    <w:rsid w:val="00BB0800"/>
    <w:rsid w:val="00BB096E"/>
    <w:rsid w:val="00BB09C7"/>
    <w:rsid w:val="00BB09DF"/>
    <w:rsid w:val="00BB0C09"/>
    <w:rsid w:val="00BB0D1B"/>
    <w:rsid w:val="00BB0D58"/>
    <w:rsid w:val="00BB0E90"/>
    <w:rsid w:val="00BB0F75"/>
    <w:rsid w:val="00BB1248"/>
    <w:rsid w:val="00BB12F9"/>
    <w:rsid w:val="00BB13D3"/>
    <w:rsid w:val="00BB1471"/>
    <w:rsid w:val="00BB14C3"/>
    <w:rsid w:val="00BB1B1E"/>
    <w:rsid w:val="00BB1B39"/>
    <w:rsid w:val="00BB2386"/>
    <w:rsid w:val="00BB2542"/>
    <w:rsid w:val="00BB2856"/>
    <w:rsid w:val="00BB29A0"/>
    <w:rsid w:val="00BB29B5"/>
    <w:rsid w:val="00BB2AFC"/>
    <w:rsid w:val="00BB2BBC"/>
    <w:rsid w:val="00BB32AB"/>
    <w:rsid w:val="00BB3FC5"/>
    <w:rsid w:val="00BB409C"/>
    <w:rsid w:val="00BB40EC"/>
    <w:rsid w:val="00BB465A"/>
    <w:rsid w:val="00BB48D2"/>
    <w:rsid w:val="00BB4A35"/>
    <w:rsid w:val="00BB4BCA"/>
    <w:rsid w:val="00BB504C"/>
    <w:rsid w:val="00BB544A"/>
    <w:rsid w:val="00BB551D"/>
    <w:rsid w:val="00BB5C8D"/>
    <w:rsid w:val="00BB5EB3"/>
    <w:rsid w:val="00BB5FCC"/>
    <w:rsid w:val="00BB609C"/>
    <w:rsid w:val="00BB60A2"/>
    <w:rsid w:val="00BB64D6"/>
    <w:rsid w:val="00BB655D"/>
    <w:rsid w:val="00BB676A"/>
    <w:rsid w:val="00BB677A"/>
    <w:rsid w:val="00BB67A6"/>
    <w:rsid w:val="00BB6B54"/>
    <w:rsid w:val="00BB702E"/>
    <w:rsid w:val="00BB71C2"/>
    <w:rsid w:val="00BB739B"/>
    <w:rsid w:val="00BB7579"/>
    <w:rsid w:val="00BB7625"/>
    <w:rsid w:val="00BB7638"/>
    <w:rsid w:val="00BB7751"/>
    <w:rsid w:val="00BB7880"/>
    <w:rsid w:val="00BB7901"/>
    <w:rsid w:val="00BB7A71"/>
    <w:rsid w:val="00BB7B66"/>
    <w:rsid w:val="00BB7BDD"/>
    <w:rsid w:val="00BB7D0A"/>
    <w:rsid w:val="00BC029F"/>
    <w:rsid w:val="00BC02D1"/>
    <w:rsid w:val="00BC04EE"/>
    <w:rsid w:val="00BC0A2C"/>
    <w:rsid w:val="00BC1695"/>
    <w:rsid w:val="00BC1805"/>
    <w:rsid w:val="00BC1982"/>
    <w:rsid w:val="00BC19BA"/>
    <w:rsid w:val="00BC1A0D"/>
    <w:rsid w:val="00BC1A4A"/>
    <w:rsid w:val="00BC1E27"/>
    <w:rsid w:val="00BC2125"/>
    <w:rsid w:val="00BC2178"/>
    <w:rsid w:val="00BC2388"/>
    <w:rsid w:val="00BC24D8"/>
    <w:rsid w:val="00BC2605"/>
    <w:rsid w:val="00BC2790"/>
    <w:rsid w:val="00BC2B3B"/>
    <w:rsid w:val="00BC2BD5"/>
    <w:rsid w:val="00BC2BE8"/>
    <w:rsid w:val="00BC2D73"/>
    <w:rsid w:val="00BC3116"/>
    <w:rsid w:val="00BC34B2"/>
    <w:rsid w:val="00BC35FA"/>
    <w:rsid w:val="00BC3E82"/>
    <w:rsid w:val="00BC4008"/>
    <w:rsid w:val="00BC4198"/>
    <w:rsid w:val="00BC4275"/>
    <w:rsid w:val="00BC42D6"/>
    <w:rsid w:val="00BC4391"/>
    <w:rsid w:val="00BC4579"/>
    <w:rsid w:val="00BC46AD"/>
    <w:rsid w:val="00BC47CA"/>
    <w:rsid w:val="00BC49B1"/>
    <w:rsid w:val="00BC4ACA"/>
    <w:rsid w:val="00BC4CB4"/>
    <w:rsid w:val="00BC4F8B"/>
    <w:rsid w:val="00BC557A"/>
    <w:rsid w:val="00BC5760"/>
    <w:rsid w:val="00BC58AF"/>
    <w:rsid w:val="00BC5A5A"/>
    <w:rsid w:val="00BC5FE7"/>
    <w:rsid w:val="00BC6034"/>
    <w:rsid w:val="00BC61A2"/>
    <w:rsid w:val="00BC628E"/>
    <w:rsid w:val="00BC6852"/>
    <w:rsid w:val="00BC695E"/>
    <w:rsid w:val="00BC6AFA"/>
    <w:rsid w:val="00BC6D00"/>
    <w:rsid w:val="00BC6E8B"/>
    <w:rsid w:val="00BC6EBC"/>
    <w:rsid w:val="00BC706D"/>
    <w:rsid w:val="00BC7098"/>
    <w:rsid w:val="00BC730D"/>
    <w:rsid w:val="00BC73A0"/>
    <w:rsid w:val="00BC7606"/>
    <w:rsid w:val="00BC7769"/>
    <w:rsid w:val="00BC778B"/>
    <w:rsid w:val="00BC7D96"/>
    <w:rsid w:val="00BC7EC0"/>
    <w:rsid w:val="00BC7FE0"/>
    <w:rsid w:val="00BD039F"/>
    <w:rsid w:val="00BD0717"/>
    <w:rsid w:val="00BD089C"/>
    <w:rsid w:val="00BD0BB6"/>
    <w:rsid w:val="00BD11D4"/>
    <w:rsid w:val="00BD13E7"/>
    <w:rsid w:val="00BD15D3"/>
    <w:rsid w:val="00BD165F"/>
    <w:rsid w:val="00BD1940"/>
    <w:rsid w:val="00BD1A48"/>
    <w:rsid w:val="00BD1AA3"/>
    <w:rsid w:val="00BD1FE6"/>
    <w:rsid w:val="00BD2044"/>
    <w:rsid w:val="00BD20AD"/>
    <w:rsid w:val="00BD260E"/>
    <w:rsid w:val="00BD2853"/>
    <w:rsid w:val="00BD2955"/>
    <w:rsid w:val="00BD2A29"/>
    <w:rsid w:val="00BD2DE4"/>
    <w:rsid w:val="00BD31FB"/>
    <w:rsid w:val="00BD3526"/>
    <w:rsid w:val="00BD3553"/>
    <w:rsid w:val="00BD3636"/>
    <w:rsid w:val="00BD3D01"/>
    <w:rsid w:val="00BD3D24"/>
    <w:rsid w:val="00BD49FD"/>
    <w:rsid w:val="00BD4FE5"/>
    <w:rsid w:val="00BD509F"/>
    <w:rsid w:val="00BD51EB"/>
    <w:rsid w:val="00BD52F3"/>
    <w:rsid w:val="00BD59C4"/>
    <w:rsid w:val="00BD666E"/>
    <w:rsid w:val="00BD6675"/>
    <w:rsid w:val="00BD6799"/>
    <w:rsid w:val="00BD67FF"/>
    <w:rsid w:val="00BD6A2F"/>
    <w:rsid w:val="00BD6AC1"/>
    <w:rsid w:val="00BD6BCF"/>
    <w:rsid w:val="00BD7064"/>
    <w:rsid w:val="00BD790F"/>
    <w:rsid w:val="00BD7934"/>
    <w:rsid w:val="00BD7AAB"/>
    <w:rsid w:val="00BD7C26"/>
    <w:rsid w:val="00BD7D45"/>
    <w:rsid w:val="00BE0723"/>
    <w:rsid w:val="00BE0854"/>
    <w:rsid w:val="00BE12AD"/>
    <w:rsid w:val="00BE14BC"/>
    <w:rsid w:val="00BE14FC"/>
    <w:rsid w:val="00BE1630"/>
    <w:rsid w:val="00BE1650"/>
    <w:rsid w:val="00BE1D30"/>
    <w:rsid w:val="00BE1E71"/>
    <w:rsid w:val="00BE1F8C"/>
    <w:rsid w:val="00BE24E5"/>
    <w:rsid w:val="00BE2571"/>
    <w:rsid w:val="00BE26DD"/>
    <w:rsid w:val="00BE26E2"/>
    <w:rsid w:val="00BE27F2"/>
    <w:rsid w:val="00BE2A12"/>
    <w:rsid w:val="00BE2ACF"/>
    <w:rsid w:val="00BE2F89"/>
    <w:rsid w:val="00BE2FE9"/>
    <w:rsid w:val="00BE3372"/>
    <w:rsid w:val="00BE36E0"/>
    <w:rsid w:val="00BE3899"/>
    <w:rsid w:val="00BE38F0"/>
    <w:rsid w:val="00BE3C3F"/>
    <w:rsid w:val="00BE3C73"/>
    <w:rsid w:val="00BE3CCE"/>
    <w:rsid w:val="00BE3D2A"/>
    <w:rsid w:val="00BE4164"/>
    <w:rsid w:val="00BE43B8"/>
    <w:rsid w:val="00BE47C6"/>
    <w:rsid w:val="00BE48AD"/>
    <w:rsid w:val="00BE48C8"/>
    <w:rsid w:val="00BE491C"/>
    <w:rsid w:val="00BE4960"/>
    <w:rsid w:val="00BE4D48"/>
    <w:rsid w:val="00BE4F40"/>
    <w:rsid w:val="00BE51C2"/>
    <w:rsid w:val="00BE5527"/>
    <w:rsid w:val="00BE55AE"/>
    <w:rsid w:val="00BE57C7"/>
    <w:rsid w:val="00BE5886"/>
    <w:rsid w:val="00BE59A1"/>
    <w:rsid w:val="00BE59DD"/>
    <w:rsid w:val="00BE5BE2"/>
    <w:rsid w:val="00BE5D27"/>
    <w:rsid w:val="00BE6003"/>
    <w:rsid w:val="00BE65D1"/>
    <w:rsid w:val="00BE6990"/>
    <w:rsid w:val="00BE69A3"/>
    <w:rsid w:val="00BE69F4"/>
    <w:rsid w:val="00BE6A43"/>
    <w:rsid w:val="00BE6AC1"/>
    <w:rsid w:val="00BE6CD5"/>
    <w:rsid w:val="00BE6DBA"/>
    <w:rsid w:val="00BE6EC8"/>
    <w:rsid w:val="00BE6FA7"/>
    <w:rsid w:val="00BE71AE"/>
    <w:rsid w:val="00BE7465"/>
    <w:rsid w:val="00BE794E"/>
    <w:rsid w:val="00BE7F59"/>
    <w:rsid w:val="00BF0174"/>
    <w:rsid w:val="00BF02A3"/>
    <w:rsid w:val="00BF0354"/>
    <w:rsid w:val="00BF0525"/>
    <w:rsid w:val="00BF05D8"/>
    <w:rsid w:val="00BF0BA7"/>
    <w:rsid w:val="00BF0BD7"/>
    <w:rsid w:val="00BF0C2A"/>
    <w:rsid w:val="00BF0C46"/>
    <w:rsid w:val="00BF0F8A"/>
    <w:rsid w:val="00BF13B5"/>
    <w:rsid w:val="00BF1676"/>
    <w:rsid w:val="00BF18B2"/>
    <w:rsid w:val="00BF19D5"/>
    <w:rsid w:val="00BF1CBD"/>
    <w:rsid w:val="00BF1F20"/>
    <w:rsid w:val="00BF20E8"/>
    <w:rsid w:val="00BF21B7"/>
    <w:rsid w:val="00BF247C"/>
    <w:rsid w:val="00BF2643"/>
    <w:rsid w:val="00BF33DF"/>
    <w:rsid w:val="00BF3690"/>
    <w:rsid w:val="00BF38CD"/>
    <w:rsid w:val="00BF38DC"/>
    <w:rsid w:val="00BF474E"/>
    <w:rsid w:val="00BF4920"/>
    <w:rsid w:val="00BF4992"/>
    <w:rsid w:val="00BF4C1D"/>
    <w:rsid w:val="00BF5274"/>
    <w:rsid w:val="00BF5297"/>
    <w:rsid w:val="00BF55AD"/>
    <w:rsid w:val="00BF55B0"/>
    <w:rsid w:val="00BF5611"/>
    <w:rsid w:val="00BF566E"/>
    <w:rsid w:val="00BF5938"/>
    <w:rsid w:val="00BF5A71"/>
    <w:rsid w:val="00BF5BDD"/>
    <w:rsid w:val="00BF5C35"/>
    <w:rsid w:val="00BF5C7E"/>
    <w:rsid w:val="00BF5D52"/>
    <w:rsid w:val="00BF5D9F"/>
    <w:rsid w:val="00BF5EFC"/>
    <w:rsid w:val="00BF603E"/>
    <w:rsid w:val="00BF61CA"/>
    <w:rsid w:val="00BF6234"/>
    <w:rsid w:val="00BF656E"/>
    <w:rsid w:val="00BF71A3"/>
    <w:rsid w:val="00BF722D"/>
    <w:rsid w:val="00BF7245"/>
    <w:rsid w:val="00BF7540"/>
    <w:rsid w:val="00BF7914"/>
    <w:rsid w:val="00BF7A2E"/>
    <w:rsid w:val="00BF7A78"/>
    <w:rsid w:val="00BF7C8F"/>
    <w:rsid w:val="00BF7E8C"/>
    <w:rsid w:val="00C0015D"/>
    <w:rsid w:val="00C00174"/>
    <w:rsid w:val="00C0018A"/>
    <w:rsid w:val="00C00195"/>
    <w:rsid w:val="00C0037D"/>
    <w:rsid w:val="00C003B9"/>
    <w:rsid w:val="00C00905"/>
    <w:rsid w:val="00C00AB0"/>
    <w:rsid w:val="00C00AC4"/>
    <w:rsid w:val="00C00B1F"/>
    <w:rsid w:val="00C00B8F"/>
    <w:rsid w:val="00C00DA1"/>
    <w:rsid w:val="00C01495"/>
    <w:rsid w:val="00C01757"/>
    <w:rsid w:val="00C017BF"/>
    <w:rsid w:val="00C01892"/>
    <w:rsid w:val="00C01BBB"/>
    <w:rsid w:val="00C01D6A"/>
    <w:rsid w:val="00C01DD0"/>
    <w:rsid w:val="00C01FD1"/>
    <w:rsid w:val="00C021E0"/>
    <w:rsid w:val="00C02456"/>
    <w:rsid w:val="00C0250E"/>
    <w:rsid w:val="00C02712"/>
    <w:rsid w:val="00C028D4"/>
    <w:rsid w:val="00C02F88"/>
    <w:rsid w:val="00C02FC5"/>
    <w:rsid w:val="00C03275"/>
    <w:rsid w:val="00C0331F"/>
    <w:rsid w:val="00C03366"/>
    <w:rsid w:val="00C0336C"/>
    <w:rsid w:val="00C0340B"/>
    <w:rsid w:val="00C035B5"/>
    <w:rsid w:val="00C03865"/>
    <w:rsid w:val="00C03C73"/>
    <w:rsid w:val="00C03F44"/>
    <w:rsid w:val="00C03FEB"/>
    <w:rsid w:val="00C0409D"/>
    <w:rsid w:val="00C042E5"/>
    <w:rsid w:val="00C0458C"/>
    <w:rsid w:val="00C045BF"/>
    <w:rsid w:val="00C0464C"/>
    <w:rsid w:val="00C04753"/>
    <w:rsid w:val="00C04B66"/>
    <w:rsid w:val="00C04D11"/>
    <w:rsid w:val="00C04D70"/>
    <w:rsid w:val="00C0510A"/>
    <w:rsid w:val="00C051C7"/>
    <w:rsid w:val="00C05276"/>
    <w:rsid w:val="00C05290"/>
    <w:rsid w:val="00C055A6"/>
    <w:rsid w:val="00C05622"/>
    <w:rsid w:val="00C0587E"/>
    <w:rsid w:val="00C058CB"/>
    <w:rsid w:val="00C05A68"/>
    <w:rsid w:val="00C05A6E"/>
    <w:rsid w:val="00C060E1"/>
    <w:rsid w:val="00C0621A"/>
    <w:rsid w:val="00C062AC"/>
    <w:rsid w:val="00C062C1"/>
    <w:rsid w:val="00C066E1"/>
    <w:rsid w:val="00C06770"/>
    <w:rsid w:val="00C069D2"/>
    <w:rsid w:val="00C06AD3"/>
    <w:rsid w:val="00C06E1D"/>
    <w:rsid w:val="00C06E96"/>
    <w:rsid w:val="00C06EB8"/>
    <w:rsid w:val="00C06F97"/>
    <w:rsid w:val="00C07638"/>
    <w:rsid w:val="00C07712"/>
    <w:rsid w:val="00C079C1"/>
    <w:rsid w:val="00C07AB6"/>
    <w:rsid w:val="00C07ACB"/>
    <w:rsid w:val="00C07EAA"/>
    <w:rsid w:val="00C1020A"/>
    <w:rsid w:val="00C102F3"/>
    <w:rsid w:val="00C1061C"/>
    <w:rsid w:val="00C106B8"/>
    <w:rsid w:val="00C107C0"/>
    <w:rsid w:val="00C108AE"/>
    <w:rsid w:val="00C1091B"/>
    <w:rsid w:val="00C10B16"/>
    <w:rsid w:val="00C10C52"/>
    <w:rsid w:val="00C10CD6"/>
    <w:rsid w:val="00C10F3E"/>
    <w:rsid w:val="00C1128D"/>
    <w:rsid w:val="00C112E3"/>
    <w:rsid w:val="00C1172F"/>
    <w:rsid w:val="00C119A0"/>
    <w:rsid w:val="00C11A51"/>
    <w:rsid w:val="00C11A92"/>
    <w:rsid w:val="00C11ABD"/>
    <w:rsid w:val="00C11C18"/>
    <w:rsid w:val="00C11D60"/>
    <w:rsid w:val="00C1201A"/>
    <w:rsid w:val="00C125B0"/>
    <w:rsid w:val="00C126E2"/>
    <w:rsid w:val="00C12B04"/>
    <w:rsid w:val="00C12BBD"/>
    <w:rsid w:val="00C12CAD"/>
    <w:rsid w:val="00C12DA4"/>
    <w:rsid w:val="00C12E17"/>
    <w:rsid w:val="00C13089"/>
    <w:rsid w:val="00C13860"/>
    <w:rsid w:val="00C1386F"/>
    <w:rsid w:val="00C138BB"/>
    <w:rsid w:val="00C13953"/>
    <w:rsid w:val="00C13A90"/>
    <w:rsid w:val="00C13C90"/>
    <w:rsid w:val="00C14031"/>
    <w:rsid w:val="00C14088"/>
    <w:rsid w:val="00C146B3"/>
    <w:rsid w:val="00C14AA7"/>
    <w:rsid w:val="00C14E0B"/>
    <w:rsid w:val="00C14FB2"/>
    <w:rsid w:val="00C15ACF"/>
    <w:rsid w:val="00C15B42"/>
    <w:rsid w:val="00C15B88"/>
    <w:rsid w:val="00C15CAC"/>
    <w:rsid w:val="00C15CE5"/>
    <w:rsid w:val="00C1618A"/>
    <w:rsid w:val="00C1653E"/>
    <w:rsid w:val="00C1669D"/>
    <w:rsid w:val="00C167D9"/>
    <w:rsid w:val="00C16912"/>
    <w:rsid w:val="00C16A7D"/>
    <w:rsid w:val="00C16D75"/>
    <w:rsid w:val="00C17007"/>
    <w:rsid w:val="00C172F1"/>
    <w:rsid w:val="00C172F8"/>
    <w:rsid w:val="00C17304"/>
    <w:rsid w:val="00C176AC"/>
    <w:rsid w:val="00C17A70"/>
    <w:rsid w:val="00C17F1F"/>
    <w:rsid w:val="00C1A047"/>
    <w:rsid w:val="00C20030"/>
    <w:rsid w:val="00C20112"/>
    <w:rsid w:val="00C2048F"/>
    <w:rsid w:val="00C2058B"/>
    <w:rsid w:val="00C20668"/>
    <w:rsid w:val="00C208B8"/>
    <w:rsid w:val="00C20AD4"/>
    <w:rsid w:val="00C2103A"/>
    <w:rsid w:val="00C2164B"/>
    <w:rsid w:val="00C21DBA"/>
    <w:rsid w:val="00C21EF9"/>
    <w:rsid w:val="00C2200E"/>
    <w:rsid w:val="00C22016"/>
    <w:rsid w:val="00C220CB"/>
    <w:rsid w:val="00C221C0"/>
    <w:rsid w:val="00C222A1"/>
    <w:rsid w:val="00C222F7"/>
    <w:rsid w:val="00C22310"/>
    <w:rsid w:val="00C22397"/>
    <w:rsid w:val="00C224A1"/>
    <w:rsid w:val="00C224D2"/>
    <w:rsid w:val="00C225CB"/>
    <w:rsid w:val="00C226EC"/>
    <w:rsid w:val="00C226F5"/>
    <w:rsid w:val="00C22710"/>
    <w:rsid w:val="00C2271A"/>
    <w:rsid w:val="00C227CA"/>
    <w:rsid w:val="00C229A5"/>
    <w:rsid w:val="00C229F1"/>
    <w:rsid w:val="00C22B0E"/>
    <w:rsid w:val="00C22B4C"/>
    <w:rsid w:val="00C23543"/>
    <w:rsid w:val="00C2363B"/>
    <w:rsid w:val="00C23685"/>
    <w:rsid w:val="00C238E2"/>
    <w:rsid w:val="00C23A9D"/>
    <w:rsid w:val="00C23B73"/>
    <w:rsid w:val="00C24152"/>
    <w:rsid w:val="00C241AF"/>
    <w:rsid w:val="00C24322"/>
    <w:rsid w:val="00C243E9"/>
    <w:rsid w:val="00C24488"/>
    <w:rsid w:val="00C24707"/>
    <w:rsid w:val="00C24792"/>
    <w:rsid w:val="00C24839"/>
    <w:rsid w:val="00C24934"/>
    <w:rsid w:val="00C2498D"/>
    <w:rsid w:val="00C24E60"/>
    <w:rsid w:val="00C25026"/>
    <w:rsid w:val="00C253B4"/>
    <w:rsid w:val="00C255BB"/>
    <w:rsid w:val="00C25D7A"/>
    <w:rsid w:val="00C25F77"/>
    <w:rsid w:val="00C260E2"/>
    <w:rsid w:val="00C26262"/>
    <w:rsid w:val="00C2629C"/>
    <w:rsid w:val="00C262BE"/>
    <w:rsid w:val="00C2671A"/>
    <w:rsid w:val="00C2694E"/>
    <w:rsid w:val="00C26968"/>
    <w:rsid w:val="00C26996"/>
    <w:rsid w:val="00C26B28"/>
    <w:rsid w:val="00C26C52"/>
    <w:rsid w:val="00C26EFD"/>
    <w:rsid w:val="00C26FB7"/>
    <w:rsid w:val="00C2715B"/>
    <w:rsid w:val="00C275E6"/>
    <w:rsid w:val="00C27C23"/>
    <w:rsid w:val="00C27C42"/>
    <w:rsid w:val="00C27E9D"/>
    <w:rsid w:val="00C30165"/>
    <w:rsid w:val="00C30396"/>
    <w:rsid w:val="00C304C0"/>
    <w:rsid w:val="00C309D8"/>
    <w:rsid w:val="00C30ACB"/>
    <w:rsid w:val="00C30B6D"/>
    <w:rsid w:val="00C30BC2"/>
    <w:rsid w:val="00C31439"/>
    <w:rsid w:val="00C315B6"/>
    <w:rsid w:val="00C31808"/>
    <w:rsid w:val="00C31920"/>
    <w:rsid w:val="00C31A84"/>
    <w:rsid w:val="00C31ACA"/>
    <w:rsid w:val="00C31AF5"/>
    <w:rsid w:val="00C31D03"/>
    <w:rsid w:val="00C3223A"/>
    <w:rsid w:val="00C32E14"/>
    <w:rsid w:val="00C32E58"/>
    <w:rsid w:val="00C32FE8"/>
    <w:rsid w:val="00C332A4"/>
    <w:rsid w:val="00C333F0"/>
    <w:rsid w:val="00C33706"/>
    <w:rsid w:val="00C339C2"/>
    <w:rsid w:val="00C33A05"/>
    <w:rsid w:val="00C33B39"/>
    <w:rsid w:val="00C33F14"/>
    <w:rsid w:val="00C3409D"/>
    <w:rsid w:val="00C3460C"/>
    <w:rsid w:val="00C34802"/>
    <w:rsid w:val="00C34A7A"/>
    <w:rsid w:val="00C34C2F"/>
    <w:rsid w:val="00C34D0A"/>
    <w:rsid w:val="00C3508A"/>
    <w:rsid w:val="00C352B7"/>
    <w:rsid w:val="00C357C9"/>
    <w:rsid w:val="00C357EA"/>
    <w:rsid w:val="00C36086"/>
    <w:rsid w:val="00C360B0"/>
    <w:rsid w:val="00C363D0"/>
    <w:rsid w:val="00C366C6"/>
    <w:rsid w:val="00C36785"/>
    <w:rsid w:val="00C36A9F"/>
    <w:rsid w:val="00C36CFF"/>
    <w:rsid w:val="00C36F96"/>
    <w:rsid w:val="00C3731D"/>
    <w:rsid w:val="00C37480"/>
    <w:rsid w:val="00C37666"/>
    <w:rsid w:val="00C37721"/>
    <w:rsid w:val="00C37926"/>
    <w:rsid w:val="00C37A39"/>
    <w:rsid w:val="00C37B9E"/>
    <w:rsid w:val="00C37CF3"/>
    <w:rsid w:val="00C37CF6"/>
    <w:rsid w:val="00C37D18"/>
    <w:rsid w:val="00C37DA7"/>
    <w:rsid w:val="00C40139"/>
    <w:rsid w:val="00C40233"/>
    <w:rsid w:val="00C40455"/>
    <w:rsid w:val="00C404DE"/>
    <w:rsid w:val="00C405F9"/>
    <w:rsid w:val="00C40CD8"/>
    <w:rsid w:val="00C40D5C"/>
    <w:rsid w:val="00C41078"/>
    <w:rsid w:val="00C411E9"/>
    <w:rsid w:val="00C416C4"/>
    <w:rsid w:val="00C417CC"/>
    <w:rsid w:val="00C417F5"/>
    <w:rsid w:val="00C41BBF"/>
    <w:rsid w:val="00C41C84"/>
    <w:rsid w:val="00C41E33"/>
    <w:rsid w:val="00C42031"/>
    <w:rsid w:val="00C42470"/>
    <w:rsid w:val="00C424DF"/>
    <w:rsid w:val="00C42661"/>
    <w:rsid w:val="00C426D8"/>
    <w:rsid w:val="00C42A49"/>
    <w:rsid w:val="00C42A96"/>
    <w:rsid w:val="00C42AF2"/>
    <w:rsid w:val="00C42FAA"/>
    <w:rsid w:val="00C42FC6"/>
    <w:rsid w:val="00C43051"/>
    <w:rsid w:val="00C433CE"/>
    <w:rsid w:val="00C43459"/>
    <w:rsid w:val="00C43681"/>
    <w:rsid w:val="00C43B20"/>
    <w:rsid w:val="00C4402E"/>
    <w:rsid w:val="00C441DE"/>
    <w:rsid w:val="00C44277"/>
    <w:rsid w:val="00C443FB"/>
    <w:rsid w:val="00C44758"/>
    <w:rsid w:val="00C44921"/>
    <w:rsid w:val="00C44A22"/>
    <w:rsid w:val="00C44D46"/>
    <w:rsid w:val="00C44D62"/>
    <w:rsid w:val="00C44DED"/>
    <w:rsid w:val="00C44E77"/>
    <w:rsid w:val="00C45289"/>
    <w:rsid w:val="00C45537"/>
    <w:rsid w:val="00C456A3"/>
    <w:rsid w:val="00C458BE"/>
    <w:rsid w:val="00C45B93"/>
    <w:rsid w:val="00C45B96"/>
    <w:rsid w:val="00C4608B"/>
    <w:rsid w:val="00C46395"/>
    <w:rsid w:val="00C463FD"/>
    <w:rsid w:val="00C4684C"/>
    <w:rsid w:val="00C469F2"/>
    <w:rsid w:val="00C46BFE"/>
    <w:rsid w:val="00C46D29"/>
    <w:rsid w:val="00C46D2F"/>
    <w:rsid w:val="00C46E19"/>
    <w:rsid w:val="00C4757B"/>
    <w:rsid w:val="00C479E5"/>
    <w:rsid w:val="00C47D73"/>
    <w:rsid w:val="00C47DF2"/>
    <w:rsid w:val="00C47EBD"/>
    <w:rsid w:val="00C501FC"/>
    <w:rsid w:val="00C504EE"/>
    <w:rsid w:val="00C50958"/>
    <w:rsid w:val="00C50ACF"/>
    <w:rsid w:val="00C50B08"/>
    <w:rsid w:val="00C50BE8"/>
    <w:rsid w:val="00C5138A"/>
    <w:rsid w:val="00C51591"/>
    <w:rsid w:val="00C515B0"/>
    <w:rsid w:val="00C51702"/>
    <w:rsid w:val="00C517ED"/>
    <w:rsid w:val="00C518EC"/>
    <w:rsid w:val="00C51917"/>
    <w:rsid w:val="00C51C23"/>
    <w:rsid w:val="00C51C57"/>
    <w:rsid w:val="00C51DB8"/>
    <w:rsid w:val="00C51E7E"/>
    <w:rsid w:val="00C51FE2"/>
    <w:rsid w:val="00C522FF"/>
    <w:rsid w:val="00C52341"/>
    <w:rsid w:val="00C5256A"/>
    <w:rsid w:val="00C52B26"/>
    <w:rsid w:val="00C52D1B"/>
    <w:rsid w:val="00C52DF4"/>
    <w:rsid w:val="00C5303F"/>
    <w:rsid w:val="00C535C5"/>
    <w:rsid w:val="00C5376A"/>
    <w:rsid w:val="00C53990"/>
    <w:rsid w:val="00C53CB4"/>
    <w:rsid w:val="00C53CC6"/>
    <w:rsid w:val="00C53E29"/>
    <w:rsid w:val="00C53E49"/>
    <w:rsid w:val="00C54060"/>
    <w:rsid w:val="00C54172"/>
    <w:rsid w:val="00C54335"/>
    <w:rsid w:val="00C54411"/>
    <w:rsid w:val="00C54A4D"/>
    <w:rsid w:val="00C54D03"/>
    <w:rsid w:val="00C54D6E"/>
    <w:rsid w:val="00C54EE3"/>
    <w:rsid w:val="00C552F9"/>
    <w:rsid w:val="00C55371"/>
    <w:rsid w:val="00C55407"/>
    <w:rsid w:val="00C554D4"/>
    <w:rsid w:val="00C557E0"/>
    <w:rsid w:val="00C5594D"/>
    <w:rsid w:val="00C55AF8"/>
    <w:rsid w:val="00C55E62"/>
    <w:rsid w:val="00C55F5E"/>
    <w:rsid w:val="00C55F80"/>
    <w:rsid w:val="00C560AC"/>
    <w:rsid w:val="00C568AD"/>
    <w:rsid w:val="00C56AF6"/>
    <w:rsid w:val="00C56B2E"/>
    <w:rsid w:val="00C56CF1"/>
    <w:rsid w:val="00C56D39"/>
    <w:rsid w:val="00C5708D"/>
    <w:rsid w:val="00C57155"/>
    <w:rsid w:val="00C572E7"/>
    <w:rsid w:val="00C57640"/>
    <w:rsid w:val="00C578ED"/>
    <w:rsid w:val="00C579F1"/>
    <w:rsid w:val="00C57EF5"/>
    <w:rsid w:val="00C57FB0"/>
    <w:rsid w:val="00C57FD7"/>
    <w:rsid w:val="00C60519"/>
    <w:rsid w:val="00C607CB"/>
    <w:rsid w:val="00C607D1"/>
    <w:rsid w:val="00C60829"/>
    <w:rsid w:val="00C6084B"/>
    <w:rsid w:val="00C608D1"/>
    <w:rsid w:val="00C60A86"/>
    <w:rsid w:val="00C60F05"/>
    <w:rsid w:val="00C60F06"/>
    <w:rsid w:val="00C60FBF"/>
    <w:rsid w:val="00C61216"/>
    <w:rsid w:val="00C61324"/>
    <w:rsid w:val="00C614C5"/>
    <w:rsid w:val="00C61560"/>
    <w:rsid w:val="00C61649"/>
    <w:rsid w:val="00C61B02"/>
    <w:rsid w:val="00C61B35"/>
    <w:rsid w:val="00C61C37"/>
    <w:rsid w:val="00C61C73"/>
    <w:rsid w:val="00C61E5D"/>
    <w:rsid w:val="00C61F1C"/>
    <w:rsid w:val="00C629FD"/>
    <w:rsid w:val="00C62AB4"/>
    <w:rsid w:val="00C62F90"/>
    <w:rsid w:val="00C62FBC"/>
    <w:rsid w:val="00C63100"/>
    <w:rsid w:val="00C63260"/>
    <w:rsid w:val="00C63338"/>
    <w:rsid w:val="00C63483"/>
    <w:rsid w:val="00C63A9C"/>
    <w:rsid w:val="00C63DA8"/>
    <w:rsid w:val="00C63FC2"/>
    <w:rsid w:val="00C64048"/>
    <w:rsid w:val="00C6409A"/>
    <w:rsid w:val="00C642AF"/>
    <w:rsid w:val="00C643DB"/>
    <w:rsid w:val="00C644C4"/>
    <w:rsid w:val="00C64555"/>
    <w:rsid w:val="00C65260"/>
    <w:rsid w:val="00C657B3"/>
    <w:rsid w:val="00C6585F"/>
    <w:rsid w:val="00C65D6D"/>
    <w:rsid w:val="00C6601F"/>
    <w:rsid w:val="00C66155"/>
    <w:rsid w:val="00C66494"/>
    <w:rsid w:val="00C66788"/>
    <w:rsid w:val="00C6697D"/>
    <w:rsid w:val="00C66D45"/>
    <w:rsid w:val="00C66E9F"/>
    <w:rsid w:val="00C67174"/>
    <w:rsid w:val="00C67419"/>
    <w:rsid w:val="00C674B8"/>
    <w:rsid w:val="00C677C9"/>
    <w:rsid w:val="00C678A6"/>
    <w:rsid w:val="00C67A69"/>
    <w:rsid w:val="00C67ACC"/>
    <w:rsid w:val="00C67E8C"/>
    <w:rsid w:val="00C67FD6"/>
    <w:rsid w:val="00C70370"/>
    <w:rsid w:val="00C70585"/>
    <w:rsid w:val="00C706EB"/>
    <w:rsid w:val="00C70C8F"/>
    <w:rsid w:val="00C70CF6"/>
    <w:rsid w:val="00C70D1C"/>
    <w:rsid w:val="00C711EA"/>
    <w:rsid w:val="00C713B2"/>
    <w:rsid w:val="00C7180D"/>
    <w:rsid w:val="00C719A2"/>
    <w:rsid w:val="00C71A55"/>
    <w:rsid w:val="00C71DC7"/>
    <w:rsid w:val="00C71E22"/>
    <w:rsid w:val="00C71E8D"/>
    <w:rsid w:val="00C71EB9"/>
    <w:rsid w:val="00C71EE1"/>
    <w:rsid w:val="00C720E4"/>
    <w:rsid w:val="00C72165"/>
    <w:rsid w:val="00C72251"/>
    <w:rsid w:val="00C7294A"/>
    <w:rsid w:val="00C72B8E"/>
    <w:rsid w:val="00C72BAA"/>
    <w:rsid w:val="00C72E51"/>
    <w:rsid w:val="00C72EFA"/>
    <w:rsid w:val="00C72FD3"/>
    <w:rsid w:val="00C73092"/>
    <w:rsid w:val="00C73149"/>
    <w:rsid w:val="00C7330A"/>
    <w:rsid w:val="00C73316"/>
    <w:rsid w:val="00C73347"/>
    <w:rsid w:val="00C7355C"/>
    <w:rsid w:val="00C73A8D"/>
    <w:rsid w:val="00C73AB0"/>
    <w:rsid w:val="00C73B25"/>
    <w:rsid w:val="00C73C77"/>
    <w:rsid w:val="00C73DFA"/>
    <w:rsid w:val="00C74167"/>
    <w:rsid w:val="00C741D2"/>
    <w:rsid w:val="00C74227"/>
    <w:rsid w:val="00C74414"/>
    <w:rsid w:val="00C744A1"/>
    <w:rsid w:val="00C7486E"/>
    <w:rsid w:val="00C7499F"/>
    <w:rsid w:val="00C74C55"/>
    <w:rsid w:val="00C74D53"/>
    <w:rsid w:val="00C75357"/>
    <w:rsid w:val="00C7560A"/>
    <w:rsid w:val="00C75643"/>
    <w:rsid w:val="00C75741"/>
    <w:rsid w:val="00C757E2"/>
    <w:rsid w:val="00C75804"/>
    <w:rsid w:val="00C7580A"/>
    <w:rsid w:val="00C7590F"/>
    <w:rsid w:val="00C75A96"/>
    <w:rsid w:val="00C75D7C"/>
    <w:rsid w:val="00C76300"/>
    <w:rsid w:val="00C76624"/>
    <w:rsid w:val="00C769BA"/>
    <w:rsid w:val="00C76A81"/>
    <w:rsid w:val="00C773B5"/>
    <w:rsid w:val="00C774A1"/>
    <w:rsid w:val="00C775A0"/>
    <w:rsid w:val="00C7794E"/>
    <w:rsid w:val="00C779B5"/>
    <w:rsid w:val="00C779BF"/>
    <w:rsid w:val="00C8019C"/>
    <w:rsid w:val="00C80839"/>
    <w:rsid w:val="00C80C3F"/>
    <w:rsid w:val="00C80C41"/>
    <w:rsid w:val="00C80CEF"/>
    <w:rsid w:val="00C80FA7"/>
    <w:rsid w:val="00C81177"/>
    <w:rsid w:val="00C8123A"/>
    <w:rsid w:val="00C813C2"/>
    <w:rsid w:val="00C813C3"/>
    <w:rsid w:val="00C81423"/>
    <w:rsid w:val="00C81B0A"/>
    <w:rsid w:val="00C81CAF"/>
    <w:rsid w:val="00C81DC8"/>
    <w:rsid w:val="00C81F39"/>
    <w:rsid w:val="00C81FFC"/>
    <w:rsid w:val="00C8205A"/>
    <w:rsid w:val="00C82066"/>
    <w:rsid w:val="00C828B8"/>
    <w:rsid w:val="00C82B27"/>
    <w:rsid w:val="00C82BFF"/>
    <w:rsid w:val="00C83041"/>
    <w:rsid w:val="00C83181"/>
    <w:rsid w:val="00C84108"/>
    <w:rsid w:val="00C8446C"/>
    <w:rsid w:val="00C844DE"/>
    <w:rsid w:val="00C8452A"/>
    <w:rsid w:val="00C846D4"/>
    <w:rsid w:val="00C847F5"/>
    <w:rsid w:val="00C84952"/>
    <w:rsid w:val="00C850D0"/>
    <w:rsid w:val="00C850D9"/>
    <w:rsid w:val="00C851EF"/>
    <w:rsid w:val="00C85270"/>
    <w:rsid w:val="00C855B3"/>
    <w:rsid w:val="00C858FF"/>
    <w:rsid w:val="00C85A01"/>
    <w:rsid w:val="00C85AE0"/>
    <w:rsid w:val="00C85B88"/>
    <w:rsid w:val="00C85C24"/>
    <w:rsid w:val="00C85E30"/>
    <w:rsid w:val="00C85EFA"/>
    <w:rsid w:val="00C85FB3"/>
    <w:rsid w:val="00C85FED"/>
    <w:rsid w:val="00C860B4"/>
    <w:rsid w:val="00C86605"/>
    <w:rsid w:val="00C866E3"/>
    <w:rsid w:val="00C868E7"/>
    <w:rsid w:val="00C869EE"/>
    <w:rsid w:val="00C86A7A"/>
    <w:rsid w:val="00C86E8E"/>
    <w:rsid w:val="00C8712F"/>
    <w:rsid w:val="00C871A6"/>
    <w:rsid w:val="00C87467"/>
    <w:rsid w:val="00C8748E"/>
    <w:rsid w:val="00C876C8"/>
    <w:rsid w:val="00C87AC9"/>
    <w:rsid w:val="00C87AF2"/>
    <w:rsid w:val="00C87BBC"/>
    <w:rsid w:val="00C87BEB"/>
    <w:rsid w:val="00C87C1B"/>
    <w:rsid w:val="00C87C65"/>
    <w:rsid w:val="00C90028"/>
    <w:rsid w:val="00C90167"/>
    <w:rsid w:val="00C901CF"/>
    <w:rsid w:val="00C90327"/>
    <w:rsid w:val="00C904F2"/>
    <w:rsid w:val="00C908C6"/>
    <w:rsid w:val="00C90B42"/>
    <w:rsid w:val="00C90FBA"/>
    <w:rsid w:val="00C91074"/>
    <w:rsid w:val="00C9125F"/>
    <w:rsid w:val="00C91792"/>
    <w:rsid w:val="00C9182B"/>
    <w:rsid w:val="00C9194A"/>
    <w:rsid w:val="00C91BBF"/>
    <w:rsid w:val="00C9274A"/>
    <w:rsid w:val="00C9296C"/>
    <w:rsid w:val="00C92B0A"/>
    <w:rsid w:val="00C92DA3"/>
    <w:rsid w:val="00C92E7C"/>
    <w:rsid w:val="00C930E8"/>
    <w:rsid w:val="00C93384"/>
    <w:rsid w:val="00C93D02"/>
    <w:rsid w:val="00C93FB1"/>
    <w:rsid w:val="00C93FD8"/>
    <w:rsid w:val="00C94181"/>
    <w:rsid w:val="00C94504"/>
    <w:rsid w:val="00C945C2"/>
    <w:rsid w:val="00C946B2"/>
    <w:rsid w:val="00C9475D"/>
    <w:rsid w:val="00C94975"/>
    <w:rsid w:val="00C94A66"/>
    <w:rsid w:val="00C94B1E"/>
    <w:rsid w:val="00C94C46"/>
    <w:rsid w:val="00C94D48"/>
    <w:rsid w:val="00C94F74"/>
    <w:rsid w:val="00C95056"/>
    <w:rsid w:val="00C9506C"/>
    <w:rsid w:val="00C951FD"/>
    <w:rsid w:val="00C9591D"/>
    <w:rsid w:val="00C95E70"/>
    <w:rsid w:val="00C960F5"/>
    <w:rsid w:val="00C963B4"/>
    <w:rsid w:val="00C96633"/>
    <w:rsid w:val="00C9670E"/>
    <w:rsid w:val="00C96D89"/>
    <w:rsid w:val="00C970A1"/>
    <w:rsid w:val="00C97542"/>
    <w:rsid w:val="00C975E6"/>
    <w:rsid w:val="00C97763"/>
    <w:rsid w:val="00C97B68"/>
    <w:rsid w:val="00C97CA3"/>
    <w:rsid w:val="00C97CB0"/>
    <w:rsid w:val="00C97D48"/>
    <w:rsid w:val="00C97DD5"/>
    <w:rsid w:val="00CA02D9"/>
    <w:rsid w:val="00CA0802"/>
    <w:rsid w:val="00CA086C"/>
    <w:rsid w:val="00CA08B8"/>
    <w:rsid w:val="00CA0AE7"/>
    <w:rsid w:val="00CA0F7E"/>
    <w:rsid w:val="00CA12BD"/>
    <w:rsid w:val="00CA1333"/>
    <w:rsid w:val="00CA1516"/>
    <w:rsid w:val="00CA1777"/>
    <w:rsid w:val="00CA1830"/>
    <w:rsid w:val="00CA19A9"/>
    <w:rsid w:val="00CA1E51"/>
    <w:rsid w:val="00CA1FD7"/>
    <w:rsid w:val="00CA21A9"/>
    <w:rsid w:val="00CA23EB"/>
    <w:rsid w:val="00CA25BE"/>
    <w:rsid w:val="00CA2874"/>
    <w:rsid w:val="00CA2C88"/>
    <w:rsid w:val="00CA2CF8"/>
    <w:rsid w:val="00CA2EAE"/>
    <w:rsid w:val="00CA338F"/>
    <w:rsid w:val="00CA3606"/>
    <w:rsid w:val="00CA3A78"/>
    <w:rsid w:val="00CA3AD6"/>
    <w:rsid w:val="00CA427C"/>
    <w:rsid w:val="00CA43F9"/>
    <w:rsid w:val="00CA44EF"/>
    <w:rsid w:val="00CA4708"/>
    <w:rsid w:val="00CA487E"/>
    <w:rsid w:val="00CA4C79"/>
    <w:rsid w:val="00CA4D01"/>
    <w:rsid w:val="00CA516C"/>
    <w:rsid w:val="00CA55F0"/>
    <w:rsid w:val="00CA5622"/>
    <w:rsid w:val="00CA56C5"/>
    <w:rsid w:val="00CA5827"/>
    <w:rsid w:val="00CA59BA"/>
    <w:rsid w:val="00CA59DC"/>
    <w:rsid w:val="00CA5C47"/>
    <w:rsid w:val="00CA5C82"/>
    <w:rsid w:val="00CA5E83"/>
    <w:rsid w:val="00CA6032"/>
    <w:rsid w:val="00CA60CB"/>
    <w:rsid w:val="00CA62EE"/>
    <w:rsid w:val="00CA636D"/>
    <w:rsid w:val="00CA679A"/>
    <w:rsid w:val="00CA68DB"/>
    <w:rsid w:val="00CA699E"/>
    <w:rsid w:val="00CA6D29"/>
    <w:rsid w:val="00CA6F16"/>
    <w:rsid w:val="00CA7193"/>
    <w:rsid w:val="00CA721F"/>
    <w:rsid w:val="00CA725F"/>
    <w:rsid w:val="00CA73FC"/>
    <w:rsid w:val="00CA7414"/>
    <w:rsid w:val="00CA75AC"/>
    <w:rsid w:val="00CA7682"/>
    <w:rsid w:val="00CA76D3"/>
    <w:rsid w:val="00CA787D"/>
    <w:rsid w:val="00CA7A75"/>
    <w:rsid w:val="00CA7AC5"/>
    <w:rsid w:val="00CA7E01"/>
    <w:rsid w:val="00CA7F28"/>
    <w:rsid w:val="00CA7F39"/>
    <w:rsid w:val="00CB00EA"/>
    <w:rsid w:val="00CB0125"/>
    <w:rsid w:val="00CB029E"/>
    <w:rsid w:val="00CB02ED"/>
    <w:rsid w:val="00CB030A"/>
    <w:rsid w:val="00CB0768"/>
    <w:rsid w:val="00CB0846"/>
    <w:rsid w:val="00CB0A1F"/>
    <w:rsid w:val="00CB0BEC"/>
    <w:rsid w:val="00CB131F"/>
    <w:rsid w:val="00CB16F0"/>
    <w:rsid w:val="00CB1B34"/>
    <w:rsid w:val="00CB2121"/>
    <w:rsid w:val="00CB218E"/>
    <w:rsid w:val="00CB21AF"/>
    <w:rsid w:val="00CB2406"/>
    <w:rsid w:val="00CB2476"/>
    <w:rsid w:val="00CB25AD"/>
    <w:rsid w:val="00CB280C"/>
    <w:rsid w:val="00CB2810"/>
    <w:rsid w:val="00CB285B"/>
    <w:rsid w:val="00CB2937"/>
    <w:rsid w:val="00CB2956"/>
    <w:rsid w:val="00CB2974"/>
    <w:rsid w:val="00CB2BDA"/>
    <w:rsid w:val="00CB2C60"/>
    <w:rsid w:val="00CB2D71"/>
    <w:rsid w:val="00CB3279"/>
    <w:rsid w:val="00CB33D0"/>
    <w:rsid w:val="00CB3470"/>
    <w:rsid w:val="00CB3693"/>
    <w:rsid w:val="00CB372C"/>
    <w:rsid w:val="00CB3C3D"/>
    <w:rsid w:val="00CB3D37"/>
    <w:rsid w:val="00CB3D4D"/>
    <w:rsid w:val="00CB4071"/>
    <w:rsid w:val="00CB434C"/>
    <w:rsid w:val="00CB4350"/>
    <w:rsid w:val="00CB43E3"/>
    <w:rsid w:val="00CB4522"/>
    <w:rsid w:val="00CB452B"/>
    <w:rsid w:val="00CB466D"/>
    <w:rsid w:val="00CB46CA"/>
    <w:rsid w:val="00CB47A6"/>
    <w:rsid w:val="00CB486F"/>
    <w:rsid w:val="00CB4A3F"/>
    <w:rsid w:val="00CB4DC2"/>
    <w:rsid w:val="00CB4DCD"/>
    <w:rsid w:val="00CB4E4B"/>
    <w:rsid w:val="00CB4F2D"/>
    <w:rsid w:val="00CB53B3"/>
    <w:rsid w:val="00CB53F8"/>
    <w:rsid w:val="00CB544A"/>
    <w:rsid w:val="00CB589E"/>
    <w:rsid w:val="00CB5B19"/>
    <w:rsid w:val="00CB5D8A"/>
    <w:rsid w:val="00CB5E59"/>
    <w:rsid w:val="00CB5FF4"/>
    <w:rsid w:val="00CB61CC"/>
    <w:rsid w:val="00CB61EB"/>
    <w:rsid w:val="00CB6272"/>
    <w:rsid w:val="00CB62B9"/>
    <w:rsid w:val="00CB681A"/>
    <w:rsid w:val="00CB7418"/>
    <w:rsid w:val="00CB7420"/>
    <w:rsid w:val="00CB76FA"/>
    <w:rsid w:val="00CB7C71"/>
    <w:rsid w:val="00CB7D2F"/>
    <w:rsid w:val="00CB7DA7"/>
    <w:rsid w:val="00CB7EAC"/>
    <w:rsid w:val="00CC0670"/>
    <w:rsid w:val="00CC06B3"/>
    <w:rsid w:val="00CC076C"/>
    <w:rsid w:val="00CC0CB8"/>
    <w:rsid w:val="00CC0D6F"/>
    <w:rsid w:val="00CC0EBF"/>
    <w:rsid w:val="00CC1341"/>
    <w:rsid w:val="00CC14F7"/>
    <w:rsid w:val="00CC1668"/>
    <w:rsid w:val="00CC1690"/>
    <w:rsid w:val="00CC1799"/>
    <w:rsid w:val="00CC1857"/>
    <w:rsid w:val="00CC18C1"/>
    <w:rsid w:val="00CC1A7F"/>
    <w:rsid w:val="00CC1CB3"/>
    <w:rsid w:val="00CC1DD5"/>
    <w:rsid w:val="00CC2078"/>
    <w:rsid w:val="00CC21FB"/>
    <w:rsid w:val="00CC24A2"/>
    <w:rsid w:val="00CC25F4"/>
    <w:rsid w:val="00CC26A8"/>
    <w:rsid w:val="00CC2778"/>
    <w:rsid w:val="00CC27FE"/>
    <w:rsid w:val="00CC29C8"/>
    <w:rsid w:val="00CC2BBF"/>
    <w:rsid w:val="00CC30CA"/>
    <w:rsid w:val="00CC3895"/>
    <w:rsid w:val="00CC3B37"/>
    <w:rsid w:val="00CC3E27"/>
    <w:rsid w:val="00CC4210"/>
    <w:rsid w:val="00CC42D2"/>
    <w:rsid w:val="00CC4363"/>
    <w:rsid w:val="00CC43EB"/>
    <w:rsid w:val="00CC4426"/>
    <w:rsid w:val="00CC44FE"/>
    <w:rsid w:val="00CC4CEB"/>
    <w:rsid w:val="00CC4DA3"/>
    <w:rsid w:val="00CC4EC0"/>
    <w:rsid w:val="00CC5B6C"/>
    <w:rsid w:val="00CC5E76"/>
    <w:rsid w:val="00CC644D"/>
    <w:rsid w:val="00CC647B"/>
    <w:rsid w:val="00CC665A"/>
    <w:rsid w:val="00CC6909"/>
    <w:rsid w:val="00CC69EC"/>
    <w:rsid w:val="00CC6D10"/>
    <w:rsid w:val="00CC6FB8"/>
    <w:rsid w:val="00CC7365"/>
    <w:rsid w:val="00CC73BE"/>
    <w:rsid w:val="00CC74A2"/>
    <w:rsid w:val="00CC754C"/>
    <w:rsid w:val="00CC75D2"/>
    <w:rsid w:val="00CC777A"/>
    <w:rsid w:val="00CD0492"/>
    <w:rsid w:val="00CD0593"/>
    <w:rsid w:val="00CD07DE"/>
    <w:rsid w:val="00CD0CE7"/>
    <w:rsid w:val="00CD0DD2"/>
    <w:rsid w:val="00CD117F"/>
    <w:rsid w:val="00CD1184"/>
    <w:rsid w:val="00CD11DF"/>
    <w:rsid w:val="00CD146B"/>
    <w:rsid w:val="00CD18FC"/>
    <w:rsid w:val="00CD1B86"/>
    <w:rsid w:val="00CD1D83"/>
    <w:rsid w:val="00CD1E88"/>
    <w:rsid w:val="00CD20D4"/>
    <w:rsid w:val="00CD2203"/>
    <w:rsid w:val="00CD23F9"/>
    <w:rsid w:val="00CD25EB"/>
    <w:rsid w:val="00CD27EE"/>
    <w:rsid w:val="00CD298C"/>
    <w:rsid w:val="00CD2B03"/>
    <w:rsid w:val="00CD2B1D"/>
    <w:rsid w:val="00CD2C94"/>
    <w:rsid w:val="00CD2CA8"/>
    <w:rsid w:val="00CD2CDC"/>
    <w:rsid w:val="00CD2D74"/>
    <w:rsid w:val="00CD3A25"/>
    <w:rsid w:val="00CD3A39"/>
    <w:rsid w:val="00CD3C47"/>
    <w:rsid w:val="00CD3C9D"/>
    <w:rsid w:val="00CD40BB"/>
    <w:rsid w:val="00CD4659"/>
    <w:rsid w:val="00CD4A56"/>
    <w:rsid w:val="00CD4C01"/>
    <w:rsid w:val="00CD4D55"/>
    <w:rsid w:val="00CD4DA0"/>
    <w:rsid w:val="00CD4F23"/>
    <w:rsid w:val="00CD53FE"/>
    <w:rsid w:val="00CD5A05"/>
    <w:rsid w:val="00CD5A5A"/>
    <w:rsid w:val="00CD5B7D"/>
    <w:rsid w:val="00CD5D9A"/>
    <w:rsid w:val="00CD5F3B"/>
    <w:rsid w:val="00CD60E6"/>
    <w:rsid w:val="00CD61BF"/>
    <w:rsid w:val="00CD65F0"/>
    <w:rsid w:val="00CD676F"/>
    <w:rsid w:val="00CD6786"/>
    <w:rsid w:val="00CD6824"/>
    <w:rsid w:val="00CD6912"/>
    <w:rsid w:val="00CD71AB"/>
    <w:rsid w:val="00CD7417"/>
    <w:rsid w:val="00CD74A1"/>
    <w:rsid w:val="00CD750A"/>
    <w:rsid w:val="00CD75D5"/>
    <w:rsid w:val="00CD7BC8"/>
    <w:rsid w:val="00CD7BED"/>
    <w:rsid w:val="00CD7CDD"/>
    <w:rsid w:val="00CD7D5C"/>
    <w:rsid w:val="00CD7E16"/>
    <w:rsid w:val="00CE00EE"/>
    <w:rsid w:val="00CE020C"/>
    <w:rsid w:val="00CE0325"/>
    <w:rsid w:val="00CE04A0"/>
    <w:rsid w:val="00CE04BA"/>
    <w:rsid w:val="00CE07A2"/>
    <w:rsid w:val="00CE0E1F"/>
    <w:rsid w:val="00CE0E28"/>
    <w:rsid w:val="00CE17C3"/>
    <w:rsid w:val="00CE1A12"/>
    <w:rsid w:val="00CE1BC5"/>
    <w:rsid w:val="00CE1C34"/>
    <w:rsid w:val="00CE1F8F"/>
    <w:rsid w:val="00CE2037"/>
    <w:rsid w:val="00CE2329"/>
    <w:rsid w:val="00CE2972"/>
    <w:rsid w:val="00CE30A7"/>
    <w:rsid w:val="00CE30B0"/>
    <w:rsid w:val="00CE30E6"/>
    <w:rsid w:val="00CE31C7"/>
    <w:rsid w:val="00CE3273"/>
    <w:rsid w:val="00CE33C1"/>
    <w:rsid w:val="00CE3417"/>
    <w:rsid w:val="00CE341F"/>
    <w:rsid w:val="00CE345F"/>
    <w:rsid w:val="00CE34DC"/>
    <w:rsid w:val="00CE3635"/>
    <w:rsid w:val="00CE369A"/>
    <w:rsid w:val="00CE36DD"/>
    <w:rsid w:val="00CE3E9F"/>
    <w:rsid w:val="00CE3F11"/>
    <w:rsid w:val="00CE3FC6"/>
    <w:rsid w:val="00CE3FF0"/>
    <w:rsid w:val="00CE40BC"/>
    <w:rsid w:val="00CE4418"/>
    <w:rsid w:val="00CE4BBB"/>
    <w:rsid w:val="00CE4D3C"/>
    <w:rsid w:val="00CE5021"/>
    <w:rsid w:val="00CE54F3"/>
    <w:rsid w:val="00CE5899"/>
    <w:rsid w:val="00CE59AB"/>
    <w:rsid w:val="00CE5B36"/>
    <w:rsid w:val="00CE5E98"/>
    <w:rsid w:val="00CE5F30"/>
    <w:rsid w:val="00CE6256"/>
    <w:rsid w:val="00CE6626"/>
    <w:rsid w:val="00CE67A4"/>
    <w:rsid w:val="00CE69D7"/>
    <w:rsid w:val="00CE6CC6"/>
    <w:rsid w:val="00CE6D08"/>
    <w:rsid w:val="00CE6F34"/>
    <w:rsid w:val="00CE769C"/>
    <w:rsid w:val="00CE7702"/>
    <w:rsid w:val="00CE79F8"/>
    <w:rsid w:val="00CE7BAF"/>
    <w:rsid w:val="00CE7CFD"/>
    <w:rsid w:val="00CE7E2C"/>
    <w:rsid w:val="00CE7E9B"/>
    <w:rsid w:val="00CF0352"/>
    <w:rsid w:val="00CF04B4"/>
    <w:rsid w:val="00CF0B33"/>
    <w:rsid w:val="00CF1089"/>
    <w:rsid w:val="00CF11BF"/>
    <w:rsid w:val="00CF1D4B"/>
    <w:rsid w:val="00CF1D89"/>
    <w:rsid w:val="00CF1D95"/>
    <w:rsid w:val="00CF1F62"/>
    <w:rsid w:val="00CF2708"/>
    <w:rsid w:val="00CF2833"/>
    <w:rsid w:val="00CF2C08"/>
    <w:rsid w:val="00CF2F1D"/>
    <w:rsid w:val="00CF2F26"/>
    <w:rsid w:val="00CF2F64"/>
    <w:rsid w:val="00CF311A"/>
    <w:rsid w:val="00CF3133"/>
    <w:rsid w:val="00CF38CA"/>
    <w:rsid w:val="00CF3C50"/>
    <w:rsid w:val="00CF40E9"/>
    <w:rsid w:val="00CF4164"/>
    <w:rsid w:val="00CF42DF"/>
    <w:rsid w:val="00CF4307"/>
    <w:rsid w:val="00CF448F"/>
    <w:rsid w:val="00CF460F"/>
    <w:rsid w:val="00CF49FA"/>
    <w:rsid w:val="00CF4B04"/>
    <w:rsid w:val="00CF4B45"/>
    <w:rsid w:val="00CF4EB3"/>
    <w:rsid w:val="00CF4ED6"/>
    <w:rsid w:val="00CF4EDC"/>
    <w:rsid w:val="00CF4FCE"/>
    <w:rsid w:val="00CF51C7"/>
    <w:rsid w:val="00CF55AB"/>
    <w:rsid w:val="00CF568D"/>
    <w:rsid w:val="00CF5C44"/>
    <w:rsid w:val="00CF5DD1"/>
    <w:rsid w:val="00CF65D2"/>
    <w:rsid w:val="00CF660A"/>
    <w:rsid w:val="00CF68FE"/>
    <w:rsid w:val="00CF69A4"/>
    <w:rsid w:val="00CF6A03"/>
    <w:rsid w:val="00CF7040"/>
    <w:rsid w:val="00CF714E"/>
    <w:rsid w:val="00CF71A5"/>
    <w:rsid w:val="00CF7512"/>
    <w:rsid w:val="00CF79A7"/>
    <w:rsid w:val="00CF7B4C"/>
    <w:rsid w:val="00CF7CB7"/>
    <w:rsid w:val="00CF7D3F"/>
    <w:rsid w:val="00CF7FAF"/>
    <w:rsid w:val="00CFEFBC"/>
    <w:rsid w:val="00D001A2"/>
    <w:rsid w:val="00D0044E"/>
    <w:rsid w:val="00D0054E"/>
    <w:rsid w:val="00D0094D"/>
    <w:rsid w:val="00D009A8"/>
    <w:rsid w:val="00D00CDF"/>
    <w:rsid w:val="00D00D56"/>
    <w:rsid w:val="00D00E43"/>
    <w:rsid w:val="00D00EEC"/>
    <w:rsid w:val="00D012AA"/>
    <w:rsid w:val="00D0144C"/>
    <w:rsid w:val="00D01453"/>
    <w:rsid w:val="00D01954"/>
    <w:rsid w:val="00D01C48"/>
    <w:rsid w:val="00D01E75"/>
    <w:rsid w:val="00D01EA5"/>
    <w:rsid w:val="00D0249F"/>
    <w:rsid w:val="00D0255F"/>
    <w:rsid w:val="00D02561"/>
    <w:rsid w:val="00D029B4"/>
    <w:rsid w:val="00D029F8"/>
    <w:rsid w:val="00D02C47"/>
    <w:rsid w:val="00D02D84"/>
    <w:rsid w:val="00D02E1E"/>
    <w:rsid w:val="00D03245"/>
    <w:rsid w:val="00D0361A"/>
    <w:rsid w:val="00D03A62"/>
    <w:rsid w:val="00D03B56"/>
    <w:rsid w:val="00D03FA9"/>
    <w:rsid w:val="00D041C8"/>
    <w:rsid w:val="00D0425C"/>
    <w:rsid w:val="00D043F4"/>
    <w:rsid w:val="00D044D0"/>
    <w:rsid w:val="00D0474E"/>
    <w:rsid w:val="00D047E8"/>
    <w:rsid w:val="00D0493D"/>
    <w:rsid w:val="00D04B38"/>
    <w:rsid w:val="00D04BC9"/>
    <w:rsid w:val="00D05158"/>
    <w:rsid w:val="00D051E5"/>
    <w:rsid w:val="00D05245"/>
    <w:rsid w:val="00D05261"/>
    <w:rsid w:val="00D052B7"/>
    <w:rsid w:val="00D05317"/>
    <w:rsid w:val="00D0552C"/>
    <w:rsid w:val="00D05669"/>
    <w:rsid w:val="00D056E1"/>
    <w:rsid w:val="00D05927"/>
    <w:rsid w:val="00D05C42"/>
    <w:rsid w:val="00D0605E"/>
    <w:rsid w:val="00D0638A"/>
    <w:rsid w:val="00D0640F"/>
    <w:rsid w:val="00D064ED"/>
    <w:rsid w:val="00D06555"/>
    <w:rsid w:val="00D066AF"/>
    <w:rsid w:val="00D06878"/>
    <w:rsid w:val="00D06EBA"/>
    <w:rsid w:val="00D0724C"/>
    <w:rsid w:val="00D072ED"/>
    <w:rsid w:val="00D076E1"/>
    <w:rsid w:val="00D0785C"/>
    <w:rsid w:val="00D079D5"/>
    <w:rsid w:val="00D07A8E"/>
    <w:rsid w:val="00D07D5F"/>
    <w:rsid w:val="00D07D96"/>
    <w:rsid w:val="00D07EF9"/>
    <w:rsid w:val="00D07FB4"/>
    <w:rsid w:val="00D10093"/>
    <w:rsid w:val="00D100F0"/>
    <w:rsid w:val="00D1036E"/>
    <w:rsid w:val="00D10465"/>
    <w:rsid w:val="00D10580"/>
    <w:rsid w:val="00D1066F"/>
    <w:rsid w:val="00D106C8"/>
    <w:rsid w:val="00D10980"/>
    <w:rsid w:val="00D10A05"/>
    <w:rsid w:val="00D10A84"/>
    <w:rsid w:val="00D10B62"/>
    <w:rsid w:val="00D10CD1"/>
    <w:rsid w:val="00D10E7B"/>
    <w:rsid w:val="00D1105A"/>
    <w:rsid w:val="00D11072"/>
    <w:rsid w:val="00D1137B"/>
    <w:rsid w:val="00D11399"/>
    <w:rsid w:val="00D116ED"/>
    <w:rsid w:val="00D11BBE"/>
    <w:rsid w:val="00D11C13"/>
    <w:rsid w:val="00D121A5"/>
    <w:rsid w:val="00D12534"/>
    <w:rsid w:val="00D12551"/>
    <w:rsid w:val="00D12700"/>
    <w:rsid w:val="00D12773"/>
    <w:rsid w:val="00D12AEF"/>
    <w:rsid w:val="00D12C51"/>
    <w:rsid w:val="00D12F47"/>
    <w:rsid w:val="00D12F5D"/>
    <w:rsid w:val="00D130E4"/>
    <w:rsid w:val="00D132D5"/>
    <w:rsid w:val="00D135E7"/>
    <w:rsid w:val="00D13621"/>
    <w:rsid w:val="00D13780"/>
    <w:rsid w:val="00D137FB"/>
    <w:rsid w:val="00D1391A"/>
    <w:rsid w:val="00D13997"/>
    <w:rsid w:val="00D13AD9"/>
    <w:rsid w:val="00D13C6B"/>
    <w:rsid w:val="00D13E53"/>
    <w:rsid w:val="00D14110"/>
    <w:rsid w:val="00D14199"/>
    <w:rsid w:val="00D14D0E"/>
    <w:rsid w:val="00D15101"/>
    <w:rsid w:val="00D15797"/>
    <w:rsid w:val="00D15934"/>
    <w:rsid w:val="00D15AF2"/>
    <w:rsid w:val="00D15E54"/>
    <w:rsid w:val="00D16051"/>
    <w:rsid w:val="00D16297"/>
    <w:rsid w:val="00D1633A"/>
    <w:rsid w:val="00D16794"/>
    <w:rsid w:val="00D16AFC"/>
    <w:rsid w:val="00D16C6A"/>
    <w:rsid w:val="00D16D0E"/>
    <w:rsid w:val="00D16EF2"/>
    <w:rsid w:val="00D17284"/>
    <w:rsid w:val="00D17A40"/>
    <w:rsid w:val="00D17C54"/>
    <w:rsid w:val="00D17E5D"/>
    <w:rsid w:val="00D20039"/>
    <w:rsid w:val="00D20143"/>
    <w:rsid w:val="00D20424"/>
    <w:rsid w:val="00D20461"/>
    <w:rsid w:val="00D204C7"/>
    <w:rsid w:val="00D208BF"/>
    <w:rsid w:val="00D20B75"/>
    <w:rsid w:val="00D21023"/>
    <w:rsid w:val="00D21121"/>
    <w:rsid w:val="00D2148E"/>
    <w:rsid w:val="00D21530"/>
    <w:rsid w:val="00D218BB"/>
    <w:rsid w:val="00D21912"/>
    <w:rsid w:val="00D21A6E"/>
    <w:rsid w:val="00D21ABB"/>
    <w:rsid w:val="00D21FA8"/>
    <w:rsid w:val="00D21FFC"/>
    <w:rsid w:val="00D220EF"/>
    <w:rsid w:val="00D2269E"/>
    <w:rsid w:val="00D227E1"/>
    <w:rsid w:val="00D2280E"/>
    <w:rsid w:val="00D2284F"/>
    <w:rsid w:val="00D2290C"/>
    <w:rsid w:val="00D22B72"/>
    <w:rsid w:val="00D22B80"/>
    <w:rsid w:val="00D22BCE"/>
    <w:rsid w:val="00D22C46"/>
    <w:rsid w:val="00D22F2E"/>
    <w:rsid w:val="00D23309"/>
    <w:rsid w:val="00D2331B"/>
    <w:rsid w:val="00D235ED"/>
    <w:rsid w:val="00D236B7"/>
    <w:rsid w:val="00D2370E"/>
    <w:rsid w:val="00D23856"/>
    <w:rsid w:val="00D2389F"/>
    <w:rsid w:val="00D23B45"/>
    <w:rsid w:val="00D23B6E"/>
    <w:rsid w:val="00D23E48"/>
    <w:rsid w:val="00D23EBB"/>
    <w:rsid w:val="00D24015"/>
    <w:rsid w:val="00D244BE"/>
    <w:rsid w:val="00D24537"/>
    <w:rsid w:val="00D24B50"/>
    <w:rsid w:val="00D24E2F"/>
    <w:rsid w:val="00D25352"/>
    <w:rsid w:val="00D25410"/>
    <w:rsid w:val="00D25630"/>
    <w:rsid w:val="00D256FF"/>
    <w:rsid w:val="00D25A2B"/>
    <w:rsid w:val="00D25B40"/>
    <w:rsid w:val="00D2611F"/>
    <w:rsid w:val="00D263FE"/>
    <w:rsid w:val="00D2692A"/>
    <w:rsid w:val="00D26C6E"/>
    <w:rsid w:val="00D26F0E"/>
    <w:rsid w:val="00D27196"/>
    <w:rsid w:val="00D2734E"/>
    <w:rsid w:val="00D273EA"/>
    <w:rsid w:val="00D274B0"/>
    <w:rsid w:val="00D278F4"/>
    <w:rsid w:val="00D27C22"/>
    <w:rsid w:val="00D27F2D"/>
    <w:rsid w:val="00D300A6"/>
    <w:rsid w:val="00D300E9"/>
    <w:rsid w:val="00D30118"/>
    <w:rsid w:val="00D30488"/>
    <w:rsid w:val="00D304A0"/>
    <w:rsid w:val="00D3059C"/>
    <w:rsid w:val="00D307E6"/>
    <w:rsid w:val="00D3090A"/>
    <w:rsid w:val="00D30BAC"/>
    <w:rsid w:val="00D310F3"/>
    <w:rsid w:val="00D311BE"/>
    <w:rsid w:val="00D31297"/>
    <w:rsid w:val="00D31745"/>
    <w:rsid w:val="00D3190E"/>
    <w:rsid w:val="00D3220F"/>
    <w:rsid w:val="00D32253"/>
    <w:rsid w:val="00D323F9"/>
    <w:rsid w:val="00D326FB"/>
    <w:rsid w:val="00D328CE"/>
    <w:rsid w:val="00D32A00"/>
    <w:rsid w:val="00D32AE8"/>
    <w:rsid w:val="00D32D36"/>
    <w:rsid w:val="00D3300B"/>
    <w:rsid w:val="00D3303D"/>
    <w:rsid w:val="00D33184"/>
    <w:rsid w:val="00D33208"/>
    <w:rsid w:val="00D336B8"/>
    <w:rsid w:val="00D33988"/>
    <w:rsid w:val="00D33C32"/>
    <w:rsid w:val="00D33FF9"/>
    <w:rsid w:val="00D34079"/>
    <w:rsid w:val="00D3408C"/>
    <w:rsid w:val="00D34354"/>
    <w:rsid w:val="00D344F7"/>
    <w:rsid w:val="00D34615"/>
    <w:rsid w:val="00D346D2"/>
    <w:rsid w:val="00D348AC"/>
    <w:rsid w:val="00D34A14"/>
    <w:rsid w:val="00D34A72"/>
    <w:rsid w:val="00D34F0B"/>
    <w:rsid w:val="00D352FD"/>
    <w:rsid w:val="00D354D5"/>
    <w:rsid w:val="00D35C61"/>
    <w:rsid w:val="00D35CA9"/>
    <w:rsid w:val="00D35DC6"/>
    <w:rsid w:val="00D35E61"/>
    <w:rsid w:val="00D35E6F"/>
    <w:rsid w:val="00D35F21"/>
    <w:rsid w:val="00D3628D"/>
    <w:rsid w:val="00D36291"/>
    <w:rsid w:val="00D364FC"/>
    <w:rsid w:val="00D3652A"/>
    <w:rsid w:val="00D365CB"/>
    <w:rsid w:val="00D3666F"/>
    <w:rsid w:val="00D367FD"/>
    <w:rsid w:val="00D36806"/>
    <w:rsid w:val="00D36D59"/>
    <w:rsid w:val="00D36D7F"/>
    <w:rsid w:val="00D36DFA"/>
    <w:rsid w:val="00D370AB"/>
    <w:rsid w:val="00D370CF"/>
    <w:rsid w:val="00D3713A"/>
    <w:rsid w:val="00D373BC"/>
    <w:rsid w:val="00D373FF"/>
    <w:rsid w:val="00D376F3"/>
    <w:rsid w:val="00D378C9"/>
    <w:rsid w:val="00D37D34"/>
    <w:rsid w:val="00D37DFA"/>
    <w:rsid w:val="00D37E58"/>
    <w:rsid w:val="00D40068"/>
    <w:rsid w:val="00D4049E"/>
    <w:rsid w:val="00D40508"/>
    <w:rsid w:val="00D405F4"/>
    <w:rsid w:val="00D406B2"/>
    <w:rsid w:val="00D40852"/>
    <w:rsid w:val="00D40CDE"/>
    <w:rsid w:val="00D41578"/>
    <w:rsid w:val="00D419B6"/>
    <w:rsid w:val="00D41DFD"/>
    <w:rsid w:val="00D41E77"/>
    <w:rsid w:val="00D41E88"/>
    <w:rsid w:val="00D41EB7"/>
    <w:rsid w:val="00D41FBC"/>
    <w:rsid w:val="00D41FCB"/>
    <w:rsid w:val="00D422A8"/>
    <w:rsid w:val="00D4281E"/>
    <w:rsid w:val="00D428C2"/>
    <w:rsid w:val="00D42F96"/>
    <w:rsid w:val="00D43096"/>
    <w:rsid w:val="00D432F3"/>
    <w:rsid w:val="00D43448"/>
    <w:rsid w:val="00D43499"/>
    <w:rsid w:val="00D43548"/>
    <w:rsid w:val="00D437AC"/>
    <w:rsid w:val="00D43858"/>
    <w:rsid w:val="00D4396E"/>
    <w:rsid w:val="00D43B08"/>
    <w:rsid w:val="00D43BBF"/>
    <w:rsid w:val="00D43BC4"/>
    <w:rsid w:val="00D43C65"/>
    <w:rsid w:val="00D43D41"/>
    <w:rsid w:val="00D43D89"/>
    <w:rsid w:val="00D43E89"/>
    <w:rsid w:val="00D43F41"/>
    <w:rsid w:val="00D43F57"/>
    <w:rsid w:val="00D43F83"/>
    <w:rsid w:val="00D442AF"/>
    <w:rsid w:val="00D44715"/>
    <w:rsid w:val="00D4499A"/>
    <w:rsid w:val="00D44B0A"/>
    <w:rsid w:val="00D44BC1"/>
    <w:rsid w:val="00D44D77"/>
    <w:rsid w:val="00D44F99"/>
    <w:rsid w:val="00D45205"/>
    <w:rsid w:val="00D45404"/>
    <w:rsid w:val="00D458B7"/>
    <w:rsid w:val="00D45DA9"/>
    <w:rsid w:val="00D4610D"/>
    <w:rsid w:val="00D463A2"/>
    <w:rsid w:val="00D46593"/>
    <w:rsid w:val="00D468A4"/>
    <w:rsid w:val="00D4692B"/>
    <w:rsid w:val="00D4697C"/>
    <w:rsid w:val="00D469D9"/>
    <w:rsid w:val="00D46AB2"/>
    <w:rsid w:val="00D46C90"/>
    <w:rsid w:val="00D46D1C"/>
    <w:rsid w:val="00D46D50"/>
    <w:rsid w:val="00D47003"/>
    <w:rsid w:val="00D47049"/>
    <w:rsid w:val="00D471D2"/>
    <w:rsid w:val="00D4731F"/>
    <w:rsid w:val="00D47501"/>
    <w:rsid w:val="00D47815"/>
    <w:rsid w:val="00D47D35"/>
    <w:rsid w:val="00D47EDE"/>
    <w:rsid w:val="00D501AA"/>
    <w:rsid w:val="00D501FA"/>
    <w:rsid w:val="00D50432"/>
    <w:rsid w:val="00D5050B"/>
    <w:rsid w:val="00D50C24"/>
    <w:rsid w:val="00D510D7"/>
    <w:rsid w:val="00D51371"/>
    <w:rsid w:val="00D51539"/>
    <w:rsid w:val="00D51647"/>
    <w:rsid w:val="00D516BD"/>
    <w:rsid w:val="00D5175E"/>
    <w:rsid w:val="00D517F3"/>
    <w:rsid w:val="00D518A7"/>
    <w:rsid w:val="00D51C55"/>
    <w:rsid w:val="00D51F0F"/>
    <w:rsid w:val="00D51F48"/>
    <w:rsid w:val="00D52267"/>
    <w:rsid w:val="00D52283"/>
    <w:rsid w:val="00D5232B"/>
    <w:rsid w:val="00D5242D"/>
    <w:rsid w:val="00D5269F"/>
    <w:rsid w:val="00D526F8"/>
    <w:rsid w:val="00D5276E"/>
    <w:rsid w:val="00D527C8"/>
    <w:rsid w:val="00D52934"/>
    <w:rsid w:val="00D52C0B"/>
    <w:rsid w:val="00D5307A"/>
    <w:rsid w:val="00D53509"/>
    <w:rsid w:val="00D535CA"/>
    <w:rsid w:val="00D53637"/>
    <w:rsid w:val="00D537F0"/>
    <w:rsid w:val="00D53912"/>
    <w:rsid w:val="00D5396D"/>
    <w:rsid w:val="00D53CE6"/>
    <w:rsid w:val="00D5431D"/>
    <w:rsid w:val="00D54324"/>
    <w:rsid w:val="00D543EA"/>
    <w:rsid w:val="00D5477E"/>
    <w:rsid w:val="00D54840"/>
    <w:rsid w:val="00D54921"/>
    <w:rsid w:val="00D54BD0"/>
    <w:rsid w:val="00D54C88"/>
    <w:rsid w:val="00D54F0E"/>
    <w:rsid w:val="00D552EE"/>
    <w:rsid w:val="00D557A1"/>
    <w:rsid w:val="00D557F0"/>
    <w:rsid w:val="00D55816"/>
    <w:rsid w:val="00D55839"/>
    <w:rsid w:val="00D55A8D"/>
    <w:rsid w:val="00D55F0F"/>
    <w:rsid w:val="00D56196"/>
    <w:rsid w:val="00D563B8"/>
    <w:rsid w:val="00D5648E"/>
    <w:rsid w:val="00D56526"/>
    <w:rsid w:val="00D56693"/>
    <w:rsid w:val="00D56742"/>
    <w:rsid w:val="00D56A35"/>
    <w:rsid w:val="00D56B70"/>
    <w:rsid w:val="00D56F4C"/>
    <w:rsid w:val="00D57180"/>
    <w:rsid w:val="00D573EC"/>
    <w:rsid w:val="00D577B7"/>
    <w:rsid w:val="00D57A3C"/>
    <w:rsid w:val="00D57B11"/>
    <w:rsid w:val="00D57E73"/>
    <w:rsid w:val="00D57F59"/>
    <w:rsid w:val="00D60047"/>
    <w:rsid w:val="00D60524"/>
    <w:rsid w:val="00D60805"/>
    <w:rsid w:val="00D60809"/>
    <w:rsid w:val="00D60901"/>
    <w:rsid w:val="00D60971"/>
    <w:rsid w:val="00D60BBD"/>
    <w:rsid w:val="00D60EDA"/>
    <w:rsid w:val="00D61120"/>
    <w:rsid w:val="00D61713"/>
    <w:rsid w:val="00D6186E"/>
    <w:rsid w:val="00D61981"/>
    <w:rsid w:val="00D61D64"/>
    <w:rsid w:val="00D620D8"/>
    <w:rsid w:val="00D62189"/>
    <w:rsid w:val="00D62459"/>
    <w:rsid w:val="00D62D83"/>
    <w:rsid w:val="00D62DB6"/>
    <w:rsid w:val="00D62EC2"/>
    <w:rsid w:val="00D630A3"/>
    <w:rsid w:val="00D63383"/>
    <w:rsid w:val="00D63601"/>
    <w:rsid w:val="00D636D3"/>
    <w:rsid w:val="00D6381D"/>
    <w:rsid w:val="00D63838"/>
    <w:rsid w:val="00D63943"/>
    <w:rsid w:val="00D64320"/>
    <w:rsid w:val="00D644C2"/>
    <w:rsid w:val="00D64835"/>
    <w:rsid w:val="00D648B8"/>
    <w:rsid w:val="00D64E86"/>
    <w:rsid w:val="00D651DD"/>
    <w:rsid w:val="00D652D2"/>
    <w:rsid w:val="00D65417"/>
    <w:rsid w:val="00D656A4"/>
    <w:rsid w:val="00D656EB"/>
    <w:rsid w:val="00D65EC2"/>
    <w:rsid w:val="00D65EF4"/>
    <w:rsid w:val="00D65F20"/>
    <w:rsid w:val="00D668B9"/>
    <w:rsid w:val="00D668DE"/>
    <w:rsid w:val="00D66AC5"/>
    <w:rsid w:val="00D66AD4"/>
    <w:rsid w:val="00D66B89"/>
    <w:rsid w:val="00D66BA4"/>
    <w:rsid w:val="00D679FD"/>
    <w:rsid w:val="00D67C00"/>
    <w:rsid w:val="00D700F0"/>
    <w:rsid w:val="00D701E8"/>
    <w:rsid w:val="00D702CB"/>
    <w:rsid w:val="00D70443"/>
    <w:rsid w:val="00D704DA"/>
    <w:rsid w:val="00D70553"/>
    <w:rsid w:val="00D7065B"/>
    <w:rsid w:val="00D707E1"/>
    <w:rsid w:val="00D70DFE"/>
    <w:rsid w:val="00D71026"/>
    <w:rsid w:val="00D7108E"/>
    <w:rsid w:val="00D7149A"/>
    <w:rsid w:val="00D71622"/>
    <w:rsid w:val="00D71A9E"/>
    <w:rsid w:val="00D71F20"/>
    <w:rsid w:val="00D720DF"/>
    <w:rsid w:val="00D7229B"/>
    <w:rsid w:val="00D7250F"/>
    <w:rsid w:val="00D726B5"/>
    <w:rsid w:val="00D727F0"/>
    <w:rsid w:val="00D729B7"/>
    <w:rsid w:val="00D72A83"/>
    <w:rsid w:val="00D72BF1"/>
    <w:rsid w:val="00D731D3"/>
    <w:rsid w:val="00D73385"/>
    <w:rsid w:val="00D738E7"/>
    <w:rsid w:val="00D74764"/>
    <w:rsid w:val="00D749C1"/>
    <w:rsid w:val="00D74D67"/>
    <w:rsid w:val="00D74F05"/>
    <w:rsid w:val="00D7506D"/>
    <w:rsid w:val="00D75498"/>
    <w:rsid w:val="00D755E9"/>
    <w:rsid w:val="00D7575D"/>
    <w:rsid w:val="00D757E4"/>
    <w:rsid w:val="00D75926"/>
    <w:rsid w:val="00D75EEF"/>
    <w:rsid w:val="00D761CD"/>
    <w:rsid w:val="00D761E5"/>
    <w:rsid w:val="00D76295"/>
    <w:rsid w:val="00D76357"/>
    <w:rsid w:val="00D76457"/>
    <w:rsid w:val="00D7656A"/>
    <w:rsid w:val="00D76587"/>
    <w:rsid w:val="00D765ED"/>
    <w:rsid w:val="00D766C5"/>
    <w:rsid w:val="00D76740"/>
    <w:rsid w:val="00D76D84"/>
    <w:rsid w:val="00D76DA9"/>
    <w:rsid w:val="00D76ED3"/>
    <w:rsid w:val="00D7714D"/>
    <w:rsid w:val="00D771FD"/>
    <w:rsid w:val="00D773D3"/>
    <w:rsid w:val="00D77541"/>
    <w:rsid w:val="00D7758B"/>
    <w:rsid w:val="00D77815"/>
    <w:rsid w:val="00D77844"/>
    <w:rsid w:val="00D7796D"/>
    <w:rsid w:val="00D800F7"/>
    <w:rsid w:val="00D80130"/>
    <w:rsid w:val="00D801B5"/>
    <w:rsid w:val="00D80644"/>
    <w:rsid w:val="00D80749"/>
    <w:rsid w:val="00D80B1A"/>
    <w:rsid w:val="00D80C05"/>
    <w:rsid w:val="00D80D62"/>
    <w:rsid w:val="00D8111F"/>
    <w:rsid w:val="00D81510"/>
    <w:rsid w:val="00D8168A"/>
    <w:rsid w:val="00D818D0"/>
    <w:rsid w:val="00D8196C"/>
    <w:rsid w:val="00D81A32"/>
    <w:rsid w:val="00D81B18"/>
    <w:rsid w:val="00D81E93"/>
    <w:rsid w:val="00D81E95"/>
    <w:rsid w:val="00D81E9B"/>
    <w:rsid w:val="00D81FF7"/>
    <w:rsid w:val="00D821A9"/>
    <w:rsid w:val="00D822CD"/>
    <w:rsid w:val="00D8242F"/>
    <w:rsid w:val="00D8249E"/>
    <w:rsid w:val="00D824C7"/>
    <w:rsid w:val="00D83490"/>
    <w:rsid w:val="00D83541"/>
    <w:rsid w:val="00D83700"/>
    <w:rsid w:val="00D8372E"/>
    <w:rsid w:val="00D838AE"/>
    <w:rsid w:val="00D83B90"/>
    <w:rsid w:val="00D83C3C"/>
    <w:rsid w:val="00D83D97"/>
    <w:rsid w:val="00D83E3F"/>
    <w:rsid w:val="00D83F51"/>
    <w:rsid w:val="00D8435E"/>
    <w:rsid w:val="00D845BF"/>
    <w:rsid w:val="00D8466B"/>
    <w:rsid w:val="00D8471E"/>
    <w:rsid w:val="00D8487E"/>
    <w:rsid w:val="00D84A29"/>
    <w:rsid w:val="00D84AF2"/>
    <w:rsid w:val="00D84D05"/>
    <w:rsid w:val="00D84FE8"/>
    <w:rsid w:val="00D853F4"/>
    <w:rsid w:val="00D8558D"/>
    <w:rsid w:val="00D85629"/>
    <w:rsid w:val="00D85633"/>
    <w:rsid w:val="00D856AF"/>
    <w:rsid w:val="00D857B8"/>
    <w:rsid w:val="00D85A12"/>
    <w:rsid w:val="00D85D84"/>
    <w:rsid w:val="00D86135"/>
    <w:rsid w:val="00D8645F"/>
    <w:rsid w:val="00D866A4"/>
    <w:rsid w:val="00D86757"/>
    <w:rsid w:val="00D868B4"/>
    <w:rsid w:val="00D868B7"/>
    <w:rsid w:val="00D86AE8"/>
    <w:rsid w:val="00D86CA7"/>
    <w:rsid w:val="00D86FA6"/>
    <w:rsid w:val="00D872E8"/>
    <w:rsid w:val="00D87453"/>
    <w:rsid w:val="00D879C7"/>
    <w:rsid w:val="00D87C14"/>
    <w:rsid w:val="00D90014"/>
    <w:rsid w:val="00D90085"/>
    <w:rsid w:val="00D90143"/>
    <w:rsid w:val="00D902B1"/>
    <w:rsid w:val="00D9059C"/>
    <w:rsid w:val="00D90636"/>
    <w:rsid w:val="00D90812"/>
    <w:rsid w:val="00D908A0"/>
    <w:rsid w:val="00D90D94"/>
    <w:rsid w:val="00D90EDC"/>
    <w:rsid w:val="00D911BF"/>
    <w:rsid w:val="00D91390"/>
    <w:rsid w:val="00D913DA"/>
    <w:rsid w:val="00D917EB"/>
    <w:rsid w:val="00D918FE"/>
    <w:rsid w:val="00D919BF"/>
    <w:rsid w:val="00D91C36"/>
    <w:rsid w:val="00D91F6E"/>
    <w:rsid w:val="00D9205B"/>
    <w:rsid w:val="00D9209D"/>
    <w:rsid w:val="00D92148"/>
    <w:rsid w:val="00D921BF"/>
    <w:rsid w:val="00D92A3A"/>
    <w:rsid w:val="00D92BDC"/>
    <w:rsid w:val="00D92D62"/>
    <w:rsid w:val="00D93149"/>
    <w:rsid w:val="00D9314D"/>
    <w:rsid w:val="00D937E8"/>
    <w:rsid w:val="00D93A16"/>
    <w:rsid w:val="00D93B28"/>
    <w:rsid w:val="00D93C1B"/>
    <w:rsid w:val="00D93F6C"/>
    <w:rsid w:val="00D94028"/>
    <w:rsid w:val="00D945AB"/>
    <w:rsid w:val="00D94664"/>
    <w:rsid w:val="00D947AF"/>
    <w:rsid w:val="00D9496D"/>
    <w:rsid w:val="00D94A76"/>
    <w:rsid w:val="00D94EA6"/>
    <w:rsid w:val="00D9500A"/>
    <w:rsid w:val="00D951ED"/>
    <w:rsid w:val="00D95401"/>
    <w:rsid w:val="00D955AB"/>
    <w:rsid w:val="00D9599F"/>
    <w:rsid w:val="00D95BE4"/>
    <w:rsid w:val="00D95FA7"/>
    <w:rsid w:val="00D95FFC"/>
    <w:rsid w:val="00D9640D"/>
    <w:rsid w:val="00D96525"/>
    <w:rsid w:val="00D96557"/>
    <w:rsid w:val="00D967EB"/>
    <w:rsid w:val="00D96805"/>
    <w:rsid w:val="00D9696E"/>
    <w:rsid w:val="00D9696F"/>
    <w:rsid w:val="00D96AC4"/>
    <w:rsid w:val="00D96B1E"/>
    <w:rsid w:val="00D96BDB"/>
    <w:rsid w:val="00D96C60"/>
    <w:rsid w:val="00D96DBC"/>
    <w:rsid w:val="00D96E5F"/>
    <w:rsid w:val="00D96ED8"/>
    <w:rsid w:val="00D9715C"/>
    <w:rsid w:val="00D9720E"/>
    <w:rsid w:val="00D97252"/>
    <w:rsid w:val="00D97266"/>
    <w:rsid w:val="00D9744C"/>
    <w:rsid w:val="00D9755A"/>
    <w:rsid w:val="00D976F8"/>
    <w:rsid w:val="00D9773A"/>
    <w:rsid w:val="00D97847"/>
    <w:rsid w:val="00D97C39"/>
    <w:rsid w:val="00D97CAF"/>
    <w:rsid w:val="00D97CCF"/>
    <w:rsid w:val="00D97D71"/>
    <w:rsid w:val="00D97EB0"/>
    <w:rsid w:val="00D97F9A"/>
    <w:rsid w:val="00DA004C"/>
    <w:rsid w:val="00DA03A3"/>
    <w:rsid w:val="00DA0693"/>
    <w:rsid w:val="00DA0768"/>
    <w:rsid w:val="00DA076C"/>
    <w:rsid w:val="00DA0E91"/>
    <w:rsid w:val="00DA0EBA"/>
    <w:rsid w:val="00DA118A"/>
    <w:rsid w:val="00DA161A"/>
    <w:rsid w:val="00DA1977"/>
    <w:rsid w:val="00DA1A1F"/>
    <w:rsid w:val="00DA1BFF"/>
    <w:rsid w:val="00DA1CD0"/>
    <w:rsid w:val="00DA1E16"/>
    <w:rsid w:val="00DA2450"/>
    <w:rsid w:val="00DA2909"/>
    <w:rsid w:val="00DA294C"/>
    <w:rsid w:val="00DA2FA4"/>
    <w:rsid w:val="00DA3027"/>
    <w:rsid w:val="00DA32A5"/>
    <w:rsid w:val="00DA331F"/>
    <w:rsid w:val="00DA347E"/>
    <w:rsid w:val="00DA35FD"/>
    <w:rsid w:val="00DA3607"/>
    <w:rsid w:val="00DA37AA"/>
    <w:rsid w:val="00DA3914"/>
    <w:rsid w:val="00DA3E2F"/>
    <w:rsid w:val="00DA4258"/>
    <w:rsid w:val="00DA4265"/>
    <w:rsid w:val="00DA43A0"/>
    <w:rsid w:val="00DA448C"/>
    <w:rsid w:val="00DA4596"/>
    <w:rsid w:val="00DA4850"/>
    <w:rsid w:val="00DA4968"/>
    <w:rsid w:val="00DA4B8F"/>
    <w:rsid w:val="00DA4F85"/>
    <w:rsid w:val="00DA59E1"/>
    <w:rsid w:val="00DA5A94"/>
    <w:rsid w:val="00DA5D81"/>
    <w:rsid w:val="00DA5E13"/>
    <w:rsid w:val="00DA5EB0"/>
    <w:rsid w:val="00DA5F3E"/>
    <w:rsid w:val="00DA63E6"/>
    <w:rsid w:val="00DA6868"/>
    <w:rsid w:val="00DA6A04"/>
    <w:rsid w:val="00DA6B51"/>
    <w:rsid w:val="00DA6C16"/>
    <w:rsid w:val="00DA7579"/>
    <w:rsid w:val="00DA75D5"/>
    <w:rsid w:val="00DA7693"/>
    <w:rsid w:val="00DA76F4"/>
    <w:rsid w:val="00DA7727"/>
    <w:rsid w:val="00DA787D"/>
    <w:rsid w:val="00DA7A46"/>
    <w:rsid w:val="00DA7A60"/>
    <w:rsid w:val="00DA7E91"/>
    <w:rsid w:val="00DA7EFD"/>
    <w:rsid w:val="00DA7FCF"/>
    <w:rsid w:val="00DB0130"/>
    <w:rsid w:val="00DB031B"/>
    <w:rsid w:val="00DB0324"/>
    <w:rsid w:val="00DB061A"/>
    <w:rsid w:val="00DB0621"/>
    <w:rsid w:val="00DB069B"/>
    <w:rsid w:val="00DB07F6"/>
    <w:rsid w:val="00DB0867"/>
    <w:rsid w:val="00DB0C5F"/>
    <w:rsid w:val="00DB0D81"/>
    <w:rsid w:val="00DB1187"/>
    <w:rsid w:val="00DB1403"/>
    <w:rsid w:val="00DB1418"/>
    <w:rsid w:val="00DB14EB"/>
    <w:rsid w:val="00DB14F9"/>
    <w:rsid w:val="00DB1553"/>
    <w:rsid w:val="00DB1797"/>
    <w:rsid w:val="00DB1C16"/>
    <w:rsid w:val="00DB1E8D"/>
    <w:rsid w:val="00DB1EB1"/>
    <w:rsid w:val="00DB2242"/>
    <w:rsid w:val="00DB2355"/>
    <w:rsid w:val="00DB238A"/>
    <w:rsid w:val="00DB254C"/>
    <w:rsid w:val="00DB2687"/>
    <w:rsid w:val="00DB29FD"/>
    <w:rsid w:val="00DB2D37"/>
    <w:rsid w:val="00DB3823"/>
    <w:rsid w:val="00DB38DC"/>
    <w:rsid w:val="00DB3A89"/>
    <w:rsid w:val="00DB3B65"/>
    <w:rsid w:val="00DB3BB4"/>
    <w:rsid w:val="00DB3BBA"/>
    <w:rsid w:val="00DB40E4"/>
    <w:rsid w:val="00DB41FC"/>
    <w:rsid w:val="00DB4258"/>
    <w:rsid w:val="00DB4403"/>
    <w:rsid w:val="00DB45AB"/>
    <w:rsid w:val="00DB4639"/>
    <w:rsid w:val="00DB4717"/>
    <w:rsid w:val="00DB48FE"/>
    <w:rsid w:val="00DB5248"/>
    <w:rsid w:val="00DB526F"/>
    <w:rsid w:val="00DB557D"/>
    <w:rsid w:val="00DB5978"/>
    <w:rsid w:val="00DB5C4C"/>
    <w:rsid w:val="00DB5CA2"/>
    <w:rsid w:val="00DB5F6C"/>
    <w:rsid w:val="00DB664C"/>
    <w:rsid w:val="00DB6699"/>
    <w:rsid w:val="00DB6CB1"/>
    <w:rsid w:val="00DB6E9D"/>
    <w:rsid w:val="00DB7023"/>
    <w:rsid w:val="00DB77D4"/>
    <w:rsid w:val="00DB78AC"/>
    <w:rsid w:val="00DB7CAC"/>
    <w:rsid w:val="00DB7FDD"/>
    <w:rsid w:val="00DC0018"/>
    <w:rsid w:val="00DC02D1"/>
    <w:rsid w:val="00DC035E"/>
    <w:rsid w:val="00DC08E1"/>
    <w:rsid w:val="00DC097F"/>
    <w:rsid w:val="00DC0BFE"/>
    <w:rsid w:val="00DC0DB1"/>
    <w:rsid w:val="00DC0F02"/>
    <w:rsid w:val="00DC0F8D"/>
    <w:rsid w:val="00DC1325"/>
    <w:rsid w:val="00DC19DA"/>
    <w:rsid w:val="00DC1BF0"/>
    <w:rsid w:val="00DC1CB1"/>
    <w:rsid w:val="00DC1FBF"/>
    <w:rsid w:val="00DC204E"/>
    <w:rsid w:val="00DC2132"/>
    <w:rsid w:val="00DC2284"/>
    <w:rsid w:val="00DC2413"/>
    <w:rsid w:val="00DC260C"/>
    <w:rsid w:val="00DC29CC"/>
    <w:rsid w:val="00DC29EE"/>
    <w:rsid w:val="00DC2D04"/>
    <w:rsid w:val="00DC2E33"/>
    <w:rsid w:val="00DC2EB4"/>
    <w:rsid w:val="00DC375A"/>
    <w:rsid w:val="00DC38AC"/>
    <w:rsid w:val="00DC38B9"/>
    <w:rsid w:val="00DC3B8A"/>
    <w:rsid w:val="00DC3B95"/>
    <w:rsid w:val="00DC3CA4"/>
    <w:rsid w:val="00DC3E76"/>
    <w:rsid w:val="00DC4484"/>
    <w:rsid w:val="00DC463F"/>
    <w:rsid w:val="00DC4BA2"/>
    <w:rsid w:val="00DC4D1A"/>
    <w:rsid w:val="00DC4D62"/>
    <w:rsid w:val="00DC56C4"/>
    <w:rsid w:val="00DC57F8"/>
    <w:rsid w:val="00DC58F1"/>
    <w:rsid w:val="00DC590F"/>
    <w:rsid w:val="00DC5B96"/>
    <w:rsid w:val="00DC5C0D"/>
    <w:rsid w:val="00DC5CF4"/>
    <w:rsid w:val="00DC611E"/>
    <w:rsid w:val="00DC6158"/>
    <w:rsid w:val="00DC62D7"/>
    <w:rsid w:val="00DC63A1"/>
    <w:rsid w:val="00DC6402"/>
    <w:rsid w:val="00DC64CA"/>
    <w:rsid w:val="00DC6554"/>
    <w:rsid w:val="00DC67F7"/>
    <w:rsid w:val="00DC6E45"/>
    <w:rsid w:val="00DC7134"/>
    <w:rsid w:val="00DC727E"/>
    <w:rsid w:val="00DC746E"/>
    <w:rsid w:val="00DC75B3"/>
    <w:rsid w:val="00DC7BED"/>
    <w:rsid w:val="00DC7D61"/>
    <w:rsid w:val="00DC7F13"/>
    <w:rsid w:val="00DD00F4"/>
    <w:rsid w:val="00DD01CA"/>
    <w:rsid w:val="00DD01DF"/>
    <w:rsid w:val="00DD02F4"/>
    <w:rsid w:val="00DD0323"/>
    <w:rsid w:val="00DD03A8"/>
    <w:rsid w:val="00DD040B"/>
    <w:rsid w:val="00DD043A"/>
    <w:rsid w:val="00DD0731"/>
    <w:rsid w:val="00DD0D0C"/>
    <w:rsid w:val="00DD0DA7"/>
    <w:rsid w:val="00DD0DD3"/>
    <w:rsid w:val="00DD11BE"/>
    <w:rsid w:val="00DD15D5"/>
    <w:rsid w:val="00DD15FC"/>
    <w:rsid w:val="00DD1611"/>
    <w:rsid w:val="00DD16D4"/>
    <w:rsid w:val="00DD18D1"/>
    <w:rsid w:val="00DD1C34"/>
    <w:rsid w:val="00DD1E90"/>
    <w:rsid w:val="00DD2224"/>
    <w:rsid w:val="00DD245C"/>
    <w:rsid w:val="00DD24B4"/>
    <w:rsid w:val="00DD2545"/>
    <w:rsid w:val="00DD275E"/>
    <w:rsid w:val="00DD295D"/>
    <w:rsid w:val="00DD2A43"/>
    <w:rsid w:val="00DD2CF5"/>
    <w:rsid w:val="00DD2D5B"/>
    <w:rsid w:val="00DD2E0D"/>
    <w:rsid w:val="00DD2E8A"/>
    <w:rsid w:val="00DD2F1F"/>
    <w:rsid w:val="00DD3983"/>
    <w:rsid w:val="00DD399E"/>
    <w:rsid w:val="00DD3A13"/>
    <w:rsid w:val="00DD3B85"/>
    <w:rsid w:val="00DD3CA5"/>
    <w:rsid w:val="00DD3EEA"/>
    <w:rsid w:val="00DD3FF5"/>
    <w:rsid w:val="00DD4117"/>
    <w:rsid w:val="00DD42C5"/>
    <w:rsid w:val="00DD4369"/>
    <w:rsid w:val="00DD443B"/>
    <w:rsid w:val="00DD4642"/>
    <w:rsid w:val="00DD46F2"/>
    <w:rsid w:val="00DD48DD"/>
    <w:rsid w:val="00DD4908"/>
    <w:rsid w:val="00DD4999"/>
    <w:rsid w:val="00DD4C8B"/>
    <w:rsid w:val="00DD4D83"/>
    <w:rsid w:val="00DD4D92"/>
    <w:rsid w:val="00DD511D"/>
    <w:rsid w:val="00DD552F"/>
    <w:rsid w:val="00DD5592"/>
    <w:rsid w:val="00DD5A48"/>
    <w:rsid w:val="00DD5A72"/>
    <w:rsid w:val="00DD5BF3"/>
    <w:rsid w:val="00DD619E"/>
    <w:rsid w:val="00DD6621"/>
    <w:rsid w:val="00DD6AF1"/>
    <w:rsid w:val="00DD6C6F"/>
    <w:rsid w:val="00DD7040"/>
    <w:rsid w:val="00DD742C"/>
    <w:rsid w:val="00DD7433"/>
    <w:rsid w:val="00DD7467"/>
    <w:rsid w:val="00DD7491"/>
    <w:rsid w:val="00DD7691"/>
    <w:rsid w:val="00DD77A9"/>
    <w:rsid w:val="00DD7841"/>
    <w:rsid w:val="00DE01A7"/>
    <w:rsid w:val="00DE03A0"/>
    <w:rsid w:val="00DE0578"/>
    <w:rsid w:val="00DE077F"/>
    <w:rsid w:val="00DE086A"/>
    <w:rsid w:val="00DE093C"/>
    <w:rsid w:val="00DE0D50"/>
    <w:rsid w:val="00DE0EE2"/>
    <w:rsid w:val="00DE12A5"/>
    <w:rsid w:val="00DE1353"/>
    <w:rsid w:val="00DE1C0E"/>
    <w:rsid w:val="00DE1FC1"/>
    <w:rsid w:val="00DE2293"/>
    <w:rsid w:val="00DE2430"/>
    <w:rsid w:val="00DE2787"/>
    <w:rsid w:val="00DE2953"/>
    <w:rsid w:val="00DE2D56"/>
    <w:rsid w:val="00DE2DB1"/>
    <w:rsid w:val="00DE2ED4"/>
    <w:rsid w:val="00DE2F01"/>
    <w:rsid w:val="00DE330E"/>
    <w:rsid w:val="00DE3588"/>
    <w:rsid w:val="00DE364C"/>
    <w:rsid w:val="00DE39CA"/>
    <w:rsid w:val="00DE3E76"/>
    <w:rsid w:val="00DE4210"/>
    <w:rsid w:val="00DE42FB"/>
    <w:rsid w:val="00DE4373"/>
    <w:rsid w:val="00DE4578"/>
    <w:rsid w:val="00DE4812"/>
    <w:rsid w:val="00DE4A04"/>
    <w:rsid w:val="00DE4DA8"/>
    <w:rsid w:val="00DE51AD"/>
    <w:rsid w:val="00DE51B4"/>
    <w:rsid w:val="00DE521B"/>
    <w:rsid w:val="00DE55FD"/>
    <w:rsid w:val="00DE56BA"/>
    <w:rsid w:val="00DE57C5"/>
    <w:rsid w:val="00DE58F0"/>
    <w:rsid w:val="00DE5E6A"/>
    <w:rsid w:val="00DE5FD9"/>
    <w:rsid w:val="00DE6217"/>
    <w:rsid w:val="00DE692F"/>
    <w:rsid w:val="00DE6C49"/>
    <w:rsid w:val="00DE6D23"/>
    <w:rsid w:val="00DE6EBC"/>
    <w:rsid w:val="00DE725F"/>
    <w:rsid w:val="00DE735A"/>
    <w:rsid w:val="00DE77C9"/>
    <w:rsid w:val="00DE7EB4"/>
    <w:rsid w:val="00DF0155"/>
    <w:rsid w:val="00DF0288"/>
    <w:rsid w:val="00DF04EE"/>
    <w:rsid w:val="00DF08AE"/>
    <w:rsid w:val="00DF0A33"/>
    <w:rsid w:val="00DF0A70"/>
    <w:rsid w:val="00DF0C02"/>
    <w:rsid w:val="00DF1112"/>
    <w:rsid w:val="00DF1246"/>
    <w:rsid w:val="00DF12F9"/>
    <w:rsid w:val="00DF162A"/>
    <w:rsid w:val="00DF192F"/>
    <w:rsid w:val="00DF197A"/>
    <w:rsid w:val="00DF1D9C"/>
    <w:rsid w:val="00DF1E48"/>
    <w:rsid w:val="00DF1E93"/>
    <w:rsid w:val="00DF1F1E"/>
    <w:rsid w:val="00DF240B"/>
    <w:rsid w:val="00DF241B"/>
    <w:rsid w:val="00DF24D0"/>
    <w:rsid w:val="00DF255F"/>
    <w:rsid w:val="00DF2966"/>
    <w:rsid w:val="00DF2BD1"/>
    <w:rsid w:val="00DF2E04"/>
    <w:rsid w:val="00DF34EF"/>
    <w:rsid w:val="00DF3743"/>
    <w:rsid w:val="00DF3B0D"/>
    <w:rsid w:val="00DF3D66"/>
    <w:rsid w:val="00DF3E21"/>
    <w:rsid w:val="00DF3E35"/>
    <w:rsid w:val="00DF41DA"/>
    <w:rsid w:val="00DF42E0"/>
    <w:rsid w:val="00DF4B14"/>
    <w:rsid w:val="00DF4C39"/>
    <w:rsid w:val="00DF5068"/>
    <w:rsid w:val="00DF517C"/>
    <w:rsid w:val="00DF535A"/>
    <w:rsid w:val="00DF53DB"/>
    <w:rsid w:val="00DF5947"/>
    <w:rsid w:val="00DF5B56"/>
    <w:rsid w:val="00DF6076"/>
    <w:rsid w:val="00DF60EE"/>
    <w:rsid w:val="00DF6326"/>
    <w:rsid w:val="00DF63EF"/>
    <w:rsid w:val="00DF643A"/>
    <w:rsid w:val="00DF66A8"/>
    <w:rsid w:val="00DF69BE"/>
    <w:rsid w:val="00DF69F0"/>
    <w:rsid w:val="00DF6AB3"/>
    <w:rsid w:val="00DF6B9B"/>
    <w:rsid w:val="00DF6BDB"/>
    <w:rsid w:val="00DF6EF6"/>
    <w:rsid w:val="00DF704B"/>
    <w:rsid w:val="00DF718E"/>
    <w:rsid w:val="00DF74AD"/>
    <w:rsid w:val="00DF762A"/>
    <w:rsid w:val="00DF7BEE"/>
    <w:rsid w:val="00DF7C22"/>
    <w:rsid w:val="00DF7D84"/>
    <w:rsid w:val="00E0029C"/>
    <w:rsid w:val="00E0034E"/>
    <w:rsid w:val="00E00397"/>
    <w:rsid w:val="00E004BA"/>
    <w:rsid w:val="00E00881"/>
    <w:rsid w:val="00E00C71"/>
    <w:rsid w:val="00E00EAA"/>
    <w:rsid w:val="00E00FBA"/>
    <w:rsid w:val="00E0103C"/>
    <w:rsid w:val="00E01191"/>
    <w:rsid w:val="00E01638"/>
    <w:rsid w:val="00E016FC"/>
    <w:rsid w:val="00E01876"/>
    <w:rsid w:val="00E01934"/>
    <w:rsid w:val="00E019D6"/>
    <w:rsid w:val="00E01BF5"/>
    <w:rsid w:val="00E01C17"/>
    <w:rsid w:val="00E01C34"/>
    <w:rsid w:val="00E01CFE"/>
    <w:rsid w:val="00E01D4A"/>
    <w:rsid w:val="00E01ECD"/>
    <w:rsid w:val="00E01F29"/>
    <w:rsid w:val="00E01F39"/>
    <w:rsid w:val="00E01F5C"/>
    <w:rsid w:val="00E0234E"/>
    <w:rsid w:val="00E0240A"/>
    <w:rsid w:val="00E024F9"/>
    <w:rsid w:val="00E025AE"/>
    <w:rsid w:val="00E02709"/>
    <w:rsid w:val="00E0274F"/>
    <w:rsid w:val="00E02814"/>
    <w:rsid w:val="00E02C30"/>
    <w:rsid w:val="00E02D97"/>
    <w:rsid w:val="00E02EF3"/>
    <w:rsid w:val="00E02FD4"/>
    <w:rsid w:val="00E031B5"/>
    <w:rsid w:val="00E0339C"/>
    <w:rsid w:val="00E0348C"/>
    <w:rsid w:val="00E03615"/>
    <w:rsid w:val="00E0370D"/>
    <w:rsid w:val="00E03B06"/>
    <w:rsid w:val="00E03ED5"/>
    <w:rsid w:val="00E0432A"/>
    <w:rsid w:val="00E04430"/>
    <w:rsid w:val="00E04491"/>
    <w:rsid w:val="00E044AB"/>
    <w:rsid w:val="00E04B52"/>
    <w:rsid w:val="00E04BA2"/>
    <w:rsid w:val="00E0544E"/>
    <w:rsid w:val="00E05508"/>
    <w:rsid w:val="00E056C0"/>
    <w:rsid w:val="00E0583B"/>
    <w:rsid w:val="00E05873"/>
    <w:rsid w:val="00E05A10"/>
    <w:rsid w:val="00E05AD0"/>
    <w:rsid w:val="00E05D37"/>
    <w:rsid w:val="00E05E4E"/>
    <w:rsid w:val="00E060D9"/>
    <w:rsid w:val="00E061B1"/>
    <w:rsid w:val="00E06243"/>
    <w:rsid w:val="00E066DD"/>
    <w:rsid w:val="00E066FB"/>
    <w:rsid w:val="00E0676A"/>
    <w:rsid w:val="00E06853"/>
    <w:rsid w:val="00E068D6"/>
    <w:rsid w:val="00E06977"/>
    <w:rsid w:val="00E06C19"/>
    <w:rsid w:val="00E06E01"/>
    <w:rsid w:val="00E0713F"/>
    <w:rsid w:val="00E07169"/>
    <w:rsid w:val="00E071D5"/>
    <w:rsid w:val="00E07358"/>
    <w:rsid w:val="00E073EC"/>
    <w:rsid w:val="00E07828"/>
    <w:rsid w:val="00E0783F"/>
    <w:rsid w:val="00E07AF1"/>
    <w:rsid w:val="00E07E86"/>
    <w:rsid w:val="00E07F74"/>
    <w:rsid w:val="00E10256"/>
    <w:rsid w:val="00E102BB"/>
    <w:rsid w:val="00E10482"/>
    <w:rsid w:val="00E106BA"/>
    <w:rsid w:val="00E10975"/>
    <w:rsid w:val="00E109C1"/>
    <w:rsid w:val="00E10F2F"/>
    <w:rsid w:val="00E11220"/>
    <w:rsid w:val="00E11282"/>
    <w:rsid w:val="00E113FA"/>
    <w:rsid w:val="00E11602"/>
    <w:rsid w:val="00E11772"/>
    <w:rsid w:val="00E11807"/>
    <w:rsid w:val="00E11863"/>
    <w:rsid w:val="00E118AE"/>
    <w:rsid w:val="00E11BA4"/>
    <w:rsid w:val="00E11D0F"/>
    <w:rsid w:val="00E11D2C"/>
    <w:rsid w:val="00E11DF4"/>
    <w:rsid w:val="00E11E7D"/>
    <w:rsid w:val="00E11EDC"/>
    <w:rsid w:val="00E12076"/>
    <w:rsid w:val="00E12331"/>
    <w:rsid w:val="00E12373"/>
    <w:rsid w:val="00E124C4"/>
    <w:rsid w:val="00E124EF"/>
    <w:rsid w:val="00E127CC"/>
    <w:rsid w:val="00E12F0C"/>
    <w:rsid w:val="00E1318C"/>
    <w:rsid w:val="00E133C0"/>
    <w:rsid w:val="00E136BF"/>
    <w:rsid w:val="00E137F7"/>
    <w:rsid w:val="00E139F8"/>
    <w:rsid w:val="00E13C52"/>
    <w:rsid w:val="00E13D70"/>
    <w:rsid w:val="00E1405A"/>
    <w:rsid w:val="00E140C8"/>
    <w:rsid w:val="00E14629"/>
    <w:rsid w:val="00E14B3C"/>
    <w:rsid w:val="00E14E5F"/>
    <w:rsid w:val="00E15026"/>
    <w:rsid w:val="00E1540F"/>
    <w:rsid w:val="00E157D3"/>
    <w:rsid w:val="00E15A4F"/>
    <w:rsid w:val="00E15CC9"/>
    <w:rsid w:val="00E15DC1"/>
    <w:rsid w:val="00E15F4F"/>
    <w:rsid w:val="00E160FB"/>
    <w:rsid w:val="00E162A4"/>
    <w:rsid w:val="00E162D7"/>
    <w:rsid w:val="00E16404"/>
    <w:rsid w:val="00E16569"/>
    <w:rsid w:val="00E167E1"/>
    <w:rsid w:val="00E1681E"/>
    <w:rsid w:val="00E1688C"/>
    <w:rsid w:val="00E16DE0"/>
    <w:rsid w:val="00E170B9"/>
    <w:rsid w:val="00E172C5"/>
    <w:rsid w:val="00E172F2"/>
    <w:rsid w:val="00E176E0"/>
    <w:rsid w:val="00E17B37"/>
    <w:rsid w:val="00E17CD3"/>
    <w:rsid w:val="00E17E8E"/>
    <w:rsid w:val="00E2016B"/>
    <w:rsid w:val="00E20273"/>
    <w:rsid w:val="00E20744"/>
    <w:rsid w:val="00E2076E"/>
    <w:rsid w:val="00E20955"/>
    <w:rsid w:val="00E20995"/>
    <w:rsid w:val="00E20DCA"/>
    <w:rsid w:val="00E20E33"/>
    <w:rsid w:val="00E2160C"/>
    <w:rsid w:val="00E21877"/>
    <w:rsid w:val="00E21BEC"/>
    <w:rsid w:val="00E21C24"/>
    <w:rsid w:val="00E21DDF"/>
    <w:rsid w:val="00E21E98"/>
    <w:rsid w:val="00E220C6"/>
    <w:rsid w:val="00E22478"/>
    <w:rsid w:val="00E22665"/>
    <w:rsid w:val="00E226BB"/>
    <w:rsid w:val="00E229D3"/>
    <w:rsid w:val="00E22A9B"/>
    <w:rsid w:val="00E22B44"/>
    <w:rsid w:val="00E22D51"/>
    <w:rsid w:val="00E233E7"/>
    <w:rsid w:val="00E23804"/>
    <w:rsid w:val="00E23D54"/>
    <w:rsid w:val="00E23EFB"/>
    <w:rsid w:val="00E24039"/>
    <w:rsid w:val="00E24191"/>
    <w:rsid w:val="00E2430D"/>
    <w:rsid w:val="00E245C8"/>
    <w:rsid w:val="00E24621"/>
    <w:rsid w:val="00E24628"/>
    <w:rsid w:val="00E2473B"/>
    <w:rsid w:val="00E24799"/>
    <w:rsid w:val="00E2486C"/>
    <w:rsid w:val="00E24906"/>
    <w:rsid w:val="00E249AC"/>
    <w:rsid w:val="00E24FB5"/>
    <w:rsid w:val="00E251B0"/>
    <w:rsid w:val="00E25575"/>
    <w:rsid w:val="00E259F3"/>
    <w:rsid w:val="00E25C25"/>
    <w:rsid w:val="00E25E05"/>
    <w:rsid w:val="00E25EB2"/>
    <w:rsid w:val="00E26574"/>
    <w:rsid w:val="00E2659F"/>
    <w:rsid w:val="00E265EE"/>
    <w:rsid w:val="00E2671C"/>
    <w:rsid w:val="00E2676E"/>
    <w:rsid w:val="00E26810"/>
    <w:rsid w:val="00E26AD7"/>
    <w:rsid w:val="00E26DD0"/>
    <w:rsid w:val="00E2731D"/>
    <w:rsid w:val="00E276A9"/>
    <w:rsid w:val="00E278EC"/>
    <w:rsid w:val="00E27BAA"/>
    <w:rsid w:val="00E30029"/>
    <w:rsid w:val="00E30263"/>
    <w:rsid w:val="00E3042B"/>
    <w:rsid w:val="00E30499"/>
    <w:rsid w:val="00E305CE"/>
    <w:rsid w:val="00E308ED"/>
    <w:rsid w:val="00E30B4A"/>
    <w:rsid w:val="00E30B51"/>
    <w:rsid w:val="00E30B54"/>
    <w:rsid w:val="00E30B8E"/>
    <w:rsid w:val="00E30CAC"/>
    <w:rsid w:val="00E30E14"/>
    <w:rsid w:val="00E30E6D"/>
    <w:rsid w:val="00E31290"/>
    <w:rsid w:val="00E312AD"/>
    <w:rsid w:val="00E313C4"/>
    <w:rsid w:val="00E315CE"/>
    <w:rsid w:val="00E3166D"/>
    <w:rsid w:val="00E316EB"/>
    <w:rsid w:val="00E31973"/>
    <w:rsid w:val="00E320A9"/>
    <w:rsid w:val="00E3229F"/>
    <w:rsid w:val="00E32334"/>
    <w:rsid w:val="00E324BB"/>
    <w:rsid w:val="00E3258E"/>
    <w:rsid w:val="00E32686"/>
    <w:rsid w:val="00E326E0"/>
    <w:rsid w:val="00E32783"/>
    <w:rsid w:val="00E329B4"/>
    <w:rsid w:val="00E32A09"/>
    <w:rsid w:val="00E3303E"/>
    <w:rsid w:val="00E335CE"/>
    <w:rsid w:val="00E33928"/>
    <w:rsid w:val="00E33955"/>
    <w:rsid w:val="00E33982"/>
    <w:rsid w:val="00E339F0"/>
    <w:rsid w:val="00E33AD7"/>
    <w:rsid w:val="00E33C92"/>
    <w:rsid w:val="00E3428D"/>
    <w:rsid w:val="00E343BF"/>
    <w:rsid w:val="00E34453"/>
    <w:rsid w:val="00E344CB"/>
    <w:rsid w:val="00E34796"/>
    <w:rsid w:val="00E34B1D"/>
    <w:rsid w:val="00E34C59"/>
    <w:rsid w:val="00E34D8C"/>
    <w:rsid w:val="00E35247"/>
    <w:rsid w:val="00E354BA"/>
    <w:rsid w:val="00E354F3"/>
    <w:rsid w:val="00E3570C"/>
    <w:rsid w:val="00E35A9B"/>
    <w:rsid w:val="00E35C31"/>
    <w:rsid w:val="00E35E8B"/>
    <w:rsid w:val="00E360A3"/>
    <w:rsid w:val="00E36369"/>
    <w:rsid w:val="00E36ABB"/>
    <w:rsid w:val="00E36C03"/>
    <w:rsid w:val="00E37416"/>
    <w:rsid w:val="00E37424"/>
    <w:rsid w:val="00E375C1"/>
    <w:rsid w:val="00E376F9"/>
    <w:rsid w:val="00E37738"/>
    <w:rsid w:val="00E377E8"/>
    <w:rsid w:val="00E37821"/>
    <w:rsid w:val="00E37B7F"/>
    <w:rsid w:val="00E37D53"/>
    <w:rsid w:val="00E37F2E"/>
    <w:rsid w:val="00E40444"/>
    <w:rsid w:val="00E4062E"/>
    <w:rsid w:val="00E407EC"/>
    <w:rsid w:val="00E40EC2"/>
    <w:rsid w:val="00E415AE"/>
    <w:rsid w:val="00E415B1"/>
    <w:rsid w:val="00E416FC"/>
    <w:rsid w:val="00E41812"/>
    <w:rsid w:val="00E419D9"/>
    <w:rsid w:val="00E41A29"/>
    <w:rsid w:val="00E41D53"/>
    <w:rsid w:val="00E41E0A"/>
    <w:rsid w:val="00E4276B"/>
    <w:rsid w:val="00E427F0"/>
    <w:rsid w:val="00E42926"/>
    <w:rsid w:val="00E42B44"/>
    <w:rsid w:val="00E42B83"/>
    <w:rsid w:val="00E42BF5"/>
    <w:rsid w:val="00E42C88"/>
    <w:rsid w:val="00E42E28"/>
    <w:rsid w:val="00E42F09"/>
    <w:rsid w:val="00E4326D"/>
    <w:rsid w:val="00E43464"/>
    <w:rsid w:val="00E434A2"/>
    <w:rsid w:val="00E436A2"/>
    <w:rsid w:val="00E43A9B"/>
    <w:rsid w:val="00E43C11"/>
    <w:rsid w:val="00E44270"/>
    <w:rsid w:val="00E442E5"/>
    <w:rsid w:val="00E44472"/>
    <w:rsid w:val="00E44632"/>
    <w:rsid w:val="00E44C45"/>
    <w:rsid w:val="00E44E66"/>
    <w:rsid w:val="00E45121"/>
    <w:rsid w:val="00E451F6"/>
    <w:rsid w:val="00E45306"/>
    <w:rsid w:val="00E454F7"/>
    <w:rsid w:val="00E455F5"/>
    <w:rsid w:val="00E4567F"/>
    <w:rsid w:val="00E457A9"/>
    <w:rsid w:val="00E458D1"/>
    <w:rsid w:val="00E4593A"/>
    <w:rsid w:val="00E45A44"/>
    <w:rsid w:val="00E45CE7"/>
    <w:rsid w:val="00E45EF9"/>
    <w:rsid w:val="00E4606B"/>
    <w:rsid w:val="00E4615B"/>
    <w:rsid w:val="00E468DA"/>
    <w:rsid w:val="00E46910"/>
    <w:rsid w:val="00E46BDD"/>
    <w:rsid w:val="00E46CA6"/>
    <w:rsid w:val="00E46ED5"/>
    <w:rsid w:val="00E46FA4"/>
    <w:rsid w:val="00E4713F"/>
    <w:rsid w:val="00E471AF"/>
    <w:rsid w:val="00E4724F"/>
    <w:rsid w:val="00E472DB"/>
    <w:rsid w:val="00E475D8"/>
    <w:rsid w:val="00E47733"/>
    <w:rsid w:val="00E477EE"/>
    <w:rsid w:val="00E47A69"/>
    <w:rsid w:val="00E47A86"/>
    <w:rsid w:val="00E47C37"/>
    <w:rsid w:val="00E47D81"/>
    <w:rsid w:val="00E47E98"/>
    <w:rsid w:val="00E50316"/>
    <w:rsid w:val="00E505E6"/>
    <w:rsid w:val="00E5062F"/>
    <w:rsid w:val="00E50B87"/>
    <w:rsid w:val="00E50C35"/>
    <w:rsid w:val="00E50ECC"/>
    <w:rsid w:val="00E50F1A"/>
    <w:rsid w:val="00E5108A"/>
    <w:rsid w:val="00E5139A"/>
    <w:rsid w:val="00E5152B"/>
    <w:rsid w:val="00E51663"/>
    <w:rsid w:val="00E51919"/>
    <w:rsid w:val="00E5194E"/>
    <w:rsid w:val="00E519AC"/>
    <w:rsid w:val="00E51B02"/>
    <w:rsid w:val="00E51CE9"/>
    <w:rsid w:val="00E51CFA"/>
    <w:rsid w:val="00E521A6"/>
    <w:rsid w:val="00E5286B"/>
    <w:rsid w:val="00E5298F"/>
    <w:rsid w:val="00E52BFE"/>
    <w:rsid w:val="00E52CF0"/>
    <w:rsid w:val="00E52DF1"/>
    <w:rsid w:val="00E532C7"/>
    <w:rsid w:val="00E532DF"/>
    <w:rsid w:val="00E533EF"/>
    <w:rsid w:val="00E534E9"/>
    <w:rsid w:val="00E53559"/>
    <w:rsid w:val="00E5391B"/>
    <w:rsid w:val="00E53993"/>
    <w:rsid w:val="00E53D43"/>
    <w:rsid w:val="00E53D8D"/>
    <w:rsid w:val="00E53FCA"/>
    <w:rsid w:val="00E54077"/>
    <w:rsid w:val="00E545A6"/>
    <w:rsid w:val="00E54737"/>
    <w:rsid w:val="00E54B6F"/>
    <w:rsid w:val="00E54D00"/>
    <w:rsid w:val="00E54D73"/>
    <w:rsid w:val="00E55265"/>
    <w:rsid w:val="00E55361"/>
    <w:rsid w:val="00E5537A"/>
    <w:rsid w:val="00E553E5"/>
    <w:rsid w:val="00E55696"/>
    <w:rsid w:val="00E556D7"/>
    <w:rsid w:val="00E556F7"/>
    <w:rsid w:val="00E55952"/>
    <w:rsid w:val="00E55F40"/>
    <w:rsid w:val="00E56175"/>
    <w:rsid w:val="00E562EB"/>
    <w:rsid w:val="00E56347"/>
    <w:rsid w:val="00E56410"/>
    <w:rsid w:val="00E5649B"/>
    <w:rsid w:val="00E5670D"/>
    <w:rsid w:val="00E56786"/>
    <w:rsid w:val="00E56A1D"/>
    <w:rsid w:val="00E56B64"/>
    <w:rsid w:val="00E56E8B"/>
    <w:rsid w:val="00E571BB"/>
    <w:rsid w:val="00E57306"/>
    <w:rsid w:val="00E5731C"/>
    <w:rsid w:val="00E5733F"/>
    <w:rsid w:val="00E575B9"/>
    <w:rsid w:val="00E5772D"/>
    <w:rsid w:val="00E57870"/>
    <w:rsid w:val="00E578E3"/>
    <w:rsid w:val="00E57908"/>
    <w:rsid w:val="00E57AD3"/>
    <w:rsid w:val="00E57E47"/>
    <w:rsid w:val="00E57EE5"/>
    <w:rsid w:val="00E57F44"/>
    <w:rsid w:val="00E60147"/>
    <w:rsid w:val="00E603AA"/>
    <w:rsid w:val="00E603B9"/>
    <w:rsid w:val="00E60430"/>
    <w:rsid w:val="00E60681"/>
    <w:rsid w:val="00E60774"/>
    <w:rsid w:val="00E6086D"/>
    <w:rsid w:val="00E6091F"/>
    <w:rsid w:val="00E6092E"/>
    <w:rsid w:val="00E61176"/>
    <w:rsid w:val="00E612A4"/>
    <w:rsid w:val="00E616B9"/>
    <w:rsid w:val="00E6180D"/>
    <w:rsid w:val="00E61C6F"/>
    <w:rsid w:val="00E61D08"/>
    <w:rsid w:val="00E61D23"/>
    <w:rsid w:val="00E62157"/>
    <w:rsid w:val="00E62740"/>
    <w:rsid w:val="00E627D9"/>
    <w:rsid w:val="00E6284C"/>
    <w:rsid w:val="00E62C46"/>
    <w:rsid w:val="00E62C77"/>
    <w:rsid w:val="00E62F09"/>
    <w:rsid w:val="00E631AB"/>
    <w:rsid w:val="00E63322"/>
    <w:rsid w:val="00E634BC"/>
    <w:rsid w:val="00E634D5"/>
    <w:rsid w:val="00E6354A"/>
    <w:rsid w:val="00E63760"/>
    <w:rsid w:val="00E6383D"/>
    <w:rsid w:val="00E638A3"/>
    <w:rsid w:val="00E63AC6"/>
    <w:rsid w:val="00E63D8D"/>
    <w:rsid w:val="00E63E86"/>
    <w:rsid w:val="00E640FE"/>
    <w:rsid w:val="00E64B24"/>
    <w:rsid w:val="00E64BA5"/>
    <w:rsid w:val="00E64FFE"/>
    <w:rsid w:val="00E65134"/>
    <w:rsid w:val="00E652D3"/>
    <w:rsid w:val="00E655E8"/>
    <w:rsid w:val="00E6562A"/>
    <w:rsid w:val="00E65714"/>
    <w:rsid w:val="00E65A34"/>
    <w:rsid w:val="00E66431"/>
    <w:rsid w:val="00E664A8"/>
    <w:rsid w:val="00E666B9"/>
    <w:rsid w:val="00E667E1"/>
    <w:rsid w:val="00E6697E"/>
    <w:rsid w:val="00E66C2E"/>
    <w:rsid w:val="00E66C64"/>
    <w:rsid w:val="00E66C87"/>
    <w:rsid w:val="00E66D6C"/>
    <w:rsid w:val="00E66F4B"/>
    <w:rsid w:val="00E66F79"/>
    <w:rsid w:val="00E6707A"/>
    <w:rsid w:val="00E670DA"/>
    <w:rsid w:val="00E67128"/>
    <w:rsid w:val="00E6720D"/>
    <w:rsid w:val="00E679DF"/>
    <w:rsid w:val="00E67CBD"/>
    <w:rsid w:val="00E702B3"/>
    <w:rsid w:val="00E706CA"/>
    <w:rsid w:val="00E70F97"/>
    <w:rsid w:val="00E71076"/>
    <w:rsid w:val="00E71089"/>
    <w:rsid w:val="00E71360"/>
    <w:rsid w:val="00E71384"/>
    <w:rsid w:val="00E7141C"/>
    <w:rsid w:val="00E715D9"/>
    <w:rsid w:val="00E71839"/>
    <w:rsid w:val="00E71864"/>
    <w:rsid w:val="00E71C3A"/>
    <w:rsid w:val="00E71EB3"/>
    <w:rsid w:val="00E72040"/>
    <w:rsid w:val="00E721ED"/>
    <w:rsid w:val="00E72267"/>
    <w:rsid w:val="00E72270"/>
    <w:rsid w:val="00E72341"/>
    <w:rsid w:val="00E723C0"/>
    <w:rsid w:val="00E724CA"/>
    <w:rsid w:val="00E7256A"/>
    <w:rsid w:val="00E726E0"/>
    <w:rsid w:val="00E7277A"/>
    <w:rsid w:val="00E72A82"/>
    <w:rsid w:val="00E72EC7"/>
    <w:rsid w:val="00E73370"/>
    <w:rsid w:val="00E734C6"/>
    <w:rsid w:val="00E73635"/>
    <w:rsid w:val="00E738C8"/>
    <w:rsid w:val="00E73B6D"/>
    <w:rsid w:val="00E73D0B"/>
    <w:rsid w:val="00E73D4E"/>
    <w:rsid w:val="00E7419A"/>
    <w:rsid w:val="00E741FD"/>
    <w:rsid w:val="00E742E0"/>
    <w:rsid w:val="00E74435"/>
    <w:rsid w:val="00E745FC"/>
    <w:rsid w:val="00E7488B"/>
    <w:rsid w:val="00E74F0E"/>
    <w:rsid w:val="00E74F46"/>
    <w:rsid w:val="00E750C6"/>
    <w:rsid w:val="00E75236"/>
    <w:rsid w:val="00E75517"/>
    <w:rsid w:val="00E75588"/>
    <w:rsid w:val="00E758AD"/>
    <w:rsid w:val="00E75975"/>
    <w:rsid w:val="00E76165"/>
    <w:rsid w:val="00E762C9"/>
    <w:rsid w:val="00E76430"/>
    <w:rsid w:val="00E76AA2"/>
    <w:rsid w:val="00E76B02"/>
    <w:rsid w:val="00E76E17"/>
    <w:rsid w:val="00E770B8"/>
    <w:rsid w:val="00E77486"/>
    <w:rsid w:val="00E774A1"/>
    <w:rsid w:val="00E7766E"/>
    <w:rsid w:val="00E77AF4"/>
    <w:rsid w:val="00E77CCC"/>
    <w:rsid w:val="00E77D4E"/>
    <w:rsid w:val="00E77E54"/>
    <w:rsid w:val="00E77F8F"/>
    <w:rsid w:val="00E77FA1"/>
    <w:rsid w:val="00E80563"/>
    <w:rsid w:val="00E80666"/>
    <w:rsid w:val="00E80898"/>
    <w:rsid w:val="00E809E3"/>
    <w:rsid w:val="00E80AF8"/>
    <w:rsid w:val="00E80D9A"/>
    <w:rsid w:val="00E80DFF"/>
    <w:rsid w:val="00E81119"/>
    <w:rsid w:val="00E8119C"/>
    <w:rsid w:val="00E81328"/>
    <w:rsid w:val="00E818A2"/>
    <w:rsid w:val="00E81962"/>
    <w:rsid w:val="00E819E2"/>
    <w:rsid w:val="00E81AD5"/>
    <w:rsid w:val="00E81B0E"/>
    <w:rsid w:val="00E81B1A"/>
    <w:rsid w:val="00E81C3F"/>
    <w:rsid w:val="00E81D4C"/>
    <w:rsid w:val="00E82170"/>
    <w:rsid w:val="00E822EA"/>
    <w:rsid w:val="00E825A2"/>
    <w:rsid w:val="00E825E5"/>
    <w:rsid w:val="00E829CA"/>
    <w:rsid w:val="00E82B73"/>
    <w:rsid w:val="00E83F73"/>
    <w:rsid w:val="00E841C4"/>
    <w:rsid w:val="00E84215"/>
    <w:rsid w:val="00E842D7"/>
    <w:rsid w:val="00E844BE"/>
    <w:rsid w:val="00E846EE"/>
    <w:rsid w:val="00E84953"/>
    <w:rsid w:val="00E84AF2"/>
    <w:rsid w:val="00E84B38"/>
    <w:rsid w:val="00E84B4B"/>
    <w:rsid w:val="00E8509A"/>
    <w:rsid w:val="00E850E4"/>
    <w:rsid w:val="00E8529E"/>
    <w:rsid w:val="00E8555F"/>
    <w:rsid w:val="00E85EF4"/>
    <w:rsid w:val="00E85EF5"/>
    <w:rsid w:val="00E860BF"/>
    <w:rsid w:val="00E860D4"/>
    <w:rsid w:val="00E864A7"/>
    <w:rsid w:val="00E86561"/>
    <w:rsid w:val="00E865B3"/>
    <w:rsid w:val="00E86763"/>
    <w:rsid w:val="00E8693C"/>
    <w:rsid w:val="00E86B0A"/>
    <w:rsid w:val="00E86EF2"/>
    <w:rsid w:val="00E87278"/>
    <w:rsid w:val="00E873B2"/>
    <w:rsid w:val="00E874B0"/>
    <w:rsid w:val="00E875C5"/>
    <w:rsid w:val="00E87A2F"/>
    <w:rsid w:val="00E90405"/>
    <w:rsid w:val="00E904F8"/>
    <w:rsid w:val="00E90685"/>
    <w:rsid w:val="00E90986"/>
    <w:rsid w:val="00E90B49"/>
    <w:rsid w:val="00E90C5C"/>
    <w:rsid w:val="00E90CE0"/>
    <w:rsid w:val="00E90E58"/>
    <w:rsid w:val="00E910FF"/>
    <w:rsid w:val="00E911DC"/>
    <w:rsid w:val="00E914F1"/>
    <w:rsid w:val="00E91604"/>
    <w:rsid w:val="00E917AF"/>
    <w:rsid w:val="00E91860"/>
    <w:rsid w:val="00E91C12"/>
    <w:rsid w:val="00E91D45"/>
    <w:rsid w:val="00E91D92"/>
    <w:rsid w:val="00E91DA4"/>
    <w:rsid w:val="00E91E5B"/>
    <w:rsid w:val="00E91E6D"/>
    <w:rsid w:val="00E91F4B"/>
    <w:rsid w:val="00E921CE"/>
    <w:rsid w:val="00E9223D"/>
    <w:rsid w:val="00E92626"/>
    <w:rsid w:val="00E9290C"/>
    <w:rsid w:val="00E92B43"/>
    <w:rsid w:val="00E9308D"/>
    <w:rsid w:val="00E93368"/>
    <w:rsid w:val="00E9378E"/>
    <w:rsid w:val="00E937B6"/>
    <w:rsid w:val="00E9389C"/>
    <w:rsid w:val="00E9392C"/>
    <w:rsid w:val="00E9460B"/>
    <w:rsid w:val="00E94955"/>
    <w:rsid w:val="00E94A16"/>
    <w:rsid w:val="00E94B42"/>
    <w:rsid w:val="00E94D6D"/>
    <w:rsid w:val="00E94D85"/>
    <w:rsid w:val="00E94E50"/>
    <w:rsid w:val="00E94FC9"/>
    <w:rsid w:val="00E95205"/>
    <w:rsid w:val="00E954B7"/>
    <w:rsid w:val="00E95617"/>
    <w:rsid w:val="00E95723"/>
    <w:rsid w:val="00E9576F"/>
    <w:rsid w:val="00E95AA1"/>
    <w:rsid w:val="00E95B36"/>
    <w:rsid w:val="00E95BC1"/>
    <w:rsid w:val="00E95C93"/>
    <w:rsid w:val="00E95CEB"/>
    <w:rsid w:val="00E95F0C"/>
    <w:rsid w:val="00E95FD9"/>
    <w:rsid w:val="00E9619E"/>
    <w:rsid w:val="00E9637A"/>
    <w:rsid w:val="00E9655A"/>
    <w:rsid w:val="00E969E5"/>
    <w:rsid w:val="00E96A7D"/>
    <w:rsid w:val="00E96CCA"/>
    <w:rsid w:val="00E96E58"/>
    <w:rsid w:val="00E96FDB"/>
    <w:rsid w:val="00E9704E"/>
    <w:rsid w:val="00E97154"/>
    <w:rsid w:val="00E9746A"/>
    <w:rsid w:val="00E976AC"/>
    <w:rsid w:val="00E9776B"/>
    <w:rsid w:val="00E9785A"/>
    <w:rsid w:val="00E979B8"/>
    <w:rsid w:val="00E97A50"/>
    <w:rsid w:val="00E97C3D"/>
    <w:rsid w:val="00E97CF8"/>
    <w:rsid w:val="00E97E02"/>
    <w:rsid w:val="00EA0075"/>
    <w:rsid w:val="00EA0239"/>
    <w:rsid w:val="00EA059C"/>
    <w:rsid w:val="00EA080F"/>
    <w:rsid w:val="00EA0880"/>
    <w:rsid w:val="00EA107B"/>
    <w:rsid w:val="00EA13CA"/>
    <w:rsid w:val="00EA1504"/>
    <w:rsid w:val="00EA159D"/>
    <w:rsid w:val="00EA15D3"/>
    <w:rsid w:val="00EA1F1B"/>
    <w:rsid w:val="00EA2235"/>
    <w:rsid w:val="00EA2328"/>
    <w:rsid w:val="00EA23F6"/>
    <w:rsid w:val="00EA274B"/>
    <w:rsid w:val="00EA2A66"/>
    <w:rsid w:val="00EA2A96"/>
    <w:rsid w:val="00EA2AAE"/>
    <w:rsid w:val="00EA3144"/>
    <w:rsid w:val="00EA31C3"/>
    <w:rsid w:val="00EA32C1"/>
    <w:rsid w:val="00EA3414"/>
    <w:rsid w:val="00EA34A3"/>
    <w:rsid w:val="00EA350A"/>
    <w:rsid w:val="00EA3702"/>
    <w:rsid w:val="00EA38BD"/>
    <w:rsid w:val="00EA402F"/>
    <w:rsid w:val="00EA40A6"/>
    <w:rsid w:val="00EA4130"/>
    <w:rsid w:val="00EA41D7"/>
    <w:rsid w:val="00EA4232"/>
    <w:rsid w:val="00EA427A"/>
    <w:rsid w:val="00EA43AA"/>
    <w:rsid w:val="00EA43EE"/>
    <w:rsid w:val="00EA478E"/>
    <w:rsid w:val="00EA4A53"/>
    <w:rsid w:val="00EA4D40"/>
    <w:rsid w:val="00EA4D45"/>
    <w:rsid w:val="00EA4E90"/>
    <w:rsid w:val="00EA511A"/>
    <w:rsid w:val="00EA53FF"/>
    <w:rsid w:val="00EA5783"/>
    <w:rsid w:val="00EA58C0"/>
    <w:rsid w:val="00EA5AB7"/>
    <w:rsid w:val="00EA6104"/>
    <w:rsid w:val="00EA63C3"/>
    <w:rsid w:val="00EA64B8"/>
    <w:rsid w:val="00EA67C0"/>
    <w:rsid w:val="00EA6BA8"/>
    <w:rsid w:val="00EA7573"/>
    <w:rsid w:val="00EA764D"/>
    <w:rsid w:val="00EB0042"/>
    <w:rsid w:val="00EB0331"/>
    <w:rsid w:val="00EB04B5"/>
    <w:rsid w:val="00EB0920"/>
    <w:rsid w:val="00EB0B99"/>
    <w:rsid w:val="00EB0BE2"/>
    <w:rsid w:val="00EB0D73"/>
    <w:rsid w:val="00EB0E5A"/>
    <w:rsid w:val="00EB0F86"/>
    <w:rsid w:val="00EB10AC"/>
    <w:rsid w:val="00EB115C"/>
    <w:rsid w:val="00EB122D"/>
    <w:rsid w:val="00EB12F0"/>
    <w:rsid w:val="00EB136F"/>
    <w:rsid w:val="00EB1377"/>
    <w:rsid w:val="00EB14EE"/>
    <w:rsid w:val="00EB15DE"/>
    <w:rsid w:val="00EB15E5"/>
    <w:rsid w:val="00EB170C"/>
    <w:rsid w:val="00EB196F"/>
    <w:rsid w:val="00EB2114"/>
    <w:rsid w:val="00EB217A"/>
    <w:rsid w:val="00EB2792"/>
    <w:rsid w:val="00EB27DD"/>
    <w:rsid w:val="00EB286C"/>
    <w:rsid w:val="00EB2BA1"/>
    <w:rsid w:val="00EB2CAF"/>
    <w:rsid w:val="00EB3120"/>
    <w:rsid w:val="00EB34F1"/>
    <w:rsid w:val="00EB3850"/>
    <w:rsid w:val="00EB38A7"/>
    <w:rsid w:val="00EB3ADC"/>
    <w:rsid w:val="00EB3CE5"/>
    <w:rsid w:val="00EB3D4C"/>
    <w:rsid w:val="00EB3E4D"/>
    <w:rsid w:val="00EB45FF"/>
    <w:rsid w:val="00EB4731"/>
    <w:rsid w:val="00EB47C0"/>
    <w:rsid w:val="00EB4A21"/>
    <w:rsid w:val="00EB4A2B"/>
    <w:rsid w:val="00EB506B"/>
    <w:rsid w:val="00EB50A1"/>
    <w:rsid w:val="00EB5153"/>
    <w:rsid w:val="00EB5606"/>
    <w:rsid w:val="00EB5A12"/>
    <w:rsid w:val="00EB5A97"/>
    <w:rsid w:val="00EB5AB4"/>
    <w:rsid w:val="00EB5E7B"/>
    <w:rsid w:val="00EB616C"/>
    <w:rsid w:val="00EB6475"/>
    <w:rsid w:val="00EB6685"/>
    <w:rsid w:val="00EB6783"/>
    <w:rsid w:val="00EB67A7"/>
    <w:rsid w:val="00EB67A9"/>
    <w:rsid w:val="00EB69A1"/>
    <w:rsid w:val="00EB6A1C"/>
    <w:rsid w:val="00EB6A4A"/>
    <w:rsid w:val="00EB6D31"/>
    <w:rsid w:val="00EB6F3E"/>
    <w:rsid w:val="00EB729B"/>
    <w:rsid w:val="00EB79CC"/>
    <w:rsid w:val="00EB7A93"/>
    <w:rsid w:val="00EB7CE4"/>
    <w:rsid w:val="00EB7CF4"/>
    <w:rsid w:val="00EB7E25"/>
    <w:rsid w:val="00EC05C5"/>
    <w:rsid w:val="00EC06CC"/>
    <w:rsid w:val="00EC0797"/>
    <w:rsid w:val="00EC0CDD"/>
    <w:rsid w:val="00EC0DD4"/>
    <w:rsid w:val="00EC0F60"/>
    <w:rsid w:val="00EC0F7F"/>
    <w:rsid w:val="00EC1060"/>
    <w:rsid w:val="00EC1500"/>
    <w:rsid w:val="00EC15C3"/>
    <w:rsid w:val="00EC16F1"/>
    <w:rsid w:val="00EC1884"/>
    <w:rsid w:val="00EC1A84"/>
    <w:rsid w:val="00EC1BBD"/>
    <w:rsid w:val="00EC1E88"/>
    <w:rsid w:val="00EC2465"/>
    <w:rsid w:val="00EC246A"/>
    <w:rsid w:val="00EC25D8"/>
    <w:rsid w:val="00EC269A"/>
    <w:rsid w:val="00EC282D"/>
    <w:rsid w:val="00EC2B9D"/>
    <w:rsid w:val="00EC2DB6"/>
    <w:rsid w:val="00EC2E54"/>
    <w:rsid w:val="00EC327C"/>
    <w:rsid w:val="00EC3355"/>
    <w:rsid w:val="00EC33EA"/>
    <w:rsid w:val="00EC34EB"/>
    <w:rsid w:val="00EC3573"/>
    <w:rsid w:val="00EC3608"/>
    <w:rsid w:val="00EC3C0E"/>
    <w:rsid w:val="00EC3D0F"/>
    <w:rsid w:val="00EC3DF4"/>
    <w:rsid w:val="00EC3E8A"/>
    <w:rsid w:val="00EC3FFA"/>
    <w:rsid w:val="00EC4156"/>
    <w:rsid w:val="00EC419F"/>
    <w:rsid w:val="00EC42C6"/>
    <w:rsid w:val="00EC43D7"/>
    <w:rsid w:val="00EC4515"/>
    <w:rsid w:val="00EC4C88"/>
    <w:rsid w:val="00EC507E"/>
    <w:rsid w:val="00EC518D"/>
    <w:rsid w:val="00EC54F8"/>
    <w:rsid w:val="00EC5791"/>
    <w:rsid w:val="00EC57C4"/>
    <w:rsid w:val="00EC57C6"/>
    <w:rsid w:val="00EC5AEC"/>
    <w:rsid w:val="00EC5EC4"/>
    <w:rsid w:val="00EC61A8"/>
    <w:rsid w:val="00EC6220"/>
    <w:rsid w:val="00EC631A"/>
    <w:rsid w:val="00EC6440"/>
    <w:rsid w:val="00EC648E"/>
    <w:rsid w:val="00EC6834"/>
    <w:rsid w:val="00EC6C28"/>
    <w:rsid w:val="00EC6CFB"/>
    <w:rsid w:val="00EC6D0E"/>
    <w:rsid w:val="00EC6DAE"/>
    <w:rsid w:val="00EC6E5A"/>
    <w:rsid w:val="00EC6ED3"/>
    <w:rsid w:val="00EC70C1"/>
    <w:rsid w:val="00EC7113"/>
    <w:rsid w:val="00EC76F3"/>
    <w:rsid w:val="00EC77E1"/>
    <w:rsid w:val="00EC79FA"/>
    <w:rsid w:val="00ED00F5"/>
    <w:rsid w:val="00ED0221"/>
    <w:rsid w:val="00ED0257"/>
    <w:rsid w:val="00ED038D"/>
    <w:rsid w:val="00ED0494"/>
    <w:rsid w:val="00ED0557"/>
    <w:rsid w:val="00ED05D6"/>
    <w:rsid w:val="00ED060E"/>
    <w:rsid w:val="00ED0C55"/>
    <w:rsid w:val="00ED0C6F"/>
    <w:rsid w:val="00ED0D88"/>
    <w:rsid w:val="00ED102B"/>
    <w:rsid w:val="00ED1122"/>
    <w:rsid w:val="00ED13D1"/>
    <w:rsid w:val="00ED18E1"/>
    <w:rsid w:val="00ED1BE0"/>
    <w:rsid w:val="00ED1F33"/>
    <w:rsid w:val="00ED22D6"/>
    <w:rsid w:val="00ED233E"/>
    <w:rsid w:val="00ED25C3"/>
    <w:rsid w:val="00ED29F2"/>
    <w:rsid w:val="00ED2D3B"/>
    <w:rsid w:val="00ED2F26"/>
    <w:rsid w:val="00ED2FCC"/>
    <w:rsid w:val="00ED328F"/>
    <w:rsid w:val="00ED32EC"/>
    <w:rsid w:val="00ED333F"/>
    <w:rsid w:val="00ED38E9"/>
    <w:rsid w:val="00ED3940"/>
    <w:rsid w:val="00ED3E02"/>
    <w:rsid w:val="00ED3F32"/>
    <w:rsid w:val="00ED3FFC"/>
    <w:rsid w:val="00ED4714"/>
    <w:rsid w:val="00ED47FA"/>
    <w:rsid w:val="00ED4A94"/>
    <w:rsid w:val="00ED4ADC"/>
    <w:rsid w:val="00ED4B7C"/>
    <w:rsid w:val="00ED4C12"/>
    <w:rsid w:val="00ED4E12"/>
    <w:rsid w:val="00ED543F"/>
    <w:rsid w:val="00ED5646"/>
    <w:rsid w:val="00ED584D"/>
    <w:rsid w:val="00ED5B6F"/>
    <w:rsid w:val="00ED5DAE"/>
    <w:rsid w:val="00ED6170"/>
    <w:rsid w:val="00ED63D6"/>
    <w:rsid w:val="00ED6426"/>
    <w:rsid w:val="00ED6BFD"/>
    <w:rsid w:val="00ED6D00"/>
    <w:rsid w:val="00ED7218"/>
    <w:rsid w:val="00ED73AC"/>
    <w:rsid w:val="00ED73D8"/>
    <w:rsid w:val="00ED74EA"/>
    <w:rsid w:val="00ED7A00"/>
    <w:rsid w:val="00ED7A84"/>
    <w:rsid w:val="00ED7EA5"/>
    <w:rsid w:val="00ED7F28"/>
    <w:rsid w:val="00EE013A"/>
    <w:rsid w:val="00EE05CD"/>
    <w:rsid w:val="00EE07BE"/>
    <w:rsid w:val="00EE07D8"/>
    <w:rsid w:val="00EE08DC"/>
    <w:rsid w:val="00EE0AD3"/>
    <w:rsid w:val="00EE0EFF"/>
    <w:rsid w:val="00EE1046"/>
    <w:rsid w:val="00EE10A8"/>
    <w:rsid w:val="00EE1167"/>
    <w:rsid w:val="00EE122E"/>
    <w:rsid w:val="00EE136B"/>
    <w:rsid w:val="00EE13C0"/>
    <w:rsid w:val="00EE1581"/>
    <w:rsid w:val="00EE1901"/>
    <w:rsid w:val="00EE1A8D"/>
    <w:rsid w:val="00EE1BFD"/>
    <w:rsid w:val="00EE1CB2"/>
    <w:rsid w:val="00EE2121"/>
    <w:rsid w:val="00EE21C2"/>
    <w:rsid w:val="00EE2371"/>
    <w:rsid w:val="00EE28A4"/>
    <w:rsid w:val="00EE2D19"/>
    <w:rsid w:val="00EE2DFE"/>
    <w:rsid w:val="00EE2FE3"/>
    <w:rsid w:val="00EE339C"/>
    <w:rsid w:val="00EE3A11"/>
    <w:rsid w:val="00EE3A37"/>
    <w:rsid w:val="00EE3B97"/>
    <w:rsid w:val="00EE3FE1"/>
    <w:rsid w:val="00EE41A2"/>
    <w:rsid w:val="00EE421B"/>
    <w:rsid w:val="00EE4493"/>
    <w:rsid w:val="00EE484D"/>
    <w:rsid w:val="00EE4957"/>
    <w:rsid w:val="00EE4B3E"/>
    <w:rsid w:val="00EE50BE"/>
    <w:rsid w:val="00EE528F"/>
    <w:rsid w:val="00EE538E"/>
    <w:rsid w:val="00EE5A91"/>
    <w:rsid w:val="00EE5B3C"/>
    <w:rsid w:val="00EE5C60"/>
    <w:rsid w:val="00EE5F75"/>
    <w:rsid w:val="00EE60DF"/>
    <w:rsid w:val="00EE6185"/>
    <w:rsid w:val="00EE61E5"/>
    <w:rsid w:val="00EE63BE"/>
    <w:rsid w:val="00EE6A40"/>
    <w:rsid w:val="00EE7033"/>
    <w:rsid w:val="00EE7543"/>
    <w:rsid w:val="00EE7912"/>
    <w:rsid w:val="00EE79AF"/>
    <w:rsid w:val="00EE7CC9"/>
    <w:rsid w:val="00EE7EEC"/>
    <w:rsid w:val="00EE7FAF"/>
    <w:rsid w:val="00EF0287"/>
    <w:rsid w:val="00EF0799"/>
    <w:rsid w:val="00EF09CD"/>
    <w:rsid w:val="00EF0A7D"/>
    <w:rsid w:val="00EF0D6F"/>
    <w:rsid w:val="00EF0ECA"/>
    <w:rsid w:val="00EF13F5"/>
    <w:rsid w:val="00EF1774"/>
    <w:rsid w:val="00EF1973"/>
    <w:rsid w:val="00EF1C75"/>
    <w:rsid w:val="00EF1EB2"/>
    <w:rsid w:val="00EF2006"/>
    <w:rsid w:val="00EF22E9"/>
    <w:rsid w:val="00EF25F1"/>
    <w:rsid w:val="00EF26B5"/>
    <w:rsid w:val="00EF2722"/>
    <w:rsid w:val="00EF2A69"/>
    <w:rsid w:val="00EF2B93"/>
    <w:rsid w:val="00EF2FD5"/>
    <w:rsid w:val="00EF3020"/>
    <w:rsid w:val="00EF3144"/>
    <w:rsid w:val="00EF3192"/>
    <w:rsid w:val="00EF33FA"/>
    <w:rsid w:val="00EF3459"/>
    <w:rsid w:val="00EF3798"/>
    <w:rsid w:val="00EF38CA"/>
    <w:rsid w:val="00EF3AC6"/>
    <w:rsid w:val="00EF3B57"/>
    <w:rsid w:val="00EF3B95"/>
    <w:rsid w:val="00EF3D0D"/>
    <w:rsid w:val="00EF3E92"/>
    <w:rsid w:val="00EF3FBF"/>
    <w:rsid w:val="00EF3FF8"/>
    <w:rsid w:val="00EF4009"/>
    <w:rsid w:val="00EF40BE"/>
    <w:rsid w:val="00EF41F9"/>
    <w:rsid w:val="00EF42C1"/>
    <w:rsid w:val="00EF4420"/>
    <w:rsid w:val="00EF4B72"/>
    <w:rsid w:val="00EF4C6A"/>
    <w:rsid w:val="00EF4DC7"/>
    <w:rsid w:val="00EF5107"/>
    <w:rsid w:val="00EF542A"/>
    <w:rsid w:val="00EF5465"/>
    <w:rsid w:val="00EF549B"/>
    <w:rsid w:val="00EF54FE"/>
    <w:rsid w:val="00EF5B1B"/>
    <w:rsid w:val="00EF5CE4"/>
    <w:rsid w:val="00EF5E58"/>
    <w:rsid w:val="00EF5EEA"/>
    <w:rsid w:val="00EF5FAD"/>
    <w:rsid w:val="00EF60B3"/>
    <w:rsid w:val="00EF6294"/>
    <w:rsid w:val="00EF674C"/>
    <w:rsid w:val="00EF6805"/>
    <w:rsid w:val="00EF6B89"/>
    <w:rsid w:val="00EF6D11"/>
    <w:rsid w:val="00EF6D9B"/>
    <w:rsid w:val="00EF6E79"/>
    <w:rsid w:val="00EF6EAE"/>
    <w:rsid w:val="00EF6F93"/>
    <w:rsid w:val="00EF711F"/>
    <w:rsid w:val="00EF773A"/>
    <w:rsid w:val="00EF77A3"/>
    <w:rsid w:val="00EF782B"/>
    <w:rsid w:val="00EF7AAE"/>
    <w:rsid w:val="00EF7C82"/>
    <w:rsid w:val="00EF7CF2"/>
    <w:rsid w:val="00EF7F31"/>
    <w:rsid w:val="00F00204"/>
    <w:rsid w:val="00F00508"/>
    <w:rsid w:val="00F005B5"/>
    <w:rsid w:val="00F00B2E"/>
    <w:rsid w:val="00F015CF"/>
    <w:rsid w:val="00F01820"/>
    <w:rsid w:val="00F0191A"/>
    <w:rsid w:val="00F019CC"/>
    <w:rsid w:val="00F01C5B"/>
    <w:rsid w:val="00F01E0F"/>
    <w:rsid w:val="00F01E52"/>
    <w:rsid w:val="00F0228B"/>
    <w:rsid w:val="00F026C7"/>
    <w:rsid w:val="00F02794"/>
    <w:rsid w:val="00F0283A"/>
    <w:rsid w:val="00F029D9"/>
    <w:rsid w:val="00F02A17"/>
    <w:rsid w:val="00F02BCE"/>
    <w:rsid w:val="00F02C95"/>
    <w:rsid w:val="00F02D2B"/>
    <w:rsid w:val="00F02E42"/>
    <w:rsid w:val="00F0319D"/>
    <w:rsid w:val="00F03479"/>
    <w:rsid w:val="00F036BE"/>
    <w:rsid w:val="00F037D5"/>
    <w:rsid w:val="00F0389E"/>
    <w:rsid w:val="00F03904"/>
    <w:rsid w:val="00F03AFC"/>
    <w:rsid w:val="00F04157"/>
    <w:rsid w:val="00F042DC"/>
    <w:rsid w:val="00F04309"/>
    <w:rsid w:val="00F04409"/>
    <w:rsid w:val="00F046BD"/>
    <w:rsid w:val="00F04D63"/>
    <w:rsid w:val="00F04E40"/>
    <w:rsid w:val="00F04F1A"/>
    <w:rsid w:val="00F04FE5"/>
    <w:rsid w:val="00F05551"/>
    <w:rsid w:val="00F0575C"/>
    <w:rsid w:val="00F0576E"/>
    <w:rsid w:val="00F057C2"/>
    <w:rsid w:val="00F0584D"/>
    <w:rsid w:val="00F058E6"/>
    <w:rsid w:val="00F0598D"/>
    <w:rsid w:val="00F05B05"/>
    <w:rsid w:val="00F05B95"/>
    <w:rsid w:val="00F05C45"/>
    <w:rsid w:val="00F05E9E"/>
    <w:rsid w:val="00F05F9B"/>
    <w:rsid w:val="00F06090"/>
    <w:rsid w:val="00F0613F"/>
    <w:rsid w:val="00F061CD"/>
    <w:rsid w:val="00F062CB"/>
    <w:rsid w:val="00F063C3"/>
    <w:rsid w:val="00F065D7"/>
    <w:rsid w:val="00F066CC"/>
    <w:rsid w:val="00F06906"/>
    <w:rsid w:val="00F06C35"/>
    <w:rsid w:val="00F06DDD"/>
    <w:rsid w:val="00F0708B"/>
    <w:rsid w:val="00F07099"/>
    <w:rsid w:val="00F0720B"/>
    <w:rsid w:val="00F073BD"/>
    <w:rsid w:val="00F07415"/>
    <w:rsid w:val="00F07556"/>
    <w:rsid w:val="00F07966"/>
    <w:rsid w:val="00F07A90"/>
    <w:rsid w:val="00F07D2F"/>
    <w:rsid w:val="00F07D3E"/>
    <w:rsid w:val="00F10064"/>
    <w:rsid w:val="00F10106"/>
    <w:rsid w:val="00F102E0"/>
    <w:rsid w:val="00F10555"/>
    <w:rsid w:val="00F105EA"/>
    <w:rsid w:val="00F10693"/>
    <w:rsid w:val="00F106F9"/>
    <w:rsid w:val="00F10BC1"/>
    <w:rsid w:val="00F10FBB"/>
    <w:rsid w:val="00F1109A"/>
    <w:rsid w:val="00F11117"/>
    <w:rsid w:val="00F11181"/>
    <w:rsid w:val="00F111B8"/>
    <w:rsid w:val="00F112B0"/>
    <w:rsid w:val="00F1132F"/>
    <w:rsid w:val="00F11768"/>
    <w:rsid w:val="00F11D2C"/>
    <w:rsid w:val="00F11D55"/>
    <w:rsid w:val="00F11DC7"/>
    <w:rsid w:val="00F11E6E"/>
    <w:rsid w:val="00F11FA7"/>
    <w:rsid w:val="00F12541"/>
    <w:rsid w:val="00F127E5"/>
    <w:rsid w:val="00F1314C"/>
    <w:rsid w:val="00F13282"/>
    <w:rsid w:val="00F134DD"/>
    <w:rsid w:val="00F134E1"/>
    <w:rsid w:val="00F13572"/>
    <w:rsid w:val="00F13580"/>
    <w:rsid w:val="00F13586"/>
    <w:rsid w:val="00F137F6"/>
    <w:rsid w:val="00F138F3"/>
    <w:rsid w:val="00F1393D"/>
    <w:rsid w:val="00F13DD9"/>
    <w:rsid w:val="00F1413B"/>
    <w:rsid w:val="00F143EE"/>
    <w:rsid w:val="00F14435"/>
    <w:rsid w:val="00F1449F"/>
    <w:rsid w:val="00F146A6"/>
    <w:rsid w:val="00F147D7"/>
    <w:rsid w:val="00F148CB"/>
    <w:rsid w:val="00F149A6"/>
    <w:rsid w:val="00F14C45"/>
    <w:rsid w:val="00F14EAE"/>
    <w:rsid w:val="00F15233"/>
    <w:rsid w:val="00F153C5"/>
    <w:rsid w:val="00F156CB"/>
    <w:rsid w:val="00F15754"/>
    <w:rsid w:val="00F15B4D"/>
    <w:rsid w:val="00F15BDB"/>
    <w:rsid w:val="00F15E91"/>
    <w:rsid w:val="00F164D2"/>
    <w:rsid w:val="00F1650E"/>
    <w:rsid w:val="00F1664D"/>
    <w:rsid w:val="00F16681"/>
    <w:rsid w:val="00F16709"/>
    <w:rsid w:val="00F16726"/>
    <w:rsid w:val="00F168B8"/>
    <w:rsid w:val="00F1698F"/>
    <w:rsid w:val="00F16A63"/>
    <w:rsid w:val="00F16CA9"/>
    <w:rsid w:val="00F16E72"/>
    <w:rsid w:val="00F16F98"/>
    <w:rsid w:val="00F16FE5"/>
    <w:rsid w:val="00F17097"/>
    <w:rsid w:val="00F17160"/>
    <w:rsid w:val="00F17280"/>
    <w:rsid w:val="00F178F1"/>
    <w:rsid w:val="00F1792A"/>
    <w:rsid w:val="00F17BE9"/>
    <w:rsid w:val="00F17C97"/>
    <w:rsid w:val="00F17CC2"/>
    <w:rsid w:val="00F17CC6"/>
    <w:rsid w:val="00F17F93"/>
    <w:rsid w:val="00F20209"/>
    <w:rsid w:val="00F202DA"/>
    <w:rsid w:val="00F204B3"/>
    <w:rsid w:val="00F2064C"/>
    <w:rsid w:val="00F2075A"/>
    <w:rsid w:val="00F20779"/>
    <w:rsid w:val="00F208FF"/>
    <w:rsid w:val="00F20ACB"/>
    <w:rsid w:val="00F20B53"/>
    <w:rsid w:val="00F2105C"/>
    <w:rsid w:val="00F21116"/>
    <w:rsid w:val="00F212CF"/>
    <w:rsid w:val="00F21404"/>
    <w:rsid w:val="00F216FC"/>
    <w:rsid w:val="00F21856"/>
    <w:rsid w:val="00F21961"/>
    <w:rsid w:val="00F21A42"/>
    <w:rsid w:val="00F21BA6"/>
    <w:rsid w:val="00F21C97"/>
    <w:rsid w:val="00F21CE5"/>
    <w:rsid w:val="00F21EB1"/>
    <w:rsid w:val="00F21FF5"/>
    <w:rsid w:val="00F22035"/>
    <w:rsid w:val="00F22324"/>
    <w:rsid w:val="00F223BB"/>
    <w:rsid w:val="00F22567"/>
    <w:rsid w:val="00F22902"/>
    <w:rsid w:val="00F22A18"/>
    <w:rsid w:val="00F22D18"/>
    <w:rsid w:val="00F22FC5"/>
    <w:rsid w:val="00F22FD6"/>
    <w:rsid w:val="00F230B8"/>
    <w:rsid w:val="00F231CE"/>
    <w:rsid w:val="00F23350"/>
    <w:rsid w:val="00F235FB"/>
    <w:rsid w:val="00F236AA"/>
    <w:rsid w:val="00F23880"/>
    <w:rsid w:val="00F23B86"/>
    <w:rsid w:val="00F23E65"/>
    <w:rsid w:val="00F23EEE"/>
    <w:rsid w:val="00F23EF0"/>
    <w:rsid w:val="00F23F3C"/>
    <w:rsid w:val="00F241B7"/>
    <w:rsid w:val="00F24298"/>
    <w:rsid w:val="00F24407"/>
    <w:rsid w:val="00F24721"/>
    <w:rsid w:val="00F24AF5"/>
    <w:rsid w:val="00F24EDF"/>
    <w:rsid w:val="00F24FF6"/>
    <w:rsid w:val="00F250B8"/>
    <w:rsid w:val="00F2518E"/>
    <w:rsid w:val="00F25221"/>
    <w:rsid w:val="00F25240"/>
    <w:rsid w:val="00F253A3"/>
    <w:rsid w:val="00F25590"/>
    <w:rsid w:val="00F256BE"/>
    <w:rsid w:val="00F25A03"/>
    <w:rsid w:val="00F25D28"/>
    <w:rsid w:val="00F25E54"/>
    <w:rsid w:val="00F26137"/>
    <w:rsid w:val="00F26270"/>
    <w:rsid w:val="00F26385"/>
    <w:rsid w:val="00F26605"/>
    <w:rsid w:val="00F2678A"/>
    <w:rsid w:val="00F26B3D"/>
    <w:rsid w:val="00F26F8A"/>
    <w:rsid w:val="00F26FD9"/>
    <w:rsid w:val="00F271FA"/>
    <w:rsid w:val="00F271FF"/>
    <w:rsid w:val="00F27247"/>
    <w:rsid w:val="00F273A6"/>
    <w:rsid w:val="00F275B4"/>
    <w:rsid w:val="00F27843"/>
    <w:rsid w:val="00F27960"/>
    <w:rsid w:val="00F27A69"/>
    <w:rsid w:val="00F27D48"/>
    <w:rsid w:val="00F27DB0"/>
    <w:rsid w:val="00F300B1"/>
    <w:rsid w:val="00F3015E"/>
    <w:rsid w:val="00F3026A"/>
    <w:rsid w:val="00F30308"/>
    <w:rsid w:val="00F304B7"/>
    <w:rsid w:val="00F305F9"/>
    <w:rsid w:val="00F3062C"/>
    <w:rsid w:val="00F307B3"/>
    <w:rsid w:val="00F308F7"/>
    <w:rsid w:val="00F309B8"/>
    <w:rsid w:val="00F30A58"/>
    <w:rsid w:val="00F30BF7"/>
    <w:rsid w:val="00F30F77"/>
    <w:rsid w:val="00F313C5"/>
    <w:rsid w:val="00F3159E"/>
    <w:rsid w:val="00F3174C"/>
    <w:rsid w:val="00F31B8B"/>
    <w:rsid w:val="00F31E97"/>
    <w:rsid w:val="00F31EC4"/>
    <w:rsid w:val="00F320EE"/>
    <w:rsid w:val="00F322AB"/>
    <w:rsid w:val="00F32360"/>
    <w:rsid w:val="00F32A02"/>
    <w:rsid w:val="00F32D15"/>
    <w:rsid w:val="00F32E62"/>
    <w:rsid w:val="00F336E8"/>
    <w:rsid w:val="00F337A1"/>
    <w:rsid w:val="00F33885"/>
    <w:rsid w:val="00F33A43"/>
    <w:rsid w:val="00F33B35"/>
    <w:rsid w:val="00F33C12"/>
    <w:rsid w:val="00F33EC6"/>
    <w:rsid w:val="00F34042"/>
    <w:rsid w:val="00F3444B"/>
    <w:rsid w:val="00F34EC3"/>
    <w:rsid w:val="00F35162"/>
    <w:rsid w:val="00F35405"/>
    <w:rsid w:val="00F357BC"/>
    <w:rsid w:val="00F357D2"/>
    <w:rsid w:val="00F35A54"/>
    <w:rsid w:val="00F35CD9"/>
    <w:rsid w:val="00F35CDA"/>
    <w:rsid w:val="00F35EDB"/>
    <w:rsid w:val="00F361D0"/>
    <w:rsid w:val="00F364DF"/>
    <w:rsid w:val="00F3678D"/>
    <w:rsid w:val="00F36791"/>
    <w:rsid w:val="00F3680D"/>
    <w:rsid w:val="00F36C87"/>
    <w:rsid w:val="00F36E5C"/>
    <w:rsid w:val="00F36F59"/>
    <w:rsid w:val="00F372A1"/>
    <w:rsid w:val="00F373A0"/>
    <w:rsid w:val="00F376F4"/>
    <w:rsid w:val="00F37843"/>
    <w:rsid w:val="00F37996"/>
    <w:rsid w:val="00F40099"/>
    <w:rsid w:val="00F400D7"/>
    <w:rsid w:val="00F40275"/>
    <w:rsid w:val="00F403AF"/>
    <w:rsid w:val="00F40657"/>
    <w:rsid w:val="00F408EE"/>
    <w:rsid w:val="00F40BCB"/>
    <w:rsid w:val="00F40CF3"/>
    <w:rsid w:val="00F40EF9"/>
    <w:rsid w:val="00F4108D"/>
    <w:rsid w:val="00F41760"/>
    <w:rsid w:val="00F4185D"/>
    <w:rsid w:val="00F41869"/>
    <w:rsid w:val="00F41AE9"/>
    <w:rsid w:val="00F41C53"/>
    <w:rsid w:val="00F4226E"/>
    <w:rsid w:val="00F4256F"/>
    <w:rsid w:val="00F425C3"/>
    <w:rsid w:val="00F42F03"/>
    <w:rsid w:val="00F42F33"/>
    <w:rsid w:val="00F433F6"/>
    <w:rsid w:val="00F43494"/>
    <w:rsid w:val="00F43523"/>
    <w:rsid w:val="00F4356B"/>
    <w:rsid w:val="00F435A5"/>
    <w:rsid w:val="00F4377F"/>
    <w:rsid w:val="00F437BD"/>
    <w:rsid w:val="00F43965"/>
    <w:rsid w:val="00F439BC"/>
    <w:rsid w:val="00F439D2"/>
    <w:rsid w:val="00F43A9D"/>
    <w:rsid w:val="00F43E8B"/>
    <w:rsid w:val="00F44310"/>
    <w:rsid w:val="00F44345"/>
    <w:rsid w:val="00F446C5"/>
    <w:rsid w:val="00F448AC"/>
    <w:rsid w:val="00F44901"/>
    <w:rsid w:val="00F449F1"/>
    <w:rsid w:val="00F44A07"/>
    <w:rsid w:val="00F44B6D"/>
    <w:rsid w:val="00F44EC9"/>
    <w:rsid w:val="00F44FED"/>
    <w:rsid w:val="00F4561D"/>
    <w:rsid w:val="00F458C5"/>
    <w:rsid w:val="00F45975"/>
    <w:rsid w:val="00F459DA"/>
    <w:rsid w:val="00F45D1E"/>
    <w:rsid w:val="00F45DF5"/>
    <w:rsid w:val="00F4621D"/>
    <w:rsid w:val="00F468D3"/>
    <w:rsid w:val="00F46927"/>
    <w:rsid w:val="00F46C84"/>
    <w:rsid w:val="00F46D22"/>
    <w:rsid w:val="00F46D2A"/>
    <w:rsid w:val="00F46E85"/>
    <w:rsid w:val="00F47062"/>
    <w:rsid w:val="00F4717F"/>
    <w:rsid w:val="00F47276"/>
    <w:rsid w:val="00F4730D"/>
    <w:rsid w:val="00F4743B"/>
    <w:rsid w:val="00F4765B"/>
    <w:rsid w:val="00F47C0C"/>
    <w:rsid w:val="00F506AE"/>
    <w:rsid w:val="00F50ACE"/>
    <w:rsid w:val="00F50F7B"/>
    <w:rsid w:val="00F512E1"/>
    <w:rsid w:val="00F51302"/>
    <w:rsid w:val="00F51396"/>
    <w:rsid w:val="00F51B72"/>
    <w:rsid w:val="00F51C2E"/>
    <w:rsid w:val="00F51C95"/>
    <w:rsid w:val="00F51D4A"/>
    <w:rsid w:val="00F52239"/>
    <w:rsid w:val="00F5225A"/>
    <w:rsid w:val="00F52406"/>
    <w:rsid w:val="00F525A2"/>
    <w:rsid w:val="00F52A42"/>
    <w:rsid w:val="00F52A73"/>
    <w:rsid w:val="00F5331A"/>
    <w:rsid w:val="00F53485"/>
    <w:rsid w:val="00F536AA"/>
    <w:rsid w:val="00F536F4"/>
    <w:rsid w:val="00F539FB"/>
    <w:rsid w:val="00F53D00"/>
    <w:rsid w:val="00F54254"/>
    <w:rsid w:val="00F54498"/>
    <w:rsid w:val="00F5462F"/>
    <w:rsid w:val="00F5464B"/>
    <w:rsid w:val="00F547F2"/>
    <w:rsid w:val="00F5493B"/>
    <w:rsid w:val="00F54C72"/>
    <w:rsid w:val="00F55000"/>
    <w:rsid w:val="00F5563F"/>
    <w:rsid w:val="00F5579F"/>
    <w:rsid w:val="00F557C2"/>
    <w:rsid w:val="00F55811"/>
    <w:rsid w:val="00F55854"/>
    <w:rsid w:val="00F55A50"/>
    <w:rsid w:val="00F55A97"/>
    <w:rsid w:val="00F5609A"/>
    <w:rsid w:val="00F56320"/>
    <w:rsid w:val="00F563E8"/>
    <w:rsid w:val="00F5641B"/>
    <w:rsid w:val="00F566EB"/>
    <w:rsid w:val="00F56813"/>
    <w:rsid w:val="00F5686F"/>
    <w:rsid w:val="00F56F92"/>
    <w:rsid w:val="00F570BE"/>
    <w:rsid w:val="00F571D3"/>
    <w:rsid w:val="00F57225"/>
    <w:rsid w:val="00F575D7"/>
    <w:rsid w:val="00F5761B"/>
    <w:rsid w:val="00F57974"/>
    <w:rsid w:val="00F57DA3"/>
    <w:rsid w:val="00F57FDA"/>
    <w:rsid w:val="00F60403"/>
    <w:rsid w:val="00F6056D"/>
    <w:rsid w:val="00F60630"/>
    <w:rsid w:val="00F60A29"/>
    <w:rsid w:val="00F60CA1"/>
    <w:rsid w:val="00F60F15"/>
    <w:rsid w:val="00F60FD6"/>
    <w:rsid w:val="00F610A6"/>
    <w:rsid w:val="00F61482"/>
    <w:rsid w:val="00F61719"/>
    <w:rsid w:val="00F6180A"/>
    <w:rsid w:val="00F619FD"/>
    <w:rsid w:val="00F61C98"/>
    <w:rsid w:val="00F61CAD"/>
    <w:rsid w:val="00F61DD1"/>
    <w:rsid w:val="00F625B9"/>
    <w:rsid w:val="00F62ACC"/>
    <w:rsid w:val="00F62BAC"/>
    <w:rsid w:val="00F62DDB"/>
    <w:rsid w:val="00F62DF2"/>
    <w:rsid w:val="00F63565"/>
    <w:rsid w:val="00F63621"/>
    <w:rsid w:val="00F63799"/>
    <w:rsid w:val="00F63AD0"/>
    <w:rsid w:val="00F63D67"/>
    <w:rsid w:val="00F640B5"/>
    <w:rsid w:val="00F6427E"/>
    <w:rsid w:val="00F64584"/>
    <w:rsid w:val="00F6478B"/>
    <w:rsid w:val="00F6489A"/>
    <w:rsid w:val="00F64921"/>
    <w:rsid w:val="00F64A79"/>
    <w:rsid w:val="00F64FA9"/>
    <w:rsid w:val="00F6534F"/>
    <w:rsid w:val="00F656AD"/>
    <w:rsid w:val="00F65780"/>
    <w:rsid w:val="00F65B44"/>
    <w:rsid w:val="00F65C22"/>
    <w:rsid w:val="00F65F2B"/>
    <w:rsid w:val="00F66298"/>
    <w:rsid w:val="00F667D9"/>
    <w:rsid w:val="00F66C32"/>
    <w:rsid w:val="00F66DB1"/>
    <w:rsid w:val="00F67053"/>
    <w:rsid w:val="00F67069"/>
    <w:rsid w:val="00F675CB"/>
    <w:rsid w:val="00F67785"/>
    <w:rsid w:val="00F679F0"/>
    <w:rsid w:val="00F67C5A"/>
    <w:rsid w:val="00F67F3F"/>
    <w:rsid w:val="00F70110"/>
    <w:rsid w:val="00F7011F"/>
    <w:rsid w:val="00F70183"/>
    <w:rsid w:val="00F70436"/>
    <w:rsid w:val="00F70B3F"/>
    <w:rsid w:val="00F70CAA"/>
    <w:rsid w:val="00F70EC2"/>
    <w:rsid w:val="00F70F39"/>
    <w:rsid w:val="00F70FD0"/>
    <w:rsid w:val="00F711DA"/>
    <w:rsid w:val="00F716C1"/>
    <w:rsid w:val="00F71806"/>
    <w:rsid w:val="00F71868"/>
    <w:rsid w:val="00F718A1"/>
    <w:rsid w:val="00F71B9E"/>
    <w:rsid w:val="00F71DB8"/>
    <w:rsid w:val="00F71E9A"/>
    <w:rsid w:val="00F721A0"/>
    <w:rsid w:val="00F724AF"/>
    <w:rsid w:val="00F727D6"/>
    <w:rsid w:val="00F72C93"/>
    <w:rsid w:val="00F72CB5"/>
    <w:rsid w:val="00F72D06"/>
    <w:rsid w:val="00F72DF8"/>
    <w:rsid w:val="00F72F31"/>
    <w:rsid w:val="00F72F42"/>
    <w:rsid w:val="00F7307A"/>
    <w:rsid w:val="00F7350B"/>
    <w:rsid w:val="00F736F7"/>
    <w:rsid w:val="00F73A64"/>
    <w:rsid w:val="00F73AAB"/>
    <w:rsid w:val="00F73AD7"/>
    <w:rsid w:val="00F73B5A"/>
    <w:rsid w:val="00F73F82"/>
    <w:rsid w:val="00F73FE3"/>
    <w:rsid w:val="00F740EE"/>
    <w:rsid w:val="00F74886"/>
    <w:rsid w:val="00F74A58"/>
    <w:rsid w:val="00F74B4B"/>
    <w:rsid w:val="00F74BEE"/>
    <w:rsid w:val="00F74C4D"/>
    <w:rsid w:val="00F754C2"/>
    <w:rsid w:val="00F75843"/>
    <w:rsid w:val="00F75878"/>
    <w:rsid w:val="00F7601F"/>
    <w:rsid w:val="00F76079"/>
    <w:rsid w:val="00F7613D"/>
    <w:rsid w:val="00F76316"/>
    <w:rsid w:val="00F763D4"/>
    <w:rsid w:val="00F764D9"/>
    <w:rsid w:val="00F76938"/>
    <w:rsid w:val="00F76C3A"/>
    <w:rsid w:val="00F76D4D"/>
    <w:rsid w:val="00F77170"/>
    <w:rsid w:val="00F77498"/>
    <w:rsid w:val="00F77577"/>
    <w:rsid w:val="00F776A2"/>
    <w:rsid w:val="00F77A87"/>
    <w:rsid w:val="00F80866"/>
    <w:rsid w:val="00F80995"/>
    <w:rsid w:val="00F80A88"/>
    <w:rsid w:val="00F80CA1"/>
    <w:rsid w:val="00F80F6B"/>
    <w:rsid w:val="00F81858"/>
    <w:rsid w:val="00F81A1C"/>
    <w:rsid w:val="00F81BDC"/>
    <w:rsid w:val="00F81C4A"/>
    <w:rsid w:val="00F81DE5"/>
    <w:rsid w:val="00F81E65"/>
    <w:rsid w:val="00F820FE"/>
    <w:rsid w:val="00F823F5"/>
    <w:rsid w:val="00F8241C"/>
    <w:rsid w:val="00F824BE"/>
    <w:rsid w:val="00F824DC"/>
    <w:rsid w:val="00F825EE"/>
    <w:rsid w:val="00F826B5"/>
    <w:rsid w:val="00F82A68"/>
    <w:rsid w:val="00F82A9D"/>
    <w:rsid w:val="00F836E0"/>
    <w:rsid w:val="00F836FD"/>
    <w:rsid w:val="00F837A3"/>
    <w:rsid w:val="00F8386F"/>
    <w:rsid w:val="00F8399F"/>
    <w:rsid w:val="00F83A03"/>
    <w:rsid w:val="00F83CB7"/>
    <w:rsid w:val="00F83D29"/>
    <w:rsid w:val="00F83E2A"/>
    <w:rsid w:val="00F848F9"/>
    <w:rsid w:val="00F8514C"/>
    <w:rsid w:val="00F85561"/>
    <w:rsid w:val="00F85700"/>
    <w:rsid w:val="00F85840"/>
    <w:rsid w:val="00F85BB1"/>
    <w:rsid w:val="00F85CFA"/>
    <w:rsid w:val="00F85DFC"/>
    <w:rsid w:val="00F85EB7"/>
    <w:rsid w:val="00F85F71"/>
    <w:rsid w:val="00F86028"/>
    <w:rsid w:val="00F864B7"/>
    <w:rsid w:val="00F86646"/>
    <w:rsid w:val="00F8664F"/>
    <w:rsid w:val="00F86799"/>
    <w:rsid w:val="00F86C34"/>
    <w:rsid w:val="00F86F78"/>
    <w:rsid w:val="00F87236"/>
    <w:rsid w:val="00F87411"/>
    <w:rsid w:val="00F8775E"/>
    <w:rsid w:val="00F877FF"/>
    <w:rsid w:val="00F87CCC"/>
    <w:rsid w:val="00F87CF8"/>
    <w:rsid w:val="00F87DBA"/>
    <w:rsid w:val="00F902DB"/>
    <w:rsid w:val="00F904B5"/>
    <w:rsid w:val="00F9055A"/>
    <w:rsid w:val="00F909AA"/>
    <w:rsid w:val="00F910EF"/>
    <w:rsid w:val="00F91226"/>
    <w:rsid w:val="00F912A7"/>
    <w:rsid w:val="00F9134C"/>
    <w:rsid w:val="00F9143E"/>
    <w:rsid w:val="00F91500"/>
    <w:rsid w:val="00F9170B"/>
    <w:rsid w:val="00F9170D"/>
    <w:rsid w:val="00F91891"/>
    <w:rsid w:val="00F91A96"/>
    <w:rsid w:val="00F91B14"/>
    <w:rsid w:val="00F92020"/>
    <w:rsid w:val="00F920C9"/>
    <w:rsid w:val="00F924A3"/>
    <w:rsid w:val="00F92734"/>
    <w:rsid w:val="00F92B9F"/>
    <w:rsid w:val="00F92C8B"/>
    <w:rsid w:val="00F92EC1"/>
    <w:rsid w:val="00F92F5F"/>
    <w:rsid w:val="00F92FF6"/>
    <w:rsid w:val="00F93101"/>
    <w:rsid w:val="00F93393"/>
    <w:rsid w:val="00F935A7"/>
    <w:rsid w:val="00F93614"/>
    <w:rsid w:val="00F937CA"/>
    <w:rsid w:val="00F93824"/>
    <w:rsid w:val="00F93866"/>
    <w:rsid w:val="00F939E7"/>
    <w:rsid w:val="00F93B52"/>
    <w:rsid w:val="00F93D18"/>
    <w:rsid w:val="00F93D8D"/>
    <w:rsid w:val="00F93F47"/>
    <w:rsid w:val="00F9409A"/>
    <w:rsid w:val="00F9414B"/>
    <w:rsid w:val="00F941B1"/>
    <w:rsid w:val="00F94368"/>
    <w:rsid w:val="00F945EB"/>
    <w:rsid w:val="00F94753"/>
    <w:rsid w:val="00F9494C"/>
    <w:rsid w:val="00F949A6"/>
    <w:rsid w:val="00F94B43"/>
    <w:rsid w:val="00F94EC4"/>
    <w:rsid w:val="00F951BB"/>
    <w:rsid w:val="00F9559D"/>
    <w:rsid w:val="00F9560A"/>
    <w:rsid w:val="00F958D7"/>
    <w:rsid w:val="00F95958"/>
    <w:rsid w:val="00F959DA"/>
    <w:rsid w:val="00F95AE4"/>
    <w:rsid w:val="00F95E51"/>
    <w:rsid w:val="00F95E5A"/>
    <w:rsid w:val="00F960A9"/>
    <w:rsid w:val="00F962C0"/>
    <w:rsid w:val="00F962FC"/>
    <w:rsid w:val="00F964EE"/>
    <w:rsid w:val="00F965D3"/>
    <w:rsid w:val="00F96603"/>
    <w:rsid w:val="00F9660C"/>
    <w:rsid w:val="00F9689C"/>
    <w:rsid w:val="00F96A31"/>
    <w:rsid w:val="00F96A70"/>
    <w:rsid w:val="00F96E5E"/>
    <w:rsid w:val="00F96FB7"/>
    <w:rsid w:val="00F977B1"/>
    <w:rsid w:val="00F97A46"/>
    <w:rsid w:val="00F97A61"/>
    <w:rsid w:val="00F97F2D"/>
    <w:rsid w:val="00F97F63"/>
    <w:rsid w:val="00F97F96"/>
    <w:rsid w:val="00FA0025"/>
    <w:rsid w:val="00FA008D"/>
    <w:rsid w:val="00FA06F3"/>
    <w:rsid w:val="00FA07F2"/>
    <w:rsid w:val="00FA0840"/>
    <w:rsid w:val="00FA0B97"/>
    <w:rsid w:val="00FA0CC5"/>
    <w:rsid w:val="00FA15C8"/>
    <w:rsid w:val="00FA1783"/>
    <w:rsid w:val="00FA17BD"/>
    <w:rsid w:val="00FA1960"/>
    <w:rsid w:val="00FA198E"/>
    <w:rsid w:val="00FA1CE7"/>
    <w:rsid w:val="00FA20EA"/>
    <w:rsid w:val="00FA2194"/>
    <w:rsid w:val="00FA24C0"/>
    <w:rsid w:val="00FA26F5"/>
    <w:rsid w:val="00FA2A5C"/>
    <w:rsid w:val="00FA2A68"/>
    <w:rsid w:val="00FA2D86"/>
    <w:rsid w:val="00FA2E66"/>
    <w:rsid w:val="00FA33A5"/>
    <w:rsid w:val="00FA348C"/>
    <w:rsid w:val="00FA39D5"/>
    <w:rsid w:val="00FA3ADE"/>
    <w:rsid w:val="00FA3AF8"/>
    <w:rsid w:val="00FA3B29"/>
    <w:rsid w:val="00FA4A2A"/>
    <w:rsid w:val="00FA4A7F"/>
    <w:rsid w:val="00FA4AB3"/>
    <w:rsid w:val="00FA4F25"/>
    <w:rsid w:val="00FA50F4"/>
    <w:rsid w:val="00FA5360"/>
    <w:rsid w:val="00FA5AE8"/>
    <w:rsid w:val="00FA5CF7"/>
    <w:rsid w:val="00FA5E33"/>
    <w:rsid w:val="00FA6792"/>
    <w:rsid w:val="00FA6C0A"/>
    <w:rsid w:val="00FA721B"/>
    <w:rsid w:val="00FA734B"/>
    <w:rsid w:val="00FA7916"/>
    <w:rsid w:val="00FA7D4C"/>
    <w:rsid w:val="00FA7E3B"/>
    <w:rsid w:val="00FB00F9"/>
    <w:rsid w:val="00FB0143"/>
    <w:rsid w:val="00FB045F"/>
    <w:rsid w:val="00FB06FE"/>
    <w:rsid w:val="00FB0776"/>
    <w:rsid w:val="00FB096E"/>
    <w:rsid w:val="00FB0A85"/>
    <w:rsid w:val="00FB0AD8"/>
    <w:rsid w:val="00FB0C38"/>
    <w:rsid w:val="00FB0E89"/>
    <w:rsid w:val="00FB12DE"/>
    <w:rsid w:val="00FB16A9"/>
    <w:rsid w:val="00FB1AF4"/>
    <w:rsid w:val="00FB1B5C"/>
    <w:rsid w:val="00FB20E7"/>
    <w:rsid w:val="00FB224E"/>
    <w:rsid w:val="00FB24F0"/>
    <w:rsid w:val="00FB2826"/>
    <w:rsid w:val="00FB2AC3"/>
    <w:rsid w:val="00FB2BC2"/>
    <w:rsid w:val="00FB2D8E"/>
    <w:rsid w:val="00FB2E17"/>
    <w:rsid w:val="00FB2E47"/>
    <w:rsid w:val="00FB2EF5"/>
    <w:rsid w:val="00FB3260"/>
    <w:rsid w:val="00FB334F"/>
    <w:rsid w:val="00FB3460"/>
    <w:rsid w:val="00FB3478"/>
    <w:rsid w:val="00FB3802"/>
    <w:rsid w:val="00FB3854"/>
    <w:rsid w:val="00FB3B04"/>
    <w:rsid w:val="00FB4189"/>
    <w:rsid w:val="00FB4416"/>
    <w:rsid w:val="00FB483C"/>
    <w:rsid w:val="00FB4931"/>
    <w:rsid w:val="00FB494F"/>
    <w:rsid w:val="00FB4A82"/>
    <w:rsid w:val="00FB4AE3"/>
    <w:rsid w:val="00FB4AFE"/>
    <w:rsid w:val="00FB4C1F"/>
    <w:rsid w:val="00FB4CD1"/>
    <w:rsid w:val="00FB4CD2"/>
    <w:rsid w:val="00FB4D6C"/>
    <w:rsid w:val="00FB4DBB"/>
    <w:rsid w:val="00FB551B"/>
    <w:rsid w:val="00FB577D"/>
    <w:rsid w:val="00FB58D6"/>
    <w:rsid w:val="00FB5DC0"/>
    <w:rsid w:val="00FB5E1E"/>
    <w:rsid w:val="00FB5F97"/>
    <w:rsid w:val="00FB61C6"/>
    <w:rsid w:val="00FB6483"/>
    <w:rsid w:val="00FB64E9"/>
    <w:rsid w:val="00FB64FC"/>
    <w:rsid w:val="00FB67E1"/>
    <w:rsid w:val="00FB6ADE"/>
    <w:rsid w:val="00FB6B6B"/>
    <w:rsid w:val="00FB6C19"/>
    <w:rsid w:val="00FB6C5B"/>
    <w:rsid w:val="00FB6FDC"/>
    <w:rsid w:val="00FB71AD"/>
    <w:rsid w:val="00FB7266"/>
    <w:rsid w:val="00FB7337"/>
    <w:rsid w:val="00FB7622"/>
    <w:rsid w:val="00FB77C4"/>
    <w:rsid w:val="00FB7BCE"/>
    <w:rsid w:val="00FB7DA3"/>
    <w:rsid w:val="00FC014B"/>
    <w:rsid w:val="00FC0BFA"/>
    <w:rsid w:val="00FC0E36"/>
    <w:rsid w:val="00FC1023"/>
    <w:rsid w:val="00FC1381"/>
    <w:rsid w:val="00FC1561"/>
    <w:rsid w:val="00FC1725"/>
    <w:rsid w:val="00FC1ACA"/>
    <w:rsid w:val="00FC1D33"/>
    <w:rsid w:val="00FC1EA5"/>
    <w:rsid w:val="00FC1FFE"/>
    <w:rsid w:val="00FC2007"/>
    <w:rsid w:val="00FC208C"/>
    <w:rsid w:val="00FC227B"/>
    <w:rsid w:val="00FC236A"/>
    <w:rsid w:val="00FC244B"/>
    <w:rsid w:val="00FC2524"/>
    <w:rsid w:val="00FC26F6"/>
    <w:rsid w:val="00FC28B1"/>
    <w:rsid w:val="00FC2EB9"/>
    <w:rsid w:val="00FC3557"/>
    <w:rsid w:val="00FC3958"/>
    <w:rsid w:val="00FC3A39"/>
    <w:rsid w:val="00FC3B41"/>
    <w:rsid w:val="00FC3BED"/>
    <w:rsid w:val="00FC43D1"/>
    <w:rsid w:val="00FC4447"/>
    <w:rsid w:val="00FC45A5"/>
    <w:rsid w:val="00FC47DA"/>
    <w:rsid w:val="00FC4B5F"/>
    <w:rsid w:val="00FC4D65"/>
    <w:rsid w:val="00FC4F63"/>
    <w:rsid w:val="00FC565C"/>
    <w:rsid w:val="00FC5997"/>
    <w:rsid w:val="00FC5CA6"/>
    <w:rsid w:val="00FC5ECB"/>
    <w:rsid w:val="00FC6467"/>
    <w:rsid w:val="00FC65FD"/>
    <w:rsid w:val="00FC6D6F"/>
    <w:rsid w:val="00FC6DA3"/>
    <w:rsid w:val="00FC6FDC"/>
    <w:rsid w:val="00FC71A0"/>
    <w:rsid w:val="00FC749F"/>
    <w:rsid w:val="00FC7740"/>
    <w:rsid w:val="00FC78CF"/>
    <w:rsid w:val="00FC78FD"/>
    <w:rsid w:val="00FC7B20"/>
    <w:rsid w:val="00FC7C2E"/>
    <w:rsid w:val="00FD00AA"/>
    <w:rsid w:val="00FD0423"/>
    <w:rsid w:val="00FD05BA"/>
    <w:rsid w:val="00FD068A"/>
    <w:rsid w:val="00FD0C34"/>
    <w:rsid w:val="00FD0C68"/>
    <w:rsid w:val="00FD10EF"/>
    <w:rsid w:val="00FD11E3"/>
    <w:rsid w:val="00FD12C4"/>
    <w:rsid w:val="00FD13A6"/>
    <w:rsid w:val="00FD1585"/>
    <w:rsid w:val="00FD17F3"/>
    <w:rsid w:val="00FD1820"/>
    <w:rsid w:val="00FD18FE"/>
    <w:rsid w:val="00FD19D9"/>
    <w:rsid w:val="00FD19F8"/>
    <w:rsid w:val="00FD1B45"/>
    <w:rsid w:val="00FD2031"/>
    <w:rsid w:val="00FD20D6"/>
    <w:rsid w:val="00FD2393"/>
    <w:rsid w:val="00FD23FF"/>
    <w:rsid w:val="00FD249A"/>
    <w:rsid w:val="00FD2841"/>
    <w:rsid w:val="00FD2B80"/>
    <w:rsid w:val="00FD2B87"/>
    <w:rsid w:val="00FD2C71"/>
    <w:rsid w:val="00FD2CBC"/>
    <w:rsid w:val="00FD2CDF"/>
    <w:rsid w:val="00FD2E89"/>
    <w:rsid w:val="00FD3215"/>
    <w:rsid w:val="00FD36F9"/>
    <w:rsid w:val="00FD382C"/>
    <w:rsid w:val="00FD44D1"/>
    <w:rsid w:val="00FD45A6"/>
    <w:rsid w:val="00FD4775"/>
    <w:rsid w:val="00FD4992"/>
    <w:rsid w:val="00FD513A"/>
    <w:rsid w:val="00FD5518"/>
    <w:rsid w:val="00FD5D78"/>
    <w:rsid w:val="00FD5F7A"/>
    <w:rsid w:val="00FD5FA2"/>
    <w:rsid w:val="00FD6066"/>
    <w:rsid w:val="00FD747B"/>
    <w:rsid w:val="00FD7800"/>
    <w:rsid w:val="00FD795A"/>
    <w:rsid w:val="00FD7967"/>
    <w:rsid w:val="00FD79D1"/>
    <w:rsid w:val="00FD7CD7"/>
    <w:rsid w:val="00FD7DAB"/>
    <w:rsid w:val="00FE030E"/>
    <w:rsid w:val="00FE034C"/>
    <w:rsid w:val="00FE04D2"/>
    <w:rsid w:val="00FE0C25"/>
    <w:rsid w:val="00FE0C45"/>
    <w:rsid w:val="00FE0C87"/>
    <w:rsid w:val="00FE11F0"/>
    <w:rsid w:val="00FE14C7"/>
    <w:rsid w:val="00FE16E0"/>
    <w:rsid w:val="00FE18C1"/>
    <w:rsid w:val="00FE1AC3"/>
    <w:rsid w:val="00FE1EC3"/>
    <w:rsid w:val="00FE1FCE"/>
    <w:rsid w:val="00FE21B4"/>
    <w:rsid w:val="00FE2243"/>
    <w:rsid w:val="00FE23DD"/>
    <w:rsid w:val="00FE24FF"/>
    <w:rsid w:val="00FE2767"/>
    <w:rsid w:val="00FE27AE"/>
    <w:rsid w:val="00FE2935"/>
    <w:rsid w:val="00FE2AE0"/>
    <w:rsid w:val="00FE2B12"/>
    <w:rsid w:val="00FE2C17"/>
    <w:rsid w:val="00FE2C39"/>
    <w:rsid w:val="00FE2DE4"/>
    <w:rsid w:val="00FE32C3"/>
    <w:rsid w:val="00FE3496"/>
    <w:rsid w:val="00FE34B3"/>
    <w:rsid w:val="00FE376F"/>
    <w:rsid w:val="00FE3DFE"/>
    <w:rsid w:val="00FE3E6C"/>
    <w:rsid w:val="00FE3E9C"/>
    <w:rsid w:val="00FE40BE"/>
    <w:rsid w:val="00FE434D"/>
    <w:rsid w:val="00FE460C"/>
    <w:rsid w:val="00FE4649"/>
    <w:rsid w:val="00FE4727"/>
    <w:rsid w:val="00FE47AE"/>
    <w:rsid w:val="00FE4882"/>
    <w:rsid w:val="00FE4B98"/>
    <w:rsid w:val="00FE4C80"/>
    <w:rsid w:val="00FE4D0B"/>
    <w:rsid w:val="00FE4FA6"/>
    <w:rsid w:val="00FE5131"/>
    <w:rsid w:val="00FE5BEA"/>
    <w:rsid w:val="00FE5C60"/>
    <w:rsid w:val="00FE5C83"/>
    <w:rsid w:val="00FE62F4"/>
    <w:rsid w:val="00FE635B"/>
    <w:rsid w:val="00FE69B9"/>
    <w:rsid w:val="00FE69FD"/>
    <w:rsid w:val="00FE6DCC"/>
    <w:rsid w:val="00FE6DFE"/>
    <w:rsid w:val="00FE6E3E"/>
    <w:rsid w:val="00FE7097"/>
    <w:rsid w:val="00FE71D5"/>
    <w:rsid w:val="00FE71E9"/>
    <w:rsid w:val="00FE72B9"/>
    <w:rsid w:val="00FE736A"/>
    <w:rsid w:val="00FE73D6"/>
    <w:rsid w:val="00FE7484"/>
    <w:rsid w:val="00FE749D"/>
    <w:rsid w:val="00FE765D"/>
    <w:rsid w:val="00FE7899"/>
    <w:rsid w:val="00FE7A91"/>
    <w:rsid w:val="00FE7FAF"/>
    <w:rsid w:val="00FE7FCE"/>
    <w:rsid w:val="00FF01D7"/>
    <w:rsid w:val="00FF0406"/>
    <w:rsid w:val="00FF050E"/>
    <w:rsid w:val="00FF072F"/>
    <w:rsid w:val="00FF09F0"/>
    <w:rsid w:val="00FF0B21"/>
    <w:rsid w:val="00FF0CD4"/>
    <w:rsid w:val="00FF0D38"/>
    <w:rsid w:val="00FF0DA3"/>
    <w:rsid w:val="00FF0DC8"/>
    <w:rsid w:val="00FF0F14"/>
    <w:rsid w:val="00FF1589"/>
    <w:rsid w:val="00FF16F9"/>
    <w:rsid w:val="00FF196D"/>
    <w:rsid w:val="00FF1A4A"/>
    <w:rsid w:val="00FF1A4E"/>
    <w:rsid w:val="00FF1AD7"/>
    <w:rsid w:val="00FF1AF6"/>
    <w:rsid w:val="00FF1BFB"/>
    <w:rsid w:val="00FF1CBE"/>
    <w:rsid w:val="00FF2308"/>
    <w:rsid w:val="00FF230B"/>
    <w:rsid w:val="00FF24E7"/>
    <w:rsid w:val="00FF25EE"/>
    <w:rsid w:val="00FF2A14"/>
    <w:rsid w:val="00FF2EB5"/>
    <w:rsid w:val="00FF35B4"/>
    <w:rsid w:val="00FF35B8"/>
    <w:rsid w:val="00FF3733"/>
    <w:rsid w:val="00FF3DCC"/>
    <w:rsid w:val="00FF3E83"/>
    <w:rsid w:val="00FF3FB4"/>
    <w:rsid w:val="00FF3FF2"/>
    <w:rsid w:val="00FF421B"/>
    <w:rsid w:val="00FF43C9"/>
    <w:rsid w:val="00FF46FB"/>
    <w:rsid w:val="00FF48AB"/>
    <w:rsid w:val="00FF495B"/>
    <w:rsid w:val="00FF4EDC"/>
    <w:rsid w:val="00FF5004"/>
    <w:rsid w:val="00FF5257"/>
    <w:rsid w:val="00FF5373"/>
    <w:rsid w:val="00FF55B1"/>
    <w:rsid w:val="00FF5B53"/>
    <w:rsid w:val="00FF5BF7"/>
    <w:rsid w:val="00FF5F08"/>
    <w:rsid w:val="00FF5FFD"/>
    <w:rsid w:val="00FF61C4"/>
    <w:rsid w:val="00FF6658"/>
    <w:rsid w:val="00FF69D7"/>
    <w:rsid w:val="00FF6A8D"/>
    <w:rsid w:val="00FF6AC1"/>
    <w:rsid w:val="00FF6B9C"/>
    <w:rsid w:val="00FF6F6A"/>
    <w:rsid w:val="00FF6FAE"/>
    <w:rsid w:val="00FF7026"/>
    <w:rsid w:val="00FF7707"/>
    <w:rsid w:val="00FF7A56"/>
    <w:rsid w:val="00FF7D87"/>
    <w:rsid w:val="00FF7E3F"/>
    <w:rsid w:val="00FF7E88"/>
    <w:rsid w:val="00FF997E"/>
    <w:rsid w:val="0134C3D7"/>
    <w:rsid w:val="014803C7"/>
    <w:rsid w:val="014B3D71"/>
    <w:rsid w:val="014DCFC7"/>
    <w:rsid w:val="0163D105"/>
    <w:rsid w:val="01A63599"/>
    <w:rsid w:val="01AFD62B"/>
    <w:rsid w:val="01D20E63"/>
    <w:rsid w:val="01DC2853"/>
    <w:rsid w:val="0241EFA5"/>
    <w:rsid w:val="02457CE6"/>
    <w:rsid w:val="02541B28"/>
    <w:rsid w:val="02565AD3"/>
    <w:rsid w:val="02763D4C"/>
    <w:rsid w:val="027B3D60"/>
    <w:rsid w:val="02855CB8"/>
    <w:rsid w:val="02BECD26"/>
    <w:rsid w:val="02E6A80B"/>
    <w:rsid w:val="0326F8CF"/>
    <w:rsid w:val="0351A917"/>
    <w:rsid w:val="036DC226"/>
    <w:rsid w:val="038E4CB9"/>
    <w:rsid w:val="038E82A3"/>
    <w:rsid w:val="03A457EF"/>
    <w:rsid w:val="03A5DF58"/>
    <w:rsid w:val="03E39AEC"/>
    <w:rsid w:val="0424C719"/>
    <w:rsid w:val="0426E2FE"/>
    <w:rsid w:val="0426EB6C"/>
    <w:rsid w:val="043FF903"/>
    <w:rsid w:val="046DEE4F"/>
    <w:rsid w:val="050889B0"/>
    <w:rsid w:val="050C1C00"/>
    <w:rsid w:val="053F4B6A"/>
    <w:rsid w:val="05704B5E"/>
    <w:rsid w:val="0584A009"/>
    <w:rsid w:val="05AB5BDF"/>
    <w:rsid w:val="05DBB0B1"/>
    <w:rsid w:val="05DBD413"/>
    <w:rsid w:val="05E89298"/>
    <w:rsid w:val="06021584"/>
    <w:rsid w:val="0651E6AE"/>
    <w:rsid w:val="065EEA28"/>
    <w:rsid w:val="06725B67"/>
    <w:rsid w:val="068EB02C"/>
    <w:rsid w:val="0695BCD4"/>
    <w:rsid w:val="069AC57F"/>
    <w:rsid w:val="06CC51AA"/>
    <w:rsid w:val="06F34890"/>
    <w:rsid w:val="07088F77"/>
    <w:rsid w:val="0722D72B"/>
    <w:rsid w:val="07238703"/>
    <w:rsid w:val="078309E6"/>
    <w:rsid w:val="07A183D0"/>
    <w:rsid w:val="07AB4E75"/>
    <w:rsid w:val="07BC3A0C"/>
    <w:rsid w:val="07CF1EC8"/>
    <w:rsid w:val="07D1814C"/>
    <w:rsid w:val="07DBF39B"/>
    <w:rsid w:val="07E0FC35"/>
    <w:rsid w:val="07E51372"/>
    <w:rsid w:val="08B1FB58"/>
    <w:rsid w:val="08B93CB1"/>
    <w:rsid w:val="092FBFCA"/>
    <w:rsid w:val="093119D7"/>
    <w:rsid w:val="0981CCF9"/>
    <w:rsid w:val="09851585"/>
    <w:rsid w:val="098D1613"/>
    <w:rsid w:val="09AA4F15"/>
    <w:rsid w:val="09B8C5CE"/>
    <w:rsid w:val="09C12CA6"/>
    <w:rsid w:val="09C41FE4"/>
    <w:rsid w:val="09EF6369"/>
    <w:rsid w:val="0A065961"/>
    <w:rsid w:val="0A0922EB"/>
    <w:rsid w:val="0A188866"/>
    <w:rsid w:val="0A26BDA2"/>
    <w:rsid w:val="0A69F477"/>
    <w:rsid w:val="0ADA754F"/>
    <w:rsid w:val="0AF28110"/>
    <w:rsid w:val="0AF3AEB4"/>
    <w:rsid w:val="0AFE7878"/>
    <w:rsid w:val="0B0530D8"/>
    <w:rsid w:val="0B50D791"/>
    <w:rsid w:val="0B65BCC4"/>
    <w:rsid w:val="0B9D73E9"/>
    <w:rsid w:val="0BAC231A"/>
    <w:rsid w:val="0C90EF72"/>
    <w:rsid w:val="0CA3AE72"/>
    <w:rsid w:val="0CC5376B"/>
    <w:rsid w:val="0CEBEC16"/>
    <w:rsid w:val="0D75CD17"/>
    <w:rsid w:val="0D93864C"/>
    <w:rsid w:val="0D9864D2"/>
    <w:rsid w:val="0DA2A87E"/>
    <w:rsid w:val="0DB5B5B1"/>
    <w:rsid w:val="0DC91A7C"/>
    <w:rsid w:val="0E85DB5E"/>
    <w:rsid w:val="0EE2D66B"/>
    <w:rsid w:val="0F17BCD0"/>
    <w:rsid w:val="0F597EAF"/>
    <w:rsid w:val="0F65DE5C"/>
    <w:rsid w:val="0F832B94"/>
    <w:rsid w:val="0F9070F7"/>
    <w:rsid w:val="102A7472"/>
    <w:rsid w:val="1065745D"/>
    <w:rsid w:val="10890A1C"/>
    <w:rsid w:val="108F882F"/>
    <w:rsid w:val="10B611EB"/>
    <w:rsid w:val="10FD136C"/>
    <w:rsid w:val="1109D015"/>
    <w:rsid w:val="11157083"/>
    <w:rsid w:val="11262289"/>
    <w:rsid w:val="1158E3D5"/>
    <w:rsid w:val="1171E931"/>
    <w:rsid w:val="1181E2A9"/>
    <w:rsid w:val="11B440A2"/>
    <w:rsid w:val="11BB76D1"/>
    <w:rsid w:val="11D18282"/>
    <w:rsid w:val="1227F485"/>
    <w:rsid w:val="12346FAB"/>
    <w:rsid w:val="125F92C4"/>
    <w:rsid w:val="12C521F3"/>
    <w:rsid w:val="12C889A6"/>
    <w:rsid w:val="12D9BF39"/>
    <w:rsid w:val="13B56DB0"/>
    <w:rsid w:val="13E81056"/>
    <w:rsid w:val="1464FB1F"/>
    <w:rsid w:val="14A52DA1"/>
    <w:rsid w:val="14B25A50"/>
    <w:rsid w:val="14F71848"/>
    <w:rsid w:val="14FBEF56"/>
    <w:rsid w:val="150D1FE8"/>
    <w:rsid w:val="1535E0AA"/>
    <w:rsid w:val="157D19B0"/>
    <w:rsid w:val="15B11F1F"/>
    <w:rsid w:val="15F1AD6F"/>
    <w:rsid w:val="15F51180"/>
    <w:rsid w:val="16021DF5"/>
    <w:rsid w:val="161146AB"/>
    <w:rsid w:val="1612AF4E"/>
    <w:rsid w:val="1618DE98"/>
    <w:rsid w:val="164653EF"/>
    <w:rsid w:val="1670B8A8"/>
    <w:rsid w:val="16B88941"/>
    <w:rsid w:val="16C9BB37"/>
    <w:rsid w:val="16E8BC96"/>
    <w:rsid w:val="16EC9269"/>
    <w:rsid w:val="16ECB9B1"/>
    <w:rsid w:val="1723EB46"/>
    <w:rsid w:val="172D3E88"/>
    <w:rsid w:val="17852CF4"/>
    <w:rsid w:val="1786CEE3"/>
    <w:rsid w:val="17B062AE"/>
    <w:rsid w:val="17B87FCA"/>
    <w:rsid w:val="17CF8A23"/>
    <w:rsid w:val="181A3A4F"/>
    <w:rsid w:val="18322010"/>
    <w:rsid w:val="183DB74E"/>
    <w:rsid w:val="184349B3"/>
    <w:rsid w:val="185EA026"/>
    <w:rsid w:val="186A1437"/>
    <w:rsid w:val="18948000"/>
    <w:rsid w:val="18E6DB37"/>
    <w:rsid w:val="18F6956A"/>
    <w:rsid w:val="19020169"/>
    <w:rsid w:val="192A5260"/>
    <w:rsid w:val="1938A39F"/>
    <w:rsid w:val="196B9E7D"/>
    <w:rsid w:val="19849DB2"/>
    <w:rsid w:val="1992EB75"/>
    <w:rsid w:val="1A10DA79"/>
    <w:rsid w:val="1A218F0C"/>
    <w:rsid w:val="1A3218A8"/>
    <w:rsid w:val="1A5457E1"/>
    <w:rsid w:val="1A8C3C28"/>
    <w:rsid w:val="1AB6D3E6"/>
    <w:rsid w:val="1AC89D36"/>
    <w:rsid w:val="1B1F3F81"/>
    <w:rsid w:val="1B1FDF6F"/>
    <w:rsid w:val="1B219BC4"/>
    <w:rsid w:val="1B37BF71"/>
    <w:rsid w:val="1B4799D5"/>
    <w:rsid w:val="1B480DEA"/>
    <w:rsid w:val="1B57F02A"/>
    <w:rsid w:val="1B954E55"/>
    <w:rsid w:val="1B99498F"/>
    <w:rsid w:val="1BA4000D"/>
    <w:rsid w:val="1BB7943B"/>
    <w:rsid w:val="1BC473BF"/>
    <w:rsid w:val="1BC4EF6E"/>
    <w:rsid w:val="1BCDB3EE"/>
    <w:rsid w:val="1BDEE992"/>
    <w:rsid w:val="1BFB6311"/>
    <w:rsid w:val="1C0672EB"/>
    <w:rsid w:val="1C1F6AAC"/>
    <w:rsid w:val="1C8B30BA"/>
    <w:rsid w:val="1C8E3D26"/>
    <w:rsid w:val="1CA6EBC4"/>
    <w:rsid w:val="1CE36ABB"/>
    <w:rsid w:val="1CF94684"/>
    <w:rsid w:val="1D09A131"/>
    <w:rsid w:val="1D0B2A75"/>
    <w:rsid w:val="1D34105F"/>
    <w:rsid w:val="1D56370F"/>
    <w:rsid w:val="1D776CC2"/>
    <w:rsid w:val="1D88B349"/>
    <w:rsid w:val="1DCC1EDB"/>
    <w:rsid w:val="1DDDE5C6"/>
    <w:rsid w:val="1E029D7A"/>
    <w:rsid w:val="1E071052"/>
    <w:rsid w:val="1E481415"/>
    <w:rsid w:val="1E79F417"/>
    <w:rsid w:val="1E980165"/>
    <w:rsid w:val="1EF6F82C"/>
    <w:rsid w:val="1EFA9D20"/>
    <w:rsid w:val="1F027EAD"/>
    <w:rsid w:val="1F0C4862"/>
    <w:rsid w:val="1F1E168E"/>
    <w:rsid w:val="1F84D241"/>
    <w:rsid w:val="1FC1EBD8"/>
    <w:rsid w:val="1FC73CD9"/>
    <w:rsid w:val="1FD260C5"/>
    <w:rsid w:val="1FD4B936"/>
    <w:rsid w:val="200E6F64"/>
    <w:rsid w:val="201296A5"/>
    <w:rsid w:val="2026549F"/>
    <w:rsid w:val="2034FE42"/>
    <w:rsid w:val="20CBA777"/>
    <w:rsid w:val="20D0AC7D"/>
    <w:rsid w:val="20E61EA9"/>
    <w:rsid w:val="210CA942"/>
    <w:rsid w:val="211CD6F4"/>
    <w:rsid w:val="2149D324"/>
    <w:rsid w:val="21802EF3"/>
    <w:rsid w:val="219344EC"/>
    <w:rsid w:val="219ACF72"/>
    <w:rsid w:val="21CF540D"/>
    <w:rsid w:val="21DFEDCA"/>
    <w:rsid w:val="2215CD02"/>
    <w:rsid w:val="2238007B"/>
    <w:rsid w:val="224A60AF"/>
    <w:rsid w:val="225DA059"/>
    <w:rsid w:val="226395ED"/>
    <w:rsid w:val="2273A63C"/>
    <w:rsid w:val="2280C574"/>
    <w:rsid w:val="22A247EF"/>
    <w:rsid w:val="22DE5B7A"/>
    <w:rsid w:val="22FEE578"/>
    <w:rsid w:val="2333EC92"/>
    <w:rsid w:val="23347555"/>
    <w:rsid w:val="2342E826"/>
    <w:rsid w:val="238FEA75"/>
    <w:rsid w:val="23925F21"/>
    <w:rsid w:val="23F395A1"/>
    <w:rsid w:val="2443BE6C"/>
    <w:rsid w:val="24506474"/>
    <w:rsid w:val="24939A86"/>
    <w:rsid w:val="24DAF154"/>
    <w:rsid w:val="24E79D46"/>
    <w:rsid w:val="24F50054"/>
    <w:rsid w:val="252C3D65"/>
    <w:rsid w:val="255C5B2F"/>
    <w:rsid w:val="25805949"/>
    <w:rsid w:val="25E78B55"/>
    <w:rsid w:val="25EDF085"/>
    <w:rsid w:val="25F0C879"/>
    <w:rsid w:val="260485FC"/>
    <w:rsid w:val="260E1550"/>
    <w:rsid w:val="26529052"/>
    <w:rsid w:val="2694B5D6"/>
    <w:rsid w:val="26BC4892"/>
    <w:rsid w:val="26F070DB"/>
    <w:rsid w:val="27029D42"/>
    <w:rsid w:val="2745FD8B"/>
    <w:rsid w:val="277F3B90"/>
    <w:rsid w:val="27F6711C"/>
    <w:rsid w:val="27F9498B"/>
    <w:rsid w:val="2864F2C5"/>
    <w:rsid w:val="2886B48E"/>
    <w:rsid w:val="2889DCDE"/>
    <w:rsid w:val="28A7158A"/>
    <w:rsid w:val="28B78EBF"/>
    <w:rsid w:val="28CBAA56"/>
    <w:rsid w:val="28CDAA8A"/>
    <w:rsid w:val="29988350"/>
    <w:rsid w:val="29B1DBA4"/>
    <w:rsid w:val="29C770D1"/>
    <w:rsid w:val="29E0F59C"/>
    <w:rsid w:val="29EA3DD9"/>
    <w:rsid w:val="29EE11DD"/>
    <w:rsid w:val="29F23288"/>
    <w:rsid w:val="2A00886A"/>
    <w:rsid w:val="2A188F5E"/>
    <w:rsid w:val="2A1A2B6A"/>
    <w:rsid w:val="2A2412D3"/>
    <w:rsid w:val="2A6ED4D2"/>
    <w:rsid w:val="2B16CBA3"/>
    <w:rsid w:val="2B236C8C"/>
    <w:rsid w:val="2B2F9F49"/>
    <w:rsid w:val="2B351805"/>
    <w:rsid w:val="2B6F3793"/>
    <w:rsid w:val="2B77B676"/>
    <w:rsid w:val="2B9197F7"/>
    <w:rsid w:val="2B9D0487"/>
    <w:rsid w:val="2BA12501"/>
    <w:rsid w:val="2BBFD573"/>
    <w:rsid w:val="2BDDC10D"/>
    <w:rsid w:val="2BE567EC"/>
    <w:rsid w:val="2BEDCF59"/>
    <w:rsid w:val="2C202269"/>
    <w:rsid w:val="2C337211"/>
    <w:rsid w:val="2C434EC2"/>
    <w:rsid w:val="2C6CEF55"/>
    <w:rsid w:val="2CBEE9F3"/>
    <w:rsid w:val="2CFC9453"/>
    <w:rsid w:val="2D0480E1"/>
    <w:rsid w:val="2D104FE9"/>
    <w:rsid w:val="2D133401"/>
    <w:rsid w:val="2D1635EB"/>
    <w:rsid w:val="2D1C0853"/>
    <w:rsid w:val="2D407043"/>
    <w:rsid w:val="2D49EEC0"/>
    <w:rsid w:val="2D4E4C93"/>
    <w:rsid w:val="2D5C09F9"/>
    <w:rsid w:val="2DA98760"/>
    <w:rsid w:val="2DDF1BA9"/>
    <w:rsid w:val="2E0AF880"/>
    <w:rsid w:val="2E32EDCD"/>
    <w:rsid w:val="2E4C247B"/>
    <w:rsid w:val="2F0AD8CF"/>
    <w:rsid w:val="2F15BD36"/>
    <w:rsid w:val="2F325373"/>
    <w:rsid w:val="2FC1460C"/>
    <w:rsid w:val="2FC97A74"/>
    <w:rsid w:val="2FCCF616"/>
    <w:rsid w:val="2FD0314B"/>
    <w:rsid w:val="304B25EF"/>
    <w:rsid w:val="305ACF70"/>
    <w:rsid w:val="306CA2C0"/>
    <w:rsid w:val="3084831E"/>
    <w:rsid w:val="30A99E25"/>
    <w:rsid w:val="30BE7BDD"/>
    <w:rsid w:val="30C94C3B"/>
    <w:rsid w:val="30DEA114"/>
    <w:rsid w:val="30F0A5F0"/>
    <w:rsid w:val="31043286"/>
    <w:rsid w:val="310CE122"/>
    <w:rsid w:val="31221542"/>
    <w:rsid w:val="31432481"/>
    <w:rsid w:val="3154E777"/>
    <w:rsid w:val="3178CE91"/>
    <w:rsid w:val="31AC4F15"/>
    <w:rsid w:val="31B291E3"/>
    <w:rsid w:val="31BA9522"/>
    <w:rsid w:val="3216A248"/>
    <w:rsid w:val="32456446"/>
    <w:rsid w:val="32504065"/>
    <w:rsid w:val="3269626A"/>
    <w:rsid w:val="3281F9A1"/>
    <w:rsid w:val="32860CB4"/>
    <w:rsid w:val="32B8684A"/>
    <w:rsid w:val="32BAC61A"/>
    <w:rsid w:val="32CFB748"/>
    <w:rsid w:val="32E132EB"/>
    <w:rsid w:val="32EEDD54"/>
    <w:rsid w:val="3314B2BB"/>
    <w:rsid w:val="332F4698"/>
    <w:rsid w:val="333D4621"/>
    <w:rsid w:val="338981A9"/>
    <w:rsid w:val="3390E5D6"/>
    <w:rsid w:val="3391DC9A"/>
    <w:rsid w:val="33BBA4DE"/>
    <w:rsid w:val="33C5A2B1"/>
    <w:rsid w:val="33EC2A1E"/>
    <w:rsid w:val="3408FA75"/>
    <w:rsid w:val="3431691B"/>
    <w:rsid w:val="34BA7D5D"/>
    <w:rsid w:val="34CF347F"/>
    <w:rsid w:val="35146AA8"/>
    <w:rsid w:val="35401486"/>
    <w:rsid w:val="3550FE3C"/>
    <w:rsid w:val="3553ECFE"/>
    <w:rsid w:val="3571C7AD"/>
    <w:rsid w:val="357546E8"/>
    <w:rsid w:val="35DEEBF0"/>
    <w:rsid w:val="361540EE"/>
    <w:rsid w:val="36590D15"/>
    <w:rsid w:val="3675AED1"/>
    <w:rsid w:val="36898CB2"/>
    <w:rsid w:val="36F5EBF3"/>
    <w:rsid w:val="371BCFF5"/>
    <w:rsid w:val="37308495"/>
    <w:rsid w:val="376A6DB0"/>
    <w:rsid w:val="37910429"/>
    <w:rsid w:val="37D2E5B6"/>
    <w:rsid w:val="37E5CC53"/>
    <w:rsid w:val="384B70C6"/>
    <w:rsid w:val="384DE171"/>
    <w:rsid w:val="3851A3DF"/>
    <w:rsid w:val="3888A2BC"/>
    <w:rsid w:val="3890BD03"/>
    <w:rsid w:val="38AE655D"/>
    <w:rsid w:val="39397973"/>
    <w:rsid w:val="39629FA9"/>
    <w:rsid w:val="397B39A2"/>
    <w:rsid w:val="39DFB1C1"/>
    <w:rsid w:val="3A628C5B"/>
    <w:rsid w:val="3A6F7848"/>
    <w:rsid w:val="3A747F16"/>
    <w:rsid w:val="3AA443E5"/>
    <w:rsid w:val="3AA66C5E"/>
    <w:rsid w:val="3B173873"/>
    <w:rsid w:val="3B3A6B9E"/>
    <w:rsid w:val="3B3EF73E"/>
    <w:rsid w:val="3B41E40F"/>
    <w:rsid w:val="3B487A73"/>
    <w:rsid w:val="3B699A36"/>
    <w:rsid w:val="3BC4597C"/>
    <w:rsid w:val="3BD7B136"/>
    <w:rsid w:val="3C0B2E52"/>
    <w:rsid w:val="3C202335"/>
    <w:rsid w:val="3C66F050"/>
    <w:rsid w:val="3C6AA71D"/>
    <w:rsid w:val="3CC04B39"/>
    <w:rsid w:val="3CCDF09D"/>
    <w:rsid w:val="3CDF42EC"/>
    <w:rsid w:val="3D60DA38"/>
    <w:rsid w:val="3D8A1ED0"/>
    <w:rsid w:val="3DB6B633"/>
    <w:rsid w:val="3DC57A85"/>
    <w:rsid w:val="3DDB35EE"/>
    <w:rsid w:val="3DE70051"/>
    <w:rsid w:val="3E110AC5"/>
    <w:rsid w:val="3EB10557"/>
    <w:rsid w:val="3EEEC718"/>
    <w:rsid w:val="3F1148CE"/>
    <w:rsid w:val="3F59B329"/>
    <w:rsid w:val="3FA68A2E"/>
    <w:rsid w:val="3FE4179A"/>
    <w:rsid w:val="3FE6EE1F"/>
    <w:rsid w:val="3FF8BC72"/>
    <w:rsid w:val="40058DD9"/>
    <w:rsid w:val="4008ADDA"/>
    <w:rsid w:val="407442E7"/>
    <w:rsid w:val="408AB987"/>
    <w:rsid w:val="408EF2F1"/>
    <w:rsid w:val="40B93729"/>
    <w:rsid w:val="40EB9814"/>
    <w:rsid w:val="412E3A24"/>
    <w:rsid w:val="41369DE7"/>
    <w:rsid w:val="413C939D"/>
    <w:rsid w:val="415E80DA"/>
    <w:rsid w:val="41ECBAFD"/>
    <w:rsid w:val="41FE955C"/>
    <w:rsid w:val="42093C12"/>
    <w:rsid w:val="420C191C"/>
    <w:rsid w:val="423BED2D"/>
    <w:rsid w:val="4240EEFD"/>
    <w:rsid w:val="42FFB05E"/>
    <w:rsid w:val="430720EC"/>
    <w:rsid w:val="4313BDC9"/>
    <w:rsid w:val="432202E1"/>
    <w:rsid w:val="4335CAC9"/>
    <w:rsid w:val="439C709E"/>
    <w:rsid w:val="43B577F1"/>
    <w:rsid w:val="43E2F92A"/>
    <w:rsid w:val="44017DAD"/>
    <w:rsid w:val="44072A38"/>
    <w:rsid w:val="440E9F3F"/>
    <w:rsid w:val="4421F290"/>
    <w:rsid w:val="442DBC83"/>
    <w:rsid w:val="4454FD8F"/>
    <w:rsid w:val="448DCCA4"/>
    <w:rsid w:val="44A92E00"/>
    <w:rsid w:val="44AFE6A7"/>
    <w:rsid w:val="44B68AAF"/>
    <w:rsid w:val="44C38EA4"/>
    <w:rsid w:val="44E5CC3B"/>
    <w:rsid w:val="450F9CAE"/>
    <w:rsid w:val="451C083A"/>
    <w:rsid w:val="45331EBC"/>
    <w:rsid w:val="458B3BCF"/>
    <w:rsid w:val="45FC1A0C"/>
    <w:rsid w:val="46044C0F"/>
    <w:rsid w:val="460D8C84"/>
    <w:rsid w:val="4627E482"/>
    <w:rsid w:val="46376B56"/>
    <w:rsid w:val="46763780"/>
    <w:rsid w:val="467E15B6"/>
    <w:rsid w:val="46974C08"/>
    <w:rsid w:val="46A5D59A"/>
    <w:rsid w:val="46AF8C69"/>
    <w:rsid w:val="46B25BD5"/>
    <w:rsid w:val="46CDBA4B"/>
    <w:rsid w:val="46E879B4"/>
    <w:rsid w:val="4738B36B"/>
    <w:rsid w:val="473D0314"/>
    <w:rsid w:val="4764C5CD"/>
    <w:rsid w:val="47726016"/>
    <w:rsid w:val="47738147"/>
    <w:rsid w:val="478971F9"/>
    <w:rsid w:val="47FEF8F5"/>
    <w:rsid w:val="480ACCF5"/>
    <w:rsid w:val="484E5163"/>
    <w:rsid w:val="48905891"/>
    <w:rsid w:val="48BA228A"/>
    <w:rsid w:val="48C02E35"/>
    <w:rsid w:val="48E7FFC3"/>
    <w:rsid w:val="4917E216"/>
    <w:rsid w:val="492EA6BD"/>
    <w:rsid w:val="493A9380"/>
    <w:rsid w:val="49936D5E"/>
    <w:rsid w:val="499459A0"/>
    <w:rsid w:val="49947E83"/>
    <w:rsid w:val="49B5A333"/>
    <w:rsid w:val="49BC46E6"/>
    <w:rsid w:val="4A021BBA"/>
    <w:rsid w:val="4A095B20"/>
    <w:rsid w:val="4A0E5E99"/>
    <w:rsid w:val="4A2A9ACF"/>
    <w:rsid w:val="4A2B2C6E"/>
    <w:rsid w:val="4A2F0305"/>
    <w:rsid w:val="4A34FCB7"/>
    <w:rsid w:val="4A4354C6"/>
    <w:rsid w:val="4A45EBA7"/>
    <w:rsid w:val="4A514939"/>
    <w:rsid w:val="4A614AE0"/>
    <w:rsid w:val="4A615F92"/>
    <w:rsid w:val="4A66F2F5"/>
    <w:rsid w:val="4A82B473"/>
    <w:rsid w:val="4AE94346"/>
    <w:rsid w:val="4B157C22"/>
    <w:rsid w:val="4B913588"/>
    <w:rsid w:val="4B9F3336"/>
    <w:rsid w:val="4BCDF1E4"/>
    <w:rsid w:val="4BCE6C63"/>
    <w:rsid w:val="4BDED930"/>
    <w:rsid w:val="4BE12AF7"/>
    <w:rsid w:val="4BE9C303"/>
    <w:rsid w:val="4C095CF0"/>
    <w:rsid w:val="4C667D01"/>
    <w:rsid w:val="4C9C3C00"/>
    <w:rsid w:val="4CC798DC"/>
    <w:rsid w:val="4CCA4520"/>
    <w:rsid w:val="4CE405CC"/>
    <w:rsid w:val="4CEE66DA"/>
    <w:rsid w:val="4D3A107A"/>
    <w:rsid w:val="4D3F362F"/>
    <w:rsid w:val="4D8C4990"/>
    <w:rsid w:val="4DA9FA99"/>
    <w:rsid w:val="4DBB9A51"/>
    <w:rsid w:val="4E23AD34"/>
    <w:rsid w:val="4E690792"/>
    <w:rsid w:val="4E8BB92F"/>
    <w:rsid w:val="4E927E1C"/>
    <w:rsid w:val="4E940D90"/>
    <w:rsid w:val="4ED69596"/>
    <w:rsid w:val="4EFBC726"/>
    <w:rsid w:val="4F0B571A"/>
    <w:rsid w:val="4F1A4F42"/>
    <w:rsid w:val="4F363650"/>
    <w:rsid w:val="4F4002AC"/>
    <w:rsid w:val="4F6FAC43"/>
    <w:rsid w:val="4F79A3CF"/>
    <w:rsid w:val="4FDBE2F7"/>
    <w:rsid w:val="4FEBF24A"/>
    <w:rsid w:val="50036E1C"/>
    <w:rsid w:val="50274945"/>
    <w:rsid w:val="507F02C4"/>
    <w:rsid w:val="5101B9A8"/>
    <w:rsid w:val="511CE17B"/>
    <w:rsid w:val="5127483C"/>
    <w:rsid w:val="512A003F"/>
    <w:rsid w:val="51378910"/>
    <w:rsid w:val="51728312"/>
    <w:rsid w:val="51D2C728"/>
    <w:rsid w:val="51E11887"/>
    <w:rsid w:val="51E18696"/>
    <w:rsid w:val="51E3B7FD"/>
    <w:rsid w:val="51EBF2A5"/>
    <w:rsid w:val="52362F01"/>
    <w:rsid w:val="52607F11"/>
    <w:rsid w:val="52608427"/>
    <w:rsid w:val="5280316E"/>
    <w:rsid w:val="528647C9"/>
    <w:rsid w:val="5314A3A3"/>
    <w:rsid w:val="53328AC5"/>
    <w:rsid w:val="53A4CB77"/>
    <w:rsid w:val="53A58121"/>
    <w:rsid w:val="53BF98DE"/>
    <w:rsid w:val="53C521BF"/>
    <w:rsid w:val="53F4F8F7"/>
    <w:rsid w:val="53FF5E2A"/>
    <w:rsid w:val="5491E913"/>
    <w:rsid w:val="549503DC"/>
    <w:rsid w:val="549D33C6"/>
    <w:rsid w:val="54A749BE"/>
    <w:rsid w:val="551A9BCC"/>
    <w:rsid w:val="552CBD7C"/>
    <w:rsid w:val="55505A6D"/>
    <w:rsid w:val="556780BE"/>
    <w:rsid w:val="5568230E"/>
    <w:rsid w:val="558E118E"/>
    <w:rsid w:val="5594C631"/>
    <w:rsid w:val="55C74B05"/>
    <w:rsid w:val="5640A03A"/>
    <w:rsid w:val="56922B9C"/>
    <w:rsid w:val="56CF0F7C"/>
    <w:rsid w:val="56F709CE"/>
    <w:rsid w:val="56F9DABE"/>
    <w:rsid w:val="5723578B"/>
    <w:rsid w:val="5725027B"/>
    <w:rsid w:val="573EBD49"/>
    <w:rsid w:val="5795D753"/>
    <w:rsid w:val="5799D560"/>
    <w:rsid w:val="57ACC1C7"/>
    <w:rsid w:val="57DD1F67"/>
    <w:rsid w:val="57FCED40"/>
    <w:rsid w:val="580719AF"/>
    <w:rsid w:val="584121D3"/>
    <w:rsid w:val="58492A5E"/>
    <w:rsid w:val="58693243"/>
    <w:rsid w:val="5873465D"/>
    <w:rsid w:val="589DB85F"/>
    <w:rsid w:val="58B4AFD3"/>
    <w:rsid w:val="58D712C6"/>
    <w:rsid w:val="58F9783E"/>
    <w:rsid w:val="5905066A"/>
    <w:rsid w:val="592DBB4D"/>
    <w:rsid w:val="593A9F9F"/>
    <w:rsid w:val="593D6650"/>
    <w:rsid w:val="593E29EF"/>
    <w:rsid w:val="5975C800"/>
    <w:rsid w:val="59AD0417"/>
    <w:rsid w:val="59B373CB"/>
    <w:rsid w:val="59CB7B3A"/>
    <w:rsid w:val="59D5CF4C"/>
    <w:rsid w:val="59F8395F"/>
    <w:rsid w:val="59FFD66F"/>
    <w:rsid w:val="5A122EE5"/>
    <w:rsid w:val="5A49DB7B"/>
    <w:rsid w:val="5A8752C6"/>
    <w:rsid w:val="5AF032E2"/>
    <w:rsid w:val="5B21C975"/>
    <w:rsid w:val="5B437C7F"/>
    <w:rsid w:val="5B5760B0"/>
    <w:rsid w:val="5B5CA493"/>
    <w:rsid w:val="5B788B4C"/>
    <w:rsid w:val="5BACCC62"/>
    <w:rsid w:val="5BEDD260"/>
    <w:rsid w:val="5C101AFB"/>
    <w:rsid w:val="5C2DD614"/>
    <w:rsid w:val="5C52B928"/>
    <w:rsid w:val="5C605818"/>
    <w:rsid w:val="5CAA9AD2"/>
    <w:rsid w:val="5CCEB36A"/>
    <w:rsid w:val="5CFB752F"/>
    <w:rsid w:val="5D0FA60B"/>
    <w:rsid w:val="5D14472D"/>
    <w:rsid w:val="5D192BAC"/>
    <w:rsid w:val="5D355F1E"/>
    <w:rsid w:val="5D3B971D"/>
    <w:rsid w:val="5D9EEE3E"/>
    <w:rsid w:val="5DA6714D"/>
    <w:rsid w:val="5DBFE2EC"/>
    <w:rsid w:val="5DE7CE36"/>
    <w:rsid w:val="5DF26D3D"/>
    <w:rsid w:val="5E352025"/>
    <w:rsid w:val="5E39AC24"/>
    <w:rsid w:val="5E519B6D"/>
    <w:rsid w:val="5E764A71"/>
    <w:rsid w:val="5E9DC019"/>
    <w:rsid w:val="5EBD18A9"/>
    <w:rsid w:val="5EEA8FC6"/>
    <w:rsid w:val="5EF4A36E"/>
    <w:rsid w:val="5EF91447"/>
    <w:rsid w:val="5EFA4F43"/>
    <w:rsid w:val="5EFF3187"/>
    <w:rsid w:val="5F1D047D"/>
    <w:rsid w:val="5F2F5A99"/>
    <w:rsid w:val="5F3A3248"/>
    <w:rsid w:val="5F403D04"/>
    <w:rsid w:val="5F5195B0"/>
    <w:rsid w:val="5F59FC34"/>
    <w:rsid w:val="5FB86E0F"/>
    <w:rsid w:val="5FD1E168"/>
    <w:rsid w:val="605418BC"/>
    <w:rsid w:val="60BCF3D8"/>
    <w:rsid w:val="60DD0E07"/>
    <w:rsid w:val="60F9D5D4"/>
    <w:rsid w:val="6107BE8D"/>
    <w:rsid w:val="6131CACE"/>
    <w:rsid w:val="6161FD82"/>
    <w:rsid w:val="618975E3"/>
    <w:rsid w:val="6214C052"/>
    <w:rsid w:val="62506E25"/>
    <w:rsid w:val="62ECB235"/>
    <w:rsid w:val="62FFC86C"/>
    <w:rsid w:val="6312CA5E"/>
    <w:rsid w:val="63365415"/>
    <w:rsid w:val="633C9BD2"/>
    <w:rsid w:val="634706DF"/>
    <w:rsid w:val="63555D42"/>
    <w:rsid w:val="636620C0"/>
    <w:rsid w:val="637216A9"/>
    <w:rsid w:val="63C0EF72"/>
    <w:rsid w:val="63E718F3"/>
    <w:rsid w:val="6423F1B2"/>
    <w:rsid w:val="653808C1"/>
    <w:rsid w:val="654C07FC"/>
    <w:rsid w:val="6579B5EE"/>
    <w:rsid w:val="658B4509"/>
    <w:rsid w:val="658E0285"/>
    <w:rsid w:val="6594AA89"/>
    <w:rsid w:val="65C09744"/>
    <w:rsid w:val="65CD1741"/>
    <w:rsid w:val="65E0E345"/>
    <w:rsid w:val="65EEC7FD"/>
    <w:rsid w:val="66000A8C"/>
    <w:rsid w:val="6603AB3D"/>
    <w:rsid w:val="6611E652"/>
    <w:rsid w:val="662880DD"/>
    <w:rsid w:val="6698AFF6"/>
    <w:rsid w:val="66AFCFA2"/>
    <w:rsid w:val="66B26924"/>
    <w:rsid w:val="66D154AE"/>
    <w:rsid w:val="671271A0"/>
    <w:rsid w:val="672D2DD1"/>
    <w:rsid w:val="672DD7DE"/>
    <w:rsid w:val="67324514"/>
    <w:rsid w:val="6738541C"/>
    <w:rsid w:val="678DABBB"/>
    <w:rsid w:val="67BD2F3E"/>
    <w:rsid w:val="67D6EF80"/>
    <w:rsid w:val="67E62BB4"/>
    <w:rsid w:val="68099B2C"/>
    <w:rsid w:val="6826B4D7"/>
    <w:rsid w:val="683D0CBD"/>
    <w:rsid w:val="684ED88D"/>
    <w:rsid w:val="68799890"/>
    <w:rsid w:val="6885B608"/>
    <w:rsid w:val="689FB5C0"/>
    <w:rsid w:val="68DBDCE7"/>
    <w:rsid w:val="68F39885"/>
    <w:rsid w:val="6918BC94"/>
    <w:rsid w:val="6946AEA7"/>
    <w:rsid w:val="69472E5C"/>
    <w:rsid w:val="6955BD8D"/>
    <w:rsid w:val="69D6686A"/>
    <w:rsid w:val="69EEB043"/>
    <w:rsid w:val="6A36927C"/>
    <w:rsid w:val="6A46C3F0"/>
    <w:rsid w:val="6A672A59"/>
    <w:rsid w:val="6ABCA1BA"/>
    <w:rsid w:val="6AE61EE8"/>
    <w:rsid w:val="6B29AB96"/>
    <w:rsid w:val="6B2E395E"/>
    <w:rsid w:val="6B2F5FC6"/>
    <w:rsid w:val="6B532BA9"/>
    <w:rsid w:val="6B8C2B8D"/>
    <w:rsid w:val="6BBC386A"/>
    <w:rsid w:val="6BE4808C"/>
    <w:rsid w:val="6C09D25B"/>
    <w:rsid w:val="6C1AF384"/>
    <w:rsid w:val="6C1F1F9C"/>
    <w:rsid w:val="6C3017F2"/>
    <w:rsid w:val="6C81F174"/>
    <w:rsid w:val="6C82C79D"/>
    <w:rsid w:val="6CC3930B"/>
    <w:rsid w:val="6D03E960"/>
    <w:rsid w:val="6D757224"/>
    <w:rsid w:val="6DB58562"/>
    <w:rsid w:val="6DBF1A5E"/>
    <w:rsid w:val="6DEA0419"/>
    <w:rsid w:val="6DF73B60"/>
    <w:rsid w:val="6E69A04F"/>
    <w:rsid w:val="6E807A2B"/>
    <w:rsid w:val="6E9F0932"/>
    <w:rsid w:val="6EB3FB9D"/>
    <w:rsid w:val="6EC340F5"/>
    <w:rsid w:val="6EE97607"/>
    <w:rsid w:val="6EED3539"/>
    <w:rsid w:val="6EF4AAA8"/>
    <w:rsid w:val="6F6D6593"/>
    <w:rsid w:val="6F769406"/>
    <w:rsid w:val="6F81C3EA"/>
    <w:rsid w:val="6F923E54"/>
    <w:rsid w:val="6FA7FF22"/>
    <w:rsid w:val="6FE39513"/>
    <w:rsid w:val="6FEB89F9"/>
    <w:rsid w:val="6FFEF6B6"/>
    <w:rsid w:val="70213304"/>
    <w:rsid w:val="703077D7"/>
    <w:rsid w:val="70895CD7"/>
    <w:rsid w:val="70F2730B"/>
    <w:rsid w:val="7102B41B"/>
    <w:rsid w:val="710CE757"/>
    <w:rsid w:val="71244A46"/>
    <w:rsid w:val="7144871D"/>
    <w:rsid w:val="71726F97"/>
    <w:rsid w:val="718268BD"/>
    <w:rsid w:val="718616E6"/>
    <w:rsid w:val="718F6AFA"/>
    <w:rsid w:val="71932B66"/>
    <w:rsid w:val="71AC23B8"/>
    <w:rsid w:val="71B2250A"/>
    <w:rsid w:val="71DBBD32"/>
    <w:rsid w:val="71F3C3BC"/>
    <w:rsid w:val="71F5BECA"/>
    <w:rsid w:val="720C3046"/>
    <w:rsid w:val="721642A6"/>
    <w:rsid w:val="72258ED0"/>
    <w:rsid w:val="7225EB5E"/>
    <w:rsid w:val="72393AF8"/>
    <w:rsid w:val="723E20B8"/>
    <w:rsid w:val="7290A8AF"/>
    <w:rsid w:val="729DDACB"/>
    <w:rsid w:val="72B150A2"/>
    <w:rsid w:val="72EBEB64"/>
    <w:rsid w:val="730643B2"/>
    <w:rsid w:val="733BD93C"/>
    <w:rsid w:val="73450682"/>
    <w:rsid w:val="7358A1A8"/>
    <w:rsid w:val="7364A25E"/>
    <w:rsid w:val="738FAC97"/>
    <w:rsid w:val="7398CB20"/>
    <w:rsid w:val="73C999AA"/>
    <w:rsid w:val="73FBF1F2"/>
    <w:rsid w:val="741F2971"/>
    <w:rsid w:val="7476438D"/>
    <w:rsid w:val="747923AE"/>
    <w:rsid w:val="748F5FE2"/>
    <w:rsid w:val="74943BB9"/>
    <w:rsid w:val="74B32946"/>
    <w:rsid w:val="753E67E1"/>
    <w:rsid w:val="755FC2F7"/>
    <w:rsid w:val="75688DA2"/>
    <w:rsid w:val="75D948AC"/>
    <w:rsid w:val="75E580AC"/>
    <w:rsid w:val="761B4EC5"/>
    <w:rsid w:val="761DEEC8"/>
    <w:rsid w:val="761F790E"/>
    <w:rsid w:val="763E92DA"/>
    <w:rsid w:val="763FFA23"/>
    <w:rsid w:val="7688FA2C"/>
    <w:rsid w:val="769C77F3"/>
    <w:rsid w:val="76B7A026"/>
    <w:rsid w:val="76BB0A45"/>
    <w:rsid w:val="76C8D734"/>
    <w:rsid w:val="76D791DD"/>
    <w:rsid w:val="76DA8578"/>
    <w:rsid w:val="76E22747"/>
    <w:rsid w:val="77549DB7"/>
    <w:rsid w:val="776BCD32"/>
    <w:rsid w:val="7776CE62"/>
    <w:rsid w:val="77A1CFD5"/>
    <w:rsid w:val="77A70E29"/>
    <w:rsid w:val="77BED27F"/>
    <w:rsid w:val="77FFACF8"/>
    <w:rsid w:val="782E73E6"/>
    <w:rsid w:val="78394C23"/>
    <w:rsid w:val="78778251"/>
    <w:rsid w:val="78958DD1"/>
    <w:rsid w:val="78C4FD07"/>
    <w:rsid w:val="78D06EF1"/>
    <w:rsid w:val="78F2C612"/>
    <w:rsid w:val="78FC8B77"/>
    <w:rsid w:val="790390E3"/>
    <w:rsid w:val="791DA45A"/>
    <w:rsid w:val="79358D90"/>
    <w:rsid w:val="7939C50B"/>
    <w:rsid w:val="79411806"/>
    <w:rsid w:val="79637DFD"/>
    <w:rsid w:val="797E17B1"/>
    <w:rsid w:val="79A77054"/>
    <w:rsid w:val="79ADB9EB"/>
    <w:rsid w:val="7A0CC6ED"/>
    <w:rsid w:val="7A135068"/>
    <w:rsid w:val="7A2D71BE"/>
    <w:rsid w:val="7A50DCB0"/>
    <w:rsid w:val="7A684A31"/>
    <w:rsid w:val="7A6FF68F"/>
    <w:rsid w:val="7A79CE66"/>
    <w:rsid w:val="7A7F9154"/>
    <w:rsid w:val="7AA768FA"/>
    <w:rsid w:val="7AD41501"/>
    <w:rsid w:val="7B158E4C"/>
    <w:rsid w:val="7B18890A"/>
    <w:rsid w:val="7B6EEA95"/>
    <w:rsid w:val="7B8D174B"/>
    <w:rsid w:val="7B97EC41"/>
    <w:rsid w:val="7BA5CFDE"/>
    <w:rsid w:val="7BCB36CB"/>
    <w:rsid w:val="7BD7A1E7"/>
    <w:rsid w:val="7BD7D30C"/>
    <w:rsid w:val="7BE33254"/>
    <w:rsid w:val="7BEA404E"/>
    <w:rsid w:val="7BF11EED"/>
    <w:rsid w:val="7BFE8345"/>
    <w:rsid w:val="7C115137"/>
    <w:rsid w:val="7CAF723B"/>
    <w:rsid w:val="7CB20CF0"/>
    <w:rsid w:val="7CC214B8"/>
    <w:rsid w:val="7D223F51"/>
    <w:rsid w:val="7D4F123C"/>
    <w:rsid w:val="7D5C2712"/>
    <w:rsid w:val="7D726626"/>
    <w:rsid w:val="7D7F3D01"/>
    <w:rsid w:val="7DBAC8DE"/>
    <w:rsid w:val="7DE8E682"/>
    <w:rsid w:val="7DFB3EFF"/>
    <w:rsid w:val="7E05AE4A"/>
    <w:rsid w:val="7E10893D"/>
    <w:rsid w:val="7E4D82AB"/>
    <w:rsid w:val="7E94EEF8"/>
    <w:rsid w:val="7EBF48FC"/>
    <w:rsid w:val="7EF539E5"/>
    <w:rsid w:val="7F20112B"/>
    <w:rsid w:val="7F2D3133"/>
    <w:rsid w:val="7F3AB543"/>
    <w:rsid w:val="7FC0A05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5EEF7F"/>
  <w14:defaultImageDpi w14:val="32767"/>
  <w15:docId w15:val="{637E25AA-736D-4CED-A90C-3C98F3130C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E7702"/>
    <w:pPr>
      <w:tabs>
        <w:tab w:val="left" w:pos="567"/>
      </w:tabs>
      <w:spacing w:before="120" w:after="0" w:line="254" w:lineRule="auto"/>
    </w:pPr>
    <w:rPr>
      <w:rFonts w:ascii="Open Sans Light" w:hAnsi="Open Sans Light"/>
      <w:sz w:val="18"/>
    </w:rPr>
  </w:style>
  <w:style w:type="paragraph" w:styleId="Heading1">
    <w:name w:val="heading 1"/>
    <w:basedOn w:val="Normal"/>
    <w:next w:val="Normal"/>
    <w:link w:val="Heading1Char"/>
    <w:uiPriority w:val="9"/>
    <w:qFormat/>
    <w:rsid w:val="008D3548"/>
    <w:pPr>
      <w:tabs>
        <w:tab w:val="clear" w:pos="567"/>
      </w:tabs>
      <w:spacing w:before="360" w:after="200" w:line="276" w:lineRule="auto"/>
      <w:outlineLvl w:val="0"/>
    </w:pPr>
    <w:rPr>
      <w:rFonts w:ascii="Work Sans" w:eastAsia="Times New Roman" w:hAnsi="Work Sans" w:cs="Open Sans"/>
      <w:b/>
      <w:bCs/>
      <w:color w:val="006991"/>
      <w:sz w:val="40"/>
      <w:szCs w:val="40"/>
    </w:rPr>
  </w:style>
  <w:style w:type="paragraph" w:styleId="Heading2">
    <w:name w:val="heading 2"/>
    <w:aliases w:val="CGC 2025 Heading 2"/>
    <w:basedOn w:val="Normal"/>
    <w:next w:val="Heading3"/>
    <w:link w:val="Heading2Char"/>
    <w:uiPriority w:val="9"/>
    <w:qFormat/>
    <w:rsid w:val="008D3548"/>
    <w:pPr>
      <w:tabs>
        <w:tab w:val="clear" w:pos="567"/>
      </w:tabs>
      <w:spacing w:before="360" w:after="200" w:line="276" w:lineRule="auto"/>
      <w:outlineLvl w:val="1"/>
    </w:pPr>
    <w:rPr>
      <w:rFonts w:ascii="Work Sans" w:eastAsia="Times New Roman" w:hAnsi="Work Sans" w:cs="Open Sans"/>
      <w:b/>
      <w:bCs/>
      <w:color w:val="006991"/>
      <w:sz w:val="36"/>
      <w:szCs w:val="36"/>
    </w:rPr>
  </w:style>
  <w:style w:type="paragraph" w:styleId="Heading3">
    <w:name w:val="heading 3"/>
    <w:aliases w:val="CGC 2025 Heading 3"/>
    <w:basedOn w:val="Normal"/>
    <w:next w:val="Heading4"/>
    <w:link w:val="Heading3Char"/>
    <w:uiPriority w:val="9"/>
    <w:qFormat/>
    <w:rsid w:val="008D3548"/>
    <w:pPr>
      <w:tabs>
        <w:tab w:val="clear" w:pos="567"/>
      </w:tabs>
      <w:spacing w:before="240" w:after="200" w:line="276" w:lineRule="auto"/>
      <w:outlineLvl w:val="2"/>
    </w:pPr>
    <w:rPr>
      <w:rFonts w:ascii="Work Sans" w:eastAsia="Times New Roman" w:hAnsi="Work Sans" w:cs="Open Sans"/>
      <w:b/>
      <w:bCs/>
      <w:color w:val="006991"/>
      <w:sz w:val="28"/>
      <w:szCs w:val="28"/>
    </w:rPr>
  </w:style>
  <w:style w:type="paragraph" w:styleId="Heading4">
    <w:name w:val="heading 4"/>
    <w:aliases w:val="CGC 2025 Heading 4"/>
    <w:basedOn w:val="Normal"/>
    <w:next w:val="Heading5"/>
    <w:link w:val="Heading4Char"/>
    <w:uiPriority w:val="9"/>
    <w:qFormat/>
    <w:rsid w:val="008D3548"/>
    <w:pPr>
      <w:keepNext/>
      <w:widowControl w:val="0"/>
      <w:spacing w:before="240" w:line="240" w:lineRule="auto"/>
      <w:outlineLvl w:val="3"/>
    </w:pPr>
    <w:rPr>
      <w:rFonts w:ascii="Work Sans" w:eastAsiaTheme="majorEastAsia" w:hAnsi="Work Sans" w:cstheme="majorBidi"/>
      <w:b/>
      <w:bCs/>
      <w:iCs/>
      <w:color w:val="006991"/>
      <w:sz w:val="24"/>
    </w:rPr>
  </w:style>
  <w:style w:type="paragraph" w:styleId="Heading5">
    <w:name w:val="heading 5"/>
    <w:aliases w:val="CGC 2025 Heading 5"/>
    <w:basedOn w:val="Normal"/>
    <w:next w:val="Heading6"/>
    <w:link w:val="Heading5Char"/>
    <w:uiPriority w:val="9"/>
    <w:qFormat/>
    <w:rsid w:val="008D3548"/>
    <w:pPr>
      <w:keepNext/>
      <w:tabs>
        <w:tab w:val="clear" w:pos="567"/>
      </w:tabs>
      <w:outlineLvl w:val="4"/>
    </w:pPr>
    <w:rPr>
      <w:rFonts w:ascii="Montserrat Semi Bold" w:eastAsiaTheme="majorEastAsia" w:hAnsi="Montserrat Semi Bold" w:cstheme="majorBidi"/>
      <w:color w:val="636466"/>
    </w:rPr>
  </w:style>
  <w:style w:type="paragraph" w:styleId="Heading6">
    <w:name w:val="heading 6"/>
    <w:aliases w:val="(Not In Use), Section heading"/>
    <w:basedOn w:val="Normal"/>
    <w:next w:val="Normal"/>
    <w:link w:val="Heading6Char"/>
    <w:uiPriority w:val="9"/>
    <w:qFormat/>
    <w:rsid w:val="008D3548"/>
    <w:pPr>
      <w:keepNext/>
      <w:keepLines/>
      <w:outlineLvl w:val="5"/>
    </w:pPr>
    <w:rPr>
      <w:rFonts w:ascii="Montserrat Semi Bold" w:eastAsiaTheme="majorEastAsia" w:hAnsi="Montserrat Semi Bold" w:cstheme="majorBidi"/>
      <w:i/>
      <w:iCs/>
      <w:color w:val="636466"/>
    </w:rPr>
  </w:style>
  <w:style w:type="paragraph" w:styleId="Heading7">
    <w:name w:val="heading 7"/>
    <w:basedOn w:val="Normal"/>
    <w:next w:val="Normal"/>
    <w:link w:val="Heading7Char"/>
    <w:uiPriority w:val="9"/>
    <w:semiHidden/>
    <w:rsid w:val="008D3548"/>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aliases w:val="(Do not use),(Sub-section Nos)"/>
    <w:basedOn w:val="Normal"/>
    <w:next w:val="Normal"/>
    <w:semiHidden/>
    <w:rsid w:val="008D3548"/>
    <w:pPr>
      <w:numPr>
        <w:ilvl w:val="7"/>
        <w:numId w:val="1"/>
      </w:numPr>
      <w:spacing w:before="240" w:after="60"/>
      <w:outlineLvl w:val="7"/>
    </w:pPr>
    <w:rPr>
      <w:rFonts w:ascii="Arial" w:hAnsi="Arial"/>
      <w:i/>
      <w:szCs w:val="20"/>
    </w:rPr>
  </w:style>
  <w:style w:type="paragraph" w:styleId="Heading9">
    <w:name w:val="heading 9"/>
    <w:aliases w:val="Heading 9 (Do not use),(Subsubsection Nos)"/>
    <w:basedOn w:val="Normal"/>
    <w:next w:val="Normal"/>
    <w:semiHidden/>
    <w:rsid w:val="008D3548"/>
    <w:pPr>
      <w:numPr>
        <w:ilvl w:val="8"/>
        <w:numId w:val="1"/>
      </w:numPr>
      <w:spacing w:before="240" w:after="60"/>
      <w:outlineLvl w:val="8"/>
    </w:pPr>
    <w:rPr>
      <w:rFonts w:ascii="Arial" w:hAnsi="Arial"/>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GCTableheader">
    <w:name w:val="CGC Table header"/>
    <w:basedOn w:val="Normal"/>
    <w:next w:val="Normal"/>
    <w:rsid w:val="008D3548"/>
    <w:pPr>
      <w:tabs>
        <w:tab w:val="left" w:pos="680"/>
      </w:tabs>
      <w:spacing w:before="0" w:line="240" w:lineRule="auto"/>
      <w:jc w:val="right"/>
    </w:pPr>
    <w:rPr>
      <w:rFonts w:ascii="Open Sans" w:hAnsi="Open Sans"/>
      <w:b/>
      <w:color w:val="FFFFFF" w:themeColor="background1"/>
      <w:sz w:val="16"/>
      <w:lang w:val="en-US"/>
    </w:rPr>
  </w:style>
  <w:style w:type="paragraph" w:styleId="Caption">
    <w:name w:val="caption"/>
    <w:basedOn w:val="Normal"/>
    <w:next w:val="Normal"/>
    <w:link w:val="CaptionChar"/>
    <w:qFormat/>
    <w:rsid w:val="008D3548"/>
    <w:pPr>
      <w:keepNext/>
      <w:keepLines/>
      <w:tabs>
        <w:tab w:val="clear" w:pos="567"/>
        <w:tab w:val="left" w:pos="1134"/>
        <w:tab w:val="left" w:pos="1418"/>
      </w:tabs>
      <w:spacing w:before="240" w:after="120" w:line="240" w:lineRule="auto"/>
      <w:ind w:left="1134" w:hanging="1134"/>
    </w:pPr>
    <w:rPr>
      <w:rFonts w:ascii="Montserrat Ultra Light" w:hAnsi="Montserrat Ultra Light"/>
      <w:b/>
      <w:bCs/>
      <w:szCs w:val="20"/>
    </w:rPr>
  </w:style>
  <w:style w:type="paragraph" w:customStyle="1" w:styleId="CGCSubbulletlist">
    <w:name w:val="CGC Sub bullet list"/>
    <w:aliases w:val="CGC List 2"/>
    <w:basedOn w:val="Normal"/>
    <w:rsid w:val="008D3548"/>
    <w:pPr>
      <w:numPr>
        <w:numId w:val="2"/>
      </w:numPr>
      <w:tabs>
        <w:tab w:val="clear" w:pos="567"/>
        <w:tab w:val="clear" w:pos="927"/>
        <w:tab w:val="left" w:pos="1701"/>
      </w:tabs>
      <w:spacing w:line="300" w:lineRule="atLeast"/>
      <w:ind w:left="1701" w:hanging="567"/>
    </w:pPr>
    <w:rPr>
      <w:szCs w:val="20"/>
    </w:rPr>
  </w:style>
  <w:style w:type="paragraph" w:customStyle="1" w:styleId="CGCTableFootnote">
    <w:name w:val="CGC Table Footnote"/>
    <w:basedOn w:val="Normal"/>
    <w:next w:val="NoSpacing"/>
    <w:qFormat/>
    <w:rsid w:val="008D3548"/>
    <w:pPr>
      <w:tabs>
        <w:tab w:val="clear" w:pos="567"/>
        <w:tab w:val="left" w:pos="851"/>
      </w:tabs>
      <w:spacing w:before="0" w:line="240" w:lineRule="auto"/>
      <w:ind w:left="851" w:hanging="851"/>
    </w:pPr>
    <w:rPr>
      <w:szCs w:val="24"/>
    </w:rPr>
  </w:style>
  <w:style w:type="paragraph" w:customStyle="1" w:styleId="CGCTableHeading">
    <w:name w:val="CGC Table Heading"/>
    <w:basedOn w:val="Normal"/>
    <w:next w:val="Normal"/>
    <w:link w:val="CGCTableHeadingChar"/>
    <w:qFormat/>
    <w:rsid w:val="008D3548"/>
    <w:pPr>
      <w:keepNext/>
      <w:keepLines/>
      <w:tabs>
        <w:tab w:val="clear" w:pos="567"/>
        <w:tab w:val="left" w:pos="1134"/>
        <w:tab w:val="left" w:pos="1420"/>
      </w:tabs>
      <w:spacing w:before="240" w:after="120" w:line="240" w:lineRule="auto"/>
    </w:pPr>
    <w:rPr>
      <w:rFonts w:ascii="Montserrat Ultra Light" w:hAnsi="Montserrat Ultra Light"/>
      <w:b/>
      <w:szCs w:val="20"/>
    </w:rPr>
  </w:style>
  <w:style w:type="paragraph" w:styleId="DocumentMap">
    <w:name w:val="Document Map"/>
    <w:basedOn w:val="Normal"/>
    <w:rsid w:val="008D3548"/>
    <w:pPr>
      <w:shd w:val="clear" w:color="auto" w:fill="000080"/>
    </w:pPr>
    <w:rPr>
      <w:rFonts w:ascii="Tahoma" w:hAnsi="Tahoma" w:cs="Tahoma"/>
      <w:szCs w:val="20"/>
    </w:rPr>
  </w:style>
  <w:style w:type="paragraph" w:styleId="Footer">
    <w:name w:val="footer"/>
    <w:basedOn w:val="Normal"/>
    <w:link w:val="FooterChar"/>
    <w:uiPriority w:val="99"/>
    <w:unhideWhenUsed/>
    <w:rsid w:val="008D3548"/>
    <w:pPr>
      <w:tabs>
        <w:tab w:val="clear" w:pos="567"/>
        <w:tab w:val="center" w:pos="4513"/>
        <w:tab w:val="right" w:pos="9026"/>
      </w:tabs>
      <w:spacing w:before="0" w:line="240" w:lineRule="auto"/>
      <w:ind w:left="-284" w:right="-284"/>
      <w:jc w:val="right"/>
    </w:pPr>
    <w:rPr>
      <w:rFonts w:ascii="Montserrat Ultra Light" w:hAnsi="Montserrat Ultra Light"/>
      <w:b/>
      <w:color w:val="004563"/>
    </w:rPr>
  </w:style>
  <w:style w:type="character" w:styleId="FootnoteReference">
    <w:name w:val="footnote reference"/>
    <w:qFormat/>
    <w:rsid w:val="008D3548"/>
    <w:rPr>
      <w:rFonts w:ascii="Work Sans" w:hAnsi="Work Sans"/>
      <w:sz w:val="20"/>
      <w:szCs w:val="20"/>
      <w:vertAlign w:val="superscript"/>
    </w:rPr>
  </w:style>
  <w:style w:type="paragraph" w:styleId="FootnoteText">
    <w:name w:val="footnote text"/>
    <w:basedOn w:val="Normal"/>
    <w:link w:val="FootnoteTextChar"/>
    <w:autoRedefine/>
    <w:qFormat/>
    <w:rsid w:val="0065497D"/>
    <w:pPr>
      <w:tabs>
        <w:tab w:val="clear" w:pos="567"/>
        <w:tab w:val="left" w:pos="180"/>
      </w:tabs>
      <w:spacing w:before="40" w:line="240" w:lineRule="auto"/>
      <w:ind w:left="180" w:hanging="180"/>
      <w:jc w:val="both"/>
    </w:pPr>
    <w:rPr>
      <w:rFonts w:ascii="Work Sans" w:hAnsi="Work Sans"/>
      <w:sz w:val="14"/>
      <w:szCs w:val="16"/>
    </w:rPr>
  </w:style>
  <w:style w:type="paragraph" w:styleId="Header">
    <w:name w:val="header"/>
    <w:basedOn w:val="Footer"/>
    <w:link w:val="HeaderChar"/>
    <w:uiPriority w:val="99"/>
    <w:unhideWhenUsed/>
    <w:rsid w:val="008D3548"/>
  </w:style>
  <w:style w:type="character" w:styleId="Hyperlink">
    <w:name w:val="Hyperlink"/>
    <w:basedOn w:val="DefaultParagraphFont"/>
    <w:uiPriority w:val="99"/>
    <w:unhideWhenUsed/>
    <w:qFormat/>
    <w:rsid w:val="008D3548"/>
    <w:rPr>
      <w:color w:val="006991"/>
      <w:u w:val="single"/>
    </w:rPr>
  </w:style>
  <w:style w:type="character" w:styleId="PageNumber">
    <w:name w:val="page number"/>
    <w:basedOn w:val="DefaultParagraphFont"/>
    <w:rsid w:val="008D3548"/>
  </w:style>
  <w:style w:type="paragraph" w:customStyle="1" w:styleId="Single">
    <w:name w:val="Single"/>
    <w:basedOn w:val="Normal"/>
    <w:next w:val="Normal"/>
    <w:rsid w:val="008D3548"/>
    <w:pPr>
      <w:spacing w:line="240" w:lineRule="auto"/>
    </w:pPr>
  </w:style>
  <w:style w:type="table" w:styleId="TableGrid">
    <w:name w:val="Table Grid"/>
    <w:basedOn w:val="TableNormal"/>
    <w:uiPriority w:val="39"/>
    <w:rsid w:val="008D35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uiPriority w:val="39"/>
    <w:rsid w:val="008D3548"/>
    <w:pPr>
      <w:tabs>
        <w:tab w:val="clear" w:pos="567"/>
        <w:tab w:val="right" w:pos="8942"/>
      </w:tabs>
      <w:spacing w:before="200"/>
      <w:ind w:left="113"/>
    </w:pPr>
    <w:rPr>
      <w:rFonts w:ascii="Open Sans" w:hAnsi="Open Sans"/>
      <w:b/>
      <w:bCs/>
      <w:color w:val="636466"/>
      <w:szCs w:val="20"/>
    </w:rPr>
  </w:style>
  <w:style w:type="paragraph" w:styleId="TOC2">
    <w:name w:val="toc 2"/>
    <w:basedOn w:val="TOC1"/>
    <w:next w:val="Normal"/>
    <w:uiPriority w:val="39"/>
    <w:rsid w:val="008D3548"/>
    <w:pPr>
      <w:spacing w:before="120"/>
    </w:pPr>
    <w:rPr>
      <w:rFonts w:ascii="Work Sans" w:hAnsi="Work Sans"/>
      <w:b w:val="0"/>
    </w:rPr>
  </w:style>
  <w:style w:type="paragraph" w:styleId="TOC3">
    <w:name w:val="toc 3"/>
    <w:basedOn w:val="TOC2"/>
    <w:next w:val="Normal"/>
    <w:uiPriority w:val="39"/>
    <w:rsid w:val="008D3548"/>
    <w:pPr>
      <w:ind w:left="397"/>
    </w:pPr>
    <w:rPr>
      <w:rFonts w:ascii="Open Sans Light" w:hAnsi="Open Sans Light"/>
      <w:iCs/>
    </w:rPr>
  </w:style>
  <w:style w:type="paragraph" w:styleId="TOC4">
    <w:name w:val="toc 4"/>
    <w:basedOn w:val="TOC3"/>
    <w:next w:val="Normal"/>
    <w:uiPriority w:val="39"/>
    <w:rsid w:val="008D3548"/>
    <w:pPr>
      <w:ind w:left="680"/>
    </w:pPr>
    <w:rPr>
      <w:i/>
    </w:rPr>
  </w:style>
  <w:style w:type="paragraph" w:styleId="TOC5">
    <w:name w:val="toc 5"/>
    <w:basedOn w:val="TOC3"/>
    <w:next w:val="Normal"/>
    <w:uiPriority w:val="39"/>
    <w:rsid w:val="008D3548"/>
    <w:pPr>
      <w:spacing w:before="0"/>
      <w:ind w:left="964"/>
    </w:pPr>
    <w:rPr>
      <w:szCs w:val="18"/>
    </w:rPr>
  </w:style>
  <w:style w:type="paragraph" w:styleId="TOC6">
    <w:name w:val="toc 6"/>
    <w:basedOn w:val="TOC5"/>
    <w:next w:val="Normal"/>
    <w:uiPriority w:val="39"/>
    <w:rsid w:val="008D3548"/>
    <w:rPr>
      <w:i/>
    </w:rPr>
  </w:style>
  <w:style w:type="paragraph" w:styleId="TOC7">
    <w:name w:val="toc 7"/>
    <w:basedOn w:val="Normal"/>
    <w:next w:val="Normal"/>
    <w:rsid w:val="008D3548"/>
    <w:pPr>
      <w:tabs>
        <w:tab w:val="clear" w:pos="567"/>
      </w:tabs>
      <w:ind w:left="1320"/>
    </w:pPr>
    <w:rPr>
      <w:szCs w:val="18"/>
    </w:rPr>
  </w:style>
  <w:style w:type="paragraph" w:styleId="TOC8">
    <w:name w:val="toc 8"/>
    <w:basedOn w:val="Normal"/>
    <w:next w:val="Normal"/>
    <w:rsid w:val="008D3548"/>
    <w:pPr>
      <w:tabs>
        <w:tab w:val="clear" w:pos="567"/>
      </w:tabs>
      <w:ind w:left="1540"/>
    </w:pPr>
    <w:rPr>
      <w:szCs w:val="18"/>
    </w:rPr>
  </w:style>
  <w:style w:type="paragraph" w:styleId="TOC9">
    <w:name w:val="toc 9"/>
    <w:basedOn w:val="Normal"/>
    <w:next w:val="Normal"/>
    <w:rsid w:val="008D3548"/>
    <w:pPr>
      <w:tabs>
        <w:tab w:val="clear" w:pos="567"/>
      </w:tabs>
      <w:ind w:left="1760"/>
    </w:pPr>
    <w:rPr>
      <w:szCs w:val="18"/>
    </w:rPr>
  </w:style>
  <w:style w:type="character" w:customStyle="1" w:styleId="Heading1Char">
    <w:name w:val="Heading 1 Char"/>
    <w:basedOn w:val="DefaultParagraphFont"/>
    <w:link w:val="Heading1"/>
    <w:uiPriority w:val="9"/>
    <w:rsid w:val="008D3548"/>
    <w:rPr>
      <w:rFonts w:ascii="Work Sans" w:eastAsia="Times New Roman" w:hAnsi="Work Sans" w:cs="Open Sans"/>
      <w:b/>
      <w:bCs/>
      <w:color w:val="006991"/>
      <w:sz w:val="40"/>
      <w:szCs w:val="40"/>
    </w:rPr>
  </w:style>
  <w:style w:type="character" w:customStyle="1" w:styleId="Heading2Char">
    <w:name w:val="Heading 2 Char"/>
    <w:aliases w:val="CGC 2025 Heading 2 Char"/>
    <w:basedOn w:val="DefaultParagraphFont"/>
    <w:link w:val="Heading2"/>
    <w:uiPriority w:val="9"/>
    <w:rsid w:val="008D3548"/>
    <w:rPr>
      <w:rFonts w:ascii="Work Sans" w:eastAsia="Times New Roman" w:hAnsi="Work Sans" w:cs="Open Sans"/>
      <w:b/>
      <w:bCs/>
      <w:color w:val="006991"/>
      <w:sz w:val="36"/>
      <w:szCs w:val="36"/>
    </w:rPr>
  </w:style>
  <w:style w:type="character" w:customStyle="1" w:styleId="Heading3Char">
    <w:name w:val="Heading 3 Char"/>
    <w:aliases w:val="CGC 2025 Heading 3 Char"/>
    <w:basedOn w:val="DefaultParagraphFont"/>
    <w:link w:val="Heading3"/>
    <w:uiPriority w:val="9"/>
    <w:rsid w:val="008D3548"/>
    <w:rPr>
      <w:rFonts w:ascii="Work Sans" w:eastAsia="Times New Roman" w:hAnsi="Work Sans" w:cs="Open Sans"/>
      <w:b/>
      <w:bCs/>
      <w:color w:val="006991"/>
      <w:sz w:val="28"/>
      <w:szCs w:val="28"/>
    </w:rPr>
  </w:style>
  <w:style w:type="character" w:customStyle="1" w:styleId="Heading4Char">
    <w:name w:val="Heading 4 Char"/>
    <w:aliases w:val="CGC 2025 Heading 4 Char"/>
    <w:basedOn w:val="DefaultParagraphFont"/>
    <w:link w:val="Heading4"/>
    <w:uiPriority w:val="9"/>
    <w:rsid w:val="008D3548"/>
    <w:rPr>
      <w:rFonts w:ascii="Work Sans" w:eastAsiaTheme="majorEastAsia" w:hAnsi="Work Sans" w:cstheme="majorBidi"/>
      <w:b/>
      <w:bCs/>
      <w:iCs/>
      <w:color w:val="006991"/>
      <w:sz w:val="24"/>
    </w:rPr>
  </w:style>
  <w:style w:type="character" w:customStyle="1" w:styleId="Heading5Char">
    <w:name w:val="Heading 5 Char"/>
    <w:aliases w:val="CGC 2025 Heading 5 Char"/>
    <w:basedOn w:val="DefaultParagraphFont"/>
    <w:link w:val="Heading5"/>
    <w:uiPriority w:val="9"/>
    <w:rsid w:val="008D3548"/>
    <w:rPr>
      <w:rFonts w:ascii="Montserrat Semi Bold" w:eastAsiaTheme="majorEastAsia" w:hAnsi="Montserrat Semi Bold" w:cstheme="majorBidi"/>
      <w:color w:val="636466"/>
      <w:sz w:val="20"/>
    </w:rPr>
  </w:style>
  <w:style w:type="paragraph" w:styleId="NoSpacing">
    <w:name w:val="No Spacing"/>
    <w:link w:val="NoSpacingChar"/>
    <w:uiPriority w:val="1"/>
    <w:qFormat/>
    <w:rsid w:val="008D3548"/>
    <w:pPr>
      <w:tabs>
        <w:tab w:val="left" w:pos="567"/>
      </w:tabs>
      <w:spacing w:after="0" w:line="240" w:lineRule="auto"/>
    </w:pPr>
    <w:rPr>
      <w:sz w:val="24"/>
    </w:rPr>
  </w:style>
  <w:style w:type="character" w:customStyle="1" w:styleId="NoSpacingChar">
    <w:name w:val="No Spacing Char"/>
    <w:basedOn w:val="DefaultParagraphFont"/>
    <w:link w:val="NoSpacing"/>
    <w:uiPriority w:val="1"/>
    <w:rsid w:val="008D3548"/>
    <w:rPr>
      <w:sz w:val="24"/>
    </w:rPr>
  </w:style>
  <w:style w:type="paragraph" w:styleId="ListParagraph">
    <w:name w:val="List Paragraph"/>
    <w:basedOn w:val="Normal"/>
    <w:link w:val="ListParagraphChar"/>
    <w:uiPriority w:val="34"/>
    <w:qFormat/>
    <w:rsid w:val="008D3548"/>
    <w:pPr>
      <w:ind w:left="720"/>
      <w:contextualSpacing/>
    </w:pPr>
  </w:style>
  <w:style w:type="paragraph" w:styleId="TOCHeading">
    <w:name w:val="TOC Heading"/>
    <w:aliases w:val="CGC 2025 TOC Heading"/>
    <w:basedOn w:val="Heading1"/>
    <w:next w:val="Normal"/>
    <w:uiPriority w:val="39"/>
    <w:unhideWhenUsed/>
    <w:qFormat/>
    <w:rsid w:val="008D3548"/>
    <w:pPr>
      <w:keepLines/>
      <w:spacing w:before="480" w:line="320" w:lineRule="atLeast"/>
      <w:outlineLvl w:val="9"/>
    </w:pPr>
    <w:rPr>
      <w:caps/>
      <w:color w:val="365F91" w:themeColor="accent1" w:themeShade="BF"/>
      <w:sz w:val="28"/>
    </w:rPr>
  </w:style>
  <w:style w:type="character" w:customStyle="1" w:styleId="FooterChar">
    <w:name w:val="Footer Char"/>
    <w:basedOn w:val="DefaultParagraphFont"/>
    <w:link w:val="Footer"/>
    <w:uiPriority w:val="99"/>
    <w:rsid w:val="008D3548"/>
    <w:rPr>
      <w:rFonts w:ascii="Montserrat Ultra Light" w:hAnsi="Montserrat Ultra Light"/>
      <w:b/>
      <w:color w:val="004563"/>
      <w:sz w:val="20"/>
    </w:rPr>
  </w:style>
  <w:style w:type="character" w:customStyle="1" w:styleId="HeaderChar">
    <w:name w:val="Header Char"/>
    <w:basedOn w:val="DefaultParagraphFont"/>
    <w:link w:val="Header"/>
    <w:uiPriority w:val="99"/>
    <w:rsid w:val="008D3548"/>
    <w:rPr>
      <w:rFonts w:ascii="Montserrat Ultra Light" w:hAnsi="Montserrat Ultra Light"/>
      <w:b/>
      <w:color w:val="004563"/>
      <w:sz w:val="20"/>
    </w:rPr>
  </w:style>
  <w:style w:type="paragraph" w:customStyle="1" w:styleId="CGCDataCaption">
    <w:name w:val="CGC Data Caption"/>
    <w:basedOn w:val="CGCTableFootnote"/>
    <w:next w:val="NoSpacing"/>
    <w:link w:val="DataCaptionChar"/>
    <w:rsid w:val="008D3548"/>
  </w:style>
  <w:style w:type="character" w:customStyle="1" w:styleId="CaptionChar">
    <w:name w:val="Caption Char"/>
    <w:basedOn w:val="DefaultParagraphFont"/>
    <w:link w:val="Caption"/>
    <w:rsid w:val="008D3548"/>
    <w:rPr>
      <w:rFonts w:ascii="Montserrat Ultra Light" w:hAnsi="Montserrat Ultra Light"/>
      <w:b/>
      <w:bCs/>
      <w:sz w:val="20"/>
      <w:szCs w:val="20"/>
    </w:rPr>
  </w:style>
  <w:style w:type="character" w:customStyle="1" w:styleId="DataCaptionChar">
    <w:name w:val="Data Caption Char"/>
    <w:basedOn w:val="DefaultParagraphFont"/>
    <w:link w:val="CGCDataCaption"/>
    <w:rsid w:val="008D3548"/>
    <w:rPr>
      <w:rFonts w:ascii="Open Sans Light" w:hAnsi="Open Sans Light"/>
      <w:sz w:val="20"/>
      <w:szCs w:val="24"/>
    </w:rPr>
  </w:style>
  <w:style w:type="character" w:customStyle="1" w:styleId="FootnoteTextChar">
    <w:name w:val="Footnote Text Char"/>
    <w:basedOn w:val="DefaultParagraphFont"/>
    <w:link w:val="FootnoteText"/>
    <w:rsid w:val="0065497D"/>
    <w:rPr>
      <w:rFonts w:ascii="Work Sans" w:hAnsi="Work Sans"/>
      <w:sz w:val="14"/>
      <w:szCs w:val="16"/>
    </w:rPr>
  </w:style>
  <w:style w:type="character" w:customStyle="1" w:styleId="Heading6Char">
    <w:name w:val="Heading 6 Char"/>
    <w:aliases w:val="(Not In Use) Char, Section heading Char"/>
    <w:basedOn w:val="DefaultParagraphFont"/>
    <w:link w:val="Heading6"/>
    <w:uiPriority w:val="9"/>
    <w:rsid w:val="008D3548"/>
    <w:rPr>
      <w:rFonts w:ascii="Montserrat Semi Bold" w:eastAsiaTheme="majorEastAsia" w:hAnsi="Montserrat Semi Bold" w:cstheme="majorBidi"/>
      <w:i/>
      <w:iCs/>
      <w:color w:val="636466"/>
      <w:sz w:val="20"/>
    </w:rPr>
  </w:style>
  <w:style w:type="character" w:customStyle="1" w:styleId="Heading7Char">
    <w:name w:val="Heading 7 Char"/>
    <w:basedOn w:val="DefaultParagraphFont"/>
    <w:link w:val="Heading7"/>
    <w:uiPriority w:val="9"/>
    <w:semiHidden/>
    <w:rsid w:val="008D3548"/>
    <w:rPr>
      <w:rFonts w:asciiTheme="majorHAnsi" w:eastAsiaTheme="majorEastAsia" w:hAnsiTheme="majorHAnsi" w:cstheme="majorBidi"/>
      <w:i/>
      <w:iCs/>
      <w:color w:val="404040" w:themeColor="text1" w:themeTint="BF"/>
      <w:sz w:val="20"/>
    </w:rPr>
  </w:style>
  <w:style w:type="paragraph" w:customStyle="1" w:styleId="CGCParaNumber">
    <w:name w:val="CGC Para Number"/>
    <w:basedOn w:val="Normal"/>
    <w:qFormat/>
    <w:rsid w:val="008D3548"/>
    <w:pPr>
      <w:ind w:left="720" w:hanging="360"/>
    </w:pPr>
    <w:rPr>
      <w:rFonts w:ascii="Work Sans" w:hAnsi="Work Sans"/>
      <w:szCs w:val="20"/>
    </w:rPr>
  </w:style>
  <w:style w:type="paragraph" w:customStyle="1" w:styleId="CGCBullet1">
    <w:name w:val="CGC Bullet 1"/>
    <w:basedOn w:val="Normal"/>
    <w:qFormat/>
    <w:rsid w:val="005C7E78"/>
    <w:pPr>
      <w:ind w:left="927" w:hanging="360"/>
    </w:pPr>
    <w:rPr>
      <w:rFonts w:ascii="Work Sans" w:hAnsi="Work Sans"/>
    </w:rPr>
  </w:style>
  <w:style w:type="paragraph" w:customStyle="1" w:styleId="CGCBullet2">
    <w:name w:val="CGC Bullet 2"/>
    <w:basedOn w:val="Normal"/>
    <w:qFormat/>
    <w:rsid w:val="008D3548"/>
    <w:pPr>
      <w:numPr>
        <w:numId w:val="4"/>
      </w:numPr>
    </w:pPr>
  </w:style>
  <w:style w:type="paragraph" w:customStyle="1" w:styleId="CGCBullet3">
    <w:name w:val="CGC Bullet 3"/>
    <w:basedOn w:val="Normal"/>
    <w:qFormat/>
    <w:rsid w:val="008D3548"/>
    <w:pPr>
      <w:numPr>
        <w:numId w:val="6"/>
      </w:numPr>
      <w:ind w:left="1491" w:hanging="357"/>
    </w:pPr>
  </w:style>
  <w:style w:type="paragraph" w:customStyle="1" w:styleId="CGCQuoteText">
    <w:name w:val="CGC Quote Text"/>
    <w:basedOn w:val="Normal"/>
    <w:next w:val="Normal"/>
    <w:rsid w:val="008D3548"/>
    <w:pPr>
      <w:spacing w:after="120"/>
      <w:ind w:left="1418" w:right="1134"/>
    </w:pPr>
  </w:style>
  <w:style w:type="paragraph" w:customStyle="1" w:styleId="CGCQuoteBullet">
    <w:name w:val="CGC Quote Bullet"/>
    <w:basedOn w:val="CGCQuoteText"/>
    <w:next w:val="Normal"/>
    <w:rsid w:val="008D3548"/>
    <w:pPr>
      <w:numPr>
        <w:numId w:val="5"/>
      </w:numPr>
      <w:ind w:right="1418"/>
    </w:pPr>
  </w:style>
  <w:style w:type="paragraph" w:customStyle="1" w:styleId="CGCTablerow">
    <w:name w:val="CGC Table row"/>
    <w:basedOn w:val="Normal"/>
    <w:qFormat/>
    <w:rsid w:val="008D3548"/>
    <w:pPr>
      <w:spacing w:before="0" w:line="240" w:lineRule="auto"/>
    </w:pPr>
    <w:rPr>
      <w:sz w:val="16"/>
    </w:rPr>
  </w:style>
  <w:style w:type="paragraph" w:customStyle="1" w:styleId="CGCTablenote">
    <w:name w:val="CGC Table note"/>
    <w:basedOn w:val="Normal"/>
    <w:next w:val="Normal"/>
    <w:qFormat/>
    <w:rsid w:val="008D3548"/>
    <w:pPr>
      <w:tabs>
        <w:tab w:val="left" w:pos="680"/>
      </w:tabs>
      <w:spacing w:before="40" w:line="240" w:lineRule="auto"/>
      <w:ind w:left="340" w:hanging="227"/>
    </w:pPr>
    <w:rPr>
      <w:sz w:val="14"/>
    </w:rPr>
  </w:style>
  <w:style w:type="character" w:customStyle="1" w:styleId="CGCTableHeadingChar">
    <w:name w:val="CGC Table Heading Char"/>
    <w:basedOn w:val="DefaultParagraphFont"/>
    <w:link w:val="CGCTableHeading"/>
    <w:rsid w:val="008D3548"/>
    <w:rPr>
      <w:rFonts w:ascii="Montserrat Ultra Light" w:hAnsi="Montserrat Ultra Light"/>
      <w:b/>
      <w:sz w:val="20"/>
      <w:szCs w:val="20"/>
    </w:rPr>
  </w:style>
  <w:style w:type="paragraph" w:customStyle="1" w:styleId="TOCtitle">
    <w:name w:val="TOC title"/>
    <w:basedOn w:val="Normal"/>
    <w:next w:val="Normal"/>
    <w:rsid w:val="008D3548"/>
    <w:rPr>
      <w:rFonts w:ascii="Montserrat Semi Bold" w:hAnsi="Montserrat Semi Bold"/>
      <w:color w:val="004563"/>
      <w:sz w:val="36"/>
      <w:lang w:val="en-US"/>
    </w:rPr>
  </w:style>
  <w:style w:type="character" w:styleId="CommentReference">
    <w:name w:val="annotation reference"/>
    <w:basedOn w:val="DefaultParagraphFont"/>
    <w:semiHidden/>
    <w:unhideWhenUsed/>
    <w:rsid w:val="008D3548"/>
    <w:rPr>
      <w:sz w:val="16"/>
      <w:szCs w:val="16"/>
    </w:rPr>
  </w:style>
  <w:style w:type="paragraph" w:styleId="CommentText">
    <w:name w:val="annotation text"/>
    <w:basedOn w:val="Normal"/>
    <w:link w:val="CommentTextChar"/>
    <w:unhideWhenUsed/>
    <w:rsid w:val="008D3548"/>
    <w:pPr>
      <w:spacing w:line="240" w:lineRule="auto"/>
    </w:pPr>
    <w:rPr>
      <w:szCs w:val="20"/>
    </w:rPr>
  </w:style>
  <w:style w:type="character" w:customStyle="1" w:styleId="CommentTextChar">
    <w:name w:val="Comment Text Char"/>
    <w:basedOn w:val="DefaultParagraphFont"/>
    <w:link w:val="CommentText"/>
    <w:rsid w:val="008D3548"/>
    <w:rPr>
      <w:rFonts w:ascii="Open Sans Light" w:hAnsi="Open Sans Light"/>
      <w:sz w:val="20"/>
      <w:szCs w:val="20"/>
    </w:rPr>
  </w:style>
  <w:style w:type="paragraph" w:styleId="CommentSubject">
    <w:name w:val="annotation subject"/>
    <w:basedOn w:val="CommentText"/>
    <w:next w:val="CommentText"/>
    <w:link w:val="CommentSubjectChar"/>
    <w:semiHidden/>
    <w:unhideWhenUsed/>
    <w:rsid w:val="008D3548"/>
    <w:rPr>
      <w:b/>
      <w:bCs/>
    </w:rPr>
  </w:style>
  <w:style w:type="character" w:customStyle="1" w:styleId="CommentSubjectChar">
    <w:name w:val="Comment Subject Char"/>
    <w:basedOn w:val="CommentTextChar"/>
    <w:link w:val="CommentSubject"/>
    <w:semiHidden/>
    <w:rsid w:val="008D3548"/>
    <w:rPr>
      <w:rFonts w:ascii="Open Sans Light" w:hAnsi="Open Sans Light"/>
      <w:b/>
      <w:bCs/>
      <w:sz w:val="20"/>
      <w:szCs w:val="20"/>
    </w:rPr>
  </w:style>
  <w:style w:type="paragraph" w:customStyle="1" w:styleId="CGCTablesubhead1">
    <w:name w:val="CGC Table subhead1"/>
    <w:basedOn w:val="Normal"/>
    <w:rsid w:val="008D3548"/>
    <w:pPr>
      <w:spacing w:before="0" w:line="240" w:lineRule="auto"/>
    </w:pPr>
    <w:rPr>
      <w:rFonts w:ascii="Open Sans Semibold" w:hAnsi="Open Sans Semibold"/>
      <w:sz w:val="16"/>
    </w:rPr>
  </w:style>
  <w:style w:type="character" w:styleId="UnresolvedMention">
    <w:name w:val="Unresolved Mention"/>
    <w:basedOn w:val="DefaultParagraphFont"/>
    <w:uiPriority w:val="99"/>
    <w:unhideWhenUsed/>
    <w:rsid w:val="008D3548"/>
    <w:rPr>
      <w:color w:val="605E5C"/>
      <w:shd w:val="clear" w:color="auto" w:fill="E1DFDD"/>
    </w:rPr>
  </w:style>
  <w:style w:type="character" w:styleId="Mention">
    <w:name w:val="Mention"/>
    <w:basedOn w:val="DefaultParagraphFont"/>
    <w:uiPriority w:val="99"/>
    <w:unhideWhenUsed/>
    <w:rsid w:val="008D3548"/>
    <w:rPr>
      <w:color w:val="2B579A"/>
      <w:shd w:val="clear" w:color="auto" w:fill="E1DFDD"/>
    </w:rPr>
  </w:style>
  <w:style w:type="paragraph" w:customStyle="1" w:styleId="CGCBodyPara">
    <w:name w:val="CGC Body Para"/>
    <w:basedOn w:val="CGCParaNumber"/>
    <w:qFormat/>
    <w:rsid w:val="00D365CB"/>
    <w:pPr>
      <w:ind w:hanging="425"/>
    </w:pPr>
  </w:style>
  <w:style w:type="numbering" w:customStyle="1" w:styleId="CurrentList1">
    <w:name w:val="Current List1"/>
    <w:uiPriority w:val="99"/>
    <w:rsid w:val="00B772F0"/>
    <w:pPr>
      <w:numPr>
        <w:numId w:val="7"/>
      </w:numPr>
    </w:pPr>
  </w:style>
  <w:style w:type="paragraph" w:styleId="Revision">
    <w:name w:val="Revision"/>
    <w:hidden/>
    <w:uiPriority w:val="99"/>
    <w:semiHidden/>
    <w:rsid w:val="008D3548"/>
    <w:pPr>
      <w:spacing w:after="0" w:line="240" w:lineRule="auto"/>
    </w:pPr>
    <w:rPr>
      <w:rFonts w:ascii="Open Sans Light" w:hAnsi="Open Sans Light"/>
      <w:sz w:val="20"/>
    </w:rPr>
  </w:style>
  <w:style w:type="character" w:styleId="FollowedHyperlink">
    <w:name w:val="FollowedHyperlink"/>
    <w:basedOn w:val="DefaultParagraphFont"/>
    <w:semiHidden/>
    <w:unhideWhenUsed/>
    <w:rsid w:val="008D3548"/>
    <w:rPr>
      <w:color w:val="800080" w:themeColor="followedHyperlink"/>
      <w:u w:val="single"/>
    </w:rPr>
  </w:style>
  <w:style w:type="paragraph" w:customStyle="1" w:styleId="CGCBulletlist">
    <w:name w:val="CGC Bullet list"/>
    <w:aliases w:val="CGC List 1"/>
    <w:basedOn w:val="Normal"/>
    <w:link w:val="CGCBulletlistChar"/>
    <w:qFormat/>
    <w:rsid w:val="008D3548"/>
    <w:pPr>
      <w:numPr>
        <w:numId w:val="8"/>
      </w:numPr>
      <w:tabs>
        <w:tab w:val="clear" w:pos="567"/>
        <w:tab w:val="left" w:pos="1134"/>
      </w:tabs>
      <w:spacing w:before="80" w:after="80" w:line="300" w:lineRule="atLeast"/>
    </w:pPr>
    <w:rPr>
      <w:rFonts w:asciiTheme="minorHAnsi" w:hAnsiTheme="minorHAnsi"/>
      <w:sz w:val="24"/>
      <w:szCs w:val="20"/>
    </w:rPr>
  </w:style>
  <w:style w:type="character" w:customStyle="1" w:styleId="CGCBulletlistCharChar">
    <w:name w:val="CGC Bullet list Char Char"/>
    <w:basedOn w:val="DefaultParagraphFont"/>
    <w:rsid w:val="003D76F3"/>
    <w:rPr>
      <w:rFonts w:ascii="Work Sans" w:hAnsi="Work Sans"/>
      <w:sz w:val="20"/>
    </w:rPr>
  </w:style>
  <w:style w:type="character" w:customStyle="1" w:styleId="normaltextrun">
    <w:name w:val="normaltextrun"/>
    <w:basedOn w:val="DefaultParagraphFont"/>
    <w:rsid w:val="002658B9"/>
  </w:style>
  <w:style w:type="character" w:customStyle="1" w:styleId="tabchar">
    <w:name w:val="tabchar"/>
    <w:basedOn w:val="DefaultParagraphFont"/>
    <w:rsid w:val="002658B9"/>
  </w:style>
  <w:style w:type="character" w:customStyle="1" w:styleId="eop">
    <w:name w:val="eop"/>
    <w:basedOn w:val="DefaultParagraphFont"/>
    <w:rsid w:val="002658B9"/>
  </w:style>
  <w:style w:type="paragraph" w:customStyle="1" w:styleId="CGC2025Bullet1">
    <w:name w:val="CGC 2025 Bullet 1"/>
    <w:basedOn w:val="Normal"/>
    <w:qFormat/>
    <w:rsid w:val="00CE7702"/>
    <w:pPr>
      <w:numPr>
        <w:numId w:val="3"/>
      </w:numPr>
      <w:ind w:left="924" w:hanging="357"/>
    </w:pPr>
    <w:rPr>
      <w:rFonts w:ascii="Work Sans" w:hAnsi="Work Sans"/>
      <w:sz w:val="20"/>
      <w:szCs w:val="20"/>
    </w:rPr>
  </w:style>
  <w:style w:type="paragraph" w:customStyle="1" w:styleId="Bulletpoint">
    <w:name w:val="Bullet point"/>
    <w:basedOn w:val="ListParagraph"/>
    <w:link w:val="BulletpointChar"/>
    <w:qFormat/>
    <w:rsid w:val="008D3548"/>
    <w:pPr>
      <w:spacing w:before="240" w:line="300" w:lineRule="atLeast"/>
      <w:ind w:left="360" w:hanging="360"/>
      <w:contextualSpacing w:val="0"/>
      <w:jc w:val="both"/>
    </w:pPr>
  </w:style>
  <w:style w:type="character" w:customStyle="1" w:styleId="ListParagraphChar">
    <w:name w:val="List Paragraph Char"/>
    <w:basedOn w:val="DefaultParagraphFont"/>
    <w:link w:val="ListParagraph"/>
    <w:uiPriority w:val="34"/>
    <w:rsid w:val="008D3548"/>
    <w:rPr>
      <w:rFonts w:ascii="Open Sans Light" w:hAnsi="Open Sans Light"/>
      <w:sz w:val="20"/>
    </w:rPr>
  </w:style>
  <w:style w:type="character" w:customStyle="1" w:styleId="BulletpointChar">
    <w:name w:val="Bullet point Char"/>
    <w:basedOn w:val="ListParagraphChar"/>
    <w:link w:val="Bulletpoint"/>
    <w:rsid w:val="008D3548"/>
    <w:rPr>
      <w:rFonts w:ascii="Open Sans Light" w:hAnsi="Open Sans Light"/>
      <w:sz w:val="20"/>
    </w:rPr>
  </w:style>
  <w:style w:type="paragraph" w:customStyle="1" w:styleId="CGCNumberedPara">
    <w:name w:val="CGC Numbered Para"/>
    <w:aliases w:val="CGC Para No"/>
    <w:basedOn w:val="Normal"/>
    <w:rsid w:val="008D3548"/>
    <w:pPr>
      <w:numPr>
        <w:ilvl w:val="1"/>
        <w:numId w:val="9"/>
      </w:numPr>
      <w:tabs>
        <w:tab w:val="clear" w:pos="567"/>
      </w:tabs>
      <w:spacing w:after="80" w:line="320" w:lineRule="atLeast"/>
    </w:pPr>
    <w:rPr>
      <w:rFonts w:asciiTheme="minorHAnsi" w:hAnsiTheme="minorHAnsi"/>
      <w:sz w:val="24"/>
      <w:szCs w:val="24"/>
    </w:rPr>
  </w:style>
  <w:style w:type="character" w:customStyle="1" w:styleId="CGCBulletlistChar">
    <w:name w:val="CGC Bullet list Char"/>
    <w:aliases w:val="CGC List 1 Char"/>
    <w:basedOn w:val="DefaultParagraphFont"/>
    <w:link w:val="CGCBulletlist"/>
    <w:locked/>
    <w:rsid w:val="008D3548"/>
    <w:rPr>
      <w:sz w:val="24"/>
      <w:szCs w:val="20"/>
    </w:rPr>
  </w:style>
  <w:style w:type="character" w:customStyle="1" w:styleId="cf01">
    <w:name w:val="cf01"/>
    <w:basedOn w:val="DefaultParagraphFont"/>
    <w:rsid w:val="008D3548"/>
    <w:rPr>
      <w:rFonts w:ascii="Segoe UI" w:hAnsi="Segoe UI" w:cs="Segoe UI" w:hint="default"/>
      <w:sz w:val="18"/>
      <w:szCs w:val="18"/>
    </w:rPr>
  </w:style>
  <w:style w:type="table" w:customStyle="1" w:styleId="TableGrid1">
    <w:name w:val="Table Grid1"/>
    <w:basedOn w:val="TableNormal"/>
    <w:next w:val="TableGrid"/>
    <w:uiPriority w:val="39"/>
    <w:rsid w:val="008D354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GC2025QuestionNumbers">
    <w:name w:val="CGC 2025 Question Numbers"/>
    <w:basedOn w:val="Normal"/>
    <w:qFormat/>
    <w:rsid w:val="00952439"/>
    <w:pPr>
      <w:numPr>
        <w:numId w:val="12"/>
      </w:numPr>
      <w:spacing w:after="120"/>
    </w:pPr>
    <w:rPr>
      <w:rFonts w:ascii="Work Sans" w:hAnsi="Work Sans" w:cs="Open Sans Light"/>
      <w:sz w:val="20"/>
      <w:szCs w:val="20"/>
    </w:rPr>
  </w:style>
  <w:style w:type="numbering" w:customStyle="1" w:styleId="CGCConsultQuestion">
    <w:name w:val="CGC Consult Question"/>
    <w:basedOn w:val="NoList"/>
    <w:uiPriority w:val="99"/>
    <w:rsid w:val="008D3548"/>
    <w:pPr>
      <w:numPr>
        <w:numId w:val="10"/>
      </w:numPr>
    </w:pPr>
  </w:style>
  <w:style w:type="paragraph" w:customStyle="1" w:styleId="CGC2025ParaNumbers">
    <w:name w:val="CGC 2025 Para Numbers"/>
    <w:basedOn w:val="CGCNumberedPara"/>
    <w:rsid w:val="008D3548"/>
    <w:pPr>
      <w:tabs>
        <w:tab w:val="num" w:pos="567"/>
      </w:tabs>
    </w:pPr>
    <w:rPr>
      <w:rFonts w:ascii="Work Sans" w:hAnsi="Work Sans"/>
      <w:sz w:val="20"/>
    </w:rPr>
  </w:style>
  <w:style w:type="paragraph" w:customStyle="1" w:styleId="CGC2025Bullet2">
    <w:name w:val="CGC 2025 Bullet 2"/>
    <w:basedOn w:val="CGCBullet2"/>
    <w:rsid w:val="00B74674"/>
  </w:style>
  <w:style w:type="paragraph" w:customStyle="1" w:styleId="CGC2025Heading2AttachmentFollower">
    <w:name w:val="CGC 2025 Heading 2 Attachment Follower"/>
    <w:basedOn w:val="Heading2"/>
    <w:rsid w:val="008D3548"/>
    <w:rPr>
      <w:b w:val="0"/>
      <w:bCs w:val="0"/>
    </w:rPr>
  </w:style>
  <w:style w:type="paragraph" w:customStyle="1" w:styleId="CGC2025Caption">
    <w:name w:val="CGC 2025 Caption"/>
    <w:basedOn w:val="Normal"/>
    <w:qFormat/>
    <w:rsid w:val="006E08E6"/>
    <w:pPr>
      <w:spacing w:before="240" w:after="120" w:line="240" w:lineRule="auto"/>
    </w:pPr>
    <w:rPr>
      <w:rFonts w:ascii="Work Sans" w:hAnsi="Work Sans"/>
      <w:b/>
      <w:sz w:val="20"/>
    </w:rPr>
  </w:style>
  <w:style w:type="paragraph" w:customStyle="1" w:styleId="CGC2025Questionsnumbers2">
    <w:name w:val="CGC 2025 Questions numbers 2"/>
    <w:basedOn w:val="Normal"/>
    <w:next w:val="CGC2025ParaNumbers"/>
    <w:qFormat/>
    <w:rsid w:val="006125E0"/>
    <w:pPr>
      <w:numPr>
        <w:numId w:val="13"/>
      </w:numPr>
      <w:spacing w:after="120"/>
      <w:ind w:left="454" w:hanging="454"/>
    </w:pPr>
    <w:rPr>
      <w:rFonts w:ascii="Work Sans" w:hAnsi="Work Sans" w:cs="Open Sans"/>
      <w:bCs/>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4468">
      <w:bodyDiv w:val="1"/>
      <w:marLeft w:val="0"/>
      <w:marRight w:val="0"/>
      <w:marTop w:val="0"/>
      <w:marBottom w:val="0"/>
      <w:divBdr>
        <w:top w:val="none" w:sz="0" w:space="0" w:color="auto"/>
        <w:left w:val="none" w:sz="0" w:space="0" w:color="auto"/>
        <w:bottom w:val="none" w:sz="0" w:space="0" w:color="auto"/>
        <w:right w:val="none" w:sz="0" w:space="0" w:color="auto"/>
      </w:divBdr>
    </w:div>
    <w:div w:id="2976334">
      <w:bodyDiv w:val="1"/>
      <w:marLeft w:val="0"/>
      <w:marRight w:val="0"/>
      <w:marTop w:val="0"/>
      <w:marBottom w:val="0"/>
      <w:divBdr>
        <w:top w:val="none" w:sz="0" w:space="0" w:color="auto"/>
        <w:left w:val="none" w:sz="0" w:space="0" w:color="auto"/>
        <w:bottom w:val="none" w:sz="0" w:space="0" w:color="auto"/>
        <w:right w:val="none" w:sz="0" w:space="0" w:color="auto"/>
      </w:divBdr>
    </w:div>
    <w:div w:id="15428521">
      <w:bodyDiv w:val="1"/>
      <w:marLeft w:val="0"/>
      <w:marRight w:val="0"/>
      <w:marTop w:val="0"/>
      <w:marBottom w:val="0"/>
      <w:divBdr>
        <w:top w:val="none" w:sz="0" w:space="0" w:color="auto"/>
        <w:left w:val="none" w:sz="0" w:space="0" w:color="auto"/>
        <w:bottom w:val="none" w:sz="0" w:space="0" w:color="auto"/>
        <w:right w:val="none" w:sz="0" w:space="0" w:color="auto"/>
      </w:divBdr>
    </w:div>
    <w:div w:id="19476126">
      <w:bodyDiv w:val="1"/>
      <w:marLeft w:val="0"/>
      <w:marRight w:val="0"/>
      <w:marTop w:val="0"/>
      <w:marBottom w:val="0"/>
      <w:divBdr>
        <w:top w:val="none" w:sz="0" w:space="0" w:color="auto"/>
        <w:left w:val="none" w:sz="0" w:space="0" w:color="auto"/>
        <w:bottom w:val="none" w:sz="0" w:space="0" w:color="auto"/>
        <w:right w:val="none" w:sz="0" w:space="0" w:color="auto"/>
      </w:divBdr>
    </w:div>
    <w:div w:id="27873862">
      <w:bodyDiv w:val="1"/>
      <w:marLeft w:val="0"/>
      <w:marRight w:val="0"/>
      <w:marTop w:val="0"/>
      <w:marBottom w:val="0"/>
      <w:divBdr>
        <w:top w:val="none" w:sz="0" w:space="0" w:color="auto"/>
        <w:left w:val="none" w:sz="0" w:space="0" w:color="auto"/>
        <w:bottom w:val="none" w:sz="0" w:space="0" w:color="auto"/>
        <w:right w:val="none" w:sz="0" w:space="0" w:color="auto"/>
      </w:divBdr>
    </w:div>
    <w:div w:id="45300662">
      <w:bodyDiv w:val="1"/>
      <w:marLeft w:val="0"/>
      <w:marRight w:val="0"/>
      <w:marTop w:val="0"/>
      <w:marBottom w:val="0"/>
      <w:divBdr>
        <w:top w:val="none" w:sz="0" w:space="0" w:color="auto"/>
        <w:left w:val="none" w:sz="0" w:space="0" w:color="auto"/>
        <w:bottom w:val="none" w:sz="0" w:space="0" w:color="auto"/>
        <w:right w:val="none" w:sz="0" w:space="0" w:color="auto"/>
      </w:divBdr>
      <w:divsChild>
        <w:div w:id="123886565">
          <w:marLeft w:val="0"/>
          <w:marRight w:val="0"/>
          <w:marTop w:val="0"/>
          <w:marBottom w:val="0"/>
          <w:divBdr>
            <w:top w:val="none" w:sz="0" w:space="0" w:color="auto"/>
            <w:left w:val="none" w:sz="0" w:space="0" w:color="auto"/>
            <w:bottom w:val="none" w:sz="0" w:space="0" w:color="auto"/>
            <w:right w:val="none" w:sz="0" w:space="0" w:color="auto"/>
          </w:divBdr>
        </w:div>
      </w:divsChild>
    </w:div>
    <w:div w:id="45951900">
      <w:bodyDiv w:val="1"/>
      <w:marLeft w:val="0"/>
      <w:marRight w:val="0"/>
      <w:marTop w:val="0"/>
      <w:marBottom w:val="0"/>
      <w:divBdr>
        <w:top w:val="none" w:sz="0" w:space="0" w:color="auto"/>
        <w:left w:val="none" w:sz="0" w:space="0" w:color="auto"/>
        <w:bottom w:val="none" w:sz="0" w:space="0" w:color="auto"/>
        <w:right w:val="none" w:sz="0" w:space="0" w:color="auto"/>
      </w:divBdr>
    </w:div>
    <w:div w:id="49690949">
      <w:bodyDiv w:val="1"/>
      <w:marLeft w:val="0"/>
      <w:marRight w:val="0"/>
      <w:marTop w:val="0"/>
      <w:marBottom w:val="0"/>
      <w:divBdr>
        <w:top w:val="none" w:sz="0" w:space="0" w:color="auto"/>
        <w:left w:val="none" w:sz="0" w:space="0" w:color="auto"/>
        <w:bottom w:val="none" w:sz="0" w:space="0" w:color="auto"/>
        <w:right w:val="none" w:sz="0" w:space="0" w:color="auto"/>
      </w:divBdr>
    </w:div>
    <w:div w:id="62215819">
      <w:bodyDiv w:val="1"/>
      <w:marLeft w:val="0"/>
      <w:marRight w:val="0"/>
      <w:marTop w:val="0"/>
      <w:marBottom w:val="0"/>
      <w:divBdr>
        <w:top w:val="none" w:sz="0" w:space="0" w:color="auto"/>
        <w:left w:val="none" w:sz="0" w:space="0" w:color="auto"/>
        <w:bottom w:val="none" w:sz="0" w:space="0" w:color="auto"/>
        <w:right w:val="none" w:sz="0" w:space="0" w:color="auto"/>
      </w:divBdr>
    </w:div>
    <w:div w:id="65760563">
      <w:bodyDiv w:val="1"/>
      <w:marLeft w:val="0"/>
      <w:marRight w:val="0"/>
      <w:marTop w:val="0"/>
      <w:marBottom w:val="0"/>
      <w:divBdr>
        <w:top w:val="none" w:sz="0" w:space="0" w:color="auto"/>
        <w:left w:val="none" w:sz="0" w:space="0" w:color="auto"/>
        <w:bottom w:val="none" w:sz="0" w:space="0" w:color="auto"/>
        <w:right w:val="none" w:sz="0" w:space="0" w:color="auto"/>
      </w:divBdr>
    </w:div>
    <w:div w:id="76171626">
      <w:bodyDiv w:val="1"/>
      <w:marLeft w:val="0"/>
      <w:marRight w:val="0"/>
      <w:marTop w:val="0"/>
      <w:marBottom w:val="0"/>
      <w:divBdr>
        <w:top w:val="none" w:sz="0" w:space="0" w:color="auto"/>
        <w:left w:val="none" w:sz="0" w:space="0" w:color="auto"/>
        <w:bottom w:val="none" w:sz="0" w:space="0" w:color="auto"/>
        <w:right w:val="none" w:sz="0" w:space="0" w:color="auto"/>
      </w:divBdr>
    </w:div>
    <w:div w:id="97141920">
      <w:bodyDiv w:val="1"/>
      <w:marLeft w:val="0"/>
      <w:marRight w:val="0"/>
      <w:marTop w:val="0"/>
      <w:marBottom w:val="0"/>
      <w:divBdr>
        <w:top w:val="none" w:sz="0" w:space="0" w:color="auto"/>
        <w:left w:val="none" w:sz="0" w:space="0" w:color="auto"/>
        <w:bottom w:val="none" w:sz="0" w:space="0" w:color="auto"/>
        <w:right w:val="none" w:sz="0" w:space="0" w:color="auto"/>
      </w:divBdr>
    </w:div>
    <w:div w:id="98448935">
      <w:bodyDiv w:val="1"/>
      <w:marLeft w:val="0"/>
      <w:marRight w:val="0"/>
      <w:marTop w:val="0"/>
      <w:marBottom w:val="0"/>
      <w:divBdr>
        <w:top w:val="none" w:sz="0" w:space="0" w:color="auto"/>
        <w:left w:val="none" w:sz="0" w:space="0" w:color="auto"/>
        <w:bottom w:val="none" w:sz="0" w:space="0" w:color="auto"/>
        <w:right w:val="none" w:sz="0" w:space="0" w:color="auto"/>
      </w:divBdr>
    </w:div>
    <w:div w:id="103423343">
      <w:bodyDiv w:val="1"/>
      <w:marLeft w:val="0"/>
      <w:marRight w:val="0"/>
      <w:marTop w:val="0"/>
      <w:marBottom w:val="0"/>
      <w:divBdr>
        <w:top w:val="none" w:sz="0" w:space="0" w:color="auto"/>
        <w:left w:val="none" w:sz="0" w:space="0" w:color="auto"/>
        <w:bottom w:val="none" w:sz="0" w:space="0" w:color="auto"/>
        <w:right w:val="none" w:sz="0" w:space="0" w:color="auto"/>
      </w:divBdr>
    </w:div>
    <w:div w:id="128910584">
      <w:bodyDiv w:val="1"/>
      <w:marLeft w:val="0"/>
      <w:marRight w:val="0"/>
      <w:marTop w:val="0"/>
      <w:marBottom w:val="0"/>
      <w:divBdr>
        <w:top w:val="none" w:sz="0" w:space="0" w:color="auto"/>
        <w:left w:val="none" w:sz="0" w:space="0" w:color="auto"/>
        <w:bottom w:val="none" w:sz="0" w:space="0" w:color="auto"/>
        <w:right w:val="none" w:sz="0" w:space="0" w:color="auto"/>
      </w:divBdr>
    </w:div>
    <w:div w:id="133523230">
      <w:bodyDiv w:val="1"/>
      <w:marLeft w:val="0"/>
      <w:marRight w:val="0"/>
      <w:marTop w:val="0"/>
      <w:marBottom w:val="0"/>
      <w:divBdr>
        <w:top w:val="none" w:sz="0" w:space="0" w:color="auto"/>
        <w:left w:val="none" w:sz="0" w:space="0" w:color="auto"/>
        <w:bottom w:val="none" w:sz="0" w:space="0" w:color="auto"/>
        <w:right w:val="none" w:sz="0" w:space="0" w:color="auto"/>
      </w:divBdr>
    </w:div>
    <w:div w:id="138882056">
      <w:bodyDiv w:val="1"/>
      <w:marLeft w:val="0"/>
      <w:marRight w:val="0"/>
      <w:marTop w:val="0"/>
      <w:marBottom w:val="0"/>
      <w:divBdr>
        <w:top w:val="none" w:sz="0" w:space="0" w:color="auto"/>
        <w:left w:val="none" w:sz="0" w:space="0" w:color="auto"/>
        <w:bottom w:val="none" w:sz="0" w:space="0" w:color="auto"/>
        <w:right w:val="none" w:sz="0" w:space="0" w:color="auto"/>
      </w:divBdr>
    </w:div>
    <w:div w:id="195973018">
      <w:bodyDiv w:val="1"/>
      <w:marLeft w:val="0"/>
      <w:marRight w:val="0"/>
      <w:marTop w:val="0"/>
      <w:marBottom w:val="0"/>
      <w:divBdr>
        <w:top w:val="none" w:sz="0" w:space="0" w:color="auto"/>
        <w:left w:val="none" w:sz="0" w:space="0" w:color="auto"/>
        <w:bottom w:val="none" w:sz="0" w:space="0" w:color="auto"/>
        <w:right w:val="none" w:sz="0" w:space="0" w:color="auto"/>
      </w:divBdr>
    </w:div>
    <w:div w:id="202209083">
      <w:bodyDiv w:val="1"/>
      <w:marLeft w:val="0"/>
      <w:marRight w:val="0"/>
      <w:marTop w:val="0"/>
      <w:marBottom w:val="0"/>
      <w:divBdr>
        <w:top w:val="none" w:sz="0" w:space="0" w:color="auto"/>
        <w:left w:val="none" w:sz="0" w:space="0" w:color="auto"/>
        <w:bottom w:val="none" w:sz="0" w:space="0" w:color="auto"/>
        <w:right w:val="none" w:sz="0" w:space="0" w:color="auto"/>
      </w:divBdr>
    </w:div>
    <w:div w:id="202255917">
      <w:bodyDiv w:val="1"/>
      <w:marLeft w:val="0"/>
      <w:marRight w:val="0"/>
      <w:marTop w:val="0"/>
      <w:marBottom w:val="0"/>
      <w:divBdr>
        <w:top w:val="none" w:sz="0" w:space="0" w:color="auto"/>
        <w:left w:val="none" w:sz="0" w:space="0" w:color="auto"/>
        <w:bottom w:val="none" w:sz="0" w:space="0" w:color="auto"/>
        <w:right w:val="none" w:sz="0" w:space="0" w:color="auto"/>
      </w:divBdr>
    </w:div>
    <w:div w:id="214852404">
      <w:bodyDiv w:val="1"/>
      <w:marLeft w:val="0"/>
      <w:marRight w:val="0"/>
      <w:marTop w:val="0"/>
      <w:marBottom w:val="0"/>
      <w:divBdr>
        <w:top w:val="none" w:sz="0" w:space="0" w:color="auto"/>
        <w:left w:val="none" w:sz="0" w:space="0" w:color="auto"/>
        <w:bottom w:val="none" w:sz="0" w:space="0" w:color="auto"/>
        <w:right w:val="none" w:sz="0" w:space="0" w:color="auto"/>
      </w:divBdr>
      <w:divsChild>
        <w:div w:id="1959796185">
          <w:marLeft w:val="0"/>
          <w:marRight w:val="0"/>
          <w:marTop w:val="0"/>
          <w:marBottom w:val="0"/>
          <w:divBdr>
            <w:top w:val="none" w:sz="0" w:space="0" w:color="auto"/>
            <w:left w:val="none" w:sz="0" w:space="0" w:color="auto"/>
            <w:bottom w:val="none" w:sz="0" w:space="0" w:color="auto"/>
            <w:right w:val="none" w:sz="0" w:space="0" w:color="auto"/>
          </w:divBdr>
        </w:div>
      </w:divsChild>
    </w:div>
    <w:div w:id="215361513">
      <w:bodyDiv w:val="1"/>
      <w:marLeft w:val="0"/>
      <w:marRight w:val="0"/>
      <w:marTop w:val="0"/>
      <w:marBottom w:val="0"/>
      <w:divBdr>
        <w:top w:val="none" w:sz="0" w:space="0" w:color="auto"/>
        <w:left w:val="none" w:sz="0" w:space="0" w:color="auto"/>
        <w:bottom w:val="none" w:sz="0" w:space="0" w:color="auto"/>
        <w:right w:val="none" w:sz="0" w:space="0" w:color="auto"/>
      </w:divBdr>
    </w:div>
    <w:div w:id="240608006">
      <w:bodyDiv w:val="1"/>
      <w:marLeft w:val="0"/>
      <w:marRight w:val="0"/>
      <w:marTop w:val="0"/>
      <w:marBottom w:val="0"/>
      <w:divBdr>
        <w:top w:val="none" w:sz="0" w:space="0" w:color="auto"/>
        <w:left w:val="none" w:sz="0" w:space="0" w:color="auto"/>
        <w:bottom w:val="none" w:sz="0" w:space="0" w:color="auto"/>
        <w:right w:val="none" w:sz="0" w:space="0" w:color="auto"/>
      </w:divBdr>
    </w:div>
    <w:div w:id="248123965">
      <w:bodyDiv w:val="1"/>
      <w:marLeft w:val="0"/>
      <w:marRight w:val="0"/>
      <w:marTop w:val="0"/>
      <w:marBottom w:val="0"/>
      <w:divBdr>
        <w:top w:val="none" w:sz="0" w:space="0" w:color="auto"/>
        <w:left w:val="none" w:sz="0" w:space="0" w:color="auto"/>
        <w:bottom w:val="none" w:sz="0" w:space="0" w:color="auto"/>
        <w:right w:val="none" w:sz="0" w:space="0" w:color="auto"/>
      </w:divBdr>
    </w:div>
    <w:div w:id="263265959">
      <w:bodyDiv w:val="1"/>
      <w:marLeft w:val="0"/>
      <w:marRight w:val="0"/>
      <w:marTop w:val="0"/>
      <w:marBottom w:val="0"/>
      <w:divBdr>
        <w:top w:val="none" w:sz="0" w:space="0" w:color="auto"/>
        <w:left w:val="none" w:sz="0" w:space="0" w:color="auto"/>
        <w:bottom w:val="none" w:sz="0" w:space="0" w:color="auto"/>
        <w:right w:val="none" w:sz="0" w:space="0" w:color="auto"/>
      </w:divBdr>
    </w:div>
    <w:div w:id="266624844">
      <w:bodyDiv w:val="1"/>
      <w:marLeft w:val="0"/>
      <w:marRight w:val="0"/>
      <w:marTop w:val="0"/>
      <w:marBottom w:val="0"/>
      <w:divBdr>
        <w:top w:val="none" w:sz="0" w:space="0" w:color="auto"/>
        <w:left w:val="none" w:sz="0" w:space="0" w:color="auto"/>
        <w:bottom w:val="none" w:sz="0" w:space="0" w:color="auto"/>
        <w:right w:val="none" w:sz="0" w:space="0" w:color="auto"/>
      </w:divBdr>
    </w:div>
    <w:div w:id="282732422">
      <w:bodyDiv w:val="1"/>
      <w:marLeft w:val="0"/>
      <w:marRight w:val="0"/>
      <w:marTop w:val="0"/>
      <w:marBottom w:val="0"/>
      <w:divBdr>
        <w:top w:val="none" w:sz="0" w:space="0" w:color="auto"/>
        <w:left w:val="none" w:sz="0" w:space="0" w:color="auto"/>
        <w:bottom w:val="none" w:sz="0" w:space="0" w:color="auto"/>
        <w:right w:val="none" w:sz="0" w:space="0" w:color="auto"/>
      </w:divBdr>
    </w:div>
    <w:div w:id="283461682">
      <w:bodyDiv w:val="1"/>
      <w:marLeft w:val="0"/>
      <w:marRight w:val="0"/>
      <w:marTop w:val="0"/>
      <w:marBottom w:val="0"/>
      <w:divBdr>
        <w:top w:val="none" w:sz="0" w:space="0" w:color="auto"/>
        <w:left w:val="none" w:sz="0" w:space="0" w:color="auto"/>
        <w:bottom w:val="none" w:sz="0" w:space="0" w:color="auto"/>
        <w:right w:val="none" w:sz="0" w:space="0" w:color="auto"/>
      </w:divBdr>
    </w:div>
    <w:div w:id="294802267">
      <w:bodyDiv w:val="1"/>
      <w:marLeft w:val="0"/>
      <w:marRight w:val="0"/>
      <w:marTop w:val="0"/>
      <w:marBottom w:val="0"/>
      <w:divBdr>
        <w:top w:val="none" w:sz="0" w:space="0" w:color="auto"/>
        <w:left w:val="none" w:sz="0" w:space="0" w:color="auto"/>
        <w:bottom w:val="none" w:sz="0" w:space="0" w:color="auto"/>
        <w:right w:val="none" w:sz="0" w:space="0" w:color="auto"/>
      </w:divBdr>
    </w:div>
    <w:div w:id="316038227">
      <w:bodyDiv w:val="1"/>
      <w:marLeft w:val="0"/>
      <w:marRight w:val="0"/>
      <w:marTop w:val="0"/>
      <w:marBottom w:val="0"/>
      <w:divBdr>
        <w:top w:val="none" w:sz="0" w:space="0" w:color="auto"/>
        <w:left w:val="none" w:sz="0" w:space="0" w:color="auto"/>
        <w:bottom w:val="none" w:sz="0" w:space="0" w:color="auto"/>
        <w:right w:val="none" w:sz="0" w:space="0" w:color="auto"/>
      </w:divBdr>
    </w:div>
    <w:div w:id="328948088">
      <w:bodyDiv w:val="1"/>
      <w:marLeft w:val="0"/>
      <w:marRight w:val="0"/>
      <w:marTop w:val="0"/>
      <w:marBottom w:val="0"/>
      <w:divBdr>
        <w:top w:val="none" w:sz="0" w:space="0" w:color="auto"/>
        <w:left w:val="none" w:sz="0" w:space="0" w:color="auto"/>
        <w:bottom w:val="none" w:sz="0" w:space="0" w:color="auto"/>
        <w:right w:val="none" w:sz="0" w:space="0" w:color="auto"/>
      </w:divBdr>
    </w:div>
    <w:div w:id="338890115">
      <w:bodyDiv w:val="1"/>
      <w:marLeft w:val="0"/>
      <w:marRight w:val="0"/>
      <w:marTop w:val="0"/>
      <w:marBottom w:val="0"/>
      <w:divBdr>
        <w:top w:val="none" w:sz="0" w:space="0" w:color="auto"/>
        <w:left w:val="none" w:sz="0" w:space="0" w:color="auto"/>
        <w:bottom w:val="none" w:sz="0" w:space="0" w:color="auto"/>
        <w:right w:val="none" w:sz="0" w:space="0" w:color="auto"/>
      </w:divBdr>
    </w:div>
    <w:div w:id="358245519">
      <w:bodyDiv w:val="1"/>
      <w:marLeft w:val="0"/>
      <w:marRight w:val="0"/>
      <w:marTop w:val="0"/>
      <w:marBottom w:val="0"/>
      <w:divBdr>
        <w:top w:val="none" w:sz="0" w:space="0" w:color="auto"/>
        <w:left w:val="none" w:sz="0" w:space="0" w:color="auto"/>
        <w:bottom w:val="none" w:sz="0" w:space="0" w:color="auto"/>
        <w:right w:val="none" w:sz="0" w:space="0" w:color="auto"/>
      </w:divBdr>
    </w:div>
    <w:div w:id="405541941">
      <w:bodyDiv w:val="1"/>
      <w:marLeft w:val="0"/>
      <w:marRight w:val="0"/>
      <w:marTop w:val="0"/>
      <w:marBottom w:val="0"/>
      <w:divBdr>
        <w:top w:val="none" w:sz="0" w:space="0" w:color="auto"/>
        <w:left w:val="none" w:sz="0" w:space="0" w:color="auto"/>
        <w:bottom w:val="none" w:sz="0" w:space="0" w:color="auto"/>
        <w:right w:val="none" w:sz="0" w:space="0" w:color="auto"/>
      </w:divBdr>
    </w:div>
    <w:div w:id="419063967">
      <w:bodyDiv w:val="1"/>
      <w:marLeft w:val="0"/>
      <w:marRight w:val="0"/>
      <w:marTop w:val="0"/>
      <w:marBottom w:val="0"/>
      <w:divBdr>
        <w:top w:val="none" w:sz="0" w:space="0" w:color="auto"/>
        <w:left w:val="none" w:sz="0" w:space="0" w:color="auto"/>
        <w:bottom w:val="none" w:sz="0" w:space="0" w:color="auto"/>
        <w:right w:val="none" w:sz="0" w:space="0" w:color="auto"/>
      </w:divBdr>
    </w:div>
    <w:div w:id="428813904">
      <w:bodyDiv w:val="1"/>
      <w:marLeft w:val="0"/>
      <w:marRight w:val="0"/>
      <w:marTop w:val="0"/>
      <w:marBottom w:val="0"/>
      <w:divBdr>
        <w:top w:val="none" w:sz="0" w:space="0" w:color="auto"/>
        <w:left w:val="none" w:sz="0" w:space="0" w:color="auto"/>
        <w:bottom w:val="none" w:sz="0" w:space="0" w:color="auto"/>
        <w:right w:val="none" w:sz="0" w:space="0" w:color="auto"/>
      </w:divBdr>
    </w:div>
    <w:div w:id="450249750">
      <w:bodyDiv w:val="1"/>
      <w:marLeft w:val="0"/>
      <w:marRight w:val="0"/>
      <w:marTop w:val="0"/>
      <w:marBottom w:val="0"/>
      <w:divBdr>
        <w:top w:val="none" w:sz="0" w:space="0" w:color="auto"/>
        <w:left w:val="none" w:sz="0" w:space="0" w:color="auto"/>
        <w:bottom w:val="none" w:sz="0" w:space="0" w:color="auto"/>
        <w:right w:val="none" w:sz="0" w:space="0" w:color="auto"/>
      </w:divBdr>
    </w:div>
    <w:div w:id="454837176">
      <w:bodyDiv w:val="1"/>
      <w:marLeft w:val="0"/>
      <w:marRight w:val="0"/>
      <w:marTop w:val="0"/>
      <w:marBottom w:val="0"/>
      <w:divBdr>
        <w:top w:val="none" w:sz="0" w:space="0" w:color="auto"/>
        <w:left w:val="none" w:sz="0" w:space="0" w:color="auto"/>
        <w:bottom w:val="none" w:sz="0" w:space="0" w:color="auto"/>
        <w:right w:val="none" w:sz="0" w:space="0" w:color="auto"/>
      </w:divBdr>
    </w:div>
    <w:div w:id="461853205">
      <w:bodyDiv w:val="1"/>
      <w:marLeft w:val="0"/>
      <w:marRight w:val="0"/>
      <w:marTop w:val="0"/>
      <w:marBottom w:val="0"/>
      <w:divBdr>
        <w:top w:val="none" w:sz="0" w:space="0" w:color="auto"/>
        <w:left w:val="none" w:sz="0" w:space="0" w:color="auto"/>
        <w:bottom w:val="none" w:sz="0" w:space="0" w:color="auto"/>
        <w:right w:val="none" w:sz="0" w:space="0" w:color="auto"/>
      </w:divBdr>
    </w:div>
    <w:div w:id="466318153">
      <w:bodyDiv w:val="1"/>
      <w:marLeft w:val="0"/>
      <w:marRight w:val="0"/>
      <w:marTop w:val="0"/>
      <w:marBottom w:val="0"/>
      <w:divBdr>
        <w:top w:val="none" w:sz="0" w:space="0" w:color="auto"/>
        <w:left w:val="none" w:sz="0" w:space="0" w:color="auto"/>
        <w:bottom w:val="none" w:sz="0" w:space="0" w:color="auto"/>
        <w:right w:val="none" w:sz="0" w:space="0" w:color="auto"/>
      </w:divBdr>
    </w:div>
    <w:div w:id="523597020">
      <w:bodyDiv w:val="1"/>
      <w:marLeft w:val="0"/>
      <w:marRight w:val="0"/>
      <w:marTop w:val="0"/>
      <w:marBottom w:val="0"/>
      <w:divBdr>
        <w:top w:val="none" w:sz="0" w:space="0" w:color="auto"/>
        <w:left w:val="none" w:sz="0" w:space="0" w:color="auto"/>
        <w:bottom w:val="none" w:sz="0" w:space="0" w:color="auto"/>
        <w:right w:val="none" w:sz="0" w:space="0" w:color="auto"/>
      </w:divBdr>
    </w:div>
    <w:div w:id="528180250">
      <w:bodyDiv w:val="1"/>
      <w:marLeft w:val="0"/>
      <w:marRight w:val="0"/>
      <w:marTop w:val="0"/>
      <w:marBottom w:val="0"/>
      <w:divBdr>
        <w:top w:val="none" w:sz="0" w:space="0" w:color="auto"/>
        <w:left w:val="none" w:sz="0" w:space="0" w:color="auto"/>
        <w:bottom w:val="none" w:sz="0" w:space="0" w:color="auto"/>
        <w:right w:val="none" w:sz="0" w:space="0" w:color="auto"/>
      </w:divBdr>
    </w:div>
    <w:div w:id="542055706">
      <w:bodyDiv w:val="1"/>
      <w:marLeft w:val="0"/>
      <w:marRight w:val="0"/>
      <w:marTop w:val="0"/>
      <w:marBottom w:val="0"/>
      <w:divBdr>
        <w:top w:val="none" w:sz="0" w:space="0" w:color="auto"/>
        <w:left w:val="none" w:sz="0" w:space="0" w:color="auto"/>
        <w:bottom w:val="none" w:sz="0" w:space="0" w:color="auto"/>
        <w:right w:val="none" w:sz="0" w:space="0" w:color="auto"/>
      </w:divBdr>
    </w:div>
    <w:div w:id="547255162">
      <w:bodyDiv w:val="1"/>
      <w:marLeft w:val="0"/>
      <w:marRight w:val="0"/>
      <w:marTop w:val="0"/>
      <w:marBottom w:val="0"/>
      <w:divBdr>
        <w:top w:val="none" w:sz="0" w:space="0" w:color="auto"/>
        <w:left w:val="none" w:sz="0" w:space="0" w:color="auto"/>
        <w:bottom w:val="none" w:sz="0" w:space="0" w:color="auto"/>
        <w:right w:val="none" w:sz="0" w:space="0" w:color="auto"/>
      </w:divBdr>
    </w:div>
    <w:div w:id="580217257">
      <w:bodyDiv w:val="1"/>
      <w:marLeft w:val="0"/>
      <w:marRight w:val="0"/>
      <w:marTop w:val="0"/>
      <w:marBottom w:val="0"/>
      <w:divBdr>
        <w:top w:val="none" w:sz="0" w:space="0" w:color="auto"/>
        <w:left w:val="none" w:sz="0" w:space="0" w:color="auto"/>
        <w:bottom w:val="none" w:sz="0" w:space="0" w:color="auto"/>
        <w:right w:val="none" w:sz="0" w:space="0" w:color="auto"/>
      </w:divBdr>
    </w:div>
    <w:div w:id="585530248">
      <w:bodyDiv w:val="1"/>
      <w:marLeft w:val="0"/>
      <w:marRight w:val="0"/>
      <w:marTop w:val="0"/>
      <w:marBottom w:val="0"/>
      <w:divBdr>
        <w:top w:val="none" w:sz="0" w:space="0" w:color="auto"/>
        <w:left w:val="none" w:sz="0" w:space="0" w:color="auto"/>
        <w:bottom w:val="none" w:sz="0" w:space="0" w:color="auto"/>
        <w:right w:val="none" w:sz="0" w:space="0" w:color="auto"/>
      </w:divBdr>
    </w:div>
    <w:div w:id="596060302">
      <w:bodyDiv w:val="1"/>
      <w:marLeft w:val="0"/>
      <w:marRight w:val="0"/>
      <w:marTop w:val="0"/>
      <w:marBottom w:val="0"/>
      <w:divBdr>
        <w:top w:val="none" w:sz="0" w:space="0" w:color="auto"/>
        <w:left w:val="none" w:sz="0" w:space="0" w:color="auto"/>
        <w:bottom w:val="none" w:sz="0" w:space="0" w:color="auto"/>
        <w:right w:val="none" w:sz="0" w:space="0" w:color="auto"/>
      </w:divBdr>
    </w:div>
    <w:div w:id="604577051">
      <w:bodyDiv w:val="1"/>
      <w:marLeft w:val="0"/>
      <w:marRight w:val="0"/>
      <w:marTop w:val="0"/>
      <w:marBottom w:val="0"/>
      <w:divBdr>
        <w:top w:val="none" w:sz="0" w:space="0" w:color="auto"/>
        <w:left w:val="none" w:sz="0" w:space="0" w:color="auto"/>
        <w:bottom w:val="none" w:sz="0" w:space="0" w:color="auto"/>
        <w:right w:val="none" w:sz="0" w:space="0" w:color="auto"/>
      </w:divBdr>
    </w:div>
    <w:div w:id="605430357">
      <w:bodyDiv w:val="1"/>
      <w:marLeft w:val="0"/>
      <w:marRight w:val="0"/>
      <w:marTop w:val="0"/>
      <w:marBottom w:val="0"/>
      <w:divBdr>
        <w:top w:val="none" w:sz="0" w:space="0" w:color="auto"/>
        <w:left w:val="none" w:sz="0" w:space="0" w:color="auto"/>
        <w:bottom w:val="none" w:sz="0" w:space="0" w:color="auto"/>
        <w:right w:val="none" w:sz="0" w:space="0" w:color="auto"/>
      </w:divBdr>
    </w:div>
    <w:div w:id="611522579">
      <w:bodyDiv w:val="1"/>
      <w:marLeft w:val="0"/>
      <w:marRight w:val="0"/>
      <w:marTop w:val="0"/>
      <w:marBottom w:val="0"/>
      <w:divBdr>
        <w:top w:val="none" w:sz="0" w:space="0" w:color="auto"/>
        <w:left w:val="none" w:sz="0" w:space="0" w:color="auto"/>
        <w:bottom w:val="none" w:sz="0" w:space="0" w:color="auto"/>
        <w:right w:val="none" w:sz="0" w:space="0" w:color="auto"/>
      </w:divBdr>
    </w:div>
    <w:div w:id="644550803">
      <w:bodyDiv w:val="1"/>
      <w:marLeft w:val="0"/>
      <w:marRight w:val="0"/>
      <w:marTop w:val="0"/>
      <w:marBottom w:val="0"/>
      <w:divBdr>
        <w:top w:val="none" w:sz="0" w:space="0" w:color="auto"/>
        <w:left w:val="none" w:sz="0" w:space="0" w:color="auto"/>
        <w:bottom w:val="none" w:sz="0" w:space="0" w:color="auto"/>
        <w:right w:val="none" w:sz="0" w:space="0" w:color="auto"/>
      </w:divBdr>
    </w:div>
    <w:div w:id="679813372">
      <w:bodyDiv w:val="1"/>
      <w:marLeft w:val="0"/>
      <w:marRight w:val="0"/>
      <w:marTop w:val="0"/>
      <w:marBottom w:val="0"/>
      <w:divBdr>
        <w:top w:val="none" w:sz="0" w:space="0" w:color="auto"/>
        <w:left w:val="none" w:sz="0" w:space="0" w:color="auto"/>
        <w:bottom w:val="none" w:sz="0" w:space="0" w:color="auto"/>
        <w:right w:val="none" w:sz="0" w:space="0" w:color="auto"/>
      </w:divBdr>
    </w:div>
    <w:div w:id="704869077">
      <w:bodyDiv w:val="1"/>
      <w:marLeft w:val="0"/>
      <w:marRight w:val="0"/>
      <w:marTop w:val="0"/>
      <w:marBottom w:val="0"/>
      <w:divBdr>
        <w:top w:val="none" w:sz="0" w:space="0" w:color="auto"/>
        <w:left w:val="none" w:sz="0" w:space="0" w:color="auto"/>
        <w:bottom w:val="none" w:sz="0" w:space="0" w:color="auto"/>
        <w:right w:val="none" w:sz="0" w:space="0" w:color="auto"/>
      </w:divBdr>
    </w:div>
    <w:div w:id="720523922">
      <w:bodyDiv w:val="1"/>
      <w:marLeft w:val="0"/>
      <w:marRight w:val="0"/>
      <w:marTop w:val="0"/>
      <w:marBottom w:val="0"/>
      <w:divBdr>
        <w:top w:val="none" w:sz="0" w:space="0" w:color="auto"/>
        <w:left w:val="none" w:sz="0" w:space="0" w:color="auto"/>
        <w:bottom w:val="none" w:sz="0" w:space="0" w:color="auto"/>
        <w:right w:val="none" w:sz="0" w:space="0" w:color="auto"/>
      </w:divBdr>
    </w:div>
    <w:div w:id="741756186">
      <w:bodyDiv w:val="1"/>
      <w:marLeft w:val="0"/>
      <w:marRight w:val="0"/>
      <w:marTop w:val="0"/>
      <w:marBottom w:val="0"/>
      <w:divBdr>
        <w:top w:val="none" w:sz="0" w:space="0" w:color="auto"/>
        <w:left w:val="none" w:sz="0" w:space="0" w:color="auto"/>
        <w:bottom w:val="none" w:sz="0" w:space="0" w:color="auto"/>
        <w:right w:val="none" w:sz="0" w:space="0" w:color="auto"/>
      </w:divBdr>
    </w:div>
    <w:div w:id="754014010">
      <w:bodyDiv w:val="1"/>
      <w:marLeft w:val="0"/>
      <w:marRight w:val="0"/>
      <w:marTop w:val="0"/>
      <w:marBottom w:val="0"/>
      <w:divBdr>
        <w:top w:val="none" w:sz="0" w:space="0" w:color="auto"/>
        <w:left w:val="none" w:sz="0" w:space="0" w:color="auto"/>
        <w:bottom w:val="none" w:sz="0" w:space="0" w:color="auto"/>
        <w:right w:val="none" w:sz="0" w:space="0" w:color="auto"/>
      </w:divBdr>
    </w:div>
    <w:div w:id="758913258">
      <w:bodyDiv w:val="1"/>
      <w:marLeft w:val="0"/>
      <w:marRight w:val="0"/>
      <w:marTop w:val="0"/>
      <w:marBottom w:val="0"/>
      <w:divBdr>
        <w:top w:val="none" w:sz="0" w:space="0" w:color="auto"/>
        <w:left w:val="none" w:sz="0" w:space="0" w:color="auto"/>
        <w:bottom w:val="none" w:sz="0" w:space="0" w:color="auto"/>
        <w:right w:val="none" w:sz="0" w:space="0" w:color="auto"/>
      </w:divBdr>
    </w:div>
    <w:div w:id="827524620">
      <w:bodyDiv w:val="1"/>
      <w:marLeft w:val="0"/>
      <w:marRight w:val="0"/>
      <w:marTop w:val="0"/>
      <w:marBottom w:val="0"/>
      <w:divBdr>
        <w:top w:val="none" w:sz="0" w:space="0" w:color="auto"/>
        <w:left w:val="none" w:sz="0" w:space="0" w:color="auto"/>
        <w:bottom w:val="none" w:sz="0" w:space="0" w:color="auto"/>
        <w:right w:val="none" w:sz="0" w:space="0" w:color="auto"/>
      </w:divBdr>
    </w:div>
    <w:div w:id="874121535">
      <w:bodyDiv w:val="1"/>
      <w:marLeft w:val="0"/>
      <w:marRight w:val="0"/>
      <w:marTop w:val="0"/>
      <w:marBottom w:val="0"/>
      <w:divBdr>
        <w:top w:val="none" w:sz="0" w:space="0" w:color="auto"/>
        <w:left w:val="none" w:sz="0" w:space="0" w:color="auto"/>
        <w:bottom w:val="none" w:sz="0" w:space="0" w:color="auto"/>
        <w:right w:val="none" w:sz="0" w:space="0" w:color="auto"/>
      </w:divBdr>
    </w:div>
    <w:div w:id="901789176">
      <w:bodyDiv w:val="1"/>
      <w:marLeft w:val="0"/>
      <w:marRight w:val="0"/>
      <w:marTop w:val="0"/>
      <w:marBottom w:val="0"/>
      <w:divBdr>
        <w:top w:val="none" w:sz="0" w:space="0" w:color="auto"/>
        <w:left w:val="none" w:sz="0" w:space="0" w:color="auto"/>
        <w:bottom w:val="none" w:sz="0" w:space="0" w:color="auto"/>
        <w:right w:val="none" w:sz="0" w:space="0" w:color="auto"/>
      </w:divBdr>
    </w:div>
    <w:div w:id="905184983">
      <w:bodyDiv w:val="1"/>
      <w:marLeft w:val="0"/>
      <w:marRight w:val="0"/>
      <w:marTop w:val="0"/>
      <w:marBottom w:val="0"/>
      <w:divBdr>
        <w:top w:val="none" w:sz="0" w:space="0" w:color="auto"/>
        <w:left w:val="none" w:sz="0" w:space="0" w:color="auto"/>
        <w:bottom w:val="none" w:sz="0" w:space="0" w:color="auto"/>
        <w:right w:val="none" w:sz="0" w:space="0" w:color="auto"/>
      </w:divBdr>
    </w:div>
    <w:div w:id="945773093">
      <w:bodyDiv w:val="1"/>
      <w:marLeft w:val="0"/>
      <w:marRight w:val="0"/>
      <w:marTop w:val="0"/>
      <w:marBottom w:val="0"/>
      <w:divBdr>
        <w:top w:val="none" w:sz="0" w:space="0" w:color="auto"/>
        <w:left w:val="none" w:sz="0" w:space="0" w:color="auto"/>
        <w:bottom w:val="none" w:sz="0" w:space="0" w:color="auto"/>
        <w:right w:val="none" w:sz="0" w:space="0" w:color="auto"/>
      </w:divBdr>
    </w:div>
    <w:div w:id="945886913">
      <w:bodyDiv w:val="1"/>
      <w:marLeft w:val="0"/>
      <w:marRight w:val="0"/>
      <w:marTop w:val="0"/>
      <w:marBottom w:val="0"/>
      <w:divBdr>
        <w:top w:val="none" w:sz="0" w:space="0" w:color="auto"/>
        <w:left w:val="none" w:sz="0" w:space="0" w:color="auto"/>
        <w:bottom w:val="none" w:sz="0" w:space="0" w:color="auto"/>
        <w:right w:val="none" w:sz="0" w:space="0" w:color="auto"/>
      </w:divBdr>
    </w:div>
    <w:div w:id="961348673">
      <w:bodyDiv w:val="1"/>
      <w:marLeft w:val="0"/>
      <w:marRight w:val="0"/>
      <w:marTop w:val="0"/>
      <w:marBottom w:val="0"/>
      <w:divBdr>
        <w:top w:val="none" w:sz="0" w:space="0" w:color="auto"/>
        <w:left w:val="none" w:sz="0" w:space="0" w:color="auto"/>
        <w:bottom w:val="none" w:sz="0" w:space="0" w:color="auto"/>
        <w:right w:val="none" w:sz="0" w:space="0" w:color="auto"/>
      </w:divBdr>
    </w:div>
    <w:div w:id="989211781">
      <w:bodyDiv w:val="1"/>
      <w:marLeft w:val="0"/>
      <w:marRight w:val="0"/>
      <w:marTop w:val="0"/>
      <w:marBottom w:val="0"/>
      <w:divBdr>
        <w:top w:val="none" w:sz="0" w:space="0" w:color="auto"/>
        <w:left w:val="none" w:sz="0" w:space="0" w:color="auto"/>
        <w:bottom w:val="none" w:sz="0" w:space="0" w:color="auto"/>
        <w:right w:val="none" w:sz="0" w:space="0" w:color="auto"/>
      </w:divBdr>
    </w:div>
    <w:div w:id="997612217">
      <w:bodyDiv w:val="1"/>
      <w:marLeft w:val="0"/>
      <w:marRight w:val="0"/>
      <w:marTop w:val="0"/>
      <w:marBottom w:val="0"/>
      <w:divBdr>
        <w:top w:val="none" w:sz="0" w:space="0" w:color="auto"/>
        <w:left w:val="none" w:sz="0" w:space="0" w:color="auto"/>
        <w:bottom w:val="none" w:sz="0" w:space="0" w:color="auto"/>
        <w:right w:val="none" w:sz="0" w:space="0" w:color="auto"/>
      </w:divBdr>
    </w:div>
    <w:div w:id="1006252789">
      <w:bodyDiv w:val="1"/>
      <w:marLeft w:val="0"/>
      <w:marRight w:val="0"/>
      <w:marTop w:val="0"/>
      <w:marBottom w:val="0"/>
      <w:divBdr>
        <w:top w:val="none" w:sz="0" w:space="0" w:color="auto"/>
        <w:left w:val="none" w:sz="0" w:space="0" w:color="auto"/>
        <w:bottom w:val="none" w:sz="0" w:space="0" w:color="auto"/>
        <w:right w:val="none" w:sz="0" w:space="0" w:color="auto"/>
      </w:divBdr>
    </w:div>
    <w:div w:id="1034385566">
      <w:bodyDiv w:val="1"/>
      <w:marLeft w:val="0"/>
      <w:marRight w:val="0"/>
      <w:marTop w:val="0"/>
      <w:marBottom w:val="0"/>
      <w:divBdr>
        <w:top w:val="none" w:sz="0" w:space="0" w:color="auto"/>
        <w:left w:val="none" w:sz="0" w:space="0" w:color="auto"/>
        <w:bottom w:val="none" w:sz="0" w:space="0" w:color="auto"/>
        <w:right w:val="none" w:sz="0" w:space="0" w:color="auto"/>
      </w:divBdr>
    </w:div>
    <w:div w:id="1044333191">
      <w:bodyDiv w:val="1"/>
      <w:marLeft w:val="0"/>
      <w:marRight w:val="0"/>
      <w:marTop w:val="0"/>
      <w:marBottom w:val="0"/>
      <w:divBdr>
        <w:top w:val="none" w:sz="0" w:space="0" w:color="auto"/>
        <w:left w:val="none" w:sz="0" w:space="0" w:color="auto"/>
        <w:bottom w:val="none" w:sz="0" w:space="0" w:color="auto"/>
        <w:right w:val="none" w:sz="0" w:space="0" w:color="auto"/>
      </w:divBdr>
    </w:div>
    <w:div w:id="1080761277">
      <w:bodyDiv w:val="1"/>
      <w:marLeft w:val="0"/>
      <w:marRight w:val="0"/>
      <w:marTop w:val="0"/>
      <w:marBottom w:val="0"/>
      <w:divBdr>
        <w:top w:val="none" w:sz="0" w:space="0" w:color="auto"/>
        <w:left w:val="none" w:sz="0" w:space="0" w:color="auto"/>
        <w:bottom w:val="none" w:sz="0" w:space="0" w:color="auto"/>
        <w:right w:val="none" w:sz="0" w:space="0" w:color="auto"/>
      </w:divBdr>
    </w:div>
    <w:div w:id="1093283353">
      <w:bodyDiv w:val="1"/>
      <w:marLeft w:val="0"/>
      <w:marRight w:val="0"/>
      <w:marTop w:val="0"/>
      <w:marBottom w:val="0"/>
      <w:divBdr>
        <w:top w:val="none" w:sz="0" w:space="0" w:color="auto"/>
        <w:left w:val="none" w:sz="0" w:space="0" w:color="auto"/>
        <w:bottom w:val="none" w:sz="0" w:space="0" w:color="auto"/>
        <w:right w:val="none" w:sz="0" w:space="0" w:color="auto"/>
      </w:divBdr>
    </w:div>
    <w:div w:id="1116408877">
      <w:bodyDiv w:val="1"/>
      <w:marLeft w:val="0"/>
      <w:marRight w:val="0"/>
      <w:marTop w:val="0"/>
      <w:marBottom w:val="0"/>
      <w:divBdr>
        <w:top w:val="none" w:sz="0" w:space="0" w:color="auto"/>
        <w:left w:val="none" w:sz="0" w:space="0" w:color="auto"/>
        <w:bottom w:val="none" w:sz="0" w:space="0" w:color="auto"/>
        <w:right w:val="none" w:sz="0" w:space="0" w:color="auto"/>
      </w:divBdr>
    </w:div>
    <w:div w:id="1130131598">
      <w:bodyDiv w:val="1"/>
      <w:marLeft w:val="0"/>
      <w:marRight w:val="0"/>
      <w:marTop w:val="0"/>
      <w:marBottom w:val="0"/>
      <w:divBdr>
        <w:top w:val="none" w:sz="0" w:space="0" w:color="auto"/>
        <w:left w:val="none" w:sz="0" w:space="0" w:color="auto"/>
        <w:bottom w:val="none" w:sz="0" w:space="0" w:color="auto"/>
        <w:right w:val="none" w:sz="0" w:space="0" w:color="auto"/>
      </w:divBdr>
    </w:div>
    <w:div w:id="1221673140">
      <w:bodyDiv w:val="1"/>
      <w:marLeft w:val="0"/>
      <w:marRight w:val="0"/>
      <w:marTop w:val="0"/>
      <w:marBottom w:val="0"/>
      <w:divBdr>
        <w:top w:val="none" w:sz="0" w:space="0" w:color="auto"/>
        <w:left w:val="none" w:sz="0" w:space="0" w:color="auto"/>
        <w:bottom w:val="none" w:sz="0" w:space="0" w:color="auto"/>
        <w:right w:val="none" w:sz="0" w:space="0" w:color="auto"/>
      </w:divBdr>
    </w:div>
    <w:div w:id="1229682430">
      <w:bodyDiv w:val="1"/>
      <w:marLeft w:val="0"/>
      <w:marRight w:val="0"/>
      <w:marTop w:val="0"/>
      <w:marBottom w:val="0"/>
      <w:divBdr>
        <w:top w:val="none" w:sz="0" w:space="0" w:color="auto"/>
        <w:left w:val="none" w:sz="0" w:space="0" w:color="auto"/>
        <w:bottom w:val="none" w:sz="0" w:space="0" w:color="auto"/>
        <w:right w:val="none" w:sz="0" w:space="0" w:color="auto"/>
      </w:divBdr>
    </w:div>
    <w:div w:id="1231309268">
      <w:bodyDiv w:val="1"/>
      <w:marLeft w:val="0"/>
      <w:marRight w:val="0"/>
      <w:marTop w:val="0"/>
      <w:marBottom w:val="0"/>
      <w:divBdr>
        <w:top w:val="none" w:sz="0" w:space="0" w:color="auto"/>
        <w:left w:val="none" w:sz="0" w:space="0" w:color="auto"/>
        <w:bottom w:val="none" w:sz="0" w:space="0" w:color="auto"/>
        <w:right w:val="none" w:sz="0" w:space="0" w:color="auto"/>
      </w:divBdr>
    </w:div>
    <w:div w:id="1246187691">
      <w:bodyDiv w:val="1"/>
      <w:marLeft w:val="0"/>
      <w:marRight w:val="0"/>
      <w:marTop w:val="0"/>
      <w:marBottom w:val="0"/>
      <w:divBdr>
        <w:top w:val="none" w:sz="0" w:space="0" w:color="auto"/>
        <w:left w:val="none" w:sz="0" w:space="0" w:color="auto"/>
        <w:bottom w:val="none" w:sz="0" w:space="0" w:color="auto"/>
        <w:right w:val="none" w:sz="0" w:space="0" w:color="auto"/>
      </w:divBdr>
    </w:div>
    <w:div w:id="1251506590">
      <w:bodyDiv w:val="1"/>
      <w:marLeft w:val="0"/>
      <w:marRight w:val="0"/>
      <w:marTop w:val="0"/>
      <w:marBottom w:val="0"/>
      <w:divBdr>
        <w:top w:val="none" w:sz="0" w:space="0" w:color="auto"/>
        <w:left w:val="none" w:sz="0" w:space="0" w:color="auto"/>
        <w:bottom w:val="none" w:sz="0" w:space="0" w:color="auto"/>
        <w:right w:val="none" w:sz="0" w:space="0" w:color="auto"/>
      </w:divBdr>
    </w:div>
    <w:div w:id="1254820897">
      <w:bodyDiv w:val="1"/>
      <w:marLeft w:val="0"/>
      <w:marRight w:val="0"/>
      <w:marTop w:val="0"/>
      <w:marBottom w:val="0"/>
      <w:divBdr>
        <w:top w:val="none" w:sz="0" w:space="0" w:color="auto"/>
        <w:left w:val="none" w:sz="0" w:space="0" w:color="auto"/>
        <w:bottom w:val="none" w:sz="0" w:space="0" w:color="auto"/>
        <w:right w:val="none" w:sz="0" w:space="0" w:color="auto"/>
      </w:divBdr>
    </w:div>
    <w:div w:id="1280382530">
      <w:bodyDiv w:val="1"/>
      <w:marLeft w:val="0"/>
      <w:marRight w:val="0"/>
      <w:marTop w:val="0"/>
      <w:marBottom w:val="0"/>
      <w:divBdr>
        <w:top w:val="none" w:sz="0" w:space="0" w:color="auto"/>
        <w:left w:val="none" w:sz="0" w:space="0" w:color="auto"/>
        <w:bottom w:val="none" w:sz="0" w:space="0" w:color="auto"/>
        <w:right w:val="none" w:sz="0" w:space="0" w:color="auto"/>
      </w:divBdr>
    </w:div>
    <w:div w:id="1295016223">
      <w:bodyDiv w:val="1"/>
      <w:marLeft w:val="0"/>
      <w:marRight w:val="0"/>
      <w:marTop w:val="0"/>
      <w:marBottom w:val="0"/>
      <w:divBdr>
        <w:top w:val="none" w:sz="0" w:space="0" w:color="auto"/>
        <w:left w:val="none" w:sz="0" w:space="0" w:color="auto"/>
        <w:bottom w:val="none" w:sz="0" w:space="0" w:color="auto"/>
        <w:right w:val="none" w:sz="0" w:space="0" w:color="auto"/>
      </w:divBdr>
    </w:div>
    <w:div w:id="1321082193">
      <w:bodyDiv w:val="1"/>
      <w:marLeft w:val="0"/>
      <w:marRight w:val="0"/>
      <w:marTop w:val="0"/>
      <w:marBottom w:val="0"/>
      <w:divBdr>
        <w:top w:val="none" w:sz="0" w:space="0" w:color="auto"/>
        <w:left w:val="none" w:sz="0" w:space="0" w:color="auto"/>
        <w:bottom w:val="none" w:sz="0" w:space="0" w:color="auto"/>
        <w:right w:val="none" w:sz="0" w:space="0" w:color="auto"/>
      </w:divBdr>
    </w:div>
    <w:div w:id="1379433095">
      <w:bodyDiv w:val="1"/>
      <w:marLeft w:val="0"/>
      <w:marRight w:val="0"/>
      <w:marTop w:val="0"/>
      <w:marBottom w:val="0"/>
      <w:divBdr>
        <w:top w:val="none" w:sz="0" w:space="0" w:color="auto"/>
        <w:left w:val="none" w:sz="0" w:space="0" w:color="auto"/>
        <w:bottom w:val="none" w:sz="0" w:space="0" w:color="auto"/>
        <w:right w:val="none" w:sz="0" w:space="0" w:color="auto"/>
      </w:divBdr>
    </w:div>
    <w:div w:id="1396204037">
      <w:bodyDiv w:val="1"/>
      <w:marLeft w:val="0"/>
      <w:marRight w:val="0"/>
      <w:marTop w:val="0"/>
      <w:marBottom w:val="0"/>
      <w:divBdr>
        <w:top w:val="none" w:sz="0" w:space="0" w:color="auto"/>
        <w:left w:val="none" w:sz="0" w:space="0" w:color="auto"/>
        <w:bottom w:val="none" w:sz="0" w:space="0" w:color="auto"/>
        <w:right w:val="none" w:sz="0" w:space="0" w:color="auto"/>
      </w:divBdr>
    </w:div>
    <w:div w:id="1454254162">
      <w:bodyDiv w:val="1"/>
      <w:marLeft w:val="0"/>
      <w:marRight w:val="0"/>
      <w:marTop w:val="0"/>
      <w:marBottom w:val="0"/>
      <w:divBdr>
        <w:top w:val="none" w:sz="0" w:space="0" w:color="auto"/>
        <w:left w:val="none" w:sz="0" w:space="0" w:color="auto"/>
        <w:bottom w:val="none" w:sz="0" w:space="0" w:color="auto"/>
        <w:right w:val="none" w:sz="0" w:space="0" w:color="auto"/>
      </w:divBdr>
    </w:div>
    <w:div w:id="1461997063">
      <w:bodyDiv w:val="1"/>
      <w:marLeft w:val="0"/>
      <w:marRight w:val="0"/>
      <w:marTop w:val="0"/>
      <w:marBottom w:val="0"/>
      <w:divBdr>
        <w:top w:val="none" w:sz="0" w:space="0" w:color="auto"/>
        <w:left w:val="none" w:sz="0" w:space="0" w:color="auto"/>
        <w:bottom w:val="none" w:sz="0" w:space="0" w:color="auto"/>
        <w:right w:val="none" w:sz="0" w:space="0" w:color="auto"/>
      </w:divBdr>
    </w:div>
    <w:div w:id="1467357970">
      <w:bodyDiv w:val="1"/>
      <w:marLeft w:val="0"/>
      <w:marRight w:val="0"/>
      <w:marTop w:val="0"/>
      <w:marBottom w:val="0"/>
      <w:divBdr>
        <w:top w:val="none" w:sz="0" w:space="0" w:color="auto"/>
        <w:left w:val="none" w:sz="0" w:space="0" w:color="auto"/>
        <w:bottom w:val="none" w:sz="0" w:space="0" w:color="auto"/>
        <w:right w:val="none" w:sz="0" w:space="0" w:color="auto"/>
      </w:divBdr>
    </w:div>
    <w:div w:id="1485076633">
      <w:bodyDiv w:val="1"/>
      <w:marLeft w:val="0"/>
      <w:marRight w:val="0"/>
      <w:marTop w:val="0"/>
      <w:marBottom w:val="0"/>
      <w:divBdr>
        <w:top w:val="none" w:sz="0" w:space="0" w:color="auto"/>
        <w:left w:val="none" w:sz="0" w:space="0" w:color="auto"/>
        <w:bottom w:val="none" w:sz="0" w:space="0" w:color="auto"/>
        <w:right w:val="none" w:sz="0" w:space="0" w:color="auto"/>
      </w:divBdr>
    </w:div>
    <w:div w:id="1489977553">
      <w:bodyDiv w:val="1"/>
      <w:marLeft w:val="0"/>
      <w:marRight w:val="0"/>
      <w:marTop w:val="0"/>
      <w:marBottom w:val="0"/>
      <w:divBdr>
        <w:top w:val="none" w:sz="0" w:space="0" w:color="auto"/>
        <w:left w:val="none" w:sz="0" w:space="0" w:color="auto"/>
        <w:bottom w:val="none" w:sz="0" w:space="0" w:color="auto"/>
        <w:right w:val="none" w:sz="0" w:space="0" w:color="auto"/>
      </w:divBdr>
    </w:div>
    <w:div w:id="1507669822">
      <w:bodyDiv w:val="1"/>
      <w:marLeft w:val="0"/>
      <w:marRight w:val="0"/>
      <w:marTop w:val="0"/>
      <w:marBottom w:val="0"/>
      <w:divBdr>
        <w:top w:val="none" w:sz="0" w:space="0" w:color="auto"/>
        <w:left w:val="none" w:sz="0" w:space="0" w:color="auto"/>
        <w:bottom w:val="none" w:sz="0" w:space="0" w:color="auto"/>
        <w:right w:val="none" w:sz="0" w:space="0" w:color="auto"/>
      </w:divBdr>
    </w:div>
    <w:div w:id="1513835799">
      <w:bodyDiv w:val="1"/>
      <w:marLeft w:val="0"/>
      <w:marRight w:val="0"/>
      <w:marTop w:val="0"/>
      <w:marBottom w:val="0"/>
      <w:divBdr>
        <w:top w:val="none" w:sz="0" w:space="0" w:color="auto"/>
        <w:left w:val="none" w:sz="0" w:space="0" w:color="auto"/>
        <w:bottom w:val="none" w:sz="0" w:space="0" w:color="auto"/>
        <w:right w:val="none" w:sz="0" w:space="0" w:color="auto"/>
      </w:divBdr>
    </w:div>
    <w:div w:id="1633823456">
      <w:bodyDiv w:val="1"/>
      <w:marLeft w:val="0"/>
      <w:marRight w:val="0"/>
      <w:marTop w:val="0"/>
      <w:marBottom w:val="0"/>
      <w:divBdr>
        <w:top w:val="none" w:sz="0" w:space="0" w:color="auto"/>
        <w:left w:val="none" w:sz="0" w:space="0" w:color="auto"/>
        <w:bottom w:val="none" w:sz="0" w:space="0" w:color="auto"/>
        <w:right w:val="none" w:sz="0" w:space="0" w:color="auto"/>
      </w:divBdr>
    </w:div>
    <w:div w:id="1650087419">
      <w:bodyDiv w:val="1"/>
      <w:marLeft w:val="0"/>
      <w:marRight w:val="0"/>
      <w:marTop w:val="0"/>
      <w:marBottom w:val="0"/>
      <w:divBdr>
        <w:top w:val="none" w:sz="0" w:space="0" w:color="auto"/>
        <w:left w:val="none" w:sz="0" w:space="0" w:color="auto"/>
        <w:bottom w:val="none" w:sz="0" w:space="0" w:color="auto"/>
        <w:right w:val="none" w:sz="0" w:space="0" w:color="auto"/>
      </w:divBdr>
    </w:div>
    <w:div w:id="1660160208">
      <w:bodyDiv w:val="1"/>
      <w:marLeft w:val="0"/>
      <w:marRight w:val="0"/>
      <w:marTop w:val="0"/>
      <w:marBottom w:val="0"/>
      <w:divBdr>
        <w:top w:val="none" w:sz="0" w:space="0" w:color="auto"/>
        <w:left w:val="none" w:sz="0" w:space="0" w:color="auto"/>
        <w:bottom w:val="none" w:sz="0" w:space="0" w:color="auto"/>
        <w:right w:val="none" w:sz="0" w:space="0" w:color="auto"/>
      </w:divBdr>
    </w:div>
    <w:div w:id="1673294271">
      <w:bodyDiv w:val="1"/>
      <w:marLeft w:val="0"/>
      <w:marRight w:val="0"/>
      <w:marTop w:val="0"/>
      <w:marBottom w:val="0"/>
      <w:divBdr>
        <w:top w:val="none" w:sz="0" w:space="0" w:color="auto"/>
        <w:left w:val="none" w:sz="0" w:space="0" w:color="auto"/>
        <w:bottom w:val="none" w:sz="0" w:space="0" w:color="auto"/>
        <w:right w:val="none" w:sz="0" w:space="0" w:color="auto"/>
      </w:divBdr>
    </w:div>
    <w:div w:id="1709455653">
      <w:bodyDiv w:val="1"/>
      <w:marLeft w:val="0"/>
      <w:marRight w:val="0"/>
      <w:marTop w:val="0"/>
      <w:marBottom w:val="0"/>
      <w:divBdr>
        <w:top w:val="none" w:sz="0" w:space="0" w:color="auto"/>
        <w:left w:val="none" w:sz="0" w:space="0" w:color="auto"/>
        <w:bottom w:val="none" w:sz="0" w:space="0" w:color="auto"/>
        <w:right w:val="none" w:sz="0" w:space="0" w:color="auto"/>
      </w:divBdr>
    </w:div>
    <w:div w:id="1750693866">
      <w:bodyDiv w:val="1"/>
      <w:marLeft w:val="0"/>
      <w:marRight w:val="0"/>
      <w:marTop w:val="0"/>
      <w:marBottom w:val="0"/>
      <w:divBdr>
        <w:top w:val="none" w:sz="0" w:space="0" w:color="auto"/>
        <w:left w:val="none" w:sz="0" w:space="0" w:color="auto"/>
        <w:bottom w:val="none" w:sz="0" w:space="0" w:color="auto"/>
        <w:right w:val="none" w:sz="0" w:space="0" w:color="auto"/>
      </w:divBdr>
    </w:div>
    <w:div w:id="1787038137">
      <w:bodyDiv w:val="1"/>
      <w:marLeft w:val="0"/>
      <w:marRight w:val="0"/>
      <w:marTop w:val="0"/>
      <w:marBottom w:val="0"/>
      <w:divBdr>
        <w:top w:val="none" w:sz="0" w:space="0" w:color="auto"/>
        <w:left w:val="none" w:sz="0" w:space="0" w:color="auto"/>
        <w:bottom w:val="none" w:sz="0" w:space="0" w:color="auto"/>
        <w:right w:val="none" w:sz="0" w:space="0" w:color="auto"/>
      </w:divBdr>
    </w:div>
    <w:div w:id="1843816925">
      <w:bodyDiv w:val="1"/>
      <w:marLeft w:val="0"/>
      <w:marRight w:val="0"/>
      <w:marTop w:val="0"/>
      <w:marBottom w:val="0"/>
      <w:divBdr>
        <w:top w:val="none" w:sz="0" w:space="0" w:color="auto"/>
        <w:left w:val="none" w:sz="0" w:space="0" w:color="auto"/>
        <w:bottom w:val="none" w:sz="0" w:space="0" w:color="auto"/>
        <w:right w:val="none" w:sz="0" w:space="0" w:color="auto"/>
      </w:divBdr>
    </w:div>
    <w:div w:id="1853840831">
      <w:bodyDiv w:val="1"/>
      <w:marLeft w:val="0"/>
      <w:marRight w:val="0"/>
      <w:marTop w:val="0"/>
      <w:marBottom w:val="0"/>
      <w:divBdr>
        <w:top w:val="none" w:sz="0" w:space="0" w:color="auto"/>
        <w:left w:val="none" w:sz="0" w:space="0" w:color="auto"/>
        <w:bottom w:val="none" w:sz="0" w:space="0" w:color="auto"/>
        <w:right w:val="none" w:sz="0" w:space="0" w:color="auto"/>
      </w:divBdr>
    </w:div>
    <w:div w:id="1877698436">
      <w:bodyDiv w:val="1"/>
      <w:marLeft w:val="0"/>
      <w:marRight w:val="0"/>
      <w:marTop w:val="0"/>
      <w:marBottom w:val="0"/>
      <w:divBdr>
        <w:top w:val="none" w:sz="0" w:space="0" w:color="auto"/>
        <w:left w:val="none" w:sz="0" w:space="0" w:color="auto"/>
        <w:bottom w:val="none" w:sz="0" w:space="0" w:color="auto"/>
        <w:right w:val="none" w:sz="0" w:space="0" w:color="auto"/>
      </w:divBdr>
    </w:div>
    <w:div w:id="1904367104">
      <w:bodyDiv w:val="1"/>
      <w:marLeft w:val="0"/>
      <w:marRight w:val="0"/>
      <w:marTop w:val="0"/>
      <w:marBottom w:val="0"/>
      <w:divBdr>
        <w:top w:val="none" w:sz="0" w:space="0" w:color="auto"/>
        <w:left w:val="none" w:sz="0" w:space="0" w:color="auto"/>
        <w:bottom w:val="none" w:sz="0" w:space="0" w:color="auto"/>
        <w:right w:val="none" w:sz="0" w:space="0" w:color="auto"/>
      </w:divBdr>
    </w:div>
    <w:div w:id="1911623098">
      <w:bodyDiv w:val="1"/>
      <w:marLeft w:val="0"/>
      <w:marRight w:val="0"/>
      <w:marTop w:val="0"/>
      <w:marBottom w:val="0"/>
      <w:divBdr>
        <w:top w:val="none" w:sz="0" w:space="0" w:color="auto"/>
        <w:left w:val="none" w:sz="0" w:space="0" w:color="auto"/>
        <w:bottom w:val="none" w:sz="0" w:space="0" w:color="auto"/>
        <w:right w:val="none" w:sz="0" w:space="0" w:color="auto"/>
      </w:divBdr>
    </w:div>
    <w:div w:id="1916864777">
      <w:bodyDiv w:val="1"/>
      <w:marLeft w:val="0"/>
      <w:marRight w:val="0"/>
      <w:marTop w:val="0"/>
      <w:marBottom w:val="0"/>
      <w:divBdr>
        <w:top w:val="none" w:sz="0" w:space="0" w:color="auto"/>
        <w:left w:val="none" w:sz="0" w:space="0" w:color="auto"/>
        <w:bottom w:val="none" w:sz="0" w:space="0" w:color="auto"/>
        <w:right w:val="none" w:sz="0" w:space="0" w:color="auto"/>
      </w:divBdr>
    </w:div>
    <w:div w:id="1919093830">
      <w:bodyDiv w:val="1"/>
      <w:marLeft w:val="0"/>
      <w:marRight w:val="0"/>
      <w:marTop w:val="0"/>
      <w:marBottom w:val="0"/>
      <w:divBdr>
        <w:top w:val="none" w:sz="0" w:space="0" w:color="auto"/>
        <w:left w:val="none" w:sz="0" w:space="0" w:color="auto"/>
        <w:bottom w:val="none" w:sz="0" w:space="0" w:color="auto"/>
        <w:right w:val="none" w:sz="0" w:space="0" w:color="auto"/>
      </w:divBdr>
    </w:div>
    <w:div w:id="1934701863">
      <w:bodyDiv w:val="1"/>
      <w:marLeft w:val="0"/>
      <w:marRight w:val="0"/>
      <w:marTop w:val="0"/>
      <w:marBottom w:val="0"/>
      <w:divBdr>
        <w:top w:val="none" w:sz="0" w:space="0" w:color="auto"/>
        <w:left w:val="none" w:sz="0" w:space="0" w:color="auto"/>
        <w:bottom w:val="none" w:sz="0" w:space="0" w:color="auto"/>
        <w:right w:val="none" w:sz="0" w:space="0" w:color="auto"/>
      </w:divBdr>
    </w:div>
    <w:div w:id="1936592479">
      <w:bodyDiv w:val="1"/>
      <w:marLeft w:val="0"/>
      <w:marRight w:val="0"/>
      <w:marTop w:val="0"/>
      <w:marBottom w:val="0"/>
      <w:divBdr>
        <w:top w:val="none" w:sz="0" w:space="0" w:color="auto"/>
        <w:left w:val="none" w:sz="0" w:space="0" w:color="auto"/>
        <w:bottom w:val="none" w:sz="0" w:space="0" w:color="auto"/>
        <w:right w:val="none" w:sz="0" w:space="0" w:color="auto"/>
      </w:divBdr>
    </w:div>
    <w:div w:id="1948123806">
      <w:bodyDiv w:val="1"/>
      <w:marLeft w:val="0"/>
      <w:marRight w:val="0"/>
      <w:marTop w:val="0"/>
      <w:marBottom w:val="0"/>
      <w:divBdr>
        <w:top w:val="none" w:sz="0" w:space="0" w:color="auto"/>
        <w:left w:val="none" w:sz="0" w:space="0" w:color="auto"/>
        <w:bottom w:val="none" w:sz="0" w:space="0" w:color="auto"/>
        <w:right w:val="none" w:sz="0" w:space="0" w:color="auto"/>
      </w:divBdr>
    </w:div>
    <w:div w:id="1993672917">
      <w:bodyDiv w:val="1"/>
      <w:marLeft w:val="0"/>
      <w:marRight w:val="0"/>
      <w:marTop w:val="0"/>
      <w:marBottom w:val="0"/>
      <w:divBdr>
        <w:top w:val="none" w:sz="0" w:space="0" w:color="auto"/>
        <w:left w:val="none" w:sz="0" w:space="0" w:color="auto"/>
        <w:bottom w:val="none" w:sz="0" w:space="0" w:color="auto"/>
        <w:right w:val="none" w:sz="0" w:space="0" w:color="auto"/>
      </w:divBdr>
    </w:div>
    <w:div w:id="2002463324">
      <w:bodyDiv w:val="1"/>
      <w:marLeft w:val="0"/>
      <w:marRight w:val="0"/>
      <w:marTop w:val="0"/>
      <w:marBottom w:val="0"/>
      <w:divBdr>
        <w:top w:val="none" w:sz="0" w:space="0" w:color="auto"/>
        <w:left w:val="none" w:sz="0" w:space="0" w:color="auto"/>
        <w:bottom w:val="none" w:sz="0" w:space="0" w:color="auto"/>
        <w:right w:val="none" w:sz="0" w:space="0" w:color="auto"/>
      </w:divBdr>
    </w:div>
    <w:div w:id="2012642158">
      <w:bodyDiv w:val="1"/>
      <w:marLeft w:val="0"/>
      <w:marRight w:val="0"/>
      <w:marTop w:val="0"/>
      <w:marBottom w:val="0"/>
      <w:divBdr>
        <w:top w:val="none" w:sz="0" w:space="0" w:color="auto"/>
        <w:left w:val="none" w:sz="0" w:space="0" w:color="auto"/>
        <w:bottom w:val="none" w:sz="0" w:space="0" w:color="auto"/>
        <w:right w:val="none" w:sz="0" w:space="0" w:color="auto"/>
      </w:divBdr>
    </w:div>
    <w:div w:id="2031905854">
      <w:bodyDiv w:val="1"/>
      <w:marLeft w:val="0"/>
      <w:marRight w:val="0"/>
      <w:marTop w:val="0"/>
      <w:marBottom w:val="0"/>
      <w:divBdr>
        <w:top w:val="none" w:sz="0" w:space="0" w:color="auto"/>
        <w:left w:val="none" w:sz="0" w:space="0" w:color="auto"/>
        <w:bottom w:val="none" w:sz="0" w:space="0" w:color="auto"/>
        <w:right w:val="none" w:sz="0" w:space="0" w:color="auto"/>
      </w:divBdr>
    </w:div>
    <w:div w:id="2049644738">
      <w:bodyDiv w:val="1"/>
      <w:marLeft w:val="0"/>
      <w:marRight w:val="0"/>
      <w:marTop w:val="0"/>
      <w:marBottom w:val="0"/>
      <w:divBdr>
        <w:top w:val="none" w:sz="0" w:space="0" w:color="auto"/>
        <w:left w:val="none" w:sz="0" w:space="0" w:color="auto"/>
        <w:bottom w:val="none" w:sz="0" w:space="0" w:color="auto"/>
        <w:right w:val="none" w:sz="0" w:space="0" w:color="auto"/>
      </w:divBdr>
    </w:div>
    <w:div w:id="2050033927">
      <w:bodyDiv w:val="1"/>
      <w:marLeft w:val="0"/>
      <w:marRight w:val="0"/>
      <w:marTop w:val="0"/>
      <w:marBottom w:val="0"/>
      <w:divBdr>
        <w:top w:val="none" w:sz="0" w:space="0" w:color="auto"/>
        <w:left w:val="none" w:sz="0" w:space="0" w:color="auto"/>
        <w:bottom w:val="none" w:sz="0" w:space="0" w:color="auto"/>
        <w:right w:val="none" w:sz="0" w:space="0" w:color="auto"/>
      </w:divBdr>
    </w:div>
    <w:div w:id="2054423432">
      <w:bodyDiv w:val="1"/>
      <w:marLeft w:val="0"/>
      <w:marRight w:val="0"/>
      <w:marTop w:val="0"/>
      <w:marBottom w:val="0"/>
      <w:divBdr>
        <w:top w:val="none" w:sz="0" w:space="0" w:color="auto"/>
        <w:left w:val="none" w:sz="0" w:space="0" w:color="auto"/>
        <w:bottom w:val="none" w:sz="0" w:space="0" w:color="auto"/>
        <w:right w:val="none" w:sz="0" w:space="0" w:color="auto"/>
      </w:divBdr>
    </w:div>
    <w:div w:id="2132508244">
      <w:bodyDiv w:val="1"/>
      <w:marLeft w:val="0"/>
      <w:marRight w:val="0"/>
      <w:marTop w:val="0"/>
      <w:marBottom w:val="0"/>
      <w:divBdr>
        <w:top w:val="none" w:sz="0" w:space="0" w:color="auto"/>
        <w:left w:val="none" w:sz="0" w:space="0" w:color="auto"/>
        <w:bottom w:val="none" w:sz="0" w:space="0" w:color="auto"/>
        <w:right w:val="none" w:sz="0" w:space="0" w:color="auto"/>
      </w:divBdr>
    </w:div>
    <w:div w:id="2141914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arrie.Dreese@cgc.gov.au" TargetMode="External"/><Relationship Id="rId18" Type="http://schemas.openxmlformats.org/officeDocument/2006/relationships/image" Target="media/image5.png"/><Relationship Id="rId26" Type="http://schemas.openxmlformats.org/officeDocument/2006/relationships/hyperlink" Target="https://www.cgc.gov.au/reports-for-government/2023-update" TargetMode="External"/><Relationship Id="rId3" Type="http://schemas.openxmlformats.org/officeDocument/2006/relationships/customXml" Target="../customXml/item3.xml"/><Relationship Id="rId21" Type="http://schemas.openxmlformats.org/officeDocument/2006/relationships/chart" Target="charts/chart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chart" Target="charts/chart5.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yperlink" Target="https://www.cgc.gov.au/reports-for-government/2020-review" TargetMode="External"/><Relationship Id="rId29"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4.xm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Julia.Lindsay@cgc.gov.au" TargetMode="External"/><Relationship Id="rId23" Type="http://schemas.openxmlformats.org/officeDocument/2006/relationships/chart" Target="charts/chart3.xml"/><Relationship Id="rId28" Type="http://schemas.openxmlformats.org/officeDocument/2006/relationships/chart" Target="charts/chart7.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Dana.McQuestin@cgc.gov.au" TargetMode="External"/><Relationship Id="rId22" Type="http://schemas.openxmlformats.org/officeDocument/2006/relationships/chart" Target="charts/chart2.xml"/><Relationship Id="rId27" Type="http://schemas.openxmlformats.org/officeDocument/2006/relationships/chart" Target="charts/chart6.xml"/><Relationship Id="rId30" Type="http://schemas.openxmlformats.org/officeDocument/2006/relationships/footer" Target="footer1.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s://www.brookings.edu/wp-content/uploads/2022/09/Aksoy-et-al-Conference-Draft-BPEA-FA22.pdf" TargetMode="External"/><Relationship Id="rId7" Type="http://schemas.openxmlformats.org/officeDocument/2006/relationships/hyperlink" Target="https://www.cgc.gov.au/publications/2020-review" TargetMode="External"/><Relationship Id="rId2" Type="http://schemas.openxmlformats.org/officeDocument/2006/relationships/hyperlink" Target="https://population.gov.au/research/research-anticipating-impact-covid-19-internal-migration" TargetMode="External"/><Relationship Id="rId1" Type="http://schemas.openxmlformats.org/officeDocument/2006/relationships/hyperlink" Target="https://www.cgc.gov.au/sites/default/files/2021-11/ia147500_-_stage_2_final_report_rev_d.pdf" TargetMode="External"/><Relationship Id="rId6" Type="http://schemas.openxmlformats.org/officeDocument/2006/relationships/hyperlink" Target="https://www.abs.gov.au/census/about-census/2021-census-overview/participation-2021-census" TargetMode="External"/><Relationship Id="rId5" Type="http://schemas.openxmlformats.org/officeDocument/2006/relationships/hyperlink" Target="https://www.bitre.gov.au/publications/2022/australian-infrastructure-and-transport-statistics-yearbook-2022" TargetMode="External"/><Relationship Id="rId4" Type="http://schemas.openxmlformats.org/officeDocument/2006/relationships/hyperlink" Target="https://www.pc.gov.au/research/completed/public-transport/public-transport.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en.Stewart\Commonwealth%20Grants%20Commission\Communications%20-%20Office%20Templates\CGC%20Word%20Templates\Assessment%20Consultation%20paper%20template.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3.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4.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2.xml"/><Relationship Id="rId4"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2" Type="http://schemas.openxmlformats.org/officeDocument/2006/relationships/oleObject" Target="https://cgcgovau-my.sharepoint.com/personal/julia_lindsay_cgc_gov_au/Documents/Pop%20Growth%20Graph.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781902262217224E-2"/>
          <c:y val="0.14018752436303111"/>
          <c:w val="0.92375778027746536"/>
          <c:h val="0.78583164286027563"/>
        </c:manualLayout>
      </c:layout>
      <c:barChart>
        <c:barDir val="col"/>
        <c:grouping val="clustered"/>
        <c:varyColors val="0"/>
        <c:ser>
          <c:idx val="0"/>
          <c:order val="0"/>
          <c:tx>
            <c:strRef>
              <c:f>Graphs!$N$16</c:f>
              <c:strCache>
                <c:ptCount val="1"/>
                <c:pt idx="0">
                  <c:v>2016-17</c:v>
                </c:pt>
              </c:strCache>
            </c:strRef>
          </c:tx>
          <c:spPr>
            <a:solidFill>
              <a:srgbClr val="939598"/>
            </a:solidFill>
            <a:ln>
              <a:noFill/>
            </a:ln>
          </c:spPr>
          <c:invertIfNegative val="0"/>
          <c:cat>
            <c:strRef>
              <c:f>Graphs!$O$15:$V$15</c:f>
              <c:strCache>
                <c:ptCount val="8"/>
                <c:pt idx="0">
                  <c:v>Sydney</c:v>
                </c:pt>
                <c:pt idx="1">
                  <c:v>Melbourne</c:v>
                </c:pt>
                <c:pt idx="2">
                  <c:v>Brisbane</c:v>
                </c:pt>
                <c:pt idx="3">
                  <c:v>Adelaide</c:v>
                </c:pt>
                <c:pt idx="4">
                  <c:v>Perth</c:v>
                </c:pt>
                <c:pt idx="5">
                  <c:v>Hobart </c:v>
                </c:pt>
                <c:pt idx="6">
                  <c:v>Darwin</c:v>
                </c:pt>
                <c:pt idx="7">
                  <c:v>Canberra</c:v>
                </c:pt>
              </c:strCache>
            </c:strRef>
          </c:cat>
          <c:val>
            <c:numRef>
              <c:f>Graphs!$O$16:$V$16</c:f>
              <c:numCache>
                <c:formatCode>General</c:formatCode>
                <c:ptCount val="8"/>
                <c:pt idx="0">
                  <c:v>1</c:v>
                </c:pt>
                <c:pt idx="1">
                  <c:v>1</c:v>
                </c:pt>
                <c:pt idx="2">
                  <c:v>1</c:v>
                </c:pt>
                <c:pt idx="3">
                  <c:v>1</c:v>
                </c:pt>
                <c:pt idx="4">
                  <c:v>1</c:v>
                </c:pt>
                <c:pt idx="5">
                  <c:v>1</c:v>
                </c:pt>
                <c:pt idx="6">
                  <c:v>1</c:v>
                </c:pt>
                <c:pt idx="7">
                  <c:v>1</c:v>
                </c:pt>
              </c:numCache>
            </c:numRef>
          </c:val>
          <c:extLst>
            <c:ext xmlns:c16="http://schemas.microsoft.com/office/drawing/2014/chart" uri="{C3380CC4-5D6E-409C-BE32-E72D297353CC}">
              <c16:uniqueId val="{00000000-D09A-4109-B80F-954F84A8BC2B}"/>
            </c:ext>
          </c:extLst>
        </c:ser>
        <c:ser>
          <c:idx val="1"/>
          <c:order val="1"/>
          <c:tx>
            <c:strRef>
              <c:f>Graphs!$N$17</c:f>
              <c:strCache>
                <c:ptCount val="1"/>
                <c:pt idx="0">
                  <c:v>2017-18</c:v>
                </c:pt>
              </c:strCache>
            </c:strRef>
          </c:tx>
          <c:spPr>
            <a:solidFill>
              <a:srgbClr val="686466"/>
            </a:solidFill>
            <a:ln>
              <a:noFill/>
            </a:ln>
          </c:spPr>
          <c:invertIfNegative val="0"/>
          <c:cat>
            <c:strRef>
              <c:f>Graphs!$O$15:$V$15</c:f>
              <c:strCache>
                <c:ptCount val="8"/>
                <c:pt idx="0">
                  <c:v>Sydney</c:v>
                </c:pt>
                <c:pt idx="1">
                  <c:v>Melbourne</c:v>
                </c:pt>
                <c:pt idx="2">
                  <c:v>Brisbane</c:v>
                </c:pt>
                <c:pt idx="3">
                  <c:v>Adelaide</c:v>
                </c:pt>
                <c:pt idx="4">
                  <c:v>Perth</c:v>
                </c:pt>
                <c:pt idx="5">
                  <c:v>Hobart </c:v>
                </c:pt>
                <c:pt idx="6">
                  <c:v>Darwin</c:v>
                </c:pt>
                <c:pt idx="7">
                  <c:v>Canberra</c:v>
                </c:pt>
              </c:strCache>
            </c:strRef>
          </c:cat>
          <c:val>
            <c:numRef>
              <c:f>Graphs!$O$17:$V$17</c:f>
              <c:numCache>
                <c:formatCode>General</c:formatCode>
                <c:ptCount val="8"/>
                <c:pt idx="0">
                  <c:v>1.0592133185683499</c:v>
                </c:pt>
                <c:pt idx="1">
                  <c:v>1.0186584024318153</c:v>
                </c:pt>
                <c:pt idx="2">
                  <c:v>1.0251309402716409</c:v>
                </c:pt>
                <c:pt idx="3">
                  <c:v>1.002368019281622</c:v>
                </c:pt>
                <c:pt idx="4">
                  <c:v>1.0024956256642366</c:v>
                </c:pt>
                <c:pt idx="5">
                  <c:v>1.0216531572139691</c:v>
                </c:pt>
                <c:pt idx="6">
                  <c:v>1.0126154183269003</c:v>
                </c:pt>
                <c:pt idx="7">
                  <c:v>1.03755704442025</c:v>
                </c:pt>
              </c:numCache>
            </c:numRef>
          </c:val>
          <c:extLst>
            <c:ext xmlns:c16="http://schemas.microsoft.com/office/drawing/2014/chart" uri="{C3380CC4-5D6E-409C-BE32-E72D297353CC}">
              <c16:uniqueId val="{00000001-D09A-4109-B80F-954F84A8BC2B}"/>
            </c:ext>
          </c:extLst>
        </c:ser>
        <c:ser>
          <c:idx val="2"/>
          <c:order val="2"/>
          <c:tx>
            <c:strRef>
              <c:f>Graphs!$N$18</c:f>
              <c:strCache>
                <c:ptCount val="1"/>
                <c:pt idx="0">
                  <c:v>2018-19</c:v>
                </c:pt>
              </c:strCache>
            </c:strRef>
          </c:tx>
          <c:spPr>
            <a:solidFill>
              <a:srgbClr val="004563"/>
            </a:solidFill>
            <a:ln>
              <a:noFill/>
            </a:ln>
          </c:spPr>
          <c:invertIfNegative val="0"/>
          <c:cat>
            <c:strRef>
              <c:f>Graphs!$O$15:$V$15</c:f>
              <c:strCache>
                <c:ptCount val="8"/>
                <c:pt idx="0">
                  <c:v>Sydney</c:v>
                </c:pt>
                <c:pt idx="1">
                  <c:v>Melbourne</c:v>
                </c:pt>
                <c:pt idx="2">
                  <c:v>Brisbane</c:v>
                </c:pt>
                <c:pt idx="3">
                  <c:v>Adelaide</c:v>
                </c:pt>
                <c:pt idx="4">
                  <c:v>Perth</c:v>
                </c:pt>
                <c:pt idx="5">
                  <c:v>Hobart </c:v>
                </c:pt>
                <c:pt idx="6">
                  <c:v>Darwin</c:v>
                </c:pt>
                <c:pt idx="7">
                  <c:v>Canberra</c:v>
                </c:pt>
              </c:strCache>
            </c:strRef>
          </c:cat>
          <c:val>
            <c:numRef>
              <c:f>Graphs!$O$18:$V$18</c:f>
              <c:numCache>
                <c:formatCode>General</c:formatCode>
                <c:ptCount val="8"/>
                <c:pt idx="0">
                  <c:v>1.1192144493098386</c:v>
                </c:pt>
                <c:pt idx="1">
                  <c:v>1.0396666673041772</c:v>
                </c:pt>
                <c:pt idx="2">
                  <c:v>1.0616707878942571</c:v>
                </c:pt>
                <c:pt idx="3">
                  <c:v>1.0227797355827721</c:v>
                </c:pt>
                <c:pt idx="4">
                  <c:v>1.0155139890518337</c:v>
                </c:pt>
                <c:pt idx="5">
                  <c:v>1.0442274297724217</c:v>
                </c:pt>
                <c:pt idx="6">
                  <c:v>0.98332726844642548</c:v>
                </c:pt>
                <c:pt idx="7">
                  <c:v>1.0961191948683953</c:v>
                </c:pt>
              </c:numCache>
            </c:numRef>
          </c:val>
          <c:extLst>
            <c:ext xmlns:c16="http://schemas.microsoft.com/office/drawing/2014/chart" uri="{C3380CC4-5D6E-409C-BE32-E72D297353CC}">
              <c16:uniqueId val="{00000002-D09A-4109-B80F-954F84A8BC2B}"/>
            </c:ext>
          </c:extLst>
        </c:ser>
        <c:ser>
          <c:idx val="3"/>
          <c:order val="3"/>
          <c:tx>
            <c:strRef>
              <c:f>Graphs!$N$19</c:f>
              <c:strCache>
                <c:ptCount val="1"/>
                <c:pt idx="0">
                  <c:v>2019-20</c:v>
                </c:pt>
              </c:strCache>
            </c:strRef>
          </c:tx>
          <c:spPr>
            <a:solidFill>
              <a:srgbClr val="0092CB"/>
            </a:solidFill>
            <a:ln>
              <a:noFill/>
            </a:ln>
          </c:spPr>
          <c:invertIfNegative val="0"/>
          <c:cat>
            <c:strRef>
              <c:f>Graphs!$O$15:$V$15</c:f>
              <c:strCache>
                <c:ptCount val="8"/>
                <c:pt idx="0">
                  <c:v>Sydney</c:v>
                </c:pt>
                <c:pt idx="1">
                  <c:v>Melbourne</c:v>
                </c:pt>
                <c:pt idx="2">
                  <c:v>Brisbane</c:v>
                </c:pt>
                <c:pt idx="3">
                  <c:v>Adelaide</c:v>
                </c:pt>
                <c:pt idx="4">
                  <c:v>Perth</c:v>
                </c:pt>
                <c:pt idx="5">
                  <c:v>Hobart </c:v>
                </c:pt>
                <c:pt idx="6">
                  <c:v>Darwin</c:v>
                </c:pt>
                <c:pt idx="7">
                  <c:v>Canberra</c:v>
                </c:pt>
              </c:strCache>
            </c:strRef>
          </c:cat>
          <c:val>
            <c:numRef>
              <c:f>Graphs!$O$19:$V$19</c:f>
              <c:numCache>
                <c:formatCode>General</c:formatCode>
                <c:ptCount val="8"/>
                <c:pt idx="0">
                  <c:v>0.90123086274648656</c:v>
                </c:pt>
                <c:pt idx="1">
                  <c:v>0.79140426793561736</c:v>
                </c:pt>
                <c:pt idx="2">
                  <c:v>0.83225114236630304</c:v>
                </c:pt>
                <c:pt idx="3">
                  <c:v>0.83128217633516566</c:v>
                </c:pt>
                <c:pt idx="4">
                  <c:v>0.82716277778713976</c:v>
                </c:pt>
                <c:pt idx="5">
                  <c:v>0.85029721212224429</c:v>
                </c:pt>
                <c:pt idx="6">
                  <c:v>0.64927453625859044</c:v>
                </c:pt>
                <c:pt idx="7">
                  <c:v>0.91679471718800964</c:v>
                </c:pt>
              </c:numCache>
            </c:numRef>
          </c:val>
          <c:extLst>
            <c:ext xmlns:c16="http://schemas.microsoft.com/office/drawing/2014/chart" uri="{C3380CC4-5D6E-409C-BE32-E72D297353CC}">
              <c16:uniqueId val="{00000003-D09A-4109-B80F-954F84A8BC2B}"/>
            </c:ext>
          </c:extLst>
        </c:ser>
        <c:ser>
          <c:idx val="4"/>
          <c:order val="4"/>
          <c:tx>
            <c:strRef>
              <c:f>Graphs!$N$20</c:f>
              <c:strCache>
                <c:ptCount val="1"/>
                <c:pt idx="0">
                  <c:v>2020-21</c:v>
                </c:pt>
              </c:strCache>
            </c:strRef>
          </c:tx>
          <c:spPr>
            <a:solidFill>
              <a:srgbClr val="60B5D7"/>
            </a:solidFill>
            <a:ln>
              <a:noFill/>
            </a:ln>
          </c:spPr>
          <c:invertIfNegative val="0"/>
          <c:cat>
            <c:strRef>
              <c:f>Graphs!$O$15:$V$15</c:f>
              <c:strCache>
                <c:ptCount val="8"/>
                <c:pt idx="0">
                  <c:v>Sydney</c:v>
                </c:pt>
                <c:pt idx="1">
                  <c:v>Melbourne</c:v>
                </c:pt>
                <c:pt idx="2">
                  <c:v>Brisbane</c:v>
                </c:pt>
                <c:pt idx="3">
                  <c:v>Adelaide</c:v>
                </c:pt>
                <c:pt idx="4">
                  <c:v>Perth</c:v>
                </c:pt>
                <c:pt idx="5">
                  <c:v>Hobart </c:v>
                </c:pt>
                <c:pt idx="6">
                  <c:v>Darwin</c:v>
                </c:pt>
                <c:pt idx="7">
                  <c:v>Canberra</c:v>
                </c:pt>
              </c:strCache>
            </c:strRef>
          </c:cat>
          <c:val>
            <c:numRef>
              <c:f>Graphs!$O$20:$V$20</c:f>
              <c:numCache>
                <c:formatCode>General</c:formatCode>
                <c:ptCount val="8"/>
                <c:pt idx="0">
                  <c:v>0.60473843992699317</c:v>
                </c:pt>
                <c:pt idx="1">
                  <c:v>0.37572489532796682</c:v>
                </c:pt>
                <c:pt idx="2">
                  <c:v>0.64611224145016133</c:v>
                </c:pt>
                <c:pt idx="3">
                  <c:v>0.66970514322874852</c:v>
                </c:pt>
                <c:pt idx="4">
                  <c:v>0.72157222448462166</c:v>
                </c:pt>
                <c:pt idx="5">
                  <c:v>0.80327211272417032</c:v>
                </c:pt>
                <c:pt idx="6">
                  <c:v>0.56444531101445672</c:v>
                </c:pt>
                <c:pt idx="7">
                  <c:v>0.77991617152046622</c:v>
                </c:pt>
              </c:numCache>
            </c:numRef>
          </c:val>
          <c:extLst>
            <c:ext xmlns:c16="http://schemas.microsoft.com/office/drawing/2014/chart" uri="{C3380CC4-5D6E-409C-BE32-E72D297353CC}">
              <c16:uniqueId val="{00000004-D09A-4109-B80F-954F84A8BC2B}"/>
            </c:ext>
          </c:extLst>
        </c:ser>
        <c:ser>
          <c:idx val="5"/>
          <c:order val="5"/>
          <c:tx>
            <c:strRef>
              <c:f>Graphs!$N$21</c:f>
              <c:strCache>
                <c:ptCount val="1"/>
                <c:pt idx="0">
                  <c:v>2021-22</c:v>
                </c:pt>
              </c:strCache>
            </c:strRef>
          </c:tx>
          <c:spPr>
            <a:solidFill>
              <a:srgbClr val="ADD6EA"/>
            </a:solidFill>
          </c:spPr>
          <c:invertIfNegative val="0"/>
          <c:cat>
            <c:strRef>
              <c:f>Graphs!$O$15:$V$15</c:f>
              <c:strCache>
                <c:ptCount val="8"/>
                <c:pt idx="0">
                  <c:v>Sydney</c:v>
                </c:pt>
                <c:pt idx="1">
                  <c:v>Melbourne</c:v>
                </c:pt>
                <c:pt idx="2">
                  <c:v>Brisbane</c:v>
                </c:pt>
                <c:pt idx="3">
                  <c:v>Adelaide</c:v>
                </c:pt>
                <c:pt idx="4">
                  <c:v>Perth</c:v>
                </c:pt>
                <c:pt idx="5">
                  <c:v>Hobart </c:v>
                </c:pt>
                <c:pt idx="6">
                  <c:v>Darwin</c:v>
                </c:pt>
                <c:pt idx="7">
                  <c:v>Canberra</c:v>
                </c:pt>
              </c:strCache>
            </c:strRef>
          </c:cat>
          <c:val>
            <c:numRef>
              <c:f>Graphs!$O$21:$V$21</c:f>
              <c:numCache>
                <c:formatCode>General</c:formatCode>
                <c:ptCount val="8"/>
                <c:pt idx="0">
                  <c:v>0.46456711844922144</c:v>
                </c:pt>
                <c:pt idx="1">
                  <c:v>0.45912899856302597</c:v>
                </c:pt>
                <c:pt idx="2">
                  <c:v>0.62114231819833543</c:v>
                </c:pt>
                <c:pt idx="3">
                  <c:v>0.61205486418811939</c:v>
                </c:pt>
                <c:pt idx="4">
                  <c:v>0.72076223567603204</c:v>
                </c:pt>
                <c:pt idx="5">
                  <c:v>0.79906207969236009</c:v>
                </c:pt>
                <c:pt idx="6">
                  <c:v>0.60248191970863529</c:v>
                </c:pt>
                <c:pt idx="7">
                  <c:v>0.62516344349189001</c:v>
                </c:pt>
              </c:numCache>
            </c:numRef>
          </c:val>
          <c:extLst>
            <c:ext xmlns:c16="http://schemas.microsoft.com/office/drawing/2014/chart" uri="{C3380CC4-5D6E-409C-BE32-E72D297353CC}">
              <c16:uniqueId val="{00000005-D09A-4109-B80F-954F84A8BC2B}"/>
            </c:ext>
          </c:extLst>
        </c:ser>
        <c:dLbls>
          <c:showLegendKey val="0"/>
          <c:showVal val="0"/>
          <c:showCatName val="0"/>
          <c:showSerName val="0"/>
          <c:showPercent val="0"/>
          <c:showBubbleSize val="0"/>
        </c:dLbls>
        <c:gapWidth val="150"/>
        <c:axId val="266293248"/>
        <c:axId val="266295168"/>
      </c:barChart>
      <c:catAx>
        <c:axId val="266293248"/>
        <c:scaling>
          <c:orientation val="minMax"/>
        </c:scaling>
        <c:delete val="0"/>
        <c:axPos val="b"/>
        <c:numFmt formatCode="#,##0" sourceLinked="0"/>
        <c:majorTickMark val="out"/>
        <c:minorTickMark val="none"/>
        <c:tickLblPos val="low"/>
        <c:spPr>
          <a:ln>
            <a:noFill/>
          </a:ln>
        </c:spPr>
        <c:txPr>
          <a:bodyPr/>
          <a:lstStyle/>
          <a:p>
            <a:pPr>
              <a:defRPr sz="800">
                <a:latin typeface="Work Sans" pitchFamily="2" charset="0"/>
              </a:defRPr>
            </a:pPr>
            <a:endParaRPr lang="en-US"/>
          </a:p>
        </c:txPr>
        <c:crossAx val="266295168"/>
        <c:crosses val="autoZero"/>
        <c:auto val="1"/>
        <c:lblAlgn val="ctr"/>
        <c:lblOffset val="100"/>
        <c:noMultiLvlLbl val="0"/>
      </c:catAx>
      <c:valAx>
        <c:axId val="266295168"/>
        <c:scaling>
          <c:orientation val="minMax"/>
        </c:scaling>
        <c:delete val="0"/>
        <c:axPos val="l"/>
        <c:majorGridlines>
          <c:spPr>
            <a:ln w="6350">
              <a:solidFill>
                <a:sysClr val="window" lastClr="FFFFFF">
                  <a:lumMod val="85000"/>
                </a:sysClr>
              </a:solidFill>
            </a:ln>
          </c:spPr>
        </c:majorGridlines>
        <c:numFmt formatCode="0%" sourceLinked="0"/>
        <c:majorTickMark val="out"/>
        <c:minorTickMark val="none"/>
        <c:tickLblPos val="nextTo"/>
        <c:spPr>
          <a:ln>
            <a:noFill/>
          </a:ln>
        </c:spPr>
        <c:txPr>
          <a:bodyPr/>
          <a:lstStyle/>
          <a:p>
            <a:pPr>
              <a:defRPr sz="800">
                <a:latin typeface="Work Sans" pitchFamily="2" charset="0"/>
              </a:defRPr>
            </a:pPr>
            <a:endParaRPr lang="en-US"/>
          </a:p>
        </c:txPr>
        <c:crossAx val="266293248"/>
        <c:crosses val="autoZero"/>
        <c:crossBetween val="between"/>
      </c:valAx>
    </c:plotArea>
    <c:legend>
      <c:legendPos val="t"/>
      <c:overlay val="0"/>
      <c:spPr>
        <a:solidFill>
          <a:sysClr val="window" lastClr="FFFFFF"/>
        </a:solidFill>
        <a:ln w="6350">
          <a:solidFill>
            <a:srgbClr val="939598"/>
          </a:solidFill>
        </a:ln>
      </c:spPr>
      <c:txPr>
        <a:bodyPr/>
        <a:lstStyle/>
        <a:p>
          <a:pPr>
            <a:defRPr sz="800">
              <a:latin typeface="Work Sans" pitchFamily="2" charset="0"/>
            </a:defRPr>
          </a:pPr>
          <a:endParaRPr lang="en-US"/>
        </a:p>
      </c:txPr>
    </c:legend>
    <c:plotVisOnly val="1"/>
    <c:dispBlanksAs val="gap"/>
    <c:showDLblsOverMax val="0"/>
  </c:chart>
  <c:spPr>
    <a:ln w="9525">
      <a:solidFill>
        <a:srgbClr val="ADD6EA"/>
      </a:solidFill>
    </a:ln>
  </c:spPr>
  <c:txPr>
    <a:bodyPr/>
    <a:lstStyle/>
    <a:p>
      <a:pPr>
        <a:defRPr>
          <a:latin typeface="Calibri" pitchFamily="34" charset="0"/>
          <a:cs typeface="Times New Roman"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cat>
            <c:numRef>
              <c:f>Sheet1!$AB$83:$AB$89</c:f>
              <c:numCache>
                <c:formatCode>General</c:formatCode>
                <c:ptCount val="7"/>
                <c:pt idx="0">
                  <c:v>2016</c:v>
                </c:pt>
                <c:pt idx="1">
                  <c:v>2017</c:v>
                </c:pt>
                <c:pt idx="2">
                  <c:v>2018</c:v>
                </c:pt>
                <c:pt idx="3">
                  <c:v>2019</c:v>
                </c:pt>
                <c:pt idx="4">
                  <c:v>2020</c:v>
                </c:pt>
                <c:pt idx="5">
                  <c:v>2021</c:v>
                </c:pt>
                <c:pt idx="6">
                  <c:v>2022</c:v>
                </c:pt>
              </c:numCache>
            </c:numRef>
          </c:cat>
          <c:val>
            <c:numRef>
              <c:f>Sheet1!$AC$83:$AC$89</c:f>
              <c:numCache>
                <c:formatCode>General</c:formatCode>
                <c:ptCount val="7"/>
                <c:pt idx="0">
                  <c:v>0.25018122508155127</c:v>
                </c:pt>
                <c:pt idx="1">
                  <c:v>0.25394093132813916</c:v>
                </c:pt>
                <c:pt idx="2">
                  <c:v>0.25437330928764651</c:v>
                </c:pt>
                <c:pt idx="3">
                  <c:v>0.26100261002610026</c:v>
                </c:pt>
                <c:pt idx="4">
                  <c:v>0.25767425063199711</c:v>
                </c:pt>
                <c:pt idx="5">
                  <c:v>0.35059269796111903</c:v>
                </c:pt>
                <c:pt idx="6">
                  <c:v>0.38188787733588886</c:v>
                </c:pt>
              </c:numCache>
            </c:numRef>
          </c:val>
          <c:smooth val="0"/>
          <c:extLst>
            <c:ext xmlns:c16="http://schemas.microsoft.com/office/drawing/2014/chart" uri="{C3380CC4-5D6E-409C-BE32-E72D297353CC}">
              <c16:uniqueId val="{00000000-1AEB-4A82-8F63-9082DC807FA7}"/>
            </c:ext>
          </c:extLst>
        </c:ser>
        <c:dLbls>
          <c:showLegendKey val="0"/>
          <c:showVal val="0"/>
          <c:showCatName val="0"/>
          <c:showSerName val="0"/>
          <c:showPercent val="0"/>
          <c:showBubbleSize val="0"/>
        </c:dLbls>
        <c:smooth val="0"/>
        <c:axId val="315314384"/>
        <c:axId val="315307312"/>
      </c:lineChart>
      <c:catAx>
        <c:axId val="31531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307312"/>
        <c:crosses val="autoZero"/>
        <c:auto val="1"/>
        <c:lblAlgn val="ctr"/>
        <c:lblOffset val="100"/>
        <c:noMultiLvlLbl val="0"/>
      </c:catAx>
      <c:valAx>
        <c:axId val="315307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314384"/>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ADD6EA"/>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'Graph for Consult Paper'!$B$78</c:f>
              <c:strCache>
                <c:ptCount val="1"/>
                <c:pt idx="0">
                  <c:v>Net Expenses</c:v>
                </c:pt>
              </c:strCache>
            </c:strRef>
          </c:tx>
          <c:spPr>
            <a:ln w="28575" cap="rnd">
              <a:solidFill>
                <a:srgbClr val="004563"/>
              </a:solidFill>
              <a:round/>
            </a:ln>
            <a:effectLst/>
          </c:spPr>
          <c:marker>
            <c:symbol val="none"/>
          </c:marker>
          <c:cat>
            <c:strRef>
              <c:f>'Graph for Consult Paper'!$A$79:$A$83</c:f>
              <c:strCache>
                <c:ptCount val="5"/>
                <c:pt idx="0">
                  <c:v>2017-18</c:v>
                </c:pt>
                <c:pt idx="1">
                  <c:v>2018-19</c:v>
                </c:pt>
                <c:pt idx="2">
                  <c:v>2019-20</c:v>
                </c:pt>
                <c:pt idx="3">
                  <c:v>2020-21</c:v>
                </c:pt>
                <c:pt idx="4">
                  <c:v>2021-22</c:v>
                </c:pt>
              </c:strCache>
            </c:strRef>
          </c:cat>
          <c:val>
            <c:numRef>
              <c:f>'Graph for Consult Paper'!$B$79:$B$83</c:f>
              <c:numCache>
                <c:formatCode>0</c:formatCode>
                <c:ptCount val="5"/>
                <c:pt idx="0">
                  <c:v>493.45282647709979</c:v>
                </c:pt>
                <c:pt idx="1">
                  <c:v>528.01254729364371</c:v>
                </c:pt>
                <c:pt idx="2">
                  <c:v>553.97444562906401</c:v>
                </c:pt>
                <c:pt idx="3">
                  <c:v>582.7216076310558</c:v>
                </c:pt>
                <c:pt idx="4">
                  <c:v>618.0954012010144</c:v>
                </c:pt>
              </c:numCache>
            </c:numRef>
          </c:val>
          <c:smooth val="0"/>
          <c:extLst>
            <c:ext xmlns:c16="http://schemas.microsoft.com/office/drawing/2014/chart" uri="{C3380CC4-5D6E-409C-BE32-E72D297353CC}">
              <c16:uniqueId val="{00000000-8233-441E-AD56-C576D6858364}"/>
            </c:ext>
          </c:extLst>
        </c:ser>
        <c:ser>
          <c:idx val="1"/>
          <c:order val="1"/>
          <c:tx>
            <c:strRef>
              <c:f>'Graph for Consult Paper'!$C$78</c:f>
              <c:strCache>
                <c:ptCount val="1"/>
                <c:pt idx="0">
                  <c:v>User Charges</c:v>
                </c:pt>
              </c:strCache>
            </c:strRef>
          </c:tx>
          <c:spPr>
            <a:ln w="28575" cap="rnd">
              <a:solidFill>
                <a:srgbClr val="0092C8"/>
              </a:solidFill>
              <a:prstDash val="sysDash"/>
              <a:round/>
            </a:ln>
            <a:effectLst/>
          </c:spPr>
          <c:marker>
            <c:symbol val="none"/>
          </c:marker>
          <c:cat>
            <c:strRef>
              <c:f>'Graph for Consult Paper'!$A$79:$A$83</c:f>
              <c:strCache>
                <c:ptCount val="5"/>
                <c:pt idx="0">
                  <c:v>2017-18</c:v>
                </c:pt>
                <c:pt idx="1">
                  <c:v>2018-19</c:v>
                </c:pt>
                <c:pt idx="2">
                  <c:v>2019-20</c:v>
                </c:pt>
                <c:pt idx="3">
                  <c:v>2020-21</c:v>
                </c:pt>
                <c:pt idx="4">
                  <c:v>2021-22</c:v>
                </c:pt>
              </c:strCache>
            </c:strRef>
          </c:cat>
          <c:val>
            <c:numRef>
              <c:f>'Graph for Consult Paper'!$C$79:$C$83</c:f>
              <c:numCache>
                <c:formatCode>0</c:formatCode>
                <c:ptCount val="5"/>
                <c:pt idx="0">
                  <c:v>158.73859252350567</c:v>
                </c:pt>
                <c:pt idx="1">
                  <c:v>165.99036476080857</c:v>
                </c:pt>
                <c:pt idx="2">
                  <c:v>150.23761768726621</c:v>
                </c:pt>
                <c:pt idx="3">
                  <c:v>150.31470501929363</c:v>
                </c:pt>
                <c:pt idx="4">
                  <c:v>116.32101684463365</c:v>
                </c:pt>
              </c:numCache>
            </c:numRef>
          </c:val>
          <c:smooth val="0"/>
          <c:extLst>
            <c:ext xmlns:c16="http://schemas.microsoft.com/office/drawing/2014/chart" uri="{C3380CC4-5D6E-409C-BE32-E72D297353CC}">
              <c16:uniqueId val="{00000001-8233-441E-AD56-C576D6858364}"/>
            </c:ext>
          </c:extLst>
        </c:ser>
        <c:dLbls>
          <c:showLegendKey val="0"/>
          <c:showVal val="0"/>
          <c:showCatName val="0"/>
          <c:showSerName val="0"/>
          <c:showPercent val="0"/>
          <c:showBubbleSize val="0"/>
        </c:dLbls>
        <c:smooth val="0"/>
        <c:axId val="277001904"/>
        <c:axId val="74456304"/>
      </c:lineChart>
      <c:catAx>
        <c:axId val="277001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456304"/>
        <c:crosses val="autoZero"/>
        <c:auto val="1"/>
        <c:lblAlgn val="ctr"/>
        <c:lblOffset val="100"/>
        <c:noMultiLvlLbl val="0"/>
      </c:catAx>
      <c:valAx>
        <c:axId val="74456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001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ADD6EA"/>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Graphs!$AF$19</c:f>
              <c:strCache>
                <c:ptCount val="1"/>
                <c:pt idx="0">
                  <c:v>2006</c:v>
                </c:pt>
              </c:strCache>
            </c:strRef>
          </c:tx>
          <c:spPr>
            <a:solidFill>
              <a:srgbClr val="939598"/>
            </a:solidFill>
            <a:ln>
              <a:noFill/>
            </a:ln>
            <a:effectLst/>
          </c:spPr>
          <c:invertIfNegative val="0"/>
          <c:cat>
            <c:strRef>
              <c:f>Graphs!$Y$20:$Y$27</c:f>
              <c:strCache>
                <c:ptCount val="8"/>
                <c:pt idx="0">
                  <c:v>New South Wales</c:v>
                </c:pt>
                <c:pt idx="1">
                  <c:v>Victoria</c:v>
                </c:pt>
                <c:pt idx="2">
                  <c:v>Queensland</c:v>
                </c:pt>
                <c:pt idx="3">
                  <c:v>Western Australia</c:v>
                </c:pt>
                <c:pt idx="4">
                  <c:v>South Australia</c:v>
                </c:pt>
                <c:pt idx="5">
                  <c:v>Tasmania</c:v>
                </c:pt>
                <c:pt idx="6">
                  <c:v>Australian Capital Territory</c:v>
                </c:pt>
                <c:pt idx="7">
                  <c:v>Northern Territory</c:v>
                </c:pt>
              </c:strCache>
            </c:strRef>
          </c:cat>
          <c:val>
            <c:numRef>
              <c:f>Graphs!$Z$68:$Z$75</c:f>
              <c:numCache>
                <c:formatCode>0</c:formatCode>
                <c:ptCount val="8"/>
                <c:pt idx="0">
                  <c:v>12.378914661538488</c:v>
                </c:pt>
                <c:pt idx="1">
                  <c:v>9.2160488779028515</c:v>
                </c:pt>
                <c:pt idx="2">
                  <c:v>6.6385710121230321</c:v>
                </c:pt>
                <c:pt idx="3">
                  <c:v>6.4758119226955664</c:v>
                </c:pt>
                <c:pt idx="4">
                  <c:v>7.1604065229977749</c:v>
                </c:pt>
                <c:pt idx="5">
                  <c:v>2.924379436522011</c:v>
                </c:pt>
                <c:pt idx="6">
                  <c:v>13.445937417526304</c:v>
                </c:pt>
                <c:pt idx="7">
                  <c:v>1.9976284898927148</c:v>
                </c:pt>
              </c:numCache>
            </c:numRef>
          </c:val>
          <c:extLst>
            <c:ext xmlns:c16="http://schemas.microsoft.com/office/drawing/2014/chart" uri="{C3380CC4-5D6E-409C-BE32-E72D297353CC}">
              <c16:uniqueId val="{00000000-73A7-4BAA-8309-0C97AAAF3A75}"/>
            </c:ext>
          </c:extLst>
        </c:ser>
        <c:ser>
          <c:idx val="1"/>
          <c:order val="1"/>
          <c:tx>
            <c:strRef>
              <c:f>Graphs!$AG$19</c:f>
              <c:strCache>
                <c:ptCount val="1"/>
                <c:pt idx="0">
                  <c:v>2011</c:v>
                </c:pt>
              </c:strCache>
            </c:strRef>
          </c:tx>
          <c:spPr>
            <a:solidFill>
              <a:srgbClr val="ADD6EA"/>
            </a:solidFill>
            <a:ln>
              <a:noFill/>
            </a:ln>
            <a:effectLst/>
          </c:spPr>
          <c:invertIfNegative val="0"/>
          <c:cat>
            <c:strRef>
              <c:f>Graphs!$Y$20:$Y$27</c:f>
              <c:strCache>
                <c:ptCount val="8"/>
                <c:pt idx="0">
                  <c:v>New South Wales</c:v>
                </c:pt>
                <c:pt idx="1">
                  <c:v>Victoria</c:v>
                </c:pt>
                <c:pt idx="2">
                  <c:v>Queensland</c:v>
                </c:pt>
                <c:pt idx="3">
                  <c:v>Western Australia</c:v>
                </c:pt>
                <c:pt idx="4">
                  <c:v>South Australia</c:v>
                </c:pt>
                <c:pt idx="5">
                  <c:v>Tasmania</c:v>
                </c:pt>
                <c:pt idx="6">
                  <c:v>Australian Capital Territory</c:v>
                </c:pt>
                <c:pt idx="7">
                  <c:v>Northern Territory</c:v>
                </c:pt>
              </c:strCache>
            </c:strRef>
          </c:cat>
          <c:val>
            <c:numRef>
              <c:f>Graphs!$AA$68:$AA$75</c:f>
              <c:numCache>
                <c:formatCode>0</c:formatCode>
                <c:ptCount val="8"/>
                <c:pt idx="0">
                  <c:v>13.797230421076815</c:v>
                </c:pt>
                <c:pt idx="1">
                  <c:v>11.1091616570307</c:v>
                </c:pt>
                <c:pt idx="2">
                  <c:v>7.5872005068562416</c:v>
                </c:pt>
                <c:pt idx="3">
                  <c:v>6.8735341140570849</c:v>
                </c:pt>
                <c:pt idx="4">
                  <c:v>9.3681768372497221</c:v>
                </c:pt>
                <c:pt idx="5">
                  <c:v>3.1503746938925818</c:v>
                </c:pt>
                <c:pt idx="6">
                  <c:v>13.29540259080518</c:v>
                </c:pt>
                <c:pt idx="7">
                  <c:v>1.9867549668874174</c:v>
                </c:pt>
              </c:numCache>
            </c:numRef>
          </c:val>
          <c:extLst>
            <c:ext xmlns:c16="http://schemas.microsoft.com/office/drawing/2014/chart" uri="{C3380CC4-5D6E-409C-BE32-E72D297353CC}">
              <c16:uniqueId val="{00000001-73A7-4BAA-8309-0C97AAAF3A75}"/>
            </c:ext>
          </c:extLst>
        </c:ser>
        <c:ser>
          <c:idx val="2"/>
          <c:order val="2"/>
          <c:tx>
            <c:strRef>
              <c:f>Graphs!$AH$19</c:f>
              <c:strCache>
                <c:ptCount val="1"/>
                <c:pt idx="0">
                  <c:v>2016</c:v>
                </c:pt>
              </c:strCache>
            </c:strRef>
          </c:tx>
          <c:spPr>
            <a:solidFill>
              <a:srgbClr val="0092C8"/>
            </a:solidFill>
            <a:ln>
              <a:noFill/>
            </a:ln>
            <a:effectLst/>
          </c:spPr>
          <c:invertIfNegative val="0"/>
          <c:cat>
            <c:strRef>
              <c:f>Graphs!$Y$20:$Y$27</c:f>
              <c:strCache>
                <c:ptCount val="8"/>
                <c:pt idx="0">
                  <c:v>New South Wales</c:v>
                </c:pt>
                <c:pt idx="1">
                  <c:v>Victoria</c:v>
                </c:pt>
                <c:pt idx="2">
                  <c:v>Queensland</c:v>
                </c:pt>
                <c:pt idx="3">
                  <c:v>Western Australia</c:v>
                </c:pt>
                <c:pt idx="4">
                  <c:v>South Australia</c:v>
                </c:pt>
                <c:pt idx="5">
                  <c:v>Tasmania</c:v>
                </c:pt>
                <c:pt idx="6">
                  <c:v>Australian Capital Territory</c:v>
                </c:pt>
                <c:pt idx="7">
                  <c:v>Northern Territory</c:v>
                </c:pt>
              </c:strCache>
            </c:strRef>
          </c:cat>
          <c:val>
            <c:numRef>
              <c:f>Graphs!$AB$68:$AB$75</c:f>
              <c:numCache>
                <c:formatCode>0</c:formatCode>
                <c:ptCount val="8"/>
                <c:pt idx="0">
                  <c:v>15.981216040677673</c:v>
                </c:pt>
                <c:pt idx="1">
                  <c:v>12.613116053050149</c:v>
                </c:pt>
                <c:pt idx="2">
                  <c:v>7.12540165835461</c:v>
                </c:pt>
                <c:pt idx="3">
                  <c:v>7.1655841806031724</c:v>
                </c:pt>
                <c:pt idx="4">
                  <c:v>9.2214552000304035</c:v>
                </c:pt>
                <c:pt idx="5">
                  <c:v>3.0076507172836031</c:v>
                </c:pt>
                <c:pt idx="6">
                  <c:v>14.292391738321761</c:v>
                </c:pt>
                <c:pt idx="7">
                  <c:v>3.1850789096126255</c:v>
                </c:pt>
              </c:numCache>
            </c:numRef>
          </c:val>
          <c:extLst>
            <c:ext xmlns:c16="http://schemas.microsoft.com/office/drawing/2014/chart" uri="{C3380CC4-5D6E-409C-BE32-E72D297353CC}">
              <c16:uniqueId val="{00000002-73A7-4BAA-8309-0C97AAAF3A75}"/>
            </c:ext>
          </c:extLst>
        </c:ser>
        <c:ser>
          <c:idx val="3"/>
          <c:order val="3"/>
          <c:tx>
            <c:strRef>
              <c:f>Graphs!$AI$19</c:f>
              <c:strCache>
                <c:ptCount val="1"/>
                <c:pt idx="0">
                  <c:v>2021</c:v>
                </c:pt>
              </c:strCache>
            </c:strRef>
          </c:tx>
          <c:spPr>
            <a:solidFill>
              <a:srgbClr val="004563"/>
            </a:solidFill>
            <a:ln>
              <a:noFill/>
            </a:ln>
            <a:effectLst/>
          </c:spPr>
          <c:invertIfNegative val="0"/>
          <c:cat>
            <c:strRef>
              <c:f>Graphs!$Y$20:$Y$27</c:f>
              <c:strCache>
                <c:ptCount val="8"/>
                <c:pt idx="0">
                  <c:v>New South Wales</c:v>
                </c:pt>
                <c:pt idx="1">
                  <c:v>Victoria</c:v>
                </c:pt>
                <c:pt idx="2">
                  <c:v>Queensland</c:v>
                </c:pt>
                <c:pt idx="3">
                  <c:v>Western Australia</c:v>
                </c:pt>
                <c:pt idx="4">
                  <c:v>South Australia</c:v>
                </c:pt>
                <c:pt idx="5">
                  <c:v>Tasmania</c:v>
                </c:pt>
                <c:pt idx="6">
                  <c:v>Australian Capital Territory</c:v>
                </c:pt>
                <c:pt idx="7">
                  <c:v>Northern Territory</c:v>
                </c:pt>
              </c:strCache>
            </c:strRef>
          </c:cat>
          <c:val>
            <c:numRef>
              <c:f>Graphs!$AC$68:$AC$75</c:f>
              <c:numCache>
                <c:formatCode>0</c:formatCode>
                <c:ptCount val="8"/>
                <c:pt idx="0">
                  <c:v>4.0034439394889407</c:v>
                </c:pt>
                <c:pt idx="1">
                  <c:v>4.3906294707854672</c:v>
                </c:pt>
                <c:pt idx="2">
                  <c:v>4.1075769211728028</c:v>
                </c:pt>
                <c:pt idx="3">
                  <c:v>7.409080261080855</c:v>
                </c:pt>
                <c:pt idx="4">
                  <c:v>5.296351714541677</c:v>
                </c:pt>
                <c:pt idx="5">
                  <c:v>3.1610436311958736</c:v>
                </c:pt>
                <c:pt idx="6">
                  <c:v>6.280494427036615</c:v>
                </c:pt>
                <c:pt idx="7">
                  <c:v>2.7263893560563588</c:v>
                </c:pt>
              </c:numCache>
            </c:numRef>
          </c:val>
          <c:extLst>
            <c:ext xmlns:c16="http://schemas.microsoft.com/office/drawing/2014/chart" uri="{C3380CC4-5D6E-409C-BE32-E72D297353CC}">
              <c16:uniqueId val="{00000003-73A7-4BAA-8309-0C97AAAF3A75}"/>
            </c:ext>
          </c:extLst>
        </c:ser>
        <c:dLbls>
          <c:showLegendKey val="0"/>
          <c:showVal val="0"/>
          <c:showCatName val="0"/>
          <c:showSerName val="0"/>
          <c:showPercent val="0"/>
          <c:showBubbleSize val="0"/>
        </c:dLbls>
        <c:gapWidth val="219"/>
        <c:overlap val="-27"/>
        <c:axId val="1170598032"/>
        <c:axId val="1170602608"/>
      </c:barChart>
      <c:catAx>
        <c:axId val="117059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0602608"/>
        <c:crosses val="autoZero"/>
        <c:auto val="1"/>
        <c:lblAlgn val="ctr"/>
        <c:lblOffset val="100"/>
        <c:noMultiLvlLbl val="0"/>
      </c:catAx>
      <c:valAx>
        <c:axId val="1170602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0598032"/>
        <c:crosses val="autoZero"/>
        <c:crossBetween val="between"/>
      </c:valAx>
      <c:spPr>
        <a:noFill/>
        <a:ln>
          <a:noFill/>
        </a:ln>
        <a:effectLst/>
      </c:spPr>
    </c:plotArea>
    <c:legend>
      <c:legendPos val="t"/>
      <c:overlay val="0"/>
      <c:spPr>
        <a:noFill/>
        <a:ln>
          <a:solidFill>
            <a:schemeClr val="bg1">
              <a:lumMod val="6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5">
          <a:lumMod val="40000"/>
          <a:lumOff val="60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Graphs!$AF$19</c:f>
              <c:strCache>
                <c:ptCount val="1"/>
                <c:pt idx="0">
                  <c:v>2006</c:v>
                </c:pt>
              </c:strCache>
            </c:strRef>
          </c:tx>
          <c:spPr>
            <a:solidFill>
              <a:srgbClr val="939598"/>
            </a:solidFill>
            <a:ln>
              <a:noFill/>
            </a:ln>
            <a:effectLst/>
          </c:spPr>
          <c:invertIfNegative val="0"/>
          <c:cat>
            <c:strRef>
              <c:f>Graphs!$Y$20:$Y$27</c:f>
              <c:strCache>
                <c:ptCount val="8"/>
                <c:pt idx="0">
                  <c:v>New South Wales</c:v>
                </c:pt>
                <c:pt idx="1">
                  <c:v>Victoria</c:v>
                </c:pt>
                <c:pt idx="2">
                  <c:v>Queensland</c:v>
                </c:pt>
                <c:pt idx="3">
                  <c:v>Western Australia</c:v>
                </c:pt>
                <c:pt idx="4">
                  <c:v>South Australia</c:v>
                </c:pt>
                <c:pt idx="5">
                  <c:v>Tasmania</c:v>
                </c:pt>
                <c:pt idx="6">
                  <c:v>Australian Capital Territory</c:v>
                </c:pt>
                <c:pt idx="7">
                  <c:v>Northern Territory</c:v>
                </c:pt>
              </c:strCache>
            </c:strRef>
          </c:cat>
          <c:val>
            <c:numRef>
              <c:f>Graphs!$AF$20:$AF$27</c:f>
              <c:numCache>
                <c:formatCode>0</c:formatCode>
                <c:ptCount val="8"/>
                <c:pt idx="0">
                  <c:v>4.7652191248068769</c:v>
                </c:pt>
                <c:pt idx="1">
                  <c:v>4.5902175604840307</c:v>
                </c:pt>
                <c:pt idx="2">
                  <c:v>5.1275756785369078</c:v>
                </c:pt>
                <c:pt idx="3">
                  <c:v>4.4849270269800128</c:v>
                </c:pt>
                <c:pt idx="4">
                  <c:v>4.4163549235472699</c:v>
                </c:pt>
                <c:pt idx="5">
                  <c:v>4.7319644540848982</c:v>
                </c:pt>
                <c:pt idx="6">
                  <c:v>5.9931840870233737</c:v>
                </c:pt>
                <c:pt idx="7">
                  <c:v>1.5267305499293653</c:v>
                </c:pt>
              </c:numCache>
            </c:numRef>
          </c:val>
          <c:extLst>
            <c:ext xmlns:c16="http://schemas.microsoft.com/office/drawing/2014/chart" uri="{C3380CC4-5D6E-409C-BE32-E72D297353CC}">
              <c16:uniqueId val="{00000000-0D92-483A-8BDC-A081B295B2AD}"/>
            </c:ext>
          </c:extLst>
        </c:ser>
        <c:ser>
          <c:idx val="1"/>
          <c:order val="1"/>
          <c:tx>
            <c:strRef>
              <c:f>Graphs!$AG$19</c:f>
              <c:strCache>
                <c:ptCount val="1"/>
                <c:pt idx="0">
                  <c:v>2011</c:v>
                </c:pt>
              </c:strCache>
            </c:strRef>
          </c:tx>
          <c:spPr>
            <a:solidFill>
              <a:srgbClr val="ADD6EA"/>
            </a:solidFill>
            <a:ln>
              <a:noFill/>
            </a:ln>
            <a:effectLst/>
          </c:spPr>
          <c:invertIfNegative val="0"/>
          <c:cat>
            <c:strRef>
              <c:f>Graphs!$Y$20:$Y$27</c:f>
              <c:strCache>
                <c:ptCount val="8"/>
                <c:pt idx="0">
                  <c:v>New South Wales</c:v>
                </c:pt>
                <c:pt idx="1">
                  <c:v>Victoria</c:v>
                </c:pt>
                <c:pt idx="2">
                  <c:v>Queensland</c:v>
                </c:pt>
                <c:pt idx="3">
                  <c:v>Western Australia</c:v>
                </c:pt>
                <c:pt idx="4">
                  <c:v>South Australia</c:v>
                </c:pt>
                <c:pt idx="5">
                  <c:v>Tasmania</c:v>
                </c:pt>
                <c:pt idx="6">
                  <c:v>Australian Capital Territory</c:v>
                </c:pt>
                <c:pt idx="7">
                  <c:v>Northern Territory</c:v>
                </c:pt>
              </c:strCache>
            </c:strRef>
          </c:cat>
          <c:val>
            <c:numRef>
              <c:f>Graphs!$AG$20:$AG$27</c:f>
              <c:numCache>
                <c:formatCode>0</c:formatCode>
                <c:ptCount val="8"/>
                <c:pt idx="0">
                  <c:v>4.5606697360459174</c:v>
                </c:pt>
                <c:pt idx="1">
                  <c:v>4.3045526733930739</c:v>
                </c:pt>
                <c:pt idx="2">
                  <c:v>4.8729500298395925</c:v>
                </c:pt>
                <c:pt idx="3">
                  <c:v>4.1712993396581153</c:v>
                </c:pt>
                <c:pt idx="4">
                  <c:v>3.9957260869921658</c:v>
                </c:pt>
                <c:pt idx="5">
                  <c:v>4.4700889322604995</c:v>
                </c:pt>
                <c:pt idx="6">
                  <c:v>5.4081788163576325</c:v>
                </c:pt>
                <c:pt idx="7">
                  <c:v>1.4041573268929317</c:v>
                </c:pt>
              </c:numCache>
            </c:numRef>
          </c:val>
          <c:extLst>
            <c:ext xmlns:c16="http://schemas.microsoft.com/office/drawing/2014/chart" uri="{C3380CC4-5D6E-409C-BE32-E72D297353CC}">
              <c16:uniqueId val="{00000001-0D92-483A-8BDC-A081B295B2AD}"/>
            </c:ext>
          </c:extLst>
        </c:ser>
        <c:ser>
          <c:idx val="2"/>
          <c:order val="2"/>
          <c:tx>
            <c:strRef>
              <c:f>Graphs!$AH$19</c:f>
              <c:strCache>
                <c:ptCount val="1"/>
                <c:pt idx="0">
                  <c:v>2016</c:v>
                </c:pt>
              </c:strCache>
            </c:strRef>
          </c:tx>
          <c:spPr>
            <a:solidFill>
              <a:srgbClr val="0092C8"/>
            </a:solidFill>
            <a:ln>
              <a:noFill/>
            </a:ln>
            <a:effectLst/>
          </c:spPr>
          <c:invertIfNegative val="0"/>
          <c:cat>
            <c:strRef>
              <c:f>Graphs!$Y$20:$Y$27</c:f>
              <c:strCache>
                <c:ptCount val="8"/>
                <c:pt idx="0">
                  <c:v>New South Wales</c:v>
                </c:pt>
                <c:pt idx="1">
                  <c:v>Victoria</c:v>
                </c:pt>
                <c:pt idx="2">
                  <c:v>Queensland</c:v>
                </c:pt>
                <c:pt idx="3">
                  <c:v>Western Australia</c:v>
                </c:pt>
                <c:pt idx="4">
                  <c:v>South Australia</c:v>
                </c:pt>
                <c:pt idx="5">
                  <c:v>Tasmania</c:v>
                </c:pt>
                <c:pt idx="6">
                  <c:v>Australian Capital Territory</c:v>
                </c:pt>
                <c:pt idx="7">
                  <c:v>Northern Territory</c:v>
                </c:pt>
              </c:strCache>
            </c:strRef>
          </c:cat>
          <c:val>
            <c:numRef>
              <c:f>Graphs!$AH$20:$AH$27</c:f>
              <c:numCache>
                <c:formatCode>0</c:formatCode>
                <c:ptCount val="8"/>
                <c:pt idx="0">
                  <c:v>4.8227821476654205</c:v>
                </c:pt>
                <c:pt idx="1">
                  <c:v>4.6385987790044911</c:v>
                </c:pt>
                <c:pt idx="2">
                  <c:v>5.2622217645585794</c:v>
                </c:pt>
                <c:pt idx="3">
                  <c:v>4.3797127011400283</c:v>
                </c:pt>
                <c:pt idx="4">
                  <c:v>4.2630195106951225</c:v>
                </c:pt>
                <c:pt idx="5">
                  <c:v>4.6795425268144477</c:v>
                </c:pt>
                <c:pt idx="6">
                  <c:v>6.1426999444936747</c:v>
                </c:pt>
                <c:pt idx="7">
                  <c:v>1.2922208982807675</c:v>
                </c:pt>
              </c:numCache>
            </c:numRef>
          </c:val>
          <c:extLst>
            <c:ext xmlns:c16="http://schemas.microsoft.com/office/drawing/2014/chart" uri="{C3380CC4-5D6E-409C-BE32-E72D297353CC}">
              <c16:uniqueId val="{00000002-0D92-483A-8BDC-A081B295B2AD}"/>
            </c:ext>
          </c:extLst>
        </c:ser>
        <c:ser>
          <c:idx val="3"/>
          <c:order val="3"/>
          <c:tx>
            <c:strRef>
              <c:f>Graphs!$AI$19</c:f>
              <c:strCache>
                <c:ptCount val="1"/>
                <c:pt idx="0">
                  <c:v>2021</c:v>
                </c:pt>
              </c:strCache>
            </c:strRef>
          </c:tx>
          <c:spPr>
            <a:solidFill>
              <a:srgbClr val="004563"/>
            </a:solidFill>
            <a:ln>
              <a:noFill/>
            </a:ln>
            <a:effectLst/>
          </c:spPr>
          <c:invertIfNegative val="0"/>
          <c:cat>
            <c:strRef>
              <c:f>Graphs!$Y$20:$Y$27</c:f>
              <c:strCache>
                <c:ptCount val="8"/>
                <c:pt idx="0">
                  <c:v>New South Wales</c:v>
                </c:pt>
                <c:pt idx="1">
                  <c:v>Victoria</c:v>
                </c:pt>
                <c:pt idx="2">
                  <c:v>Queensland</c:v>
                </c:pt>
                <c:pt idx="3">
                  <c:v>Western Australia</c:v>
                </c:pt>
                <c:pt idx="4">
                  <c:v>South Australia</c:v>
                </c:pt>
                <c:pt idx="5">
                  <c:v>Tasmania</c:v>
                </c:pt>
                <c:pt idx="6">
                  <c:v>Australian Capital Territory</c:v>
                </c:pt>
                <c:pt idx="7">
                  <c:v>Northern Territory</c:v>
                </c:pt>
              </c:strCache>
            </c:strRef>
          </c:cat>
          <c:val>
            <c:numRef>
              <c:f>Graphs!$AI$20:$AI$27</c:f>
              <c:numCache>
                <c:formatCode>0</c:formatCode>
                <c:ptCount val="8"/>
                <c:pt idx="0">
                  <c:v>30.983159494190389</c:v>
                </c:pt>
                <c:pt idx="1">
                  <c:v>25.738508549920248</c:v>
                </c:pt>
                <c:pt idx="2">
                  <c:v>14.103227659503956</c:v>
                </c:pt>
                <c:pt idx="3">
                  <c:v>7.5244476222993546</c:v>
                </c:pt>
                <c:pt idx="4">
                  <c:v>9.5916407754036168</c:v>
                </c:pt>
                <c:pt idx="5">
                  <c:v>7.9811248164694604</c:v>
                </c:pt>
                <c:pt idx="6">
                  <c:v>10.945211595625294</c:v>
                </c:pt>
                <c:pt idx="7">
                  <c:v>4.2465523040699633</c:v>
                </c:pt>
              </c:numCache>
            </c:numRef>
          </c:val>
          <c:extLst>
            <c:ext xmlns:c16="http://schemas.microsoft.com/office/drawing/2014/chart" uri="{C3380CC4-5D6E-409C-BE32-E72D297353CC}">
              <c16:uniqueId val="{00000003-0D92-483A-8BDC-A081B295B2AD}"/>
            </c:ext>
          </c:extLst>
        </c:ser>
        <c:dLbls>
          <c:showLegendKey val="0"/>
          <c:showVal val="0"/>
          <c:showCatName val="0"/>
          <c:showSerName val="0"/>
          <c:showPercent val="0"/>
          <c:showBubbleSize val="0"/>
        </c:dLbls>
        <c:gapWidth val="219"/>
        <c:overlap val="-27"/>
        <c:axId val="1170598032"/>
        <c:axId val="1170602608"/>
      </c:barChart>
      <c:catAx>
        <c:axId val="117059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0602608"/>
        <c:crosses val="autoZero"/>
        <c:auto val="1"/>
        <c:lblAlgn val="ctr"/>
        <c:lblOffset val="100"/>
        <c:noMultiLvlLbl val="0"/>
      </c:catAx>
      <c:valAx>
        <c:axId val="1170602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0598032"/>
        <c:crosses val="autoZero"/>
        <c:crossBetween val="between"/>
      </c:valAx>
      <c:spPr>
        <a:noFill/>
        <a:ln>
          <a:noFill/>
        </a:ln>
        <a:effectLst/>
      </c:spPr>
    </c:plotArea>
    <c:legend>
      <c:legendPos val="t"/>
      <c:overlay val="0"/>
      <c:spPr>
        <a:noFill/>
        <a:ln>
          <a:solidFill>
            <a:schemeClr val="bg1">
              <a:lumMod val="6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5">
          <a:lumMod val="40000"/>
          <a:lumOff val="60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NSW</c:v>
          </c:tx>
          <c:spPr>
            <a:ln w="28575" cap="rnd">
              <a:noFill/>
              <a:round/>
            </a:ln>
            <a:effectLst/>
          </c:spPr>
          <c:marker>
            <c:symbol val="circle"/>
            <c:size val="5"/>
            <c:spPr>
              <a:solidFill>
                <a:srgbClr val="636466"/>
              </a:solidFill>
              <a:ln w="9525">
                <a:noFill/>
              </a:ln>
              <a:effectLst/>
            </c:spPr>
          </c:marker>
          <c:dPt>
            <c:idx val="31"/>
            <c:marker>
              <c:symbol val="circle"/>
              <c:size val="5"/>
              <c:spPr>
                <a:solidFill>
                  <a:srgbClr val="636466"/>
                </a:solidFill>
                <a:ln w="9525">
                  <a:noFill/>
                </a:ln>
                <a:effectLst/>
              </c:spPr>
            </c:marker>
            <c:bubble3D val="0"/>
            <c:spPr>
              <a:ln w="25400" cap="rnd">
                <a:noFill/>
                <a:round/>
              </a:ln>
              <a:effectLst/>
            </c:spPr>
            <c:extLst>
              <c:ext xmlns:c16="http://schemas.microsoft.com/office/drawing/2014/chart" uri="{C3380CC4-5D6E-409C-BE32-E72D297353CC}">
                <c16:uniqueId val="{00000001-D8DF-4C2C-8B54-4EB5DC55F779}"/>
              </c:ext>
            </c:extLst>
          </c:dPt>
          <c:xVal>
            <c:numRef>
              <c:f>'2021-22 only'!$F$5:$F$42</c:f>
              <c:numCache>
                <c:formatCode>General</c:formatCode>
                <c:ptCount val="38"/>
                <c:pt idx="0">
                  <c:v>824</c:v>
                </c:pt>
                <c:pt idx="1">
                  <c:v>299</c:v>
                </c:pt>
                <c:pt idx="2">
                  <c:v>494</c:v>
                </c:pt>
                <c:pt idx="3">
                  <c:v>242</c:v>
                </c:pt>
                <c:pt idx="4">
                  <c:v>502</c:v>
                </c:pt>
                <c:pt idx="5">
                  <c:v>546</c:v>
                </c:pt>
                <c:pt idx="6">
                  <c:v>252</c:v>
                </c:pt>
                <c:pt idx="7">
                  <c:v>214</c:v>
                </c:pt>
                <c:pt idx="8">
                  <c:v>540</c:v>
                </c:pt>
                <c:pt idx="9">
                  <c:v>6869</c:v>
                </c:pt>
                <c:pt idx="10">
                  <c:v>1128</c:v>
                </c:pt>
                <c:pt idx="11">
                  <c:v>570</c:v>
                </c:pt>
                <c:pt idx="12">
                  <c:v>92</c:v>
                </c:pt>
                <c:pt idx="13">
                  <c:v>301</c:v>
                </c:pt>
                <c:pt idx="14">
                  <c:v>1180</c:v>
                </c:pt>
                <c:pt idx="15">
                  <c:v>346</c:v>
                </c:pt>
                <c:pt idx="16">
                  <c:v>267</c:v>
                </c:pt>
                <c:pt idx="17">
                  <c:v>293</c:v>
                </c:pt>
                <c:pt idx="18">
                  <c:v>179</c:v>
                </c:pt>
                <c:pt idx="19">
                  <c:v>401</c:v>
                </c:pt>
                <c:pt idx="20">
                  <c:v>165</c:v>
                </c:pt>
                <c:pt idx="21">
                  <c:v>366</c:v>
                </c:pt>
                <c:pt idx="22">
                  <c:v>178</c:v>
                </c:pt>
                <c:pt idx="23">
                  <c:v>153</c:v>
                </c:pt>
                <c:pt idx="24">
                  <c:v>385</c:v>
                </c:pt>
                <c:pt idx="25">
                  <c:v>10328</c:v>
                </c:pt>
                <c:pt idx="26">
                  <c:v>520</c:v>
                </c:pt>
                <c:pt idx="27">
                  <c:v>587</c:v>
                </c:pt>
                <c:pt idx="28">
                  <c:v>685</c:v>
                </c:pt>
                <c:pt idx="29">
                  <c:v>199</c:v>
                </c:pt>
                <c:pt idx="30">
                  <c:v>270</c:v>
                </c:pt>
                <c:pt idx="31">
                  <c:v>299748</c:v>
                </c:pt>
                <c:pt idx="32">
                  <c:v>574</c:v>
                </c:pt>
                <c:pt idx="33">
                  <c:v>346</c:v>
                </c:pt>
                <c:pt idx="34">
                  <c:v>236</c:v>
                </c:pt>
                <c:pt idx="35">
                  <c:v>896</c:v>
                </c:pt>
                <c:pt idx="36">
                  <c:v>6164</c:v>
                </c:pt>
                <c:pt idx="37">
                  <c:v>60</c:v>
                </c:pt>
              </c:numCache>
            </c:numRef>
          </c:xVal>
          <c:yVal>
            <c:numRef>
              <c:f>'2021-22 only'!$E$5:$E$42</c:f>
              <c:numCache>
                <c:formatCode>General</c:formatCode>
                <c:ptCount val="38"/>
                <c:pt idx="0">
                  <c:v>580.55992680408497</c:v>
                </c:pt>
                <c:pt idx="1">
                  <c:v>162.194293686827</c:v>
                </c:pt>
                <c:pt idx="2">
                  <c:v>382.74248623076602</c:v>
                </c:pt>
                <c:pt idx="3">
                  <c:v>148.46253139152799</c:v>
                </c:pt>
                <c:pt idx="4">
                  <c:v>336.92219417710902</c:v>
                </c:pt>
                <c:pt idx="5">
                  <c:v>437.98072572805103</c:v>
                </c:pt>
                <c:pt idx="6">
                  <c:v>131.00652621127199</c:v>
                </c:pt>
                <c:pt idx="7">
                  <c:v>127.181483335078</c:v>
                </c:pt>
                <c:pt idx="8">
                  <c:v>316.37489741384201</c:v>
                </c:pt>
                <c:pt idx="9">
                  <c:v>1863.82102198546</c:v>
                </c:pt>
                <c:pt idx="10">
                  <c:v>1122.7894019683499</c:v>
                </c:pt>
                <c:pt idx="11">
                  <c:v>373.09505304303798</c:v>
                </c:pt>
                <c:pt idx="12">
                  <c:v>23.118238428955902</c:v>
                </c:pt>
                <c:pt idx="13">
                  <c:v>243.351214994076</c:v>
                </c:pt>
                <c:pt idx="14">
                  <c:v>1096.1416716669</c:v>
                </c:pt>
                <c:pt idx="15">
                  <c:v>193.83652340507399</c:v>
                </c:pt>
                <c:pt idx="16">
                  <c:v>157.70518785924301</c:v>
                </c:pt>
                <c:pt idx="17">
                  <c:v>131.39396274738201</c:v>
                </c:pt>
                <c:pt idx="18">
                  <c:v>94.644520614776397</c:v>
                </c:pt>
                <c:pt idx="19">
                  <c:v>256.61110533207699</c:v>
                </c:pt>
                <c:pt idx="20">
                  <c:v>74.773850386686703</c:v>
                </c:pt>
                <c:pt idx="21">
                  <c:v>252.718622068933</c:v>
                </c:pt>
                <c:pt idx="22">
                  <c:v>63.375947887264097</c:v>
                </c:pt>
                <c:pt idx="23">
                  <c:v>52.455696496045199</c:v>
                </c:pt>
                <c:pt idx="24">
                  <c:v>281.18452217431002</c:v>
                </c:pt>
                <c:pt idx="25">
                  <c:v>15472.631856960899</c:v>
                </c:pt>
                <c:pt idx="26">
                  <c:v>419.51751930057401</c:v>
                </c:pt>
                <c:pt idx="27">
                  <c:v>422.25238195878597</c:v>
                </c:pt>
                <c:pt idx="28">
                  <c:v>653.15471144583603</c:v>
                </c:pt>
                <c:pt idx="29">
                  <c:v>68.759376722963793</c:v>
                </c:pt>
                <c:pt idx="30">
                  <c:v>174.41136585661201</c:v>
                </c:pt>
                <c:pt idx="31">
                  <c:v>327176.24414221302</c:v>
                </c:pt>
                <c:pt idx="32">
                  <c:v>411.56469307862602</c:v>
                </c:pt>
                <c:pt idx="33">
                  <c:v>255.87495568941</c:v>
                </c:pt>
                <c:pt idx="34">
                  <c:v>140.558529913775</c:v>
                </c:pt>
                <c:pt idx="35">
                  <c:v>626.49518281735902</c:v>
                </c:pt>
                <c:pt idx="36">
                  <c:v>2976.8539664189898</c:v>
                </c:pt>
                <c:pt idx="37">
                  <c:v>11.9454806076188</c:v>
                </c:pt>
              </c:numCache>
            </c:numRef>
          </c:yVal>
          <c:smooth val="0"/>
          <c:extLst>
            <c:ext xmlns:c16="http://schemas.microsoft.com/office/drawing/2014/chart" uri="{C3380CC4-5D6E-409C-BE32-E72D297353CC}">
              <c16:uniqueId val="{00000002-D8DF-4C2C-8B54-4EB5DC55F779}"/>
            </c:ext>
          </c:extLst>
        </c:ser>
        <c:ser>
          <c:idx val="1"/>
          <c:order val="1"/>
          <c:tx>
            <c:v>Vic</c:v>
          </c:tx>
          <c:spPr>
            <a:ln w="25400" cap="rnd">
              <a:noFill/>
              <a:round/>
            </a:ln>
            <a:effectLst/>
          </c:spPr>
          <c:marker>
            <c:symbol val="circle"/>
            <c:size val="5"/>
            <c:spPr>
              <a:solidFill>
                <a:srgbClr val="939598"/>
              </a:solidFill>
              <a:ln w="9525">
                <a:noFill/>
              </a:ln>
              <a:effectLst/>
            </c:spPr>
          </c:marker>
          <c:xVal>
            <c:numRef>
              <c:f>'2021-22 only'!$F$43:$F$63</c:f>
              <c:numCache>
                <c:formatCode>General</c:formatCode>
                <c:ptCount val="21"/>
                <c:pt idx="0">
                  <c:v>567</c:v>
                </c:pt>
                <c:pt idx="1">
                  <c:v>298</c:v>
                </c:pt>
                <c:pt idx="2">
                  <c:v>191</c:v>
                </c:pt>
                <c:pt idx="3">
                  <c:v>3043</c:v>
                </c:pt>
                <c:pt idx="4">
                  <c:v>2941</c:v>
                </c:pt>
                <c:pt idx="5">
                  <c:v>177</c:v>
                </c:pt>
                <c:pt idx="6">
                  <c:v>197</c:v>
                </c:pt>
                <c:pt idx="7">
                  <c:v>5608</c:v>
                </c:pt>
                <c:pt idx="8">
                  <c:v>234</c:v>
                </c:pt>
                <c:pt idx="9">
                  <c:v>296378</c:v>
                </c:pt>
                <c:pt idx="10">
                  <c:v>262</c:v>
                </c:pt>
                <c:pt idx="11">
                  <c:v>150</c:v>
                </c:pt>
                <c:pt idx="12">
                  <c:v>217</c:v>
                </c:pt>
                <c:pt idx="13">
                  <c:v>832</c:v>
                </c:pt>
                <c:pt idx="14">
                  <c:v>156</c:v>
                </c:pt>
                <c:pt idx="15">
                  <c:v>588</c:v>
                </c:pt>
                <c:pt idx="16">
                  <c:v>284</c:v>
                </c:pt>
                <c:pt idx="17">
                  <c:v>461</c:v>
                </c:pt>
                <c:pt idx="18">
                  <c:v>475</c:v>
                </c:pt>
                <c:pt idx="19">
                  <c:v>254</c:v>
                </c:pt>
                <c:pt idx="20">
                  <c:v>557</c:v>
                </c:pt>
              </c:numCache>
            </c:numRef>
          </c:xVal>
          <c:yVal>
            <c:numRef>
              <c:f>'2021-22 only'!$E$43:$E$63</c:f>
              <c:numCache>
                <c:formatCode>General</c:formatCode>
                <c:ptCount val="21"/>
                <c:pt idx="0">
                  <c:v>390.62779558749702</c:v>
                </c:pt>
                <c:pt idx="1">
                  <c:v>148.53345453807199</c:v>
                </c:pt>
                <c:pt idx="2">
                  <c:v>83.966633852049497</c:v>
                </c:pt>
                <c:pt idx="3">
                  <c:v>2019.11668920791</c:v>
                </c:pt>
                <c:pt idx="4">
                  <c:v>1860.2229645953701</c:v>
                </c:pt>
                <c:pt idx="5">
                  <c:v>64.467753179939805</c:v>
                </c:pt>
                <c:pt idx="6">
                  <c:v>78.885601786923402</c:v>
                </c:pt>
                <c:pt idx="7">
                  <c:v>2544.22903166474</c:v>
                </c:pt>
                <c:pt idx="8">
                  <c:v>96.508627910475894</c:v>
                </c:pt>
                <c:pt idx="9">
                  <c:v>315419.105212325</c:v>
                </c:pt>
                <c:pt idx="10">
                  <c:v>151.94900520257301</c:v>
                </c:pt>
                <c:pt idx="11">
                  <c:v>55.5090356683015</c:v>
                </c:pt>
                <c:pt idx="12">
                  <c:v>92.068580590254896</c:v>
                </c:pt>
                <c:pt idx="13">
                  <c:v>639.83737686108998</c:v>
                </c:pt>
                <c:pt idx="14">
                  <c:v>52.943020939543402</c:v>
                </c:pt>
                <c:pt idx="15">
                  <c:v>481.80382128587797</c:v>
                </c:pt>
                <c:pt idx="16">
                  <c:v>144.75696335218399</c:v>
                </c:pt>
                <c:pt idx="17">
                  <c:v>316.59681287600301</c:v>
                </c:pt>
                <c:pt idx="18">
                  <c:v>297.60645268877499</c:v>
                </c:pt>
                <c:pt idx="19">
                  <c:v>113.581595522455</c:v>
                </c:pt>
                <c:pt idx="20">
                  <c:v>425.89433232979502</c:v>
                </c:pt>
              </c:numCache>
            </c:numRef>
          </c:yVal>
          <c:smooth val="0"/>
          <c:extLst>
            <c:ext xmlns:c16="http://schemas.microsoft.com/office/drawing/2014/chart" uri="{C3380CC4-5D6E-409C-BE32-E72D297353CC}">
              <c16:uniqueId val="{00000003-D8DF-4C2C-8B54-4EB5DC55F779}"/>
            </c:ext>
          </c:extLst>
        </c:ser>
        <c:ser>
          <c:idx val="2"/>
          <c:order val="2"/>
          <c:tx>
            <c:v>Qld</c:v>
          </c:tx>
          <c:spPr>
            <a:ln w="25400" cap="rnd">
              <a:noFill/>
              <a:round/>
            </a:ln>
            <a:effectLst/>
          </c:spPr>
          <c:marker>
            <c:symbol val="circle"/>
            <c:size val="5"/>
            <c:spPr>
              <a:solidFill>
                <a:srgbClr val="ADD6EA"/>
              </a:solidFill>
              <a:ln w="9525">
                <a:noFill/>
              </a:ln>
              <a:effectLst/>
            </c:spPr>
          </c:marker>
          <c:xVal>
            <c:numRef>
              <c:f>'2021-22 only'!$F$64:$F$81</c:f>
              <c:numCache>
                <c:formatCode>General</c:formatCode>
                <c:ptCount val="18"/>
                <c:pt idx="0">
                  <c:v>149629</c:v>
                </c:pt>
                <c:pt idx="1">
                  <c:v>1170</c:v>
                </c:pt>
                <c:pt idx="2">
                  <c:v>4596</c:v>
                </c:pt>
                <c:pt idx="3">
                  <c:v>208</c:v>
                </c:pt>
                <c:pt idx="4">
                  <c:v>12786</c:v>
                </c:pt>
                <c:pt idx="5">
                  <c:v>282</c:v>
                </c:pt>
                <c:pt idx="6">
                  <c:v>957</c:v>
                </c:pt>
                <c:pt idx="7">
                  <c:v>151</c:v>
                </c:pt>
                <c:pt idx="8">
                  <c:v>1379</c:v>
                </c:pt>
                <c:pt idx="9">
                  <c:v>363</c:v>
                </c:pt>
                <c:pt idx="10">
                  <c:v>272</c:v>
                </c:pt>
                <c:pt idx="11">
                  <c:v>1239</c:v>
                </c:pt>
                <c:pt idx="12">
                  <c:v>7047</c:v>
                </c:pt>
                <c:pt idx="13">
                  <c:v>3995</c:v>
                </c:pt>
                <c:pt idx="14">
                  <c:v>5271</c:v>
                </c:pt>
                <c:pt idx="15">
                  <c:v>207</c:v>
                </c:pt>
                <c:pt idx="16">
                  <c:v>274</c:v>
                </c:pt>
                <c:pt idx="17">
                  <c:v>648</c:v>
                </c:pt>
              </c:numCache>
            </c:numRef>
          </c:xVal>
          <c:yVal>
            <c:numRef>
              <c:f>'2021-22 only'!$E$64:$E$81</c:f>
              <c:numCache>
                <c:formatCode>General</c:formatCode>
                <c:ptCount val="18"/>
                <c:pt idx="0">
                  <c:v>189761.320258361</c:v>
                </c:pt>
                <c:pt idx="1">
                  <c:v>1268.36431387114</c:v>
                </c:pt>
                <c:pt idx="2">
                  <c:v>3475.7053261835299</c:v>
                </c:pt>
                <c:pt idx="3">
                  <c:v>67.358848798976695</c:v>
                </c:pt>
                <c:pt idx="4">
                  <c:v>19245.990533857901</c:v>
                </c:pt>
                <c:pt idx="5">
                  <c:v>164.77688538282601</c:v>
                </c:pt>
                <c:pt idx="6">
                  <c:v>1123.8314144921901</c:v>
                </c:pt>
                <c:pt idx="7">
                  <c:v>50.719358813960199</c:v>
                </c:pt>
                <c:pt idx="8">
                  <c:v>1285.8697981671701</c:v>
                </c:pt>
                <c:pt idx="9">
                  <c:v>281.91220995839302</c:v>
                </c:pt>
                <c:pt idx="10">
                  <c:v>102.146181805997</c:v>
                </c:pt>
                <c:pt idx="11">
                  <c:v>1148.01548339121</c:v>
                </c:pt>
                <c:pt idx="12">
                  <c:v>10213.636187386999</c:v>
                </c:pt>
                <c:pt idx="13">
                  <c:v>2899.52505511864</c:v>
                </c:pt>
                <c:pt idx="14">
                  <c:v>5722.9967781920404</c:v>
                </c:pt>
                <c:pt idx="15">
                  <c:v>88.253369990966704</c:v>
                </c:pt>
                <c:pt idx="16">
                  <c:v>133.044059477605</c:v>
                </c:pt>
                <c:pt idx="17">
                  <c:v>478.890098202616</c:v>
                </c:pt>
              </c:numCache>
            </c:numRef>
          </c:yVal>
          <c:smooth val="0"/>
          <c:extLst>
            <c:ext xmlns:c16="http://schemas.microsoft.com/office/drawing/2014/chart" uri="{C3380CC4-5D6E-409C-BE32-E72D297353CC}">
              <c16:uniqueId val="{00000004-D8DF-4C2C-8B54-4EB5DC55F779}"/>
            </c:ext>
          </c:extLst>
        </c:ser>
        <c:ser>
          <c:idx val="3"/>
          <c:order val="3"/>
          <c:tx>
            <c:v>WA</c:v>
          </c:tx>
          <c:spPr>
            <a:ln w="25400" cap="rnd">
              <a:noFill/>
              <a:round/>
            </a:ln>
            <a:effectLst/>
          </c:spPr>
          <c:marker>
            <c:symbol val="circle"/>
            <c:size val="5"/>
            <c:spPr>
              <a:solidFill>
                <a:srgbClr val="60B5D7"/>
              </a:solidFill>
              <a:ln w="9525">
                <a:noFill/>
              </a:ln>
              <a:effectLst/>
            </c:spPr>
          </c:marker>
          <c:xVal>
            <c:numRef>
              <c:f>'2021-22 only'!$F$82:$F$91</c:f>
              <c:numCache>
                <c:formatCode>General</c:formatCode>
                <c:ptCount val="10"/>
                <c:pt idx="0">
                  <c:v>491</c:v>
                </c:pt>
                <c:pt idx="1">
                  <c:v>226</c:v>
                </c:pt>
                <c:pt idx="2">
                  <c:v>1272</c:v>
                </c:pt>
                <c:pt idx="3">
                  <c:v>517</c:v>
                </c:pt>
                <c:pt idx="4">
                  <c:v>153</c:v>
                </c:pt>
                <c:pt idx="5">
                  <c:v>534</c:v>
                </c:pt>
                <c:pt idx="6">
                  <c:v>439</c:v>
                </c:pt>
                <c:pt idx="7">
                  <c:v>258</c:v>
                </c:pt>
                <c:pt idx="8">
                  <c:v>131891</c:v>
                </c:pt>
                <c:pt idx="9">
                  <c:v>234</c:v>
                </c:pt>
              </c:numCache>
            </c:numRef>
          </c:xVal>
          <c:yVal>
            <c:numRef>
              <c:f>'2021-22 only'!$E$82:$E$91</c:f>
              <c:numCache>
                <c:formatCode>General</c:formatCode>
                <c:ptCount val="10"/>
                <c:pt idx="0">
                  <c:v>334.689361889157</c:v>
                </c:pt>
                <c:pt idx="1">
                  <c:v>80.781327477641597</c:v>
                </c:pt>
                <c:pt idx="2">
                  <c:v>1187.9977608515801</c:v>
                </c:pt>
                <c:pt idx="3">
                  <c:v>372.27648039528702</c:v>
                </c:pt>
                <c:pt idx="4">
                  <c:v>49.636447752666498</c:v>
                </c:pt>
                <c:pt idx="5">
                  <c:v>370.21214749228898</c:v>
                </c:pt>
                <c:pt idx="6">
                  <c:v>218.945052652318</c:v>
                </c:pt>
                <c:pt idx="7">
                  <c:v>90.195497893902498</c:v>
                </c:pt>
                <c:pt idx="8">
                  <c:v>133150.89822221501</c:v>
                </c:pt>
                <c:pt idx="9">
                  <c:v>81.956936630327803</c:v>
                </c:pt>
              </c:numCache>
            </c:numRef>
          </c:yVal>
          <c:smooth val="0"/>
          <c:extLst>
            <c:ext xmlns:c16="http://schemas.microsoft.com/office/drawing/2014/chart" uri="{C3380CC4-5D6E-409C-BE32-E72D297353CC}">
              <c16:uniqueId val="{00000005-D8DF-4C2C-8B54-4EB5DC55F779}"/>
            </c:ext>
          </c:extLst>
        </c:ser>
        <c:ser>
          <c:idx val="4"/>
          <c:order val="4"/>
          <c:tx>
            <c:v>SA</c:v>
          </c:tx>
          <c:spPr>
            <a:ln w="25400" cap="rnd">
              <a:noFill/>
              <a:round/>
            </a:ln>
            <a:effectLst/>
          </c:spPr>
          <c:marker>
            <c:symbol val="circle"/>
            <c:size val="5"/>
            <c:spPr>
              <a:solidFill>
                <a:srgbClr val="006991"/>
              </a:solidFill>
              <a:ln w="9525">
                <a:noFill/>
              </a:ln>
              <a:effectLst/>
            </c:spPr>
          </c:marker>
          <c:xVal>
            <c:numRef>
              <c:f>'2021-22 only'!$F$92:$F$99</c:f>
              <c:numCache>
                <c:formatCode>General</c:formatCode>
                <c:ptCount val="8"/>
                <c:pt idx="0">
                  <c:v>83355</c:v>
                </c:pt>
                <c:pt idx="1">
                  <c:v>393</c:v>
                </c:pt>
                <c:pt idx="2">
                  <c:v>260</c:v>
                </c:pt>
                <c:pt idx="3">
                  <c:v>192</c:v>
                </c:pt>
                <c:pt idx="4">
                  <c:v>220</c:v>
                </c:pt>
                <c:pt idx="5">
                  <c:v>203</c:v>
                </c:pt>
                <c:pt idx="6">
                  <c:v>389</c:v>
                </c:pt>
                <c:pt idx="7">
                  <c:v>315</c:v>
                </c:pt>
              </c:numCache>
            </c:numRef>
          </c:xVal>
          <c:yVal>
            <c:numRef>
              <c:f>'2021-22 only'!$E$92:$E$99</c:f>
              <c:numCache>
                <c:formatCode>General</c:formatCode>
                <c:ptCount val="8"/>
                <c:pt idx="0">
                  <c:v>86686.588123892099</c:v>
                </c:pt>
                <c:pt idx="1">
                  <c:v>217.86801291601799</c:v>
                </c:pt>
                <c:pt idx="2">
                  <c:v>132.055384219194</c:v>
                </c:pt>
                <c:pt idx="3">
                  <c:v>84.264565572561594</c:v>
                </c:pt>
                <c:pt idx="4">
                  <c:v>90.257853119819899</c:v>
                </c:pt>
                <c:pt idx="5">
                  <c:v>95.929333605286502</c:v>
                </c:pt>
                <c:pt idx="6">
                  <c:v>370.23100551014699</c:v>
                </c:pt>
                <c:pt idx="7">
                  <c:v>184.34192788723399</c:v>
                </c:pt>
              </c:numCache>
            </c:numRef>
          </c:yVal>
          <c:smooth val="0"/>
          <c:extLst>
            <c:ext xmlns:c16="http://schemas.microsoft.com/office/drawing/2014/chart" uri="{C3380CC4-5D6E-409C-BE32-E72D297353CC}">
              <c16:uniqueId val="{00000006-D8DF-4C2C-8B54-4EB5DC55F779}"/>
            </c:ext>
          </c:extLst>
        </c:ser>
        <c:ser>
          <c:idx val="5"/>
          <c:order val="5"/>
          <c:tx>
            <c:v>Tas</c:v>
          </c:tx>
          <c:spPr>
            <a:ln w="25400" cap="rnd">
              <a:noFill/>
              <a:round/>
            </a:ln>
            <a:effectLst/>
          </c:spPr>
          <c:marker>
            <c:symbol val="circle"/>
            <c:size val="5"/>
            <c:spPr>
              <a:solidFill>
                <a:srgbClr val="008069"/>
              </a:solidFill>
              <a:ln w="9525">
                <a:noFill/>
              </a:ln>
              <a:effectLst/>
            </c:spPr>
          </c:marker>
          <c:xVal>
            <c:numRef>
              <c:f>'2021-22 only'!$F$100:$F$104</c:f>
              <c:numCache>
                <c:formatCode>General</c:formatCode>
                <c:ptCount val="5"/>
                <c:pt idx="0">
                  <c:v>419</c:v>
                </c:pt>
                <c:pt idx="1">
                  <c:v>15306</c:v>
                </c:pt>
                <c:pt idx="2">
                  <c:v>1471</c:v>
                </c:pt>
                <c:pt idx="3">
                  <c:v>198</c:v>
                </c:pt>
                <c:pt idx="4">
                  <c:v>379</c:v>
                </c:pt>
              </c:numCache>
            </c:numRef>
          </c:xVal>
          <c:yVal>
            <c:numRef>
              <c:f>'2021-22 only'!$E$100:$E$104</c:f>
              <c:numCache>
                <c:formatCode>General</c:formatCode>
                <c:ptCount val="5"/>
                <c:pt idx="0">
                  <c:v>286.03488128651099</c:v>
                </c:pt>
                <c:pt idx="1">
                  <c:v>6285.4579324367996</c:v>
                </c:pt>
                <c:pt idx="2">
                  <c:v>1602.56756224579</c:v>
                </c:pt>
                <c:pt idx="3">
                  <c:v>87.447388597810104</c:v>
                </c:pt>
                <c:pt idx="4">
                  <c:v>249.10789990057901</c:v>
                </c:pt>
              </c:numCache>
            </c:numRef>
          </c:yVal>
          <c:smooth val="0"/>
          <c:extLst>
            <c:ext xmlns:c16="http://schemas.microsoft.com/office/drawing/2014/chart" uri="{C3380CC4-5D6E-409C-BE32-E72D297353CC}">
              <c16:uniqueId val="{00000007-D8DF-4C2C-8B54-4EB5DC55F779}"/>
            </c:ext>
          </c:extLst>
        </c:ser>
        <c:ser>
          <c:idx val="6"/>
          <c:order val="6"/>
          <c:tx>
            <c:v>ACT</c:v>
          </c:tx>
          <c:spPr>
            <a:ln w="25400" cap="rnd">
              <a:noFill/>
              <a:round/>
            </a:ln>
            <a:effectLst/>
          </c:spPr>
          <c:marker>
            <c:symbol val="circle"/>
            <c:size val="5"/>
            <c:spPr>
              <a:solidFill>
                <a:srgbClr val="00CE87"/>
              </a:solidFill>
              <a:ln w="9525">
                <a:noFill/>
              </a:ln>
              <a:effectLst/>
            </c:spPr>
          </c:marker>
          <c:xVal>
            <c:numRef>
              <c:f>'2021-22 only'!$F$105</c:f>
              <c:numCache>
                <c:formatCode>General</c:formatCode>
                <c:ptCount val="1"/>
                <c:pt idx="0">
                  <c:v>31474</c:v>
                </c:pt>
              </c:numCache>
            </c:numRef>
          </c:xVal>
          <c:yVal>
            <c:numRef>
              <c:f>'2021-22 only'!$E$105</c:f>
              <c:numCache>
                <c:formatCode>General</c:formatCode>
                <c:ptCount val="1"/>
                <c:pt idx="0">
                  <c:v>16393.4238011946</c:v>
                </c:pt>
              </c:numCache>
            </c:numRef>
          </c:yVal>
          <c:smooth val="0"/>
          <c:extLst>
            <c:ext xmlns:c16="http://schemas.microsoft.com/office/drawing/2014/chart" uri="{C3380CC4-5D6E-409C-BE32-E72D297353CC}">
              <c16:uniqueId val="{00000008-D8DF-4C2C-8B54-4EB5DC55F779}"/>
            </c:ext>
          </c:extLst>
        </c:ser>
        <c:ser>
          <c:idx val="7"/>
          <c:order val="7"/>
          <c:tx>
            <c:v>NT</c:v>
          </c:tx>
          <c:spPr>
            <a:ln w="25400" cap="rnd">
              <a:noFill/>
              <a:round/>
            </a:ln>
            <a:effectLst/>
          </c:spPr>
          <c:marker>
            <c:symbol val="circle"/>
            <c:size val="5"/>
            <c:spPr>
              <a:solidFill>
                <a:srgbClr val="94EA9E"/>
              </a:solidFill>
              <a:ln w="9525">
                <a:noFill/>
              </a:ln>
              <a:effectLst/>
            </c:spPr>
          </c:marker>
          <c:xVal>
            <c:numRef>
              <c:f>'2021-22 only'!$F$106:$F$107</c:f>
              <c:numCache>
                <c:formatCode>General</c:formatCode>
                <c:ptCount val="2"/>
                <c:pt idx="0">
                  <c:v>401</c:v>
                </c:pt>
                <c:pt idx="1">
                  <c:v>3826</c:v>
                </c:pt>
              </c:numCache>
            </c:numRef>
          </c:xVal>
          <c:yVal>
            <c:numRef>
              <c:f>'2021-22 only'!$E$106:$E$107</c:f>
              <c:numCache>
                <c:formatCode>General</c:formatCode>
                <c:ptCount val="2"/>
                <c:pt idx="0">
                  <c:v>189.75581129562499</c:v>
                </c:pt>
                <c:pt idx="1">
                  <c:v>3179.3575532732998</c:v>
                </c:pt>
              </c:numCache>
            </c:numRef>
          </c:yVal>
          <c:smooth val="0"/>
          <c:extLst>
            <c:ext xmlns:c16="http://schemas.microsoft.com/office/drawing/2014/chart" uri="{C3380CC4-5D6E-409C-BE32-E72D297353CC}">
              <c16:uniqueId val="{00000009-D8DF-4C2C-8B54-4EB5DC55F779}"/>
            </c:ext>
          </c:extLst>
        </c:ser>
        <c:dLbls>
          <c:showLegendKey val="0"/>
          <c:showVal val="0"/>
          <c:showCatName val="0"/>
          <c:showSerName val="0"/>
          <c:showPercent val="0"/>
          <c:showBubbleSize val="0"/>
        </c:dLbls>
        <c:axId val="1728684688"/>
        <c:axId val="1728680528"/>
      </c:scatterChart>
      <c:valAx>
        <c:axId val="1728684688"/>
        <c:scaling>
          <c:orientation val="minMax"/>
          <c:max val="4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Work Sans" pitchFamily="2" charset="0"/>
                    <a:ea typeface="+mn-ea"/>
                    <a:cs typeface="+mn-cs"/>
                  </a:defRPr>
                </a:pPr>
                <a:r>
                  <a:rPr lang="en-AU">
                    <a:latin typeface="Work Sans" pitchFamily="2" charset="0"/>
                  </a:rPr>
                  <a:t>Population Ranges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Work Sans" pitchFamily="2" charset="0"/>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Work Sans" pitchFamily="2" charset="0"/>
                <a:ea typeface="+mn-ea"/>
                <a:cs typeface="+mn-cs"/>
              </a:defRPr>
            </a:pPr>
            <a:endParaRPr lang="en-US"/>
          </a:p>
        </c:txPr>
        <c:crossAx val="1728680528"/>
        <c:crosses val="autoZero"/>
        <c:crossBetween val="midCat"/>
      </c:valAx>
      <c:valAx>
        <c:axId val="1728680528"/>
        <c:scaling>
          <c:orientation val="minMax"/>
          <c:max val="4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Work Sans" pitchFamily="2" charset="0"/>
                    <a:ea typeface="+mn-ea"/>
                    <a:cs typeface="+mn-cs"/>
                  </a:defRPr>
                </a:pPr>
                <a:r>
                  <a:rPr lang="en-AU">
                    <a:latin typeface="Work Sans" pitchFamily="2" charset="0"/>
                  </a:rPr>
                  <a:t>Regression Model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Work Sans" pitchFamily="2" charset="0"/>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Work Sans" pitchFamily="2" charset="0"/>
                <a:ea typeface="+mn-ea"/>
                <a:cs typeface="+mn-cs"/>
              </a:defRPr>
            </a:pPr>
            <a:endParaRPr lang="en-US"/>
          </a:p>
        </c:txPr>
        <c:crossAx val="172868468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Work Sans"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NSW</c:v>
          </c:tx>
          <c:spPr>
            <a:ln w="28575" cap="rnd">
              <a:noFill/>
              <a:round/>
            </a:ln>
            <a:effectLst/>
          </c:spPr>
          <c:marker>
            <c:symbol val="circle"/>
            <c:size val="5"/>
            <c:spPr>
              <a:solidFill>
                <a:srgbClr val="636466"/>
              </a:solidFill>
              <a:ln w="9525">
                <a:noFill/>
              </a:ln>
              <a:effectLst/>
            </c:spPr>
          </c:marker>
          <c:xVal>
            <c:numRef>
              <c:f>'2021-22 only'!$X$5:$X$42</c:f>
              <c:numCache>
                <c:formatCode>General</c:formatCode>
                <c:ptCount val="38"/>
                <c:pt idx="0">
                  <c:v>0</c:v>
                </c:pt>
                <c:pt idx="1">
                  <c:v>0</c:v>
                </c:pt>
                <c:pt idx="2">
                  <c:v>0</c:v>
                </c:pt>
                <c:pt idx="3">
                  <c:v>0</c:v>
                </c:pt>
                <c:pt idx="4">
                  <c:v>0</c:v>
                </c:pt>
                <c:pt idx="5">
                  <c:v>0</c:v>
                </c:pt>
                <c:pt idx="6">
                  <c:v>0</c:v>
                </c:pt>
                <c:pt idx="7">
                  <c:v>0</c:v>
                </c:pt>
                <c:pt idx="8">
                  <c:v>0</c:v>
                </c:pt>
                <c:pt idx="9">
                  <c:v>11013</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16559</c:v>
                </c:pt>
                <c:pt idx="26">
                  <c:v>0</c:v>
                </c:pt>
                <c:pt idx="27">
                  <c:v>0</c:v>
                </c:pt>
                <c:pt idx="28">
                  <c:v>0</c:v>
                </c:pt>
                <c:pt idx="29">
                  <c:v>0</c:v>
                </c:pt>
                <c:pt idx="30">
                  <c:v>0</c:v>
                </c:pt>
                <c:pt idx="31">
                  <c:v>788920</c:v>
                </c:pt>
                <c:pt idx="32">
                  <c:v>0</c:v>
                </c:pt>
                <c:pt idx="33">
                  <c:v>0</c:v>
                </c:pt>
                <c:pt idx="34">
                  <c:v>0</c:v>
                </c:pt>
                <c:pt idx="35">
                  <c:v>0</c:v>
                </c:pt>
                <c:pt idx="36">
                  <c:v>9883</c:v>
                </c:pt>
                <c:pt idx="37">
                  <c:v>0</c:v>
                </c:pt>
              </c:numCache>
            </c:numRef>
          </c:xVal>
          <c:yVal>
            <c:numRef>
              <c:f>'2021-22 only'!$W$5:$W$42</c:f>
              <c:numCache>
                <c:formatCode>General</c:formatCode>
                <c:ptCount val="38"/>
                <c:pt idx="0">
                  <c:v>0</c:v>
                </c:pt>
                <c:pt idx="1">
                  <c:v>0</c:v>
                </c:pt>
                <c:pt idx="2">
                  <c:v>0</c:v>
                </c:pt>
                <c:pt idx="3">
                  <c:v>0</c:v>
                </c:pt>
                <c:pt idx="4">
                  <c:v>0</c:v>
                </c:pt>
                <c:pt idx="5">
                  <c:v>0</c:v>
                </c:pt>
                <c:pt idx="6">
                  <c:v>0</c:v>
                </c:pt>
                <c:pt idx="7">
                  <c:v>0</c:v>
                </c:pt>
                <c:pt idx="8">
                  <c:v>0</c:v>
                </c:pt>
                <c:pt idx="9">
                  <c:v>11586.491721112299</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9031.6219624194891</c:v>
                </c:pt>
                <c:pt idx="26">
                  <c:v>0</c:v>
                </c:pt>
                <c:pt idx="27">
                  <c:v>0</c:v>
                </c:pt>
                <c:pt idx="28">
                  <c:v>0</c:v>
                </c:pt>
                <c:pt idx="29">
                  <c:v>0</c:v>
                </c:pt>
                <c:pt idx="30">
                  <c:v>0</c:v>
                </c:pt>
                <c:pt idx="31">
                  <c:v>835898.858277602</c:v>
                </c:pt>
                <c:pt idx="32">
                  <c:v>0</c:v>
                </c:pt>
                <c:pt idx="33">
                  <c:v>0</c:v>
                </c:pt>
                <c:pt idx="34">
                  <c:v>0</c:v>
                </c:pt>
                <c:pt idx="35">
                  <c:v>0</c:v>
                </c:pt>
                <c:pt idx="36">
                  <c:v>7928.35439722923</c:v>
                </c:pt>
                <c:pt idx="37">
                  <c:v>0</c:v>
                </c:pt>
              </c:numCache>
            </c:numRef>
          </c:yVal>
          <c:smooth val="0"/>
          <c:extLst>
            <c:ext xmlns:c16="http://schemas.microsoft.com/office/drawing/2014/chart" uri="{C3380CC4-5D6E-409C-BE32-E72D297353CC}">
              <c16:uniqueId val="{00000000-83A5-4CDB-9ABD-473690FBD7C3}"/>
            </c:ext>
          </c:extLst>
        </c:ser>
        <c:ser>
          <c:idx val="1"/>
          <c:order val="1"/>
          <c:tx>
            <c:v>Vic</c:v>
          </c:tx>
          <c:spPr>
            <a:ln w="25400" cap="rnd">
              <a:noFill/>
              <a:round/>
            </a:ln>
            <a:effectLst/>
          </c:spPr>
          <c:marker>
            <c:symbol val="circle"/>
            <c:size val="5"/>
            <c:spPr>
              <a:solidFill>
                <a:srgbClr val="939598"/>
              </a:solidFill>
              <a:ln w="9525">
                <a:noFill/>
              </a:ln>
              <a:effectLst/>
            </c:spPr>
          </c:marker>
          <c:xVal>
            <c:numRef>
              <c:f>'2021-22 only'!$X$43:$X$63</c:f>
              <c:numCache>
                <c:formatCode>General</c:formatCode>
                <c:ptCount val="21"/>
                <c:pt idx="0">
                  <c:v>0</c:v>
                </c:pt>
                <c:pt idx="1">
                  <c:v>0</c:v>
                </c:pt>
                <c:pt idx="2">
                  <c:v>0</c:v>
                </c:pt>
                <c:pt idx="3">
                  <c:v>0</c:v>
                </c:pt>
                <c:pt idx="4">
                  <c:v>0</c:v>
                </c:pt>
                <c:pt idx="5">
                  <c:v>0</c:v>
                </c:pt>
                <c:pt idx="6">
                  <c:v>0</c:v>
                </c:pt>
                <c:pt idx="7">
                  <c:v>8991</c:v>
                </c:pt>
                <c:pt idx="8">
                  <c:v>0</c:v>
                </c:pt>
                <c:pt idx="9">
                  <c:v>780051</c:v>
                </c:pt>
                <c:pt idx="10">
                  <c:v>0</c:v>
                </c:pt>
                <c:pt idx="11">
                  <c:v>0</c:v>
                </c:pt>
                <c:pt idx="12">
                  <c:v>0</c:v>
                </c:pt>
                <c:pt idx="13">
                  <c:v>0</c:v>
                </c:pt>
                <c:pt idx="14">
                  <c:v>0</c:v>
                </c:pt>
                <c:pt idx="15">
                  <c:v>0</c:v>
                </c:pt>
                <c:pt idx="16">
                  <c:v>0</c:v>
                </c:pt>
                <c:pt idx="17">
                  <c:v>0</c:v>
                </c:pt>
                <c:pt idx="18">
                  <c:v>0</c:v>
                </c:pt>
                <c:pt idx="19">
                  <c:v>0</c:v>
                </c:pt>
                <c:pt idx="20">
                  <c:v>0</c:v>
                </c:pt>
              </c:numCache>
            </c:numRef>
          </c:xVal>
          <c:yVal>
            <c:numRef>
              <c:f>'2021-22 only'!$W$43:$W$63</c:f>
              <c:numCache>
                <c:formatCode>General</c:formatCode>
                <c:ptCount val="21"/>
                <c:pt idx="0">
                  <c:v>0</c:v>
                </c:pt>
                <c:pt idx="1">
                  <c:v>0</c:v>
                </c:pt>
                <c:pt idx="2">
                  <c:v>0</c:v>
                </c:pt>
                <c:pt idx="3">
                  <c:v>0</c:v>
                </c:pt>
                <c:pt idx="4">
                  <c:v>0</c:v>
                </c:pt>
                <c:pt idx="5">
                  <c:v>0</c:v>
                </c:pt>
                <c:pt idx="6">
                  <c:v>0</c:v>
                </c:pt>
                <c:pt idx="7">
                  <c:v>6588.86045638425</c:v>
                </c:pt>
                <c:pt idx="8">
                  <c:v>0</c:v>
                </c:pt>
                <c:pt idx="9">
                  <c:v>868952.02972867095</c:v>
                </c:pt>
                <c:pt idx="10">
                  <c:v>0</c:v>
                </c:pt>
                <c:pt idx="11">
                  <c:v>0</c:v>
                </c:pt>
                <c:pt idx="12">
                  <c:v>0</c:v>
                </c:pt>
                <c:pt idx="13">
                  <c:v>0</c:v>
                </c:pt>
                <c:pt idx="14">
                  <c:v>0</c:v>
                </c:pt>
                <c:pt idx="15">
                  <c:v>0</c:v>
                </c:pt>
                <c:pt idx="16">
                  <c:v>0</c:v>
                </c:pt>
                <c:pt idx="17">
                  <c:v>0</c:v>
                </c:pt>
                <c:pt idx="18">
                  <c:v>0</c:v>
                </c:pt>
                <c:pt idx="19">
                  <c:v>0</c:v>
                </c:pt>
                <c:pt idx="20">
                  <c:v>0</c:v>
                </c:pt>
              </c:numCache>
            </c:numRef>
          </c:yVal>
          <c:smooth val="0"/>
          <c:extLst>
            <c:ext xmlns:c16="http://schemas.microsoft.com/office/drawing/2014/chart" uri="{C3380CC4-5D6E-409C-BE32-E72D297353CC}">
              <c16:uniqueId val="{00000001-83A5-4CDB-9ABD-473690FBD7C3}"/>
            </c:ext>
          </c:extLst>
        </c:ser>
        <c:ser>
          <c:idx val="2"/>
          <c:order val="2"/>
          <c:tx>
            <c:v>Qld</c:v>
          </c:tx>
          <c:spPr>
            <a:ln w="25400" cap="rnd">
              <a:noFill/>
              <a:round/>
            </a:ln>
            <a:effectLst/>
          </c:spPr>
          <c:marker>
            <c:symbol val="circle"/>
            <c:size val="5"/>
            <c:spPr>
              <a:solidFill>
                <a:srgbClr val="ADD6EA"/>
              </a:solidFill>
              <a:ln w="9525">
                <a:noFill/>
              </a:ln>
              <a:effectLst/>
            </c:spPr>
          </c:marker>
          <c:xVal>
            <c:numRef>
              <c:f>'2021-22 only'!$X$64:$X$81</c:f>
              <c:numCache>
                <c:formatCode>General</c:formatCode>
                <c:ptCount val="18"/>
                <c:pt idx="0">
                  <c:v>149552</c:v>
                </c:pt>
                <c:pt idx="1">
                  <c:v>0</c:v>
                </c:pt>
                <c:pt idx="2">
                  <c:v>0</c:v>
                </c:pt>
                <c:pt idx="3">
                  <c:v>0</c:v>
                </c:pt>
                <c:pt idx="4">
                  <c:v>20500</c:v>
                </c:pt>
                <c:pt idx="5">
                  <c:v>0</c:v>
                </c:pt>
                <c:pt idx="6">
                  <c:v>0</c:v>
                </c:pt>
                <c:pt idx="7">
                  <c:v>0</c:v>
                </c:pt>
                <c:pt idx="8">
                  <c:v>0</c:v>
                </c:pt>
                <c:pt idx="9">
                  <c:v>0</c:v>
                </c:pt>
                <c:pt idx="10">
                  <c:v>0</c:v>
                </c:pt>
                <c:pt idx="11">
                  <c:v>0</c:v>
                </c:pt>
                <c:pt idx="12">
                  <c:v>11299</c:v>
                </c:pt>
                <c:pt idx="13">
                  <c:v>0</c:v>
                </c:pt>
                <c:pt idx="14">
                  <c:v>0</c:v>
                </c:pt>
                <c:pt idx="15">
                  <c:v>0</c:v>
                </c:pt>
                <c:pt idx="16">
                  <c:v>0</c:v>
                </c:pt>
                <c:pt idx="17">
                  <c:v>0</c:v>
                </c:pt>
              </c:numCache>
            </c:numRef>
          </c:xVal>
          <c:yVal>
            <c:numRef>
              <c:f>'2021-22 only'!$W$64:$W$81</c:f>
              <c:numCache>
                <c:formatCode>General</c:formatCode>
                <c:ptCount val="18"/>
                <c:pt idx="0">
                  <c:v>201959.28173144301</c:v>
                </c:pt>
                <c:pt idx="1">
                  <c:v>0</c:v>
                </c:pt>
                <c:pt idx="2">
                  <c:v>0</c:v>
                </c:pt>
                <c:pt idx="3">
                  <c:v>0</c:v>
                </c:pt>
                <c:pt idx="4">
                  <c:v>14313.4816190704</c:v>
                </c:pt>
                <c:pt idx="5">
                  <c:v>0</c:v>
                </c:pt>
                <c:pt idx="6">
                  <c:v>0</c:v>
                </c:pt>
                <c:pt idx="7">
                  <c:v>0</c:v>
                </c:pt>
                <c:pt idx="8">
                  <c:v>0</c:v>
                </c:pt>
                <c:pt idx="9">
                  <c:v>0</c:v>
                </c:pt>
                <c:pt idx="10">
                  <c:v>0</c:v>
                </c:pt>
                <c:pt idx="11">
                  <c:v>0</c:v>
                </c:pt>
                <c:pt idx="12">
                  <c:v>3769.8805168986401</c:v>
                </c:pt>
                <c:pt idx="13">
                  <c:v>0</c:v>
                </c:pt>
                <c:pt idx="14">
                  <c:v>0</c:v>
                </c:pt>
                <c:pt idx="15">
                  <c:v>0</c:v>
                </c:pt>
                <c:pt idx="16">
                  <c:v>0</c:v>
                </c:pt>
                <c:pt idx="17">
                  <c:v>0</c:v>
                </c:pt>
              </c:numCache>
            </c:numRef>
          </c:yVal>
          <c:smooth val="0"/>
          <c:extLst>
            <c:ext xmlns:c16="http://schemas.microsoft.com/office/drawing/2014/chart" uri="{C3380CC4-5D6E-409C-BE32-E72D297353CC}">
              <c16:uniqueId val="{00000002-83A5-4CDB-9ABD-473690FBD7C3}"/>
            </c:ext>
          </c:extLst>
        </c:ser>
        <c:ser>
          <c:idx val="3"/>
          <c:order val="3"/>
          <c:tx>
            <c:v>WA</c:v>
          </c:tx>
          <c:spPr>
            <a:ln w="25400" cap="rnd">
              <a:noFill/>
              <a:round/>
            </a:ln>
            <a:effectLst/>
          </c:spPr>
          <c:marker>
            <c:symbol val="circle"/>
            <c:size val="5"/>
            <c:spPr>
              <a:solidFill>
                <a:srgbClr val="60B5D7"/>
              </a:solidFill>
              <a:ln w="9525">
                <a:noFill/>
              </a:ln>
              <a:effectLst/>
            </c:spPr>
          </c:marker>
          <c:xVal>
            <c:numRef>
              <c:f>'2021-22 only'!$X$82:$X$91</c:f>
              <c:numCache>
                <c:formatCode>General</c:formatCode>
                <c:ptCount val="10"/>
                <c:pt idx="0">
                  <c:v>0</c:v>
                </c:pt>
                <c:pt idx="1">
                  <c:v>0</c:v>
                </c:pt>
                <c:pt idx="2">
                  <c:v>0</c:v>
                </c:pt>
                <c:pt idx="3">
                  <c:v>0</c:v>
                </c:pt>
                <c:pt idx="4">
                  <c:v>0</c:v>
                </c:pt>
                <c:pt idx="5">
                  <c:v>0</c:v>
                </c:pt>
                <c:pt idx="6">
                  <c:v>0</c:v>
                </c:pt>
                <c:pt idx="7">
                  <c:v>0</c:v>
                </c:pt>
                <c:pt idx="8">
                  <c:v>131823</c:v>
                </c:pt>
                <c:pt idx="9">
                  <c:v>0</c:v>
                </c:pt>
              </c:numCache>
            </c:numRef>
          </c:xVal>
          <c:yVal>
            <c:numRef>
              <c:f>'2021-22 only'!$W$82:$W$91</c:f>
              <c:numCache>
                <c:formatCode>General</c:formatCode>
                <c:ptCount val="10"/>
                <c:pt idx="0">
                  <c:v>0</c:v>
                </c:pt>
                <c:pt idx="1">
                  <c:v>0</c:v>
                </c:pt>
                <c:pt idx="2">
                  <c:v>0</c:v>
                </c:pt>
                <c:pt idx="3">
                  <c:v>0</c:v>
                </c:pt>
                <c:pt idx="4">
                  <c:v>0</c:v>
                </c:pt>
                <c:pt idx="5">
                  <c:v>0</c:v>
                </c:pt>
                <c:pt idx="6">
                  <c:v>0</c:v>
                </c:pt>
                <c:pt idx="7">
                  <c:v>0</c:v>
                </c:pt>
                <c:pt idx="8">
                  <c:v>197954.188722494</c:v>
                </c:pt>
                <c:pt idx="9">
                  <c:v>0</c:v>
                </c:pt>
              </c:numCache>
            </c:numRef>
          </c:yVal>
          <c:smooth val="0"/>
          <c:extLst>
            <c:ext xmlns:c16="http://schemas.microsoft.com/office/drawing/2014/chart" uri="{C3380CC4-5D6E-409C-BE32-E72D297353CC}">
              <c16:uniqueId val="{00000003-83A5-4CDB-9ABD-473690FBD7C3}"/>
            </c:ext>
          </c:extLst>
        </c:ser>
        <c:ser>
          <c:idx val="4"/>
          <c:order val="4"/>
          <c:tx>
            <c:v>SA</c:v>
          </c:tx>
          <c:spPr>
            <a:ln w="25400" cap="rnd">
              <a:noFill/>
              <a:round/>
            </a:ln>
            <a:effectLst/>
          </c:spPr>
          <c:marker>
            <c:symbol val="circle"/>
            <c:size val="5"/>
            <c:spPr>
              <a:solidFill>
                <a:srgbClr val="006991"/>
              </a:solidFill>
              <a:ln w="9525">
                <a:noFill/>
              </a:ln>
              <a:effectLst/>
            </c:spPr>
          </c:marker>
          <c:xVal>
            <c:numRef>
              <c:f>'2021-22 only'!$X$92:$X$99</c:f>
              <c:numCache>
                <c:formatCode>General</c:formatCode>
                <c:ptCount val="8"/>
                <c:pt idx="0">
                  <c:v>83313</c:v>
                </c:pt>
                <c:pt idx="1">
                  <c:v>0</c:v>
                </c:pt>
                <c:pt idx="2">
                  <c:v>0</c:v>
                </c:pt>
                <c:pt idx="3">
                  <c:v>0</c:v>
                </c:pt>
                <c:pt idx="4">
                  <c:v>0</c:v>
                </c:pt>
                <c:pt idx="5">
                  <c:v>0</c:v>
                </c:pt>
                <c:pt idx="6">
                  <c:v>0</c:v>
                </c:pt>
                <c:pt idx="7">
                  <c:v>0</c:v>
                </c:pt>
              </c:numCache>
            </c:numRef>
          </c:xVal>
          <c:yVal>
            <c:numRef>
              <c:f>'2021-22 only'!$W$92:$W$99</c:f>
              <c:numCache>
                <c:formatCode>General</c:formatCode>
                <c:ptCount val="8"/>
                <c:pt idx="0">
                  <c:v>31553.8811341656</c:v>
                </c:pt>
                <c:pt idx="1">
                  <c:v>0</c:v>
                </c:pt>
                <c:pt idx="2">
                  <c:v>0</c:v>
                </c:pt>
                <c:pt idx="3">
                  <c:v>0</c:v>
                </c:pt>
                <c:pt idx="4">
                  <c:v>0</c:v>
                </c:pt>
                <c:pt idx="5">
                  <c:v>0</c:v>
                </c:pt>
                <c:pt idx="6">
                  <c:v>0</c:v>
                </c:pt>
                <c:pt idx="7">
                  <c:v>0</c:v>
                </c:pt>
              </c:numCache>
            </c:numRef>
          </c:yVal>
          <c:smooth val="0"/>
          <c:extLst>
            <c:ext xmlns:c16="http://schemas.microsoft.com/office/drawing/2014/chart" uri="{C3380CC4-5D6E-409C-BE32-E72D297353CC}">
              <c16:uniqueId val="{00000004-83A5-4CDB-9ABD-473690FBD7C3}"/>
            </c:ext>
          </c:extLst>
        </c:ser>
        <c:ser>
          <c:idx val="5"/>
          <c:order val="5"/>
          <c:tx>
            <c:v>Tas</c:v>
          </c:tx>
          <c:spPr>
            <a:ln w="25400" cap="rnd">
              <a:noFill/>
              <a:round/>
            </a:ln>
            <a:effectLst/>
          </c:spPr>
          <c:marker>
            <c:symbol val="circle"/>
            <c:size val="5"/>
            <c:spPr>
              <a:solidFill>
                <a:srgbClr val="008069"/>
              </a:solidFill>
              <a:ln w="9525">
                <a:noFill/>
              </a:ln>
              <a:effectLst/>
            </c:spPr>
          </c:marker>
          <c:xVal>
            <c:numRef>
              <c:f>'2021-22 only'!$X$100:$X$104</c:f>
              <c:numCache>
                <c:formatCode>General</c:formatCode>
                <c:ptCount val="5"/>
                <c:pt idx="0">
                  <c:v>0</c:v>
                </c:pt>
                <c:pt idx="1">
                  <c:v>0</c:v>
                </c:pt>
                <c:pt idx="2">
                  <c:v>0</c:v>
                </c:pt>
                <c:pt idx="3">
                  <c:v>0</c:v>
                </c:pt>
                <c:pt idx="4">
                  <c:v>0</c:v>
                </c:pt>
              </c:numCache>
            </c:numRef>
          </c:xVal>
          <c:yVal>
            <c:numRef>
              <c:f>'2021-22 only'!$W$100:$W$104</c:f>
              <c:numCache>
                <c:formatCode>General</c:formatCode>
                <c:ptCount val="5"/>
                <c:pt idx="0">
                  <c:v>0</c:v>
                </c:pt>
                <c:pt idx="1">
                  <c:v>0</c:v>
                </c:pt>
                <c:pt idx="2">
                  <c:v>0</c:v>
                </c:pt>
                <c:pt idx="3">
                  <c:v>0</c:v>
                </c:pt>
                <c:pt idx="4">
                  <c:v>0</c:v>
                </c:pt>
              </c:numCache>
            </c:numRef>
          </c:yVal>
          <c:smooth val="0"/>
          <c:extLst>
            <c:ext xmlns:c16="http://schemas.microsoft.com/office/drawing/2014/chart" uri="{C3380CC4-5D6E-409C-BE32-E72D297353CC}">
              <c16:uniqueId val="{00000005-83A5-4CDB-9ABD-473690FBD7C3}"/>
            </c:ext>
          </c:extLst>
        </c:ser>
        <c:ser>
          <c:idx val="6"/>
          <c:order val="6"/>
          <c:tx>
            <c:v>ACT</c:v>
          </c:tx>
          <c:spPr>
            <a:ln w="25400" cap="rnd">
              <a:noFill/>
              <a:round/>
            </a:ln>
            <a:effectLst/>
          </c:spPr>
          <c:marker>
            <c:symbol val="circle"/>
            <c:size val="5"/>
            <c:spPr>
              <a:solidFill>
                <a:srgbClr val="00CE87"/>
              </a:solidFill>
              <a:ln w="9525">
                <a:noFill/>
              </a:ln>
              <a:effectLst/>
            </c:spPr>
          </c:marker>
          <c:xVal>
            <c:numRef>
              <c:f>'2021-22 only'!$X$105</c:f>
              <c:numCache>
                <c:formatCode>General</c:formatCode>
                <c:ptCount val="1"/>
                <c:pt idx="0">
                  <c:v>0</c:v>
                </c:pt>
              </c:numCache>
            </c:numRef>
          </c:xVal>
          <c:yVal>
            <c:numRef>
              <c:f>'2021-22 only'!$W$105</c:f>
              <c:numCache>
                <c:formatCode>General</c:formatCode>
                <c:ptCount val="1"/>
                <c:pt idx="0">
                  <c:v>0</c:v>
                </c:pt>
              </c:numCache>
            </c:numRef>
          </c:yVal>
          <c:smooth val="0"/>
          <c:extLst>
            <c:ext xmlns:c16="http://schemas.microsoft.com/office/drawing/2014/chart" uri="{C3380CC4-5D6E-409C-BE32-E72D297353CC}">
              <c16:uniqueId val="{00000006-83A5-4CDB-9ABD-473690FBD7C3}"/>
            </c:ext>
          </c:extLst>
        </c:ser>
        <c:ser>
          <c:idx val="7"/>
          <c:order val="7"/>
          <c:tx>
            <c:v>NT</c:v>
          </c:tx>
          <c:spPr>
            <a:ln w="25400" cap="rnd">
              <a:noFill/>
              <a:round/>
            </a:ln>
            <a:effectLst/>
          </c:spPr>
          <c:marker>
            <c:symbol val="circle"/>
            <c:size val="5"/>
            <c:spPr>
              <a:solidFill>
                <a:srgbClr val="94EA9E"/>
              </a:solidFill>
              <a:ln w="9525">
                <a:noFill/>
              </a:ln>
              <a:effectLst/>
            </c:spPr>
          </c:marker>
          <c:xVal>
            <c:numRef>
              <c:f>'2021-22 only'!$X$106:$X$107</c:f>
              <c:numCache>
                <c:formatCode>General</c:formatCode>
                <c:ptCount val="2"/>
                <c:pt idx="0">
                  <c:v>0</c:v>
                </c:pt>
                <c:pt idx="1">
                  <c:v>0</c:v>
                </c:pt>
              </c:numCache>
            </c:numRef>
          </c:xVal>
          <c:yVal>
            <c:numRef>
              <c:f>'2021-22 only'!$W$106:$W$107</c:f>
              <c:numCache>
                <c:formatCode>General</c:formatCode>
                <c:ptCount val="2"/>
                <c:pt idx="0">
                  <c:v>0</c:v>
                </c:pt>
                <c:pt idx="1">
                  <c:v>0</c:v>
                </c:pt>
              </c:numCache>
            </c:numRef>
          </c:yVal>
          <c:smooth val="0"/>
          <c:extLst>
            <c:ext xmlns:c16="http://schemas.microsoft.com/office/drawing/2014/chart" uri="{C3380CC4-5D6E-409C-BE32-E72D297353CC}">
              <c16:uniqueId val="{00000007-83A5-4CDB-9ABD-473690FBD7C3}"/>
            </c:ext>
          </c:extLst>
        </c:ser>
        <c:dLbls>
          <c:showLegendKey val="0"/>
          <c:showVal val="0"/>
          <c:showCatName val="0"/>
          <c:showSerName val="0"/>
          <c:showPercent val="0"/>
          <c:showBubbleSize val="0"/>
        </c:dLbls>
        <c:axId val="1728684688"/>
        <c:axId val="1728680528"/>
      </c:scatterChart>
      <c:valAx>
        <c:axId val="1728684688"/>
        <c:scaling>
          <c:orientation val="minMax"/>
          <c:max val="10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Work Sans" pitchFamily="2" charset="0"/>
                    <a:ea typeface="+mn-ea"/>
                    <a:cs typeface="+mn-cs"/>
                  </a:defRPr>
                </a:pPr>
                <a:r>
                  <a:rPr lang="en-AU"/>
                  <a:t>Population Ranges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Work Sans" pitchFamily="2" charset="0"/>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Work Sans" pitchFamily="2" charset="0"/>
                <a:ea typeface="+mn-ea"/>
                <a:cs typeface="+mn-cs"/>
              </a:defRPr>
            </a:pPr>
            <a:endParaRPr lang="en-US"/>
          </a:p>
        </c:txPr>
        <c:crossAx val="1728680528"/>
        <c:crosses val="autoZero"/>
        <c:crossBetween val="midCat"/>
      </c:valAx>
      <c:valAx>
        <c:axId val="1728680528"/>
        <c:scaling>
          <c:orientation val="minMax"/>
          <c:max val="1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Work Sans" pitchFamily="2" charset="0"/>
                    <a:ea typeface="+mn-ea"/>
                    <a:cs typeface="+mn-cs"/>
                  </a:defRPr>
                </a:pPr>
                <a:r>
                  <a:rPr lang="en-AU"/>
                  <a:t>Regression Model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Work Sans" pitchFamily="2" charset="0"/>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Work Sans" pitchFamily="2" charset="0"/>
                <a:ea typeface="+mn-ea"/>
                <a:cs typeface="+mn-cs"/>
              </a:defRPr>
            </a:pPr>
            <a:endParaRPr lang="en-US"/>
          </a:p>
        </c:txPr>
        <c:crossAx val="1728684688"/>
        <c:crosses val="autoZero"/>
        <c:crossBetween val="midCat"/>
      </c:valAx>
      <c:spPr>
        <a:noFill/>
        <a:ln>
          <a:noFill/>
        </a:ln>
        <a:effectLst/>
      </c:spPr>
    </c:plotArea>
    <c:legend>
      <c:legendPos val="b"/>
      <c:layout>
        <c:manualLayout>
          <c:xMode val="edge"/>
          <c:yMode val="edge"/>
          <c:x val="0.30212068451818563"/>
          <c:y val="0.94343095238095243"/>
          <c:w val="0.47317447022437298"/>
          <c:h val="4.14500000000000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Work Sans"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Work Sans" pitchFamily="2" charset="0"/>
        </a:defRPr>
      </a:pPr>
      <a:endParaRPr lang="en-US"/>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61351706036745"/>
          <c:y val="3.970564051451049E-2"/>
          <c:w val="0.73266097987751544"/>
          <c:h val="0.85825094779819189"/>
        </c:manualLayout>
      </c:layout>
      <c:lineChart>
        <c:grouping val="standard"/>
        <c:varyColors val="0"/>
        <c:ser>
          <c:idx val="0"/>
          <c:order val="0"/>
          <c:tx>
            <c:strRef>
              <c:f>'[Pop Growth Graph.xlsx]Sheet1'!$AA$47</c:f>
              <c:strCache>
                <c:ptCount val="1"/>
                <c:pt idx="0">
                  <c:v>Total</c:v>
                </c:pt>
              </c:strCache>
            </c:strRef>
          </c:tx>
          <c:spPr>
            <a:ln w="31750">
              <a:solidFill>
                <a:srgbClr val="004563"/>
              </a:solidFill>
            </a:ln>
          </c:spPr>
          <c:marker>
            <c:symbol val="none"/>
          </c:marker>
          <c:cat>
            <c:strRef>
              <c:f>'[Pop Growth Graph.xlsx]Sheet1'!$AB$46:$AG$46</c:f>
              <c:strCache>
                <c:ptCount val="6"/>
                <c:pt idx="0">
                  <c:v>2016-17</c:v>
                </c:pt>
                <c:pt idx="1">
                  <c:v>2017-18</c:v>
                </c:pt>
                <c:pt idx="2">
                  <c:v>2018-19</c:v>
                </c:pt>
                <c:pt idx="3">
                  <c:v>2019-20</c:v>
                </c:pt>
                <c:pt idx="4">
                  <c:v>2020-21</c:v>
                </c:pt>
                <c:pt idx="5">
                  <c:v>2021-22</c:v>
                </c:pt>
              </c:strCache>
            </c:strRef>
          </c:cat>
          <c:val>
            <c:numRef>
              <c:f>'[Pop Growth Graph.xlsx]Sheet1'!$AB$47:$AG$47</c:f>
              <c:numCache>
                <c:formatCode>0.00%</c:formatCode>
                <c:ptCount val="6"/>
                <c:pt idx="0">
                  <c:v>1.6818474635871716E-2</c:v>
                </c:pt>
                <c:pt idx="1">
                  <c:v>1.5244211629752424E-2</c:v>
                </c:pt>
                <c:pt idx="2">
                  <c:v>1.5714113178647127E-2</c:v>
                </c:pt>
                <c:pt idx="3">
                  <c:v>1.4963480412908403E-2</c:v>
                </c:pt>
                <c:pt idx="4">
                  <c:v>4.3787949968048245E-3</c:v>
                </c:pt>
                <c:pt idx="5">
                  <c:v>4.9893800563520774E-3</c:v>
                </c:pt>
              </c:numCache>
            </c:numRef>
          </c:val>
          <c:smooth val="0"/>
          <c:extLst>
            <c:ext xmlns:c16="http://schemas.microsoft.com/office/drawing/2014/chart" uri="{C3380CC4-5D6E-409C-BE32-E72D297353CC}">
              <c16:uniqueId val="{00000000-15E7-46E4-AE80-6C5BAB5BE9F6}"/>
            </c:ext>
          </c:extLst>
        </c:ser>
        <c:ser>
          <c:idx val="1"/>
          <c:order val="1"/>
          <c:tx>
            <c:strRef>
              <c:f>'[Pop Growth Graph.xlsx]Sheet1'!$AA$49</c:f>
              <c:strCache>
                <c:ptCount val="1"/>
                <c:pt idx="0">
                  <c:v>Urban</c:v>
                </c:pt>
              </c:strCache>
            </c:strRef>
          </c:tx>
          <c:spPr>
            <a:ln w="31750">
              <a:solidFill>
                <a:srgbClr val="ADD6EA"/>
              </a:solidFill>
              <a:prstDash val="solid"/>
            </a:ln>
          </c:spPr>
          <c:marker>
            <c:symbol val="none"/>
          </c:marker>
          <c:cat>
            <c:strRef>
              <c:f>'[Pop Growth Graph.xlsx]Sheet1'!$AB$46:$AG$46</c:f>
              <c:strCache>
                <c:ptCount val="6"/>
                <c:pt idx="0">
                  <c:v>2016-17</c:v>
                </c:pt>
                <c:pt idx="1">
                  <c:v>2017-18</c:v>
                </c:pt>
                <c:pt idx="2">
                  <c:v>2018-19</c:v>
                </c:pt>
                <c:pt idx="3">
                  <c:v>2019-20</c:v>
                </c:pt>
                <c:pt idx="4">
                  <c:v>2020-21</c:v>
                </c:pt>
                <c:pt idx="5">
                  <c:v>2021-22</c:v>
                </c:pt>
              </c:strCache>
            </c:strRef>
          </c:cat>
          <c:val>
            <c:numRef>
              <c:f>'[Pop Growth Graph.xlsx]Sheet1'!$AB$49:$AG$49</c:f>
              <c:numCache>
                <c:formatCode>0.00%</c:formatCode>
                <c:ptCount val="6"/>
                <c:pt idx="0">
                  <c:v>1.8442661748665046E-2</c:v>
                </c:pt>
                <c:pt idx="1">
                  <c:v>1.7126220091593369E-2</c:v>
                </c:pt>
                <c:pt idx="2">
                  <c:v>1.5524887922937047E-2</c:v>
                </c:pt>
                <c:pt idx="3">
                  <c:v>1.4235421317869701E-2</c:v>
                </c:pt>
                <c:pt idx="4">
                  <c:v>2.5584158772691268E-3</c:v>
                </c:pt>
                <c:pt idx="5">
                  <c:v>1.1522142693043413E-3</c:v>
                </c:pt>
              </c:numCache>
            </c:numRef>
          </c:val>
          <c:smooth val="0"/>
          <c:extLst>
            <c:ext xmlns:c16="http://schemas.microsoft.com/office/drawing/2014/chart" uri="{C3380CC4-5D6E-409C-BE32-E72D297353CC}">
              <c16:uniqueId val="{00000001-15E7-46E4-AE80-6C5BAB5BE9F6}"/>
            </c:ext>
          </c:extLst>
        </c:ser>
        <c:ser>
          <c:idx val="2"/>
          <c:order val="2"/>
          <c:tx>
            <c:strRef>
              <c:f>'[Pop Growth Graph.xlsx]Sheet1'!$AA$50</c:f>
              <c:strCache>
                <c:ptCount val="1"/>
                <c:pt idx="0">
                  <c:v>Non-Urban</c:v>
                </c:pt>
              </c:strCache>
            </c:strRef>
          </c:tx>
          <c:spPr>
            <a:ln w="31750">
              <a:solidFill>
                <a:srgbClr val="0092CB"/>
              </a:solidFill>
              <a:prstDash val="solid"/>
            </a:ln>
          </c:spPr>
          <c:marker>
            <c:symbol val="none"/>
          </c:marker>
          <c:cat>
            <c:strRef>
              <c:f>'[Pop Growth Graph.xlsx]Sheet1'!$AB$46:$AG$46</c:f>
              <c:strCache>
                <c:ptCount val="6"/>
                <c:pt idx="0">
                  <c:v>2016-17</c:v>
                </c:pt>
                <c:pt idx="1">
                  <c:v>2017-18</c:v>
                </c:pt>
                <c:pt idx="2">
                  <c:v>2018-19</c:v>
                </c:pt>
                <c:pt idx="3">
                  <c:v>2019-20</c:v>
                </c:pt>
                <c:pt idx="4">
                  <c:v>2020-21</c:v>
                </c:pt>
                <c:pt idx="5">
                  <c:v>2021-22</c:v>
                </c:pt>
              </c:strCache>
            </c:strRef>
          </c:cat>
          <c:val>
            <c:numRef>
              <c:f>'[Pop Growth Graph.xlsx]Sheet1'!$AB$50:$AG$50</c:f>
              <c:numCache>
                <c:formatCode>0.00%</c:formatCode>
                <c:ptCount val="6"/>
                <c:pt idx="0">
                  <c:v>8.0122277354084392E-3</c:v>
                </c:pt>
                <c:pt idx="1">
                  <c:v>4.9344849468233587E-3</c:v>
                </c:pt>
                <c:pt idx="2">
                  <c:v>1.6763273316404037E-2</c:v>
                </c:pt>
                <c:pt idx="3">
                  <c:v>1.8995290182809432E-2</c:v>
                </c:pt>
                <c:pt idx="4">
                  <c:v>1.4412511909898118E-2</c:v>
                </c:pt>
                <c:pt idx="5">
                  <c:v>2.5892237170279442E-2</c:v>
                </c:pt>
              </c:numCache>
            </c:numRef>
          </c:val>
          <c:smooth val="0"/>
          <c:extLst>
            <c:ext xmlns:c16="http://schemas.microsoft.com/office/drawing/2014/chart" uri="{C3380CC4-5D6E-409C-BE32-E72D297353CC}">
              <c16:uniqueId val="{00000002-15E7-46E4-AE80-6C5BAB5BE9F6}"/>
            </c:ext>
          </c:extLst>
        </c:ser>
        <c:ser>
          <c:idx val="3"/>
          <c:order val="3"/>
          <c:tx>
            <c:strRef>
              <c:f>'[Pop Growth Graph.xlsx]Sheet1'!$AA$48</c:f>
              <c:strCache>
                <c:ptCount val="1"/>
                <c:pt idx="0">
                  <c:v>Capital cities</c:v>
                </c:pt>
              </c:strCache>
            </c:strRef>
          </c:tx>
          <c:spPr>
            <a:ln>
              <a:solidFill>
                <a:srgbClr val="939598"/>
              </a:solidFill>
            </a:ln>
          </c:spPr>
          <c:marker>
            <c:symbol val="none"/>
          </c:marker>
          <c:val>
            <c:numRef>
              <c:f>'[Pop Growth Graph.xlsx]Sheet1'!$AH$33:$AH$38</c:f>
              <c:numCache>
                <c:formatCode>0.00%</c:formatCode>
                <c:ptCount val="6"/>
                <c:pt idx="0">
                  <c:v>2.0314530755685123E-2</c:v>
                </c:pt>
                <c:pt idx="1">
                  <c:v>2.229423463809499E-2</c:v>
                </c:pt>
                <c:pt idx="2">
                  <c:v>1.6030647482117244E-2</c:v>
                </c:pt>
                <c:pt idx="3">
                  <c:v>1.4934202051564816E-2</c:v>
                </c:pt>
                <c:pt idx="4">
                  <c:v>2.0460487899549573E-3</c:v>
                </c:pt>
                <c:pt idx="5">
                  <c:v>-2.3437413563415221E-3</c:v>
                </c:pt>
              </c:numCache>
            </c:numRef>
          </c:val>
          <c:smooth val="0"/>
          <c:extLst>
            <c:ext xmlns:c16="http://schemas.microsoft.com/office/drawing/2014/chart" uri="{C3380CC4-5D6E-409C-BE32-E72D297353CC}">
              <c16:uniqueId val="{00000003-15E7-46E4-AE80-6C5BAB5BE9F6}"/>
            </c:ext>
          </c:extLst>
        </c:ser>
        <c:dLbls>
          <c:showLegendKey val="0"/>
          <c:showVal val="0"/>
          <c:showCatName val="0"/>
          <c:showSerName val="0"/>
          <c:showPercent val="0"/>
          <c:showBubbleSize val="0"/>
        </c:dLbls>
        <c:smooth val="0"/>
        <c:axId val="266557696"/>
        <c:axId val="266568064"/>
      </c:lineChart>
      <c:catAx>
        <c:axId val="266557696"/>
        <c:scaling>
          <c:orientation val="minMax"/>
        </c:scaling>
        <c:delete val="0"/>
        <c:axPos val="b"/>
        <c:numFmt formatCode="#,##0" sourceLinked="0"/>
        <c:majorTickMark val="none"/>
        <c:minorTickMark val="out"/>
        <c:tickLblPos val="low"/>
        <c:spPr>
          <a:ln>
            <a:noFill/>
          </a:ln>
        </c:spPr>
        <c:txPr>
          <a:bodyPr/>
          <a:lstStyle/>
          <a:p>
            <a:pPr>
              <a:defRPr sz="800">
                <a:latin typeface="Work Sans" pitchFamily="2" charset="0"/>
              </a:defRPr>
            </a:pPr>
            <a:endParaRPr lang="en-US"/>
          </a:p>
        </c:txPr>
        <c:crossAx val="266568064"/>
        <c:crosses val="autoZero"/>
        <c:auto val="1"/>
        <c:lblAlgn val="ctr"/>
        <c:lblOffset val="100"/>
        <c:noMultiLvlLbl val="0"/>
      </c:catAx>
      <c:valAx>
        <c:axId val="266568064"/>
        <c:scaling>
          <c:orientation val="minMax"/>
        </c:scaling>
        <c:delete val="0"/>
        <c:axPos val="l"/>
        <c:majorGridlines>
          <c:spPr>
            <a:ln w="6350">
              <a:solidFill>
                <a:sysClr val="window" lastClr="FFFFFF">
                  <a:lumMod val="85000"/>
                </a:sysClr>
              </a:solidFill>
            </a:ln>
          </c:spPr>
        </c:majorGridlines>
        <c:numFmt formatCode="0.00%" sourceLinked="0"/>
        <c:majorTickMark val="out"/>
        <c:minorTickMark val="none"/>
        <c:tickLblPos val="nextTo"/>
        <c:spPr>
          <a:ln>
            <a:noFill/>
          </a:ln>
        </c:spPr>
        <c:txPr>
          <a:bodyPr/>
          <a:lstStyle/>
          <a:p>
            <a:pPr>
              <a:defRPr sz="800">
                <a:latin typeface="Work Sans" pitchFamily="2" charset="0"/>
              </a:defRPr>
            </a:pPr>
            <a:endParaRPr lang="en-US"/>
          </a:p>
        </c:txPr>
        <c:crossAx val="266557696"/>
        <c:crosses val="autoZero"/>
        <c:crossBetween val="between"/>
      </c:valAx>
    </c:plotArea>
    <c:legend>
      <c:legendPos val="r"/>
      <c:layout>
        <c:manualLayout>
          <c:xMode val="edge"/>
          <c:yMode val="edge"/>
          <c:x val="0.8341495434617634"/>
          <c:y val="0.1597622923922416"/>
          <c:w val="0.1658504565382366"/>
          <c:h val="0.34263968805280171"/>
        </c:manualLayout>
      </c:layout>
      <c:overlay val="0"/>
      <c:spPr>
        <a:solidFill>
          <a:sysClr val="window" lastClr="FFFFFF"/>
        </a:solidFill>
        <a:ln w="6350">
          <a:solidFill>
            <a:srgbClr val="939598"/>
          </a:solidFill>
        </a:ln>
      </c:spPr>
      <c:txPr>
        <a:bodyPr/>
        <a:lstStyle/>
        <a:p>
          <a:pPr>
            <a:defRPr sz="800">
              <a:latin typeface="Work Sans" pitchFamily="2" charset="0"/>
            </a:defRPr>
          </a:pPr>
          <a:endParaRPr lang="en-US"/>
        </a:p>
      </c:txPr>
    </c:legend>
    <c:plotVisOnly val="1"/>
    <c:dispBlanksAs val="gap"/>
    <c:showDLblsOverMax val="0"/>
  </c:chart>
  <c:spPr>
    <a:ln w="9525">
      <a:solidFill>
        <a:srgbClr val="ADD6EA"/>
      </a:solidFill>
    </a:ln>
  </c:spPr>
  <c:txPr>
    <a:bodyPr/>
    <a:lstStyle/>
    <a:p>
      <a:pPr>
        <a:defRPr>
          <a:latin typeface="Calibri" pitchFamily="34" charset="0"/>
          <a:cs typeface="Times New Roman" pitchFamily="18"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0.15571</cdr:x>
      <cdr:y>0.04796</cdr:y>
    </cdr:from>
    <cdr:to>
      <cdr:x>0.93258</cdr:x>
      <cdr:y>0.76453</cdr:y>
    </cdr:to>
    <cdr:cxnSp macro="">
      <cdr:nvCxnSpPr>
        <cdr:cNvPr id="3" name="Straight Connector 2">
          <a:extLst xmlns:a="http://schemas.openxmlformats.org/drawingml/2006/main">
            <a:ext uri="{FF2B5EF4-FFF2-40B4-BE49-F238E27FC236}">
              <a16:creationId xmlns:a16="http://schemas.microsoft.com/office/drawing/2014/main" id="{7443C7FF-26D9-0B1A-FAE5-87526D8928D5}"/>
            </a:ext>
          </a:extLst>
        </cdr:cNvPr>
        <cdr:cNvCxnSpPr/>
      </cdr:nvCxnSpPr>
      <cdr:spPr>
        <a:xfrm xmlns:a="http://schemas.openxmlformats.org/drawingml/2006/main" flipV="1">
          <a:off x="885825" y="161925"/>
          <a:ext cx="4419600" cy="241935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0.16966</cdr:x>
      <cdr:y>0.0583</cdr:y>
    </cdr:from>
    <cdr:to>
      <cdr:x>0.57986</cdr:x>
      <cdr:y>0.19654</cdr:y>
    </cdr:to>
    <cdr:sp macro="" textlink="">
      <cdr:nvSpPr>
        <cdr:cNvPr id="2" name="Text Box 2"/>
        <cdr:cNvSpPr txBox="1"/>
      </cdr:nvSpPr>
      <cdr:spPr>
        <a:xfrm xmlns:a="http://schemas.openxmlformats.org/drawingml/2006/main">
          <a:off x="965200" y="196850"/>
          <a:ext cx="2333625" cy="466725"/>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5000"/>
            </a:lnSpc>
            <a:spcBef>
              <a:spcPts val="600"/>
            </a:spcBef>
          </a:pPr>
          <a:r>
            <a:rPr lang="en-AU" sz="900">
              <a:effectLst/>
              <a:latin typeface="Work Sans" pitchFamily="2" charset="0"/>
              <a:ea typeface="Calibri" panose="020F0502020204030204" pitchFamily="34" charset="0"/>
              <a:cs typeface="Arial" panose="020B0604020202020204" pitchFamily="34" charset="0"/>
            </a:rPr>
            <a:t>Above the line the regression model passenger numbers are higher</a:t>
          </a:r>
          <a:endParaRPr lang="en-AU" sz="1000">
            <a:effectLst/>
            <a:latin typeface="Open Sans Light" panose="020B0306030504020204" pitchFamily="34" charset="0"/>
            <a:ea typeface="Calibri" panose="020F0502020204030204" pitchFamily="34" charset="0"/>
            <a:cs typeface="Arial" panose="020B0604020202020204" pitchFamily="34" charset="0"/>
          </a:endParaRPr>
        </a:p>
      </cdr:txBody>
    </cdr:sp>
  </cdr:relSizeAnchor>
  <cdr:relSizeAnchor xmlns:cdr="http://schemas.openxmlformats.org/drawingml/2006/chartDrawing">
    <cdr:from>
      <cdr:x>0.5139</cdr:x>
      <cdr:y>0.57683</cdr:y>
    </cdr:from>
    <cdr:to>
      <cdr:x>0.92075</cdr:x>
      <cdr:y>0.72917</cdr:y>
    </cdr:to>
    <cdr:sp macro="" textlink="">
      <cdr:nvSpPr>
        <cdr:cNvPr id="4" name="Text Box 4"/>
        <cdr:cNvSpPr txBox="1"/>
      </cdr:nvSpPr>
      <cdr:spPr>
        <a:xfrm xmlns:a="http://schemas.openxmlformats.org/drawingml/2006/main">
          <a:off x="2923540" y="1947545"/>
          <a:ext cx="2314575" cy="5143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5000"/>
            </a:lnSpc>
            <a:spcBef>
              <a:spcPts val="600"/>
            </a:spcBef>
          </a:pPr>
          <a:r>
            <a:rPr lang="en-AU" sz="900">
              <a:effectLst/>
              <a:latin typeface="Work Sans" pitchFamily="2" charset="0"/>
              <a:ea typeface="Calibri" panose="020F0502020204030204" pitchFamily="34" charset="0"/>
              <a:cs typeface="Arial" panose="020B0604020202020204" pitchFamily="34" charset="0"/>
            </a:rPr>
            <a:t>Below the line the population range passenger numbers are higher</a:t>
          </a:r>
          <a:endParaRPr lang="en-AU" sz="1000">
            <a:effectLst/>
            <a:latin typeface="Open Sans Light" panose="020B0306030504020204" pitchFamily="34" charset="0"/>
            <a:ea typeface="Calibri" panose="020F050202020403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0.16966</cdr:x>
      <cdr:y>0.04359</cdr:y>
    </cdr:from>
    <cdr:to>
      <cdr:x>0.93091</cdr:x>
      <cdr:y>0.73509</cdr:y>
    </cdr:to>
    <cdr:cxnSp macro="">
      <cdr:nvCxnSpPr>
        <cdr:cNvPr id="3" name="Straight Connector 2">
          <a:extLst xmlns:a="http://schemas.openxmlformats.org/drawingml/2006/main">
            <a:ext uri="{FF2B5EF4-FFF2-40B4-BE49-F238E27FC236}">
              <a16:creationId xmlns:a16="http://schemas.microsoft.com/office/drawing/2014/main" id="{7443C7FF-26D9-0B1A-FAE5-87526D8928D5}"/>
            </a:ext>
          </a:extLst>
        </cdr:cNvPr>
        <cdr:cNvCxnSpPr/>
      </cdr:nvCxnSpPr>
      <cdr:spPr>
        <a:xfrm xmlns:a="http://schemas.openxmlformats.org/drawingml/2006/main" flipV="1">
          <a:off x="965200" y="139700"/>
          <a:ext cx="4330700" cy="2216150"/>
        </a:xfrm>
        <a:prstGeom xmlns:a="http://schemas.openxmlformats.org/drawingml/2006/main" prst="line">
          <a:avLst/>
        </a:prstGeom>
        <a:ln xmlns:a="http://schemas.openxmlformats.org/drawingml/2006/main">
          <a:prstDash val="dash"/>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SharedWithUsers xmlns="cde6150a-2887-4330-9d33-41179dba62e9">
      <UserInfo>
        <DisplayName>David Harvey</DisplayName>
        <AccountId>141</AccountId>
        <AccountType/>
      </UserInfo>
      <UserInfo>
        <DisplayName>Kathryn Conroy</DisplayName>
        <AccountId>28</AccountId>
        <AccountType/>
      </UserInfo>
      <UserInfo>
        <DisplayName>Alison Harper</DisplayName>
        <AccountId>191</AccountId>
        <AccountType/>
      </UserInfo>
      <UserInfo>
        <DisplayName>Annie Abello</DisplayName>
        <AccountId>13</AccountId>
        <AccountType/>
      </UserInfo>
      <UserInfo>
        <DisplayName>Bashir Hussain</DisplayName>
        <AccountId>165</AccountId>
        <AccountType/>
      </UserInfo>
      <UserInfo>
        <DisplayName>Ben Crabb</DisplayName>
        <AccountId>48</AccountId>
        <AccountType/>
      </UserInfo>
      <UserInfo>
        <DisplayName>Charlotte Ryder</DisplayName>
        <AccountId>184</AccountId>
        <AccountType/>
      </UserInfo>
      <UserInfo>
        <DisplayName>Darcy Stewart</DisplayName>
        <AccountId>164</AccountId>
        <AccountType/>
      </UserInfo>
      <UserInfo>
        <DisplayName>Hamish Johnston</DisplayName>
        <AccountId>175</AccountId>
        <AccountType/>
      </UserInfo>
      <UserInfo>
        <DisplayName>Jackson Dickman</DisplayName>
        <AccountId>219</AccountId>
        <AccountType/>
      </UserInfo>
      <UserInfo>
        <DisplayName>Jacob Savage</DisplayName>
        <AccountId>149</AccountId>
        <AccountType/>
      </UserInfo>
      <UserInfo>
        <DisplayName>Jeffrey Evans</DisplayName>
        <AccountId>15</AccountId>
        <AccountType/>
      </UserInfo>
      <UserInfo>
        <DisplayName>Jeremy Hill</DisplayName>
        <AccountId>161</AccountId>
        <AccountType/>
      </UserInfo>
      <UserInfo>
        <DisplayName>Joanne Robertson</DisplayName>
        <AccountId>178</AccountId>
        <AccountType/>
      </UserInfo>
      <UserInfo>
        <DisplayName>Jonathan Rollings</DisplayName>
        <AccountId>73</AccountId>
        <AccountType/>
      </UserInfo>
      <UserInfo>
        <DisplayName>Julia Lindsay</DisplayName>
        <AccountId>221</AccountId>
        <AccountType/>
      </UserInfo>
      <UserInfo>
        <DisplayName>Liam vanderVyver</DisplayName>
        <AccountId>177</AccountId>
        <AccountType/>
      </UserInfo>
      <UserInfo>
        <DisplayName>Maddie Vuyyuru</DisplayName>
        <AccountId>156</AccountId>
        <AccountType/>
      </UserInfo>
      <UserInfo>
        <DisplayName>Mehdi Hussain</DisplayName>
        <AccountId>189</AccountId>
        <AccountType/>
      </UserInfo>
      <UserInfo>
        <DisplayName>Naomi Elliott</DisplayName>
        <AccountId>18</AccountId>
        <AccountType/>
      </UserInfo>
      <UserInfo>
        <DisplayName>Nina Savolainen</DisplayName>
        <AccountId>91</AccountId>
        <AccountType/>
      </UserInfo>
      <UserInfo>
        <DisplayName>Owen Stewart</DisplayName>
        <AccountId>162</AccountId>
        <AccountType/>
      </UserInfo>
      <UserInfo>
        <DisplayName>Philip Harber</DisplayName>
        <AccountId>57</AccountId>
        <AccountType/>
      </UserInfo>
      <UserInfo>
        <DisplayName>Riley Curtain</DisplayName>
        <AccountId>182</AccountId>
        <AccountType/>
      </UserInfo>
      <UserInfo>
        <DisplayName>Rose Verspaandonk</DisplayName>
        <AccountId>62</AccountId>
        <AccountType/>
      </UserInfo>
      <UserInfo>
        <DisplayName>Shannon Madden</DisplayName>
        <AccountId>218</AccountId>
        <AccountType/>
      </UserInfo>
      <UserInfo>
        <DisplayName>Therese Maher</DisplayName>
        <AccountId>126</AccountId>
        <AccountType/>
      </UserInfo>
      <UserInfo>
        <DisplayName>Tim Carlton</DisplayName>
        <AccountId>16</AccountId>
        <AccountType/>
      </UserInfo>
      <UserInfo>
        <DisplayName>Zac Coleman</DisplayName>
        <AccountId>174</AccountId>
        <AccountType/>
      </UserInfo>
      <UserInfo>
        <DisplayName>Dermot Doherty</DisplayName>
        <AccountId>30</AccountId>
        <AccountType/>
      </UserInfo>
      <UserInfo>
        <DisplayName>Carrie Dreese</DisplayName>
        <AccountId>26</AccountId>
        <AccountType/>
      </UserInfo>
    </SharedWithUsers>
    <lcf76f155ced4ddcb4097134ff3c332f xmlns="b947e97b-0e0d-4a37-b7a7-c36958e104ca">
      <Terms xmlns="http://schemas.microsoft.com/office/infopath/2007/PartnerControls"/>
    </lcf76f155ced4ddcb4097134ff3c332f>
    <TaxCatchAll xmlns="cde6150a-2887-4330-9d33-41179dba62e9"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60229631F80714C9595CC742C6B48E8" ma:contentTypeVersion="16" ma:contentTypeDescription="Create a new document." ma:contentTypeScope="" ma:versionID="587377675d66a617c05529d80887533c">
  <xsd:schema xmlns:xsd="http://www.w3.org/2001/XMLSchema" xmlns:xs="http://www.w3.org/2001/XMLSchema" xmlns:p="http://schemas.microsoft.com/office/2006/metadata/properties" xmlns:ns2="b947e97b-0e0d-4a37-b7a7-c36958e104ca" xmlns:ns3="cde6150a-2887-4330-9d33-41179dba62e9" targetNamespace="http://schemas.microsoft.com/office/2006/metadata/properties" ma:root="true" ma:fieldsID="6ef3d4c26885e350e4ca4a1c7d57392c" ns2:_="" ns3:_="">
    <xsd:import namespace="b947e97b-0e0d-4a37-b7a7-c36958e104ca"/>
    <xsd:import namespace="cde6150a-2887-4330-9d33-41179dba62e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CR"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47e97b-0e0d-4a37-b7a7-c36958e104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c8a0b90d-15e3-4b68-b4ed-e1e0d46dd53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de6150a-2887-4330-9d33-41179dba62e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5da1c902-3ee1-4304-9c6c-5526e8376569}" ma:internalName="TaxCatchAll" ma:showField="CatchAllData" ma:web="cde6150a-2887-4330-9d33-41179dba62e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9291E0D-5249-4EB3-A667-BC88029BF320}">
  <ds:schemaRefs>
    <ds:schemaRef ds:uri="http://schemas.openxmlformats.org/officeDocument/2006/bibliography"/>
  </ds:schemaRefs>
</ds:datastoreItem>
</file>

<file path=customXml/itemProps2.xml><?xml version="1.0" encoding="utf-8"?>
<ds:datastoreItem xmlns:ds="http://schemas.openxmlformats.org/officeDocument/2006/customXml" ds:itemID="{ED2A4F8F-140F-4856-8B9E-31DCD427886D}">
  <ds:schemaRefs>
    <ds:schemaRef ds:uri="http://schemas.microsoft.com/office/2006/metadata/properties"/>
    <ds:schemaRef ds:uri="http://schemas.microsoft.com/office/infopath/2007/PartnerControls"/>
    <ds:schemaRef ds:uri="cde6150a-2887-4330-9d33-41179dba62e9"/>
    <ds:schemaRef ds:uri="b947e97b-0e0d-4a37-b7a7-c36958e104ca"/>
  </ds:schemaRefs>
</ds:datastoreItem>
</file>

<file path=customXml/itemProps3.xml><?xml version="1.0" encoding="utf-8"?>
<ds:datastoreItem xmlns:ds="http://schemas.openxmlformats.org/officeDocument/2006/customXml" ds:itemID="{0DF9C94A-53B2-4B40-BB19-46D4024B11F1}">
  <ds:schemaRefs>
    <ds:schemaRef ds:uri="http://schemas.microsoft.com/sharepoint/v3/contenttype/forms"/>
  </ds:schemaRefs>
</ds:datastoreItem>
</file>

<file path=customXml/itemProps4.xml><?xml version="1.0" encoding="utf-8"?>
<ds:datastoreItem xmlns:ds="http://schemas.openxmlformats.org/officeDocument/2006/customXml" ds:itemID="{FD53863B-493B-4022-8285-6FEE98869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47e97b-0e0d-4a37-b7a7-c36958e104ca"/>
    <ds:schemaRef ds:uri="cde6150a-2887-4330-9d33-41179dba62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Assessment Consultation paper template</Template>
  <TotalTime>45</TotalTime>
  <Pages>39</Pages>
  <Words>9807</Words>
  <Characters>55903</Characters>
  <Application>Microsoft Office Word</Application>
  <DocSecurity>0</DocSecurity>
  <Lines>465</Lines>
  <Paragraphs>131</Paragraphs>
  <ScaleCrop>false</ScaleCrop>
  <Company>Hewlett-Packard Company</Company>
  <LinksUpToDate>false</LinksUpToDate>
  <CharactersWithSpaces>65579</CharactersWithSpaces>
  <SharedDoc>false</SharedDoc>
  <HLinks>
    <vt:vector size="306" baseType="variant">
      <vt:variant>
        <vt:i4>8126465</vt:i4>
      </vt:variant>
      <vt:variant>
        <vt:i4>369</vt:i4>
      </vt:variant>
      <vt:variant>
        <vt:i4>0</vt:i4>
      </vt:variant>
      <vt:variant>
        <vt:i4>5</vt:i4>
      </vt:variant>
      <vt:variant>
        <vt:lpwstr/>
      </vt:variant>
      <vt:variant>
        <vt:lpwstr>_Attachment_B:_Indicative</vt:lpwstr>
      </vt:variant>
      <vt:variant>
        <vt:i4>6684680</vt:i4>
      </vt:variant>
      <vt:variant>
        <vt:i4>324</vt:i4>
      </vt:variant>
      <vt:variant>
        <vt:i4>0</vt:i4>
      </vt:variant>
      <vt:variant>
        <vt:i4>5</vt:i4>
      </vt:variant>
      <vt:variant>
        <vt:lpwstr/>
      </vt:variant>
      <vt:variant>
        <vt:lpwstr>_Attachment_A:_Technical</vt:lpwstr>
      </vt:variant>
      <vt:variant>
        <vt:i4>720967</vt:i4>
      </vt:variant>
      <vt:variant>
        <vt:i4>300</vt:i4>
      </vt:variant>
      <vt:variant>
        <vt:i4>0</vt:i4>
      </vt:variant>
      <vt:variant>
        <vt:i4>5</vt:i4>
      </vt:variant>
      <vt:variant>
        <vt:lpwstr>https://www.cgc.gov.au/reports-for-government/2023-update</vt:lpwstr>
      </vt:variant>
      <vt:variant>
        <vt:lpwstr/>
      </vt:variant>
      <vt:variant>
        <vt:i4>6684680</vt:i4>
      </vt:variant>
      <vt:variant>
        <vt:i4>282</vt:i4>
      </vt:variant>
      <vt:variant>
        <vt:i4>0</vt:i4>
      </vt:variant>
      <vt:variant>
        <vt:i4>5</vt:i4>
      </vt:variant>
      <vt:variant>
        <vt:lpwstr/>
      </vt:variant>
      <vt:variant>
        <vt:lpwstr>_Attachment_A:_Technical</vt:lpwstr>
      </vt:variant>
      <vt:variant>
        <vt:i4>786522</vt:i4>
      </vt:variant>
      <vt:variant>
        <vt:i4>255</vt:i4>
      </vt:variant>
      <vt:variant>
        <vt:i4>0</vt:i4>
      </vt:variant>
      <vt:variant>
        <vt:i4>5</vt:i4>
      </vt:variant>
      <vt:variant>
        <vt:lpwstr>https://www.cgc.gov.au/reports-for-government/2020-review</vt:lpwstr>
      </vt:variant>
      <vt:variant>
        <vt:lpwstr/>
      </vt:variant>
      <vt:variant>
        <vt:i4>6684680</vt:i4>
      </vt:variant>
      <vt:variant>
        <vt:i4>222</vt:i4>
      </vt:variant>
      <vt:variant>
        <vt:i4>0</vt:i4>
      </vt:variant>
      <vt:variant>
        <vt:i4>5</vt:i4>
      </vt:variant>
      <vt:variant>
        <vt:lpwstr/>
      </vt:variant>
      <vt:variant>
        <vt:lpwstr>_Attachment_A:_Technical</vt:lpwstr>
      </vt:variant>
      <vt:variant>
        <vt:i4>6684680</vt:i4>
      </vt:variant>
      <vt:variant>
        <vt:i4>213</vt:i4>
      </vt:variant>
      <vt:variant>
        <vt:i4>0</vt:i4>
      </vt:variant>
      <vt:variant>
        <vt:i4>5</vt:i4>
      </vt:variant>
      <vt:variant>
        <vt:lpwstr/>
      </vt:variant>
      <vt:variant>
        <vt:lpwstr>_Attachment_A:_Technical</vt:lpwstr>
      </vt:variant>
      <vt:variant>
        <vt:i4>6684680</vt:i4>
      </vt:variant>
      <vt:variant>
        <vt:i4>210</vt:i4>
      </vt:variant>
      <vt:variant>
        <vt:i4>0</vt:i4>
      </vt:variant>
      <vt:variant>
        <vt:i4>5</vt:i4>
      </vt:variant>
      <vt:variant>
        <vt:lpwstr/>
      </vt:variant>
      <vt:variant>
        <vt:lpwstr>_Attachment_A:_Technical</vt:lpwstr>
      </vt:variant>
      <vt:variant>
        <vt:i4>1114169</vt:i4>
      </vt:variant>
      <vt:variant>
        <vt:i4>203</vt:i4>
      </vt:variant>
      <vt:variant>
        <vt:i4>0</vt:i4>
      </vt:variant>
      <vt:variant>
        <vt:i4>5</vt:i4>
      </vt:variant>
      <vt:variant>
        <vt:lpwstr/>
      </vt:variant>
      <vt:variant>
        <vt:lpwstr>_Toc138691920</vt:lpwstr>
      </vt:variant>
      <vt:variant>
        <vt:i4>1179705</vt:i4>
      </vt:variant>
      <vt:variant>
        <vt:i4>197</vt:i4>
      </vt:variant>
      <vt:variant>
        <vt:i4>0</vt:i4>
      </vt:variant>
      <vt:variant>
        <vt:i4>5</vt:i4>
      </vt:variant>
      <vt:variant>
        <vt:lpwstr/>
      </vt:variant>
      <vt:variant>
        <vt:lpwstr>_Toc138691919</vt:lpwstr>
      </vt:variant>
      <vt:variant>
        <vt:i4>1179705</vt:i4>
      </vt:variant>
      <vt:variant>
        <vt:i4>191</vt:i4>
      </vt:variant>
      <vt:variant>
        <vt:i4>0</vt:i4>
      </vt:variant>
      <vt:variant>
        <vt:i4>5</vt:i4>
      </vt:variant>
      <vt:variant>
        <vt:lpwstr/>
      </vt:variant>
      <vt:variant>
        <vt:lpwstr>_Toc138691918</vt:lpwstr>
      </vt:variant>
      <vt:variant>
        <vt:i4>1179705</vt:i4>
      </vt:variant>
      <vt:variant>
        <vt:i4>185</vt:i4>
      </vt:variant>
      <vt:variant>
        <vt:i4>0</vt:i4>
      </vt:variant>
      <vt:variant>
        <vt:i4>5</vt:i4>
      </vt:variant>
      <vt:variant>
        <vt:lpwstr/>
      </vt:variant>
      <vt:variant>
        <vt:lpwstr>_Toc138691917</vt:lpwstr>
      </vt:variant>
      <vt:variant>
        <vt:i4>1179705</vt:i4>
      </vt:variant>
      <vt:variant>
        <vt:i4>179</vt:i4>
      </vt:variant>
      <vt:variant>
        <vt:i4>0</vt:i4>
      </vt:variant>
      <vt:variant>
        <vt:i4>5</vt:i4>
      </vt:variant>
      <vt:variant>
        <vt:lpwstr/>
      </vt:variant>
      <vt:variant>
        <vt:lpwstr>_Toc138691916</vt:lpwstr>
      </vt:variant>
      <vt:variant>
        <vt:i4>1179705</vt:i4>
      </vt:variant>
      <vt:variant>
        <vt:i4>173</vt:i4>
      </vt:variant>
      <vt:variant>
        <vt:i4>0</vt:i4>
      </vt:variant>
      <vt:variant>
        <vt:i4>5</vt:i4>
      </vt:variant>
      <vt:variant>
        <vt:lpwstr/>
      </vt:variant>
      <vt:variant>
        <vt:lpwstr>_Toc138691915</vt:lpwstr>
      </vt:variant>
      <vt:variant>
        <vt:i4>1179705</vt:i4>
      </vt:variant>
      <vt:variant>
        <vt:i4>167</vt:i4>
      </vt:variant>
      <vt:variant>
        <vt:i4>0</vt:i4>
      </vt:variant>
      <vt:variant>
        <vt:i4>5</vt:i4>
      </vt:variant>
      <vt:variant>
        <vt:lpwstr/>
      </vt:variant>
      <vt:variant>
        <vt:lpwstr>_Toc138691914</vt:lpwstr>
      </vt:variant>
      <vt:variant>
        <vt:i4>1179705</vt:i4>
      </vt:variant>
      <vt:variant>
        <vt:i4>161</vt:i4>
      </vt:variant>
      <vt:variant>
        <vt:i4>0</vt:i4>
      </vt:variant>
      <vt:variant>
        <vt:i4>5</vt:i4>
      </vt:variant>
      <vt:variant>
        <vt:lpwstr/>
      </vt:variant>
      <vt:variant>
        <vt:lpwstr>_Toc138691913</vt:lpwstr>
      </vt:variant>
      <vt:variant>
        <vt:i4>1179705</vt:i4>
      </vt:variant>
      <vt:variant>
        <vt:i4>155</vt:i4>
      </vt:variant>
      <vt:variant>
        <vt:i4>0</vt:i4>
      </vt:variant>
      <vt:variant>
        <vt:i4>5</vt:i4>
      </vt:variant>
      <vt:variant>
        <vt:lpwstr/>
      </vt:variant>
      <vt:variant>
        <vt:lpwstr>_Toc138691912</vt:lpwstr>
      </vt:variant>
      <vt:variant>
        <vt:i4>1179705</vt:i4>
      </vt:variant>
      <vt:variant>
        <vt:i4>149</vt:i4>
      </vt:variant>
      <vt:variant>
        <vt:i4>0</vt:i4>
      </vt:variant>
      <vt:variant>
        <vt:i4>5</vt:i4>
      </vt:variant>
      <vt:variant>
        <vt:lpwstr/>
      </vt:variant>
      <vt:variant>
        <vt:lpwstr>_Toc138691911</vt:lpwstr>
      </vt:variant>
      <vt:variant>
        <vt:i4>1179705</vt:i4>
      </vt:variant>
      <vt:variant>
        <vt:i4>143</vt:i4>
      </vt:variant>
      <vt:variant>
        <vt:i4>0</vt:i4>
      </vt:variant>
      <vt:variant>
        <vt:i4>5</vt:i4>
      </vt:variant>
      <vt:variant>
        <vt:lpwstr/>
      </vt:variant>
      <vt:variant>
        <vt:lpwstr>_Toc138691910</vt:lpwstr>
      </vt:variant>
      <vt:variant>
        <vt:i4>1245241</vt:i4>
      </vt:variant>
      <vt:variant>
        <vt:i4>137</vt:i4>
      </vt:variant>
      <vt:variant>
        <vt:i4>0</vt:i4>
      </vt:variant>
      <vt:variant>
        <vt:i4>5</vt:i4>
      </vt:variant>
      <vt:variant>
        <vt:lpwstr/>
      </vt:variant>
      <vt:variant>
        <vt:lpwstr>_Toc138691909</vt:lpwstr>
      </vt:variant>
      <vt:variant>
        <vt:i4>1245241</vt:i4>
      </vt:variant>
      <vt:variant>
        <vt:i4>131</vt:i4>
      </vt:variant>
      <vt:variant>
        <vt:i4>0</vt:i4>
      </vt:variant>
      <vt:variant>
        <vt:i4>5</vt:i4>
      </vt:variant>
      <vt:variant>
        <vt:lpwstr/>
      </vt:variant>
      <vt:variant>
        <vt:lpwstr>_Toc138691908</vt:lpwstr>
      </vt:variant>
      <vt:variant>
        <vt:i4>1245241</vt:i4>
      </vt:variant>
      <vt:variant>
        <vt:i4>125</vt:i4>
      </vt:variant>
      <vt:variant>
        <vt:i4>0</vt:i4>
      </vt:variant>
      <vt:variant>
        <vt:i4>5</vt:i4>
      </vt:variant>
      <vt:variant>
        <vt:lpwstr/>
      </vt:variant>
      <vt:variant>
        <vt:lpwstr>_Toc138691907</vt:lpwstr>
      </vt:variant>
      <vt:variant>
        <vt:i4>1245241</vt:i4>
      </vt:variant>
      <vt:variant>
        <vt:i4>119</vt:i4>
      </vt:variant>
      <vt:variant>
        <vt:i4>0</vt:i4>
      </vt:variant>
      <vt:variant>
        <vt:i4>5</vt:i4>
      </vt:variant>
      <vt:variant>
        <vt:lpwstr/>
      </vt:variant>
      <vt:variant>
        <vt:lpwstr>_Toc138691906</vt:lpwstr>
      </vt:variant>
      <vt:variant>
        <vt:i4>1245241</vt:i4>
      </vt:variant>
      <vt:variant>
        <vt:i4>113</vt:i4>
      </vt:variant>
      <vt:variant>
        <vt:i4>0</vt:i4>
      </vt:variant>
      <vt:variant>
        <vt:i4>5</vt:i4>
      </vt:variant>
      <vt:variant>
        <vt:lpwstr/>
      </vt:variant>
      <vt:variant>
        <vt:lpwstr>_Toc138691905</vt:lpwstr>
      </vt:variant>
      <vt:variant>
        <vt:i4>1245241</vt:i4>
      </vt:variant>
      <vt:variant>
        <vt:i4>107</vt:i4>
      </vt:variant>
      <vt:variant>
        <vt:i4>0</vt:i4>
      </vt:variant>
      <vt:variant>
        <vt:i4>5</vt:i4>
      </vt:variant>
      <vt:variant>
        <vt:lpwstr/>
      </vt:variant>
      <vt:variant>
        <vt:lpwstr>_Toc138691904</vt:lpwstr>
      </vt:variant>
      <vt:variant>
        <vt:i4>1245241</vt:i4>
      </vt:variant>
      <vt:variant>
        <vt:i4>101</vt:i4>
      </vt:variant>
      <vt:variant>
        <vt:i4>0</vt:i4>
      </vt:variant>
      <vt:variant>
        <vt:i4>5</vt:i4>
      </vt:variant>
      <vt:variant>
        <vt:lpwstr/>
      </vt:variant>
      <vt:variant>
        <vt:lpwstr>_Toc138691903</vt:lpwstr>
      </vt:variant>
      <vt:variant>
        <vt:i4>1245241</vt:i4>
      </vt:variant>
      <vt:variant>
        <vt:i4>95</vt:i4>
      </vt:variant>
      <vt:variant>
        <vt:i4>0</vt:i4>
      </vt:variant>
      <vt:variant>
        <vt:i4>5</vt:i4>
      </vt:variant>
      <vt:variant>
        <vt:lpwstr/>
      </vt:variant>
      <vt:variant>
        <vt:lpwstr>_Toc138691902</vt:lpwstr>
      </vt:variant>
      <vt:variant>
        <vt:i4>1245241</vt:i4>
      </vt:variant>
      <vt:variant>
        <vt:i4>89</vt:i4>
      </vt:variant>
      <vt:variant>
        <vt:i4>0</vt:i4>
      </vt:variant>
      <vt:variant>
        <vt:i4>5</vt:i4>
      </vt:variant>
      <vt:variant>
        <vt:lpwstr/>
      </vt:variant>
      <vt:variant>
        <vt:lpwstr>_Toc138691901</vt:lpwstr>
      </vt:variant>
      <vt:variant>
        <vt:i4>1245241</vt:i4>
      </vt:variant>
      <vt:variant>
        <vt:i4>83</vt:i4>
      </vt:variant>
      <vt:variant>
        <vt:i4>0</vt:i4>
      </vt:variant>
      <vt:variant>
        <vt:i4>5</vt:i4>
      </vt:variant>
      <vt:variant>
        <vt:lpwstr/>
      </vt:variant>
      <vt:variant>
        <vt:lpwstr>_Toc138691900</vt:lpwstr>
      </vt:variant>
      <vt:variant>
        <vt:i4>1703992</vt:i4>
      </vt:variant>
      <vt:variant>
        <vt:i4>77</vt:i4>
      </vt:variant>
      <vt:variant>
        <vt:i4>0</vt:i4>
      </vt:variant>
      <vt:variant>
        <vt:i4>5</vt:i4>
      </vt:variant>
      <vt:variant>
        <vt:lpwstr/>
      </vt:variant>
      <vt:variant>
        <vt:lpwstr>_Toc138691899</vt:lpwstr>
      </vt:variant>
      <vt:variant>
        <vt:i4>1703992</vt:i4>
      </vt:variant>
      <vt:variant>
        <vt:i4>71</vt:i4>
      </vt:variant>
      <vt:variant>
        <vt:i4>0</vt:i4>
      </vt:variant>
      <vt:variant>
        <vt:i4>5</vt:i4>
      </vt:variant>
      <vt:variant>
        <vt:lpwstr/>
      </vt:variant>
      <vt:variant>
        <vt:lpwstr>_Toc138691898</vt:lpwstr>
      </vt:variant>
      <vt:variant>
        <vt:i4>1703992</vt:i4>
      </vt:variant>
      <vt:variant>
        <vt:i4>65</vt:i4>
      </vt:variant>
      <vt:variant>
        <vt:i4>0</vt:i4>
      </vt:variant>
      <vt:variant>
        <vt:i4>5</vt:i4>
      </vt:variant>
      <vt:variant>
        <vt:lpwstr/>
      </vt:variant>
      <vt:variant>
        <vt:lpwstr>_Toc138691897</vt:lpwstr>
      </vt:variant>
      <vt:variant>
        <vt:i4>1703992</vt:i4>
      </vt:variant>
      <vt:variant>
        <vt:i4>59</vt:i4>
      </vt:variant>
      <vt:variant>
        <vt:i4>0</vt:i4>
      </vt:variant>
      <vt:variant>
        <vt:i4>5</vt:i4>
      </vt:variant>
      <vt:variant>
        <vt:lpwstr/>
      </vt:variant>
      <vt:variant>
        <vt:lpwstr>_Toc138691896</vt:lpwstr>
      </vt:variant>
      <vt:variant>
        <vt:i4>1703992</vt:i4>
      </vt:variant>
      <vt:variant>
        <vt:i4>53</vt:i4>
      </vt:variant>
      <vt:variant>
        <vt:i4>0</vt:i4>
      </vt:variant>
      <vt:variant>
        <vt:i4>5</vt:i4>
      </vt:variant>
      <vt:variant>
        <vt:lpwstr/>
      </vt:variant>
      <vt:variant>
        <vt:lpwstr>_Toc138691895</vt:lpwstr>
      </vt:variant>
      <vt:variant>
        <vt:i4>1703992</vt:i4>
      </vt:variant>
      <vt:variant>
        <vt:i4>47</vt:i4>
      </vt:variant>
      <vt:variant>
        <vt:i4>0</vt:i4>
      </vt:variant>
      <vt:variant>
        <vt:i4>5</vt:i4>
      </vt:variant>
      <vt:variant>
        <vt:lpwstr/>
      </vt:variant>
      <vt:variant>
        <vt:lpwstr>_Toc138691894</vt:lpwstr>
      </vt:variant>
      <vt:variant>
        <vt:i4>1703992</vt:i4>
      </vt:variant>
      <vt:variant>
        <vt:i4>41</vt:i4>
      </vt:variant>
      <vt:variant>
        <vt:i4>0</vt:i4>
      </vt:variant>
      <vt:variant>
        <vt:i4>5</vt:i4>
      </vt:variant>
      <vt:variant>
        <vt:lpwstr/>
      </vt:variant>
      <vt:variant>
        <vt:lpwstr>_Toc138691893</vt:lpwstr>
      </vt:variant>
      <vt:variant>
        <vt:i4>1703992</vt:i4>
      </vt:variant>
      <vt:variant>
        <vt:i4>35</vt:i4>
      </vt:variant>
      <vt:variant>
        <vt:i4>0</vt:i4>
      </vt:variant>
      <vt:variant>
        <vt:i4>5</vt:i4>
      </vt:variant>
      <vt:variant>
        <vt:lpwstr/>
      </vt:variant>
      <vt:variant>
        <vt:lpwstr>_Toc138691892</vt:lpwstr>
      </vt:variant>
      <vt:variant>
        <vt:i4>1703992</vt:i4>
      </vt:variant>
      <vt:variant>
        <vt:i4>29</vt:i4>
      </vt:variant>
      <vt:variant>
        <vt:i4>0</vt:i4>
      </vt:variant>
      <vt:variant>
        <vt:i4>5</vt:i4>
      </vt:variant>
      <vt:variant>
        <vt:lpwstr/>
      </vt:variant>
      <vt:variant>
        <vt:lpwstr>_Toc138691891</vt:lpwstr>
      </vt:variant>
      <vt:variant>
        <vt:i4>1703992</vt:i4>
      </vt:variant>
      <vt:variant>
        <vt:i4>23</vt:i4>
      </vt:variant>
      <vt:variant>
        <vt:i4>0</vt:i4>
      </vt:variant>
      <vt:variant>
        <vt:i4>5</vt:i4>
      </vt:variant>
      <vt:variant>
        <vt:lpwstr/>
      </vt:variant>
      <vt:variant>
        <vt:lpwstr>_Toc138691890</vt:lpwstr>
      </vt:variant>
      <vt:variant>
        <vt:i4>1769528</vt:i4>
      </vt:variant>
      <vt:variant>
        <vt:i4>17</vt:i4>
      </vt:variant>
      <vt:variant>
        <vt:i4>0</vt:i4>
      </vt:variant>
      <vt:variant>
        <vt:i4>5</vt:i4>
      </vt:variant>
      <vt:variant>
        <vt:lpwstr/>
      </vt:variant>
      <vt:variant>
        <vt:lpwstr>_Toc138691889</vt:lpwstr>
      </vt:variant>
      <vt:variant>
        <vt:i4>1769528</vt:i4>
      </vt:variant>
      <vt:variant>
        <vt:i4>11</vt:i4>
      </vt:variant>
      <vt:variant>
        <vt:i4>0</vt:i4>
      </vt:variant>
      <vt:variant>
        <vt:i4>5</vt:i4>
      </vt:variant>
      <vt:variant>
        <vt:lpwstr/>
      </vt:variant>
      <vt:variant>
        <vt:lpwstr>_Toc138691888</vt:lpwstr>
      </vt:variant>
      <vt:variant>
        <vt:i4>8192092</vt:i4>
      </vt:variant>
      <vt:variant>
        <vt:i4>6</vt:i4>
      </vt:variant>
      <vt:variant>
        <vt:i4>0</vt:i4>
      </vt:variant>
      <vt:variant>
        <vt:i4>5</vt:i4>
      </vt:variant>
      <vt:variant>
        <vt:lpwstr>mailto:Julia.Lindsay@cgc.gov.au</vt:lpwstr>
      </vt:variant>
      <vt:variant>
        <vt:lpwstr/>
      </vt:variant>
      <vt:variant>
        <vt:i4>7798873</vt:i4>
      </vt:variant>
      <vt:variant>
        <vt:i4>3</vt:i4>
      </vt:variant>
      <vt:variant>
        <vt:i4>0</vt:i4>
      </vt:variant>
      <vt:variant>
        <vt:i4>5</vt:i4>
      </vt:variant>
      <vt:variant>
        <vt:lpwstr>mailto:Dana.McQuestin@cgc.gov.au</vt:lpwstr>
      </vt:variant>
      <vt:variant>
        <vt:lpwstr/>
      </vt:variant>
      <vt:variant>
        <vt:i4>3538950</vt:i4>
      </vt:variant>
      <vt:variant>
        <vt:i4>0</vt:i4>
      </vt:variant>
      <vt:variant>
        <vt:i4>0</vt:i4>
      </vt:variant>
      <vt:variant>
        <vt:i4>5</vt:i4>
      </vt:variant>
      <vt:variant>
        <vt:lpwstr>mailto:Carrie.Dreese@cgc.gov.au</vt:lpwstr>
      </vt:variant>
      <vt:variant>
        <vt:lpwstr/>
      </vt:variant>
      <vt:variant>
        <vt:i4>6684716</vt:i4>
      </vt:variant>
      <vt:variant>
        <vt:i4>18</vt:i4>
      </vt:variant>
      <vt:variant>
        <vt:i4>0</vt:i4>
      </vt:variant>
      <vt:variant>
        <vt:i4>5</vt:i4>
      </vt:variant>
      <vt:variant>
        <vt:lpwstr>https://www.cgc.gov.au/publications/2020-review</vt:lpwstr>
      </vt:variant>
      <vt:variant>
        <vt:lpwstr/>
      </vt:variant>
      <vt:variant>
        <vt:i4>983124</vt:i4>
      </vt:variant>
      <vt:variant>
        <vt:i4>15</vt:i4>
      </vt:variant>
      <vt:variant>
        <vt:i4>0</vt:i4>
      </vt:variant>
      <vt:variant>
        <vt:i4>5</vt:i4>
      </vt:variant>
      <vt:variant>
        <vt:lpwstr>https://www.abs.gov.au/census/about-census/2021-census-overview/participation-2021-census</vt:lpwstr>
      </vt:variant>
      <vt:variant>
        <vt:lpwstr/>
      </vt:variant>
      <vt:variant>
        <vt:i4>8192099</vt:i4>
      </vt:variant>
      <vt:variant>
        <vt:i4>12</vt:i4>
      </vt:variant>
      <vt:variant>
        <vt:i4>0</vt:i4>
      </vt:variant>
      <vt:variant>
        <vt:i4>5</vt:i4>
      </vt:variant>
      <vt:variant>
        <vt:lpwstr>https://www.bitre.gov.au/publications/2022/australian-infrastructure-and-transport-statistics-yearbook-2022</vt:lpwstr>
      </vt:variant>
      <vt:variant>
        <vt:lpwstr/>
      </vt:variant>
      <vt:variant>
        <vt:i4>6946867</vt:i4>
      </vt:variant>
      <vt:variant>
        <vt:i4>9</vt:i4>
      </vt:variant>
      <vt:variant>
        <vt:i4>0</vt:i4>
      </vt:variant>
      <vt:variant>
        <vt:i4>5</vt:i4>
      </vt:variant>
      <vt:variant>
        <vt:lpwstr>https://www.pc.gov.au/research/completed/public-transport/public-transport.pdf</vt:lpwstr>
      </vt:variant>
      <vt:variant>
        <vt:lpwstr/>
      </vt:variant>
      <vt:variant>
        <vt:i4>7667835</vt:i4>
      </vt:variant>
      <vt:variant>
        <vt:i4>6</vt:i4>
      </vt:variant>
      <vt:variant>
        <vt:i4>0</vt:i4>
      </vt:variant>
      <vt:variant>
        <vt:i4>5</vt:i4>
      </vt:variant>
      <vt:variant>
        <vt:lpwstr>https://www.brookings.edu/wp-content/uploads/2022/09/Aksoy-et-al-Conference-Draft-BPEA-FA22.pdf</vt:lpwstr>
      </vt:variant>
      <vt:variant>
        <vt:lpwstr/>
      </vt:variant>
      <vt:variant>
        <vt:i4>6357044</vt:i4>
      </vt:variant>
      <vt:variant>
        <vt:i4>3</vt:i4>
      </vt:variant>
      <vt:variant>
        <vt:i4>0</vt:i4>
      </vt:variant>
      <vt:variant>
        <vt:i4>5</vt:i4>
      </vt:variant>
      <vt:variant>
        <vt:lpwstr>https://population.gov.au/research/research-anticipating-impact-covid-19-internal-migration</vt:lpwstr>
      </vt:variant>
      <vt:variant>
        <vt:lpwstr/>
      </vt:variant>
      <vt:variant>
        <vt:i4>3407940</vt:i4>
      </vt:variant>
      <vt:variant>
        <vt:i4>0</vt:i4>
      </vt:variant>
      <vt:variant>
        <vt:i4>0</vt:i4>
      </vt:variant>
      <vt:variant>
        <vt:i4>5</vt:i4>
      </vt:variant>
      <vt:variant>
        <vt:lpwstr>https://www.cgc.gov.au/sites/default/files/2021-11/ia147500_-_stage_2_final_report_rev_d.pdf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Kathleen Morris</dc:creator>
  <cp:keywords/>
  <cp:lastModifiedBy>Katrina Baldock</cp:lastModifiedBy>
  <cp:revision>277</cp:revision>
  <cp:lastPrinted>2023-06-27T06:11:00Z</cp:lastPrinted>
  <dcterms:created xsi:type="dcterms:W3CDTF">2023-06-13T16:55:00Z</dcterms:created>
  <dcterms:modified xsi:type="dcterms:W3CDTF">2023-06-27T06:32:00Z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0x010100E60229631F80714C9595CC742C6B48E8</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Order">
    <vt:lpwstr>86252600.0000000</vt:lpwstr>
  </property>
</Properties>
</file>