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B55EE" w14:textId="6DA6D290" w:rsidR="00CE2773" w:rsidRPr="00497115" w:rsidRDefault="00CE2773" w:rsidP="00CE2773">
      <w:pPr>
        <w:pStyle w:val="Heading1"/>
      </w:pPr>
      <w:r w:rsidRPr="00497115">
        <w:t>Wage</w:t>
      </w:r>
      <w:r w:rsidR="00A20E31">
        <w:t xml:space="preserve"> cost</w:t>
      </w:r>
      <w:r w:rsidRPr="00497115">
        <w:t>s</w:t>
      </w:r>
    </w:p>
    <w:p w14:paraId="534C3DE3" w14:textId="77777777" w:rsidR="00CE2773" w:rsidRPr="00497115" w:rsidRDefault="00CE2773" w:rsidP="00DB19C5">
      <w:pPr>
        <w:pStyle w:val="Heading2"/>
      </w:pPr>
      <w:r w:rsidRPr="00497115">
        <w:t>Overview</w:t>
      </w:r>
    </w:p>
    <w:p w14:paraId="2EEF10AC" w14:textId="2693E94C" w:rsidR="00CE2773" w:rsidRPr="00497115" w:rsidRDefault="00CE2773" w:rsidP="00EE393A">
      <w:pPr>
        <w:pStyle w:val="CGC2025ParaNumbers"/>
      </w:pPr>
      <w:r w:rsidRPr="00497115">
        <w:t xml:space="preserve">On 20 June 2023, the Commission issued </w:t>
      </w:r>
      <w:hyperlink r:id="rId11" w:history="1">
        <w:r w:rsidRPr="00497115">
          <w:rPr>
            <w:rStyle w:val="Hyperlink"/>
          </w:rPr>
          <w:t>a consultation paper</w:t>
        </w:r>
      </w:hyperlink>
      <w:r w:rsidRPr="00497115">
        <w:t xml:space="preserve"> on the wages assessment. The Commission considered changes since the 2020 Review and their implications for </w:t>
      </w:r>
      <w:r w:rsidR="00552AF4">
        <w:t xml:space="preserve">the </w:t>
      </w:r>
      <w:r w:rsidRPr="00497115">
        <w:t>assessment method. The Commission then engaged Professor</w:t>
      </w:r>
      <w:r w:rsidR="008B4C59">
        <w:t> </w:t>
      </w:r>
      <w:r w:rsidRPr="00497115">
        <w:t>Alison Preston to provide advice on the assessment. On 27</w:t>
      </w:r>
      <w:r w:rsidR="008B4C59">
        <w:t> </w:t>
      </w:r>
      <w:r w:rsidRPr="00497115">
        <w:t>September</w:t>
      </w:r>
      <w:r w:rsidR="008B4C59">
        <w:t> </w:t>
      </w:r>
      <w:r w:rsidRPr="00497115">
        <w:t xml:space="preserve">2023, it issued an </w:t>
      </w:r>
      <w:hyperlink r:id="rId12" w:history="1">
        <w:r w:rsidRPr="00497115">
          <w:rPr>
            <w:rStyle w:val="Hyperlink"/>
          </w:rPr>
          <w:t>addendum</w:t>
        </w:r>
      </w:hyperlink>
      <w:r w:rsidRPr="00497115">
        <w:t xml:space="preserve">, incorporating its response to </w:t>
      </w:r>
      <w:hyperlink r:id="rId13" w:history="1">
        <w:r w:rsidRPr="00497115">
          <w:rPr>
            <w:rStyle w:val="Hyperlink"/>
          </w:rPr>
          <w:t>Professor</w:t>
        </w:r>
        <w:r w:rsidR="000149EF">
          <w:rPr>
            <w:rStyle w:val="Hyperlink"/>
          </w:rPr>
          <w:t> </w:t>
        </w:r>
        <w:r w:rsidRPr="00497115">
          <w:rPr>
            <w:rStyle w:val="Hyperlink"/>
          </w:rPr>
          <w:t>Preston’s paper</w:t>
        </w:r>
      </w:hyperlink>
      <w:r w:rsidRPr="00497115">
        <w:t xml:space="preserve">. </w:t>
      </w:r>
    </w:p>
    <w:p w14:paraId="245F5CD8" w14:textId="77777777" w:rsidR="00CE2773" w:rsidRPr="00497115" w:rsidRDefault="00CE2773" w:rsidP="00EE393A">
      <w:pPr>
        <w:pStyle w:val="CGC2025ParaNumbers"/>
      </w:pPr>
      <w:r w:rsidRPr="00497115">
        <w:t>In both papers, the Commission proposed changes to the 2020 Review assessment method.</w:t>
      </w:r>
    </w:p>
    <w:p w14:paraId="79799372" w14:textId="77777777" w:rsidR="00CE2773" w:rsidRPr="00497115" w:rsidRDefault="00CE2773" w:rsidP="00EE393A">
      <w:pPr>
        <w:pStyle w:val="CGC2025ParaNumbers"/>
      </w:pPr>
      <w:r w:rsidRPr="00497115">
        <w:t>A summary of state responses to each consultation question is included below, as well as the Commission’s draft position and the draft 2025 Review assessment method.</w:t>
      </w:r>
    </w:p>
    <w:p w14:paraId="481A7978" w14:textId="4F94517C" w:rsidR="00CE2773" w:rsidRPr="00497115" w:rsidRDefault="00CE2773" w:rsidP="00EE393A">
      <w:pPr>
        <w:pStyle w:val="CGC2025ParaNumbers"/>
      </w:pPr>
      <w:r w:rsidRPr="00497115">
        <w:t xml:space="preserve">State submissions can be viewed </w:t>
      </w:r>
      <w:hyperlink r:id="rId14" w:history="1">
        <w:r w:rsidRPr="00497115">
          <w:rPr>
            <w:rStyle w:val="Hyperlink"/>
          </w:rPr>
          <w:t>here</w:t>
        </w:r>
      </w:hyperlink>
      <w:r w:rsidRPr="00497115">
        <w:t xml:space="preserve"> for the consultation paper and </w:t>
      </w:r>
      <w:hyperlink r:id="rId15" w:history="1">
        <w:r w:rsidRPr="004F1531">
          <w:rPr>
            <w:rStyle w:val="Hyperlink"/>
          </w:rPr>
          <w:t>here</w:t>
        </w:r>
      </w:hyperlink>
      <w:r w:rsidRPr="00497115">
        <w:t xml:space="preserve"> for the addendum.</w:t>
      </w:r>
    </w:p>
    <w:p w14:paraId="3AB2D094" w14:textId="77777777" w:rsidR="00CE2773" w:rsidRPr="00497115" w:rsidRDefault="00CE2773" w:rsidP="00DB19C5">
      <w:pPr>
        <w:pStyle w:val="Heading2"/>
      </w:pPr>
      <w:r w:rsidRPr="00497115">
        <w:t>Consultation questions</w:t>
      </w:r>
    </w:p>
    <w:p w14:paraId="78F88B63" w14:textId="77777777" w:rsidR="00CE2773" w:rsidRPr="00497115" w:rsidRDefault="00CE2773" w:rsidP="00DB19C5">
      <w:pPr>
        <w:pStyle w:val="Heading3"/>
      </w:pPr>
      <w:r w:rsidRPr="00497115">
        <w:t>Q1. Do states agree on continuing to use private sector wages as a policy neutral proxy for the market pressures faced by public sector employers?</w:t>
      </w:r>
    </w:p>
    <w:p w14:paraId="72085C0F" w14:textId="77777777" w:rsidR="00CE2773" w:rsidRPr="00497115" w:rsidRDefault="00CE2773" w:rsidP="00DB19C5">
      <w:pPr>
        <w:pStyle w:val="Heading4"/>
      </w:pPr>
      <w:r w:rsidRPr="00497115">
        <w:t>State views</w:t>
      </w:r>
    </w:p>
    <w:p w14:paraId="45C09878" w14:textId="77777777" w:rsidR="00CE2773" w:rsidRPr="00497115" w:rsidRDefault="00CE2773" w:rsidP="00DB19C5">
      <w:pPr>
        <w:pStyle w:val="CGC2025ParaNumbers"/>
      </w:pPr>
      <w:r w:rsidRPr="00497115">
        <w:t>States had mixed views. New South Wales, Western Australia, the ACT and the Northern Territory supported using the proxy. Queensland, South Australia and Tasmania did not support using the proxy. Victoria expressed concerns about the conceptual basis and policy neutrality of the proxy, but supported its use provided the discount is maintained.</w:t>
      </w:r>
    </w:p>
    <w:p w14:paraId="08A61887" w14:textId="77777777" w:rsidR="00CE2773" w:rsidRPr="00497115" w:rsidRDefault="00CE2773" w:rsidP="00DB19C5">
      <w:pPr>
        <w:pStyle w:val="CGC2025ParaNumbers"/>
      </w:pPr>
      <w:r w:rsidRPr="00497115">
        <w:t>New South Wales said that the private sector responds to similar drivers as the public sector.</w:t>
      </w:r>
      <w:r w:rsidRPr="00497115" w:rsidDel="00D96A30">
        <w:t xml:space="preserve"> </w:t>
      </w:r>
      <w:r w:rsidRPr="00497115">
        <w:t>It noted that there is a reasonably low influence of public sector employers on private sector wages, allowing its use as a proxy.</w:t>
      </w:r>
    </w:p>
    <w:p w14:paraId="670799DB" w14:textId="77777777" w:rsidR="00CE2773" w:rsidRPr="00497115" w:rsidRDefault="00CE2773" w:rsidP="00DB19C5">
      <w:pPr>
        <w:pStyle w:val="CGC2025ParaNumbers"/>
      </w:pPr>
      <w:r w:rsidRPr="00497115">
        <w:t>Victoria raised concerns that in states with large public sectors, public sector wage levels could significantly influence private sector wage levels. Victoria also questioned some of the factors listed by the Commission as non-policy drivers of regional differences in wages but did recognise climate as one such factor.</w:t>
      </w:r>
    </w:p>
    <w:p w14:paraId="29A643D9" w14:textId="77777777" w:rsidR="00CE2773" w:rsidRPr="00497115" w:rsidRDefault="00CE2773" w:rsidP="00DB19C5">
      <w:pPr>
        <w:pStyle w:val="CGC2025ParaNumbers"/>
      </w:pPr>
      <w:r w:rsidRPr="00497115">
        <w:t>Queensland said that there is national competition for labour in specific public sector occupations, and that competition between states is much more significant than competition between the public and private sectors for such workers. During the Commissioners’ state visit, Tasmanian officials also made the case that healthcare workers are recruited from national and international labour markets. However, Victoria questioned whether states significantly compete with each other for workers, quoting analysis of the Household Income and Labour Dynamics in Australia survey showing low interstate migration associated with job changes.</w:t>
      </w:r>
      <w:r w:rsidRPr="00C37DDC">
        <w:rPr>
          <w:vertAlign w:val="superscript"/>
        </w:rPr>
        <w:footnoteReference w:id="2"/>
      </w:r>
    </w:p>
    <w:p w14:paraId="6A8594C6" w14:textId="77777777" w:rsidR="00CE2773" w:rsidRPr="00497115" w:rsidRDefault="00CE2773" w:rsidP="00DB19C5">
      <w:pPr>
        <w:pStyle w:val="CGC2025ParaNumbers"/>
      </w:pPr>
      <w:r w:rsidRPr="00497115">
        <w:t xml:space="preserve">Queensland said that the private sector proxy is not appropriate, as public sector wages may be more influenced by factors such as ‘national sectoral conditions and shortages for skilled workers that are predominantly public sector employees’, rather than geographic factors. It also said that the relevant market for many public-sector occupations is the national labour market for these occupations. South Australia also said that private sector wage movements are primarily influenced by local and national sectoral conditions rather than the broader local labour market. </w:t>
      </w:r>
    </w:p>
    <w:p w14:paraId="21A971EF" w14:textId="77777777" w:rsidR="00CE2773" w:rsidRPr="00497115" w:rsidRDefault="00CE2773" w:rsidP="00DB19C5">
      <w:pPr>
        <w:pStyle w:val="CGC2025ParaNumbers"/>
      </w:pPr>
      <w:r w:rsidRPr="00497115">
        <w:t>Victoria said that the Commission’s model, rather than capturing differences in wages for comparable employees, does not fully control for differences in state labour markets. The apparent high wage costs in Western Australia and the ACT may reflect the prevalence of high wage industries in these states.</w:t>
      </w:r>
    </w:p>
    <w:p w14:paraId="7C8496EB" w14:textId="77777777" w:rsidR="00CE2773" w:rsidRPr="00497115" w:rsidRDefault="00CE2773" w:rsidP="00DB19C5">
      <w:pPr>
        <w:pStyle w:val="CGC2025ParaNumbers"/>
      </w:pPr>
      <w:r w:rsidRPr="00497115">
        <w:t>South Australia was concerned with the interstate comparability of employees, stating that wage differentials likely reflect differences in ‘responsibilities, differences in employment status (e.g. tenure), timing differences from when pay adjustments take effect, the impact of non-wage benefits and other policy choice differences’.</w:t>
      </w:r>
    </w:p>
    <w:p w14:paraId="059E9EF3" w14:textId="77777777" w:rsidR="00CE2773" w:rsidRPr="00497115" w:rsidRDefault="00CE2773" w:rsidP="00DB19C5">
      <w:pPr>
        <w:pStyle w:val="CGC2025ParaNumbers"/>
      </w:pPr>
      <w:r w:rsidRPr="00497115">
        <w:t>Tasmania pointed to differences in public and private sector wage differentials as well as differences in labour market composition as evidence that the underlying geographic wage pressures do not equally affect the public and private sector. Tasmania said that this may result in underestimation of public sector wage pressure differentials and does not appropriately reflect recent wage movements.</w:t>
      </w:r>
    </w:p>
    <w:p w14:paraId="31448135" w14:textId="77777777" w:rsidR="00CE2773" w:rsidRPr="00497115" w:rsidRDefault="00CE2773" w:rsidP="00DB19C5">
      <w:pPr>
        <w:pStyle w:val="Heading4"/>
      </w:pPr>
      <w:r w:rsidRPr="00497115">
        <w:t>Commission response</w:t>
      </w:r>
    </w:p>
    <w:p w14:paraId="2C1D992F" w14:textId="77777777" w:rsidR="00CE2773" w:rsidRPr="00497115" w:rsidRDefault="00CE2773" w:rsidP="00101BE0">
      <w:pPr>
        <w:pStyle w:val="CGC2025ParaNumbers"/>
      </w:pPr>
      <w:r w:rsidRPr="00497115">
        <w:t>The Commission recognises that public sector wage setting can indirectly affect private sector wages, and that this effect is likely to be more pronounced in states with relatively large public sectors. Notwithstanding this relationship, a private sector proxy results in less policy contamination than any direct measure of public sector wages.</w:t>
      </w:r>
    </w:p>
    <w:p w14:paraId="068A6C21" w14:textId="1394DA9F" w:rsidR="00CE2773" w:rsidRPr="00497115" w:rsidRDefault="00CE2773" w:rsidP="00101BE0">
      <w:pPr>
        <w:pStyle w:val="CGC2025ParaNumbers"/>
      </w:pPr>
      <w:r w:rsidRPr="00497115">
        <w:t xml:space="preserve">Regarding Victoria’s reservations about the identification of non-policy drivers of interstate wage differences, the Commission’s </w:t>
      </w:r>
      <w:r w:rsidR="005D651D">
        <w:t>model</w:t>
      </w:r>
      <w:r w:rsidR="005D651D" w:rsidRPr="00497115">
        <w:t xml:space="preserve"> </w:t>
      </w:r>
      <w:r w:rsidRPr="00497115">
        <w:t xml:space="preserve">does not attempt to quantify individual drivers. As long as there are drivers of differences in wages between states beyond causes that are controlled for in the model, the total effect of these drivers will be reflected in the state regression coefficients. Victoria acknowledged that such drivers exist. </w:t>
      </w:r>
    </w:p>
    <w:p w14:paraId="0762EF7B" w14:textId="77777777" w:rsidR="00CE2773" w:rsidRPr="00497115" w:rsidRDefault="00CE2773" w:rsidP="00101BE0">
      <w:pPr>
        <w:pStyle w:val="CGC2025ParaNumbers"/>
      </w:pPr>
      <w:r w:rsidRPr="00497115">
        <w:t>States compete for labour in both the local private sector market and national and international markets. Analysis using the Australian Census Longitudinal Dataset shows that over 25% of public sector workers in 2011 who were still employed in 2016 had switched to the private sector.</w:t>
      </w:r>
      <w:r w:rsidRPr="00C37DDC">
        <w:rPr>
          <w:vertAlign w:val="superscript"/>
        </w:rPr>
        <w:footnoteReference w:id="3"/>
      </w:r>
      <w:r w:rsidRPr="00497115">
        <w:t xml:space="preserve"> Where national labour markets exist, the conceptual validity of the assessment and the proxy measure only require that some factor beyond state control (such as cost of living or climate) affects worker relocation decisions and wage negotiations in both the public and private sectors. When workers choose to move between jurisdictions, they consider these factors in addition to wages. There is no evidence that factors like cost of living or climate are weighted differently by workers in a particular sector or industry.</w:t>
      </w:r>
    </w:p>
    <w:p w14:paraId="7989EBB7" w14:textId="77777777" w:rsidR="00CE2773" w:rsidRPr="00497115" w:rsidRDefault="00CE2773" w:rsidP="00101BE0">
      <w:pPr>
        <w:pStyle w:val="CGC2025ParaNumbers"/>
      </w:pPr>
      <w:r w:rsidRPr="00497115">
        <w:t>The Commission agrees with Queensland that national sectoral conditions and shortages for skilled workers in certain occupations is likely to have a bigger influence on the wage paid to some public sector employees than geographic differences. Nationally consistent sectoral/occupational effects are already controlled for through industry/occupation variables in the regression. The wage costs assessment measures the residual differences that cause states to face different employee costs in the national labour market. While geography is not the primary influence on a person’s salary, it is an influence.</w:t>
      </w:r>
    </w:p>
    <w:p w14:paraId="3B24C7DD" w14:textId="77777777" w:rsidR="00CE2773" w:rsidRPr="00497115" w:rsidRDefault="00CE2773" w:rsidP="00101BE0">
      <w:pPr>
        <w:pStyle w:val="CGC2025ParaNumbers"/>
      </w:pPr>
      <w:r w:rsidRPr="00497115">
        <w:t>For instance, on average, workers will demand a higher wage to work in a remote community than in a metropolitan area. This is consistent with the above-average wage cost factor measured in the Northern Territory. The prevalence of high-wage industries in states such as Western Australia or the ACT is likely to be accompanied by a higher cost of living, increasing local wage pressures for all industries.</w:t>
      </w:r>
    </w:p>
    <w:p w14:paraId="0D1430D8" w14:textId="77777777" w:rsidR="00CE2773" w:rsidRPr="00497115" w:rsidRDefault="00CE2773" w:rsidP="00101BE0">
      <w:pPr>
        <w:pStyle w:val="CGC2025ParaNumbers"/>
      </w:pPr>
      <w:r w:rsidRPr="00497115">
        <w:t>The Commission sees no conceptual basis to expect a systematic difference between the responsibilities or non-wage benefits of similar private sector employees in different states. Measured wage differentials should not reflect differences in employment status, education, tenure and experience, as these variables are controlled for in the model. Timing differences in pay adjustments for private sector employees should balance out on average.</w:t>
      </w:r>
    </w:p>
    <w:p w14:paraId="5AA293DA" w14:textId="77777777" w:rsidR="00CE2773" w:rsidRPr="00497115" w:rsidRDefault="00CE2773" w:rsidP="00101BE0">
      <w:pPr>
        <w:pStyle w:val="CGC2025ParaNumbers"/>
      </w:pPr>
      <w:r w:rsidRPr="00497115">
        <w:t xml:space="preserve">The Commission recognises different interstate differentials in the public and private sectors. This may be due to differences in the responsiveness of the public and private sectors, labour markets of different industries varying, and state wage setting policies directly affecting public sector wage levels. There is also imperfect measurement in both sectors. These issues do not preclude the proxy being an unbiased estimate of state-specific pressure on public sector wages. </w:t>
      </w:r>
    </w:p>
    <w:p w14:paraId="2A0EF3AE" w14:textId="77777777" w:rsidR="00CE2773" w:rsidRPr="00497115" w:rsidRDefault="00CE2773" w:rsidP="00101BE0">
      <w:pPr>
        <w:pStyle w:val="CGC2025ParaNumbers"/>
      </w:pPr>
      <w:r w:rsidRPr="00497115">
        <w:t>While noting that public and private labour markets are distinct,</w:t>
      </w:r>
      <w:r w:rsidRPr="00497115" w:rsidDel="003A58C6">
        <w:t xml:space="preserve"> </w:t>
      </w:r>
      <w:r w:rsidRPr="00497115">
        <w:t>Professor Preston (who the Commission engaged as a consultant to review the wages assessment) recommended the continued use of relative private sector wages as a policy neutral proxy for public sector wage costs.</w:t>
      </w:r>
    </w:p>
    <w:p w14:paraId="1AA719C1" w14:textId="77777777" w:rsidR="00CE2773" w:rsidRPr="00497115" w:rsidRDefault="00CE2773" w:rsidP="00101BE0">
      <w:pPr>
        <w:pStyle w:val="Heading4"/>
      </w:pPr>
      <w:r w:rsidRPr="00497115">
        <w:t>Commission draft position</w:t>
      </w:r>
    </w:p>
    <w:p w14:paraId="1793B5CA" w14:textId="77777777" w:rsidR="00CE2773" w:rsidRPr="00497115" w:rsidRDefault="00CE2773" w:rsidP="00101BE0">
      <w:pPr>
        <w:pStyle w:val="CGC2025ParaNumbers"/>
      </w:pPr>
      <w:r w:rsidRPr="00497115">
        <w:t>The Commission proposes</w:t>
      </w:r>
      <w:r w:rsidRPr="00497115" w:rsidDel="00887984">
        <w:t xml:space="preserve"> </w:t>
      </w:r>
      <w:r w:rsidRPr="00497115">
        <w:t>to continue to use relative private sector wage levels as a proxy for relative public sector wage costs.</w:t>
      </w:r>
    </w:p>
    <w:p w14:paraId="18B1D476" w14:textId="77777777" w:rsidR="00CE2773" w:rsidRPr="00497115" w:rsidRDefault="00CE2773" w:rsidP="00891FB8">
      <w:pPr>
        <w:pStyle w:val="Heading3"/>
      </w:pPr>
      <w:r w:rsidRPr="00497115">
        <w:t>Q2. Do states agree that the Commission should continue to use all private sector employees to proxy for public sector drivers of costs?</w:t>
      </w:r>
    </w:p>
    <w:p w14:paraId="793070AE" w14:textId="77777777" w:rsidR="00CE2773" w:rsidRPr="00497115" w:rsidRDefault="00CE2773" w:rsidP="00891FB8">
      <w:pPr>
        <w:pStyle w:val="Heading4"/>
      </w:pPr>
      <w:r w:rsidRPr="00497115">
        <w:t>State views</w:t>
      </w:r>
    </w:p>
    <w:p w14:paraId="525FBDCB" w14:textId="77777777" w:rsidR="00CE2773" w:rsidRPr="00497115" w:rsidRDefault="00CE2773" w:rsidP="00101BE0">
      <w:pPr>
        <w:pStyle w:val="CGC2025ParaNumbers"/>
      </w:pPr>
      <w:r w:rsidRPr="00497115">
        <w:t xml:space="preserve">Most states supported the use of a private sector sample including males and females. South Australia said that female private sector workers are more representative of pressures on public sector salaries than male private sector workers. It suggested using a weighted average of female and male estimates, combined in proportion to their share of the public sector. </w:t>
      </w:r>
    </w:p>
    <w:p w14:paraId="3E00F4E1" w14:textId="77777777" w:rsidR="00CE2773" w:rsidRPr="00497115" w:rsidRDefault="00CE2773" w:rsidP="00101BE0">
      <w:pPr>
        <w:pStyle w:val="CGC2025ParaNumbers"/>
      </w:pPr>
      <w:r w:rsidRPr="00497115">
        <w:t xml:space="preserve">Tasmania and South Australia also recommended the Commission consider removing industries with little relevance to the public sector, such as mining. </w:t>
      </w:r>
    </w:p>
    <w:p w14:paraId="45BF374D" w14:textId="77777777" w:rsidR="00CE2773" w:rsidRPr="00497115" w:rsidRDefault="00CE2773" w:rsidP="00820AAD">
      <w:pPr>
        <w:pStyle w:val="Heading4"/>
      </w:pPr>
      <w:r w:rsidRPr="00497115">
        <w:t>Commission response</w:t>
      </w:r>
    </w:p>
    <w:p w14:paraId="53B95D76" w14:textId="5093B005" w:rsidR="00CE2773" w:rsidRPr="00497115" w:rsidRDefault="00CE2773" w:rsidP="00820AAD">
      <w:pPr>
        <w:pStyle w:val="CGC2025ParaNumbers"/>
      </w:pPr>
      <w:r w:rsidRPr="00497115">
        <w:t xml:space="preserve">The Commission accepts the conceptual </w:t>
      </w:r>
      <w:r w:rsidR="00552278">
        <w:t>case</w:t>
      </w:r>
      <w:r w:rsidR="00552278" w:rsidRPr="00497115">
        <w:t xml:space="preserve"> </w:t>
      </w:r>
      <w:r w:rsidRPr="00497115">
        <w:t>that the accuracy of the model might be improved by either selecting a sub-sample of private sector workers more closely resembling the public sector workforce, or by reweighting the sample to better reflect the public sector profile. However, the ABS Characteristics of Employment Survey does not have a sufficiently large sample to support these options. The Commission considers that the reduction in sample size from a female</w:t>
      </w:r>
      <w:r w:rsidR="00FB4334">
        <w:noBreakHyphen/>
      </w:r>
      <w:r w:rsidRPr="00497115">
        <w:t xml:space="preserve">only model would outweigh any potential gains in accuracy, particularly given the objective to mitigate volatility. </w:t>
      </w:r>
    </w:p>
    <w:p w14:paraId="09436591" w14:textId="4502BD1C" w:rsidR="00CE2773" w:rsidRPr="00497115" w:rsidRDefault="00CE2773" w:rsidP="00820AAD">
      <w:pPr>
        <w:pStyle w:val="CGC2025ParaNumbers"/>
      </w:pPr>
      <w:r w:rsidRPr="00497115">
        <w:t>The Commission developed a model in which private sector workers were reweighted by gender, to reflect the gender breakdown of the public sector workforce. As with limiting the sample to females only, reducing the weights of males relative to females in the sample reduced the explanatory power of the model and increased the standard errors of the estimates, although not to the same extent as the female</w:t>
      </w:r>
      <w:r w:rsidR="008E4E92">
        <w:noBreakHyphen/>
      </w:r>
      <w:r w:rsidRPr="00497115">
        <w:t xml:space="preserve">only model. The coefficients produced by the model were no better correlated to the public sector coefficients than when using the unadjusted weights in the private sector sample. </w:t>
      </w:r>
    </w:p>
    <w:p w14:paraId="799C1C27" w14:textId="77777777" w:rsidR="00CE2773" w:rsidRPr="00497115" w:rsidRDefault="00CE2773" w:rsidP="00820AAD">
      <w:pPr>
        <w:pStyle w:val="CGC2025ParaNumbers"/>
      </w:pPr>
      <w:r w:rsidRPr="00497115">
        <w:t xml:space="preserve">Weighting the sample to reflect the size of a group in the public sector has some conceptual appeal. However, to do this by industry would result in a very small effective sample and one dominated by private sector health and education industries, which are likely to be more affected by wage setting policies of the state government. </w:t>
      </w:r>
    </w:p>
    <w:p w14:paraId="74F0F203" w14:textId="77777777" w:rsidR="00CE2773" w:rsidRPr="00497115" w:rsidRDefault="00CE2773" w:rsidP="00820AAD">
      <w:pPr>
        <w:pStyle w:val="CGC2025ParaNumbers"/>
      </w:pPr>
      <w:r w:rsidRPr="00497115">
        <w:t xml:space="preserve">The Commission also investigated a model in which private sector workers were weighted according to their industry. Weighting to the actual industries of employment in the public sector would drastically reduce the effective sample, as outlined above. Instead, a proxy measure of substitutability across industries was applied. </w:t>
      </w:r>
    </w:p>
    <w:p w14:paraId="5A814204" w14:textId="4F891DAC" w:rsidR="00CE2773" w:rsidRPr="00497115" w:rsidRDefault="00CE2773" w:rsidP="00820AAD">
      <w:pPr>
        <w:pStyle w:val="CGC2025ParaNumbers"/>
      </w:pPr>
      <w:r w:rsidRPr="00497115">
        <w:t>Using the Australian Census Longitudinal Dataset, the Commission examined the numbers of public sector workers in 2011 who worked in each private sector industry in 2016, among workers who did not change their level of qualification between 2011</w:t>
      </w:r>
      <w:r w:rsidR="0004330B">
        <w:t> </w:t>
      </w:r>
      <w:r w:rsidRPr="00497115">
        <w:t>and 2016.</w:t>
      </w:r>
      <w:r w:rsidRPr="00793696">
        <w:rPr>
          <w:vertAlign w:val="superscript"/>
        </w:rPr>
        <w:footnoteReference w:id="4"/>
      </w:r>
      <w:r w:rsidRPr="00793696">
        <w:rPr>
          <w:vertAlign w:val="superscript"/>
        </w:rPr>
        <w:t xml:space="preserve"> </w:t>
      </w:r>
      <w:r w:rsidR="00793696">
        <w:rPr>
          <w:vertAlign w:val="superscript"/>
        </w:rPr>
        <w:t xml:space="preserve"> </w:t>
      </w:r>
      <w:r w:rsidRPr="00497115">
        <w:t xml:space="preserve">These data were used as a proxy for how substitutable workers in each of those industries are with public sector workers. A new model was built after reweighting workers by industry based on this measure. </w:t>
      </w:r>
    </w:p>
    <w:p w14:paraId="2BCE8712" w14:textId="77777777" w:rsidR="00CE2773" w:rsidRPr="00497115" w:rsidRDefault="00CE2773" w:rsidP="00820AAD">
      <w:pPr>
        <w:pStyle w:val="CGC2025ParaNumbers"/>
      </w:pPr>
      <w:r w:rsidRPr="00497115">
        <w:t xml:space="preserve">Former public sector workers are most under-represented in the manufacturing and retail trade industries. Private sector workers in these industries had their weight reduced to one-third of the weight they have in the standard model. Workers who left the public sector were most over-represented in the education and training industry. Private sector workers in this industry were given 2.5 times the weight they had in the standard model. While this approach is more representative of public sector type workers, the reduction in the effective sample more than offsets this gain. The reduction in effective sample introduced sufficient random error to drown out any potential gains in accuracy, and standard errors were raised considerably. </w:t>
      </w:r>
    </w:p>
    <w:p w14:paraId="2D207B6E" w14:textId="73AF4B6F" w:rsidR="00CE2773" w:rsidRPr="00497115" w:rsidRDefault="00CE2773" w:rsidP="00820AAD">
      <w:pPr>
        <w:pStyle w:val="CGC2025ParaNumbers"/>
      </w:pPr>
      <w:r w:rsidRPr="00497115">
        <w:t>The average standard errors of estimates of state relative wages using the alternative weighting methods tested by the Commission are shown in</w:t>
      </w:r>
      <w:r w:rsidR="00CC715A">
        <w:t xml:space="preserve"> Figure</w:t>
      </w:r>
      <w:r w:rsidR="00AF14AF">
        <w:t xml:space="preserve"> 1</w:t>
      </w:r>
      <w:r w:rsidRPr="00497115">
        <w:t>.</w:t>
      </w:r>
    </w:p>
    <w:p w14:paraId="522C0626" w14:textId="77777777" w:rsidR="00CE2773" w:rsidRPr="00497115" w:rsidRDefault="00CE2773" w:rsidP="00CE2773">
      <w:bookmarkStart w:id="0" w:name="_Ref163460465"/>
      <w:r w:rsidRPr="00497115">
        <w:br w:type="page"/>
      </w:r>
    </w:p>
    <w:p w14:paraId="45DAABB3" w14:textId="26E785AD" w:rsidR="7ED3C147" w:rsidRDefault="00CE2773" w:rsidP="00793696">
      <w:pPr>
        <w:pStyle w:val="CGC2025Caption"/>
        <w:tabs>
          <w:tab w:val="left" w:pos="1134"/>
        </w:tabs>
        <w:ind w:left="1134" w:hanging="1134"/>
      </w:pPr>
      <w:r w:rsidRPr="00497115">
        <w:t xml:space="preserve">Figure </w:t>
      </w:r>
      <w:r w:rsidR="000268BC">
        <w:fldChar w:fldCharType="begin"/>
      </w:r>
      <w:r w:rsidR="000268BC">
        <w:instrText xml:space="preserve"> SEQ Figure \* ARABIC </w:instrText>
      </w:r>
      <w:r w:rsidR="000268BC">
        <w:fldChar w:fldCharType="separate"/>
      </w:r>
      <w:r w:rsidRPr="00497115">
        <w:t>1</w:t>
      </w:r>
      <w:r w:rsidR="000268BC">
        <w:fldChar w:fldCharType="end"/>
      </w:r>
      <w:bookmarkEnd w:id="0"/>
      <w:r w:rsidRPr="00497115">
        <w:tab/>
        <w:t>Average standard errors on state relative estimates using alternative sample weighting methods</w:t>
      </w:r>
    </w:p>
    <w:p w14:paraId="75501D86" w14:textId="2ECDE8A7" w:rsidR="00521087" w:rsidRDefault="0024386D" w:rsidP="00820AAD">
      <w:pPr>
        <w:pStyle w:val="CGC2025Caption"/>
      </w:pPr>
      <w:r w:rsidRPr="0024386D">
        <w:rPr>
          <w:noProof/>
        </w:rPr>
        <w:drawing>
          <wp:inline distT="0" distB="0" distL="0" distR="0" wp14:anchorId="1DA12A9A" wp14:editId="73AE2E0B">
            <wp:extent cx="5677200" cy="3607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7200" cy="3607585"/>
                    </a:xfrm>
                    <a:prstGeom prst="rect">
                      <a:avLst/>
                    </a:prstGeom>
                    <a:noFill/>
                    <a:ln>
                      <a:noFill/>
                    </a:ln>
                  </pic:spPr>
                </pic:pic>
              </a:graphicData>
            </a:graphic>
          </wp:inline>
        </w:drawing>
      </w:r>
    </w:p>
    <w:p w14:paraId="2BAE8497" w14:textId="75ABA22B" w:rsidR="009D1087" w:rsidRPr="005D7402" w:rsidRDefault="009D1087" w:rsidP="00911599">
      <w:pPr>
        <w:pStyle w:val="CGC2025TableNote"/>
        <w:ind w:left="680" w:hanging="567"/>
      </w:pPr>
      <w:r w:rsidRPr="005D7402">
        <w:t xml:space="preserve">Note: </w:t>
      </w:r>
      <w:r w:rsidR="00911599">
        <w:tab/>
      </w:r>
      <w:r w:rsidR="00911599">
        <w:tab/>
      </w:r>
      <w:r w:rsidRPr="005D7402">
        <w:t>Average standard errors over 5 years of annual estimates 2018–2023, using the Commissions proposed 2025 Review model specification.</w:t>
      </w:r>
    </w:p>
    <w:p w14:paraId="612157EA" w14:textId="77777777" w:rsidR="009D1087" w:rsidRPr="005D7402" w:rsidRDefault="009D1087" w:rsidP="009D1087">
      <w:pPr>
        <w:pStyle w:val="CGC2025TableNote"/>
      </w:pPr>
      <w:r w:rsidRPr="005D7402">
        <w:t>Source: Commission calculations using Characteristics of Employees survey data and Australian Census Longitudinal Data.</w:t>
      </w:r>
    </w:p>
    <w:p w14:paraId="57369BA6" w14:textId="77777777" w:rsidR="009D1087" w:rsidRPr="005D7402" w:rsidRDefault="009D1087" w:rsidP="008548CF">
      <w:pPr>
        <w:pStyle w:val="CGC2025ParaNumbers"/>
      </w:pPr>
      <w:r w:rsidRPr="005D7402">
        <w:t xml:space="preserve">The Commission does not consider that the added complexity of creating custom weights in the survey data is justified. Reducing the sample by omitting individuals based on their industry, occupation or gender is likewise hard to justify and greatly reduces the reliability of estimates. </w:t>
      </w:r>
    </w:p>
    <w:p w14:paraId="64FE21DE" w14:textId="77777777" w:rsidR="009D1087" w:rsidRPr="005D7402" w:rsidRDefault="009D1087" w:rsidP="008548CF">
      <w:pPr>
        <w:pStyle w:val="Heading4"/>
      </w:pPr>
      <w:r w:rsidRPr="005D7402">
        <w:t>Commission draft position</w:t>
      </w:r>
    </w:p>
    <w:p w14:paraId="04663771" w14:textId="77777777" w:rsidR="009D1087" w:rsidRPr="005D7402" w:rsidRDefault="009D1087" w:rsidP="008548CF">
      <w:pPr>
        <w:pStyle w:val="CGC2025ParaNumbers"/>
      </w:pPr>
      <w:r w:rsidRPr="005D7402">
        <w:t xml:space="preserve">The Commission does not propose to exclude groups from or apply custom weights to the private sector employees survey data. </w:t>
      </w:r>
    </w:p>
    <w:p w14:paraId="60698BD7" w14:textId="77777777" w:rsidR="009D1087" w:rsidRPr="005D7402" w:rsidRDefault="009D1087" w:rsidP="008548CF">
      <w:pPr>
        <w:pStyle w:val="Heading3"/>
      </w:pPr>
      <w:r w:rsidRPr="005D7402">
        <w:t>Q3. Do states support the continued use of the Characteristics of Employment survey data?</w:t>
      </w:r>
    </w:p>
    <w:p w14:paraId="4C26B43C" w14:textId="77777777" w:rsidR="009D1087" w:rsidRPr="005D7402" w:rsidRDefault="009D1087" w:rsidP="008548CF">
      <w:pPr>
        <w:pStyle w:val="Heading4"/>
      </w:pPr>
      <w:r w:rsidRPr="005D7402">
        <w:t>State views</w:t>
      </w:r>
    </w:p>
    <w:p w14:paraId="03DD48AD" w14:textId="77777777" w:rsidR="009D1087" w:rsidRPr="005D7402" w:rsidRDefault="009D1087" w:rsidP="0019593F">
      <w:pPr>
        <w:pStyle w:val="CGC2025ParaNumbers"/>
      </w:pPr>
      <w:r w:rsidRPr="005D7402">
        <w:t>Most states supported the use of the ABS Characteristics of Employment Survey. Several states encouraged investigation into other data sources for the purposes of validating the results, or as potential alternative assessment methods.</w:t>
      </w:r>
    </w:p>
    <w:p w14:paraId="5B39D762" w14:textId="77777777" w:rsidR="009D1087" w:rsidRPr="005D7402" w:rsidRDefault="009D1087" w:rsidP="0019593F">
      <w:pPr>
        <w:pStyle w:val="CGC2025ParaNumbers"/>
      </w:pPr>
      <w:r w:rsidRPr="005D7402">
        <w:t>Tasmania expressed concern over the Tasmanian sample size resulting in high standard errors. It also drew attention to variables concerning workplace size and employee health not being available in the Characteristics of Employment Survey, and considered their absence may bias state coefficients.</w:t>
      </w:r>
    </w:p>
    <w:p w14:paraId="5508AFD4" w14:textId="77777777" w:rsidR="009D1087" w:rsidRPr="005D7402" w:rsidRDefault="009D1087" w:rsidP="0019593F">
      <w:pPr>
        <w:pStyle w:val="CGC2025ParaNumbers"/>
      </w:pPr>
      <w:r w:rsidRPr="005D7402">
        <w:t>Several states expressed an interest in investigating the use of alternative data sources. Victoria suggested the Household, Income and Labour Dynamics in Australia Survey, Victoria and Queensland suggested the Person Level Integrated Data Asset.</w:t>
      </w:r>
      <w:r w:rsidRPr="00AE3B78">
        <w:rPr>
          <w:vertAlign w:val="superscript"/>
        </w:rPr>
        <w:footnoteReference w:id="5"/>
      </w:r>
    </w:p>
    <w:p w14:paraId="494E4111" w14:textId="77777777" w:rsidR="009D1087" w:rsidRPr="005D7402" w:rsidRDefault="009D1087" w:rsidP="0019593F">
      <w:pPr>
        <w:pStyle w:val="CGC2025ParaNumbers"/>
      </w:pPr>
      <w:r w:rsidRPr="005D7402">
        <w:t>Western Australia expressed concerns that a household survey, such as the Characteristics of Employment Survey, is significantly affected by measurement error. It said this may be alleviated by an employer survey such as Average Weekly Earnings. It said that the reduced range of variables that can be controlled for would be more than offset by the increased quality of labour cost data. The ACT suggested considering the Monthly Employee Earnings and Weekly Payroll Jobs, or the Linked Employer-Employee Database.</w:t>
      </w:r>
    </w:p>
    <w:p w14:paraId="5A22F5FA" w14:textId="77777777" w:rsidR="009D1087" w:rsidRPr="005D7402" w:rsidRDefault="009D1087" w:rsidP="0019593F">
      <w:pPr>
        <w:pStyle w:val="Heading4"/>
      </w:pPr>
      <w:r w:rsidRPr="005D7402">
        <w:t>Commission response</w:t>
      </w:r>
    </w:p>
    <w:p w14:paraId="0A4358A2" w14:textId="77777777" w:rsidR="009D1087" w:rsidRPr="005D7402" w:rsidRDefault="009D1087" w:rsidP="00C56EDE">
      <w:pPr>
        <w:pStyle w:val="CGC2025ParaNumbers"/>
      </w:pPr>
      <w:r w:rsidRPr="005D7402">
        <w:t>For use in the wages assessment, a dataset should:</w:t>
      </w:r>
    </w:p>
    <w:p w14:paraId="54ABE60A" w14:textId="77777777" w:rsidR="009D1087" w:rsidRPr="005D7402" w:rsidRDefault="009D1087" w:rsidP="00C56EDE">
      <w:pPr>
        <w:pStyle w:val="CGC2025Bullet1"/>
      </w:pPr>
      <w:r w:rsidRPr="005D7402">
        <w:t>have a large sample size in all states to estimate all state coefficients with reasonable certainty</w:t>
      </w:r>
    </w:p>
    <w:p w14:paraId="61A4E765" w14:textId="77777777" w:rsidR="009D1087" w:rsidRPr="005D7402" w:rsidRDefault="009D1087" w:rsidP="00C56EDE">
      <w:pPr>
        <w:pStyle w:val="CGC2025Bullet1"/>
      </w:pPr>
      <w:r w:rsidRPr="005D7402">
        <w:t>have sufficient information about factors that determine differences in wages between individuals</w:t>
      </w:r>
    </w:p>
    <w:p w14:paraId="0E4DFEC3" w14:textId="77777777" w:rsidR="009D1087" w:rsidRPr="005D7402" w:rsidRDefault="009D1087" w:rsidP="00C56EDE">
      <w:pPr>
        <w:pStyle w:val="CGC2025Bullet1"/>
      </w:pPr>
      <w:r w:rsidRPr="005D7402">
        <w:t xml:space="preserve">reliably capture the data it purports to capture. </w:t>
      </w:r>
    </w:p>
    <w:p w14:paraId="613335FC" w14:textId="77777777" w:rsidR="009D1087" w:rsidRPr="005D7402" w:rsidRDefault="009D1087" w:rsidP="00C56EDE">
      <w:pPr>
        <w:pStyle w:val="CGC2025ParaNumbers"/>
      </w:pPr>
      <w:r w:rsidRPr="005D7402">
        <w:t>Each available dataset has relative strengths and weaknesses in these domains. The Commission needs to identify the data source with the best overall combination of the above attributes. Its analysis has found the following:</w:t>
      </w:r>
    </w:p>
    <w:p w14:paraId="04AAF8C4" w14:textId="77777777" w:rsidR="009D1087" w:rsidRPr="005D7402" w:rsidRDefault="009D1087" w:rsidP="00891FB8">
      <w:pPr>
        <w:pStyle w:val="CGC2025Bullet1"/>
      </w:pPr>
      <w:r w:rsidRPr="005D7402">
        <w:t>The Household, Income and Labour Dynamics in Australia survey</w:t>
      </w:r>
      <w:r w:rsidRPr="005D7402" w:rsidDel="00A9531C">
        <w:t xml:space="preserve"> </w:t>
      </w:r>
      <w:r w:rsidRPr="005D7402">
        <w:t xml:space="preserve">allows for control for endogeneity through a range of employee information, but it has an extremely small sample size. For example, it follows the same sample of fewer than 50 private sector employees in the Northern Territory every year. By comparison, the Characteristics of Employment Survey creates independent samples of over 500 private sector employees in the Northern Territory each year. </w:t>
      </w:r>
    </w:p>
    <w:p w14:paraId="2E16201E" w14:textId="77777777" w:rsidR="009D1087" w:rsidRPr="005D7402" w:rsidRDefault="009D1087" w:rsidP="00891FB8">
      <w:pPr>
        <w:pStyle w:val="CGC2025Bullet1"/>
      </w:pPr>
      <w:r w:rsidRPr="005D7402">
        <w:t>The Person Level Integrated Data Asset (or other linked administrative datasets) has a much larger sample than survey-based data, however the quality of the data is lower. It would be necessary to relate total income earned in a financial year (as reported to the Australian Taxation Office) to the occupation, hours and other attributes described for one week in August in the census. This weak link between the outcome of interest (annual income) and the predictors (employment status and occupation at one point in time) reduces the precision of the model.</w:t>
      </w:r>
    </w:p>
    <w:p w14:paraId="21DAD91F" w14:textId="77777777" w:rsidR="009D1087" w:rsidRPr="005D7402" w:rsidRDefault="009D1087" w:rsidP="00891FB8">
      <w:pPr>
        <w:pStyle w:val="CGC2025Bullet1"/>
      </w:pPr>
      <w:r w:rsidRPr="005D7402">
        <w:t xml:space="preserve">Employer-based collections, such as Average Weekly Earnings, Single Touch Payroll data, or the Linked Employer-Employee Dataset, may provide a more precise estimate of labour costs. However, they only allow limited controls such as industry and hours. This means they cannot adjust for key differences in state labour markets. </w:t>
      </w:r>
    </w:p>
    <w:p w14:paraId="63C832E8" w14:textId="46986B54" w:rsidR="009D1087" w:rsidRPr="005D7402" w:rsidRDefault="009D1087" w:rsidP="00C56EDE">
      <w:pPr>
        <w:pStyle w:val="CGC2025ParaNumbers"/>
      </w:pPr>
      <w:r w:rsidRPr="005D7402">
        <w:t>For validation purposes, the Commission has built models using the Person Level Integrated Data Asset and the Household, Income and Labour Dynamics in Australia survey data. While it does not see these as alternative datasets for the Commission’s assessment, they help to provide confidence in the patterns found in the Characteristics of Employment Survey and can assist in identifying any bias from using this dataset.</w:t>
      </w:r>
    </w:p>
    <w:p w14:paraId="1255D469" w14:textId="77777777" w:rsidR="009D1087" w:rsidRPr="005D7402" w:rsidRDefault="009D1087" w:rsidP="00891FB8">
      <w:pPr>
        <w:pStyle w:val="CGC2025ParaNumbers"/>
      </w:pPr>
      <w:r w:rsidRPr="005D7402">
        <w:t>The models using the alternative data sources all show the same basic pattern between states. Switching to an alternative data source would not change the general ordering of the states but would increase the quantum of the effects for smaller states, due to a reduced ability to control for confounding variables in the alternative data sources identified.</w:t>
      </w:r>
    </w:p>
    <w:p w14:paraId="01C289BA" w14:textId="77777777" w:rsidR="009D1087" w:rsidRPr="005D7402" w:rsidRDefault="009D1087" w:rsidP="00891FB8">
      <w:pPr>
        <w:pStyle w:val="CGC2025ParaNumbers"/>
      </w:pPr>
      <w:r w:rsidRPr="005D7402">
        <w:t xml:space="preserve">Analysis of Tasmania’s concerns with potential bias due to omission of workplace size and employee health controls has been conducted using the Household, Income and Labour Dynamics in Australia survey data. </w:t>
      </w:r>
    </w:p>
    <w:p w14:paraId="1F2A6649" w14:textId="77777777" w:rsidR="009D1087" w:rsidRPr="005D7402" w:rsidRDefault="009D1087" w:rsidP="00891FB8">
      <w:pPr>
        <w:pStyle w:val="CGC2025ParaNumbers"/>
      </w:pPr>
      <w:r w:rsidRPr="005D7402">
        <w:t xml:space="preserve">Including an index of self-reported health in a model using the Household, Income and Labour Dynamics in Australia survey data did improve the ability to predict individual level wages, however it had no consistent effect on any state coefficients. There is no evidence to suggest that there is any bias in the state estimates due to the health of the workforce in different states. This is consistent with poor health reducing a person’s earnings. While some states have poorer average health outcomes than others, these health differences are largely explained by other variables in the model, such as lower educational attainment, fewer hours worked and lower skilled occupations. </w:t>
      </w:r>
    </w:p>
    <w:p w14:paraId="38A2BD76" w14:textId="77777777" w:rsidR="009D1087" w:rsidRPr="005D7402" w:rsidRDefault="009D1087" w:rsidP="00891FB8">
      <w:pPr>
        <w:pStyle w:val="CGC2025ParaNumbers"/>
      </w:pPr>
      <w:r w:rsidRPr="005D7402">
        <w:t>There is a documented effect of workplace size on wages.</w:t>
      </w:r>
      <w:r w:rsidRPr="00AE3B78">
        <w:rPr>
          <w:vertAlign w:val="superscript"/>
        </w:rPr>
        <w:footnoteReference w:id="6"/>
      </w:r>
      <w:r w:rsidRPr="005D7402">
        <w:t xml:space="preserve"> Workers in small workplaces have less opportunity for advancement, and thus tend to have lower wages than comparable workers in larger workplaces. Smaller workplaces also provide less opportunity for specialisation and reduced ability to match labour with capital, resulting in lower productivity and reduced wages. </w:t>
      </w:r>
    </w:p>
    <w:p w14:paraId="564B3886" w14:textId="77777777" w:rsidR="009D1087" w:rsidRPr="005D7402" w:rsidRDefault="009D1087" w:rsidP="00891FB8">
      <w:pPr>
        <w:pStyle w:val="CGC2025ParaNumbers"/>
      </w:pPr>
      <w:r w:rsidRPr="005D7402">
        <w:t xml:space="preserve">Including a coefficient of workplace size in a model using the Household, Income and Labour Dynamics in Australia survey data led to increased explanatory power of the model and consistently moved the coefficient for one state (Tasmania). While the level of movement is extremely small relative to the reliability of the limited survey data and is never statistically significant, it does represent a material difference for Tasmania. Unfortunately, the Household Income and Labour Dynamics survey does not have sufficient sample size to reliably measure such effects, especially for smaller states, so these results must be treated with caution. </w:t>
      </w:r>
    </w:p>
    <w:p w14:paraId="1EC452A9" w14:textId="77777777" w:rsidR="009D1087" w:rsidRPr="005D7402" w:rsidRDefault="009D1087" w:rsidP="00891FB8">
      <w:pPr>
        <w:pStyle w:val="CGC2025ParaNumbers"/>
      </w:pPr>
      <w:r w:rsidRPr="005D7402">
        <w:t xml:space="preserve">If this variable existed in the Characteristics of Employment Survey and showed the same relationship to state coefficients as it does in Household, Income and Labour Dynamics in Australia survey data, then the Commission could include it in its model. </w:t>
      </w:r>
    </w:p>
    <w:p w14:paraId="6CA3D909" w14:textId="77777777" w:rsidR="009D1087" w:rsidRPr="005D7402" w:rsidRDefault="009D1087" w:rsidP="00891FB8">
      <w:pPr>
        <w:pStyle w:val="CGC2025ParaNumbers"/>
      </w:pPr>
      <w:r w:rsidRPr="005D7402">
        <w:t xml:space="preserve">The Commission has built models in the Person Level Integrated Data Asset and tested the inclusion of a proxy for workplace size. There is no material effect of including workplace size for any state other than the Northern Territory in those data. This result does come with a caveat, as the employee and work characteristics in the model all come from the 2021 Census week, when many workplaces were affected by COVID-19 emergency measures. </w:t>
      </w:r>
    </w:p>
    <w:p w14:paraId="64CA1E96" w14:textId="77777777" w:rsidR="009D1087" w:rsidRPr="005D7402" w:rsidRDefault="009D1087" w:rsidP="00891FB8">
      <w:pPr>
        <w:pStyle w:val="CGC2025ParaNumbers"/>
      </w:pPr>
      <w:r w:rsidRPr="005D7402">
        <w:t xml:space="preserve">The balance of evidence is not compelling that there is a consistent bias in the model due to the omission of workplace size as an explanatory variable. However, the possibility of such bias cannot be ruled out, and the Commission will continue to investigate this issue after the 2025 Review as further data become available. </w:t>
      </w:r>
    </w:p>
    <w:p w14:paraId="3904451F" w14:textId="77777777" w:rsidR="009D1087" w:rsidRPr="005D7402" w:rsidRDefault="009D1087" w:rsidP="00891FB8">
      <w:pPr>
        <w:pStyle w:val="CGC2025ParaNumbers"/>
      </w:pPr>
      <w:r w:rsidRPr="005D7402">
        <w:t>The Commission considered using Average Weekly Earnings in the 2020 Review. It concluded that, without controls for basic human capital underpinning the Mincer model, a model based on Average Weekly Earnings would be overly affected by omitted variable bias.</w:t>
      </w:r>
      <w:r w:rsidRPr="00240BB1">
        <w:rPr>
          <w:vertAlign w:val="superscript"/>
        </w:rPr>
        <w:footnoteReference w:id="7"/>
      </w:r>
      <w:r w:rsidRPr="005D7402">
        <w:t xml:space="preserve"> Some differences in labour market composition can be controlled for by industry in an Average Weekly Earnings based model. However, differences within industries between states due to workforce characteristics cannot be controlled for using Average Weekly Earnings data. </w:t>
      </w:r>
    </w:p>
    <w:p w14:paraId="73DC8DED" w14:textId="690A4D2B" w:rsidR="009D1087" w:rsidRPr="005D7402" w:rsidRDefault="009D1087" w:rsidP="00891FB8">
      <w:pPr>
        <w:pStyle w:val="CGC2025ParaNumbers"/>
      </w:pPr>
      <w:r w:rsidRPr="005D7402">
        <w:t>To evaluate the bias present in a model using Average Weekly Earnings data, the Commission constructed a model in the Characteristics of Employment Survey, controlling for only the information available in Average Weekly Earnings (gender, industry, and basic hours controls). This model resulted in lower overall model fit, higher standard errors on state coefficients and systematically different estimates to the proposed model. This systematic difference in state estimates indicates the existence of systematic bias due to omitted variables in the model. Excluding variables in the Characteristics of Employment Survey, but not in the Average Weekly Earnings, would systematically increase the estimated wage coefficients for New</w:t>
      </w:r>
      <w:r w:rsidR="00891522">
        <w:t> </w:t>
      </w:r>
      <w:r w:rsidRPr="005D7402">
        <w:t>South Wales and Victoria and reduce them for all other states (</w:t>
      </w:r>
      <w:r w:rsidR="00CC715A">
        <w:t>Figure</w:t>
      </w:r>
      <w:r w:rsidR="00AF14AF">
        <w:t xml:space="preserve"> </w:t>
      </w:r>
      <w:r w:rsidR="00CC715A">
        <w:t>2</w:t>
      </w:r>
      <w:r w:rsidRPr="005D7402">
        <w:t xml:space="preserve">). </w:t>
      </w:r>
    </w:p>
    <w:p w14:paraId="6F3DAADD" w14:textId="77777777" w:rsidR="009D1087" w:rsidRPr="005D7402" w:rsidRDefault="009D1087" w:rsidP="009D1087">
      <w:bookmarkStart w:id="1" w:name="_Ref163559289"/>
      <w:r w:rsidRPr="005D7402">
        <w:br w:type="page"/>
      </w:r>
    </w:p>
    <w:p w14:paraId="2BD0E489" w14:textId="685E3EFF" w:rsidR="009D1087" w:rsidRDefault="009D1087" w:rsidP="00AE3B78">
      <w:pPr>
        <w:pStyle w:val="CGC2025Caption"/>
        <w:tabs>
          <w:tab w:val="left" w:pos="1134"/>
        </w:tabs>
      </w:pPr>
      <w:r w:rsidRPr="005D7402">
        <w:t xml:space="preserve">Figure </w:t>
      </w:r>
      <w:r w:rsidR="000268BC">
        <w:fldChar w:fldCharType="begin"/>
      </w:r>
      <w:r w:rsidR="000268BC">
        <w:instrText xml:space="preserve"> SEQ Figure \* ARABIC </w:instrText>
      </w:r>
      <w:r w:rsidR="000268BC">
        <w:fldChar w:fldCharType="separate"/>
      </w:r>
      <w:r w:rsidRPr="005D7402">
        <w:t>2</w:t>
      </w:r>
      <w:r w:rsidR="000268BC">
        <w:fldChar w:fldCharType="end"/>
      </w:r>
      <w:bookmarkEnd w:id="1"/>
      <w:r w:rsidRPr="005D7402">
        <w:tab/>
        <w:t xml:space="preserve">Bias introduced by removing variables not in </w:t>
      </w:r>
      <w:r w:rsidR="0053469D">
        <w:t xml:space="preserve">ABS </w:t>
      </w:r>
      <w:r w:rsidRPr="005D7402">
        <w:t>Average Weekly Earnings</w:t>
      </w:r>
    </w:p>
    <w:p w14:paraId="31B01897" w14:textId="7050510E" w:rsidR="00DC0CC5" w:rsidRPr="005D7402" w:rsidRDefault="00545237" w:rsidP="00891FB8">
      <w:pPr>
        <w:pStyle w:val="CGC2025Caption"/>
      </w:pPr>
      <w:r w:rsidRPr="00545237">
        <w:rPr>
          <w:noProof/>
        </w:rPr>
        <w:drawing>
          <wp:inline distT="0" distB="0" distL="0" distR="0" wp14:anchorId="1C3FC052" wp14:editId="1D5DAB1F">
            <wp:extent cx="5677200" cy="361362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7200" cy="3613628"/>
                    </a:xfrm>
                    <a:prstGeom prst="rect">
                      <a:avLst/>
                    </a:prstGeom>
                    <a:noFill/>
                    <a:ln>
                      <a:noFill/>
                    </a:ln>
                  </pic:spPr>
                </pic:pic>
              </a:graphicData>
            </a:graphic>
          </wp:inline>
        </w:drawing>
      </w:r>
    </w:p>
    <w:p w14:paraId="411F6325" w14:textId="77777777" w:rsidR="004F1238" w:rsidRPr="008B68FC" w:rsidRDefault="004F1238" w:rsidP="004B236B">
      <w:pPr>
        <w:pStyle w:val="CGC2025TableNote"/>
      </w:pPr>
      <w:r w:rsidRPr="008B68FC">
        <w:t>Source: Commission calculation.</w:t>
      </w:r>
    </w:p>
    <w:p w14:paraId="6C2B6C03" w14:textId="77777777" w:rsidR="004F1238" w:rsidRPr="008B68FC" w:rsidRDefault="004F1238" w:rsidP="004B236B">
      <w:pPr>
        <w:pStyle w:val="Heading4"/>
      </w:pPr>
      <w:r w:rsidRPr="008B68FC">
        <w:t>Commission draft position</w:t>
      </w:r>
    </w:p>
    <w:p w14:paraId="58DBACAB" w14:textId="14213ACE" w:rsidR="004F1238" w:rsidRPr="008B68FC" w:rsidRDefault="004F1238" w:rsidP="004B236B">
      <w:pPr>
        <w:pStyle w:val="CGC2025ParaNumbers"/>
      </w:pPr>
      <w:r w:rsidRPr="008B68FC">
        <w:t xml:space="preserve">The Commission proposes to continue to use the </w:t>
      </w:r>
      <w:r w:rsidR="00BF65E7">
        <w:t xml:space="preserve">ABS </w:t>
      </w:r>
      <w:r w:rsidRPr="008B68FC">
        <w:t xml:space="preserve">Characteristics of Employees survey as the data source to measure differences in wage pressures between states. </w:t>
      </w:r>
    </w:p>
    <w:p w14:paraId="7E7C0671" w14:textId="77777777" w:rsidR="004F1238" w:rsidRPr="008B68FC" w:rsidRDefault="004F1238" w:rsidP="004B236B">
      <w:pPr>
        <w:pStyle w:val="Heading3"/>
      </w:pPr>
      <w:r w:rsidRPr="008B68FC">
        <w:t>Q4. Do states agree the Commission should use hourly wages rather than weekly wages as the dependent variable?</w:t>
      </w:r>
    </w:p>
    <w:p w14:paraId="77101396" w14:textId="77777777" w:rsidR="004F1238" w:rsidRPr="008B68FC" w:rsidRDefault="004F1238" w:rsidP="004B236B">
      <w:pPr>
        <w:pStyle w:val="Heading4"/>
      </w:pPr>
      <w:r w:rsidRPr="008B68FC">
        <w:t>State views</w:t>
      </w:r>
    </w:p>
    <w:p w14:paraId="3ECC491E" w14:textId="77777777" w:rsidR="004F1238" w:rsidRPr="008B68FC" w:rsidRDefault="004F1238" w:rsidP="004B236B">
      <w:pPr>
        <w:pStyle w:val="CGC2025ParaNumbers"/>
      </w:pPr>
      <w:r w:rsidRPr="008B68FC">
        <w:t>Most states did not express concerns with the use of hourly wages rather than weekly wages. Following advice from a report it commissioned, Queensland preferred weekly wages for 3 reasons.</w:t>
      </w:r>
      <w:r w:rsidRPr="00240BB1">
        <w:rPr>
          <w:vertAlign w:val="superscript"/>
        </w:rPr>
        <w:footnoteReference w:id="8"/>
      </w:r>
    </w:p>
    <w:p w14:paraId="3E1DE5D5" w14:textId="77777777" w:rsidR="004F1238" w:rsidRPr="008B68FC" w:rsidRDefault="004F1238" w:rsidP="005B3CCF">
      <w:pPr>
        <w:pStyle w:val="CGC2025Bullet1"/>
      </w:pPr>
      <w:r w:rsidRPr="008B68FC">
        <w:t>Hourly wages may lead to spurious correlation, especially if measures of hours or other variables correlated with hours of work are included as regressors.</w:t>
      </w:r>
    </w:p>
    <w:p w14:paraId="1C06DF5E" w14:textId="77777777" w:rsidR="004F1238" w:rsidRPr="008B68FC" w:rsidRDefault="004F1238" w:rsidP="005B3CCF">
      <w:pPr>
        <w:pStyle w:val="CGC2025Bullet1"/>
      </w:pPr>
      <w:r w:rsidRPr="008B68FC">
        <w:t>The use of hourly wages is better suited to samples in which workers vary their hours of work, while weekly wages are more appropriate where workers’ hours are comparable. The</w:t>
      </w:r>
      <w:r w:rsidRPr="008B68FC" w:rsidDel="00E9471B">
        <w:t xml:space="preserve"> </w:t>
      </w:r>
      <w:r w:rsidRPr="008B68FC">
        <w:t>rationale of the assessment is to measure differences in the earnings of comparable private sector workers, which is better aligned with the 2020 Review approach (estimating weekly wages)</w:t>
      </w:r>
    </w:p>
    <w:p w14:paraId="4EB3DB76" w14:textId="77777777" w:rsidR="004F1238" w:rsidRPr="008B68FC" w:rsidRDefault="004F1238" w:rsidP="005B3CCF">
      <w:pPr>
        <w:pStyle w:val="CGC2025Bullet1"/>
      </w:pPr>
      <w:r w:rsidRPr="008B68FC">
        <w:t>A switch to hourly wage from weekly wage decreases the explanatory power of the model.</w:t>
      </w:r>
    </w:p>
    <w:p w14:paraId="64F70E30" w14:textId="77777777" w:rsidR="004F1238" w:rsidRPr="008B68FC" w:rsidRDefault="004F1238" w:rsidP="005B3CCF">
      <w:pPr>
        <w:pStyle w:val="Heading4"/>
      </w:pPr>
      <w:r w:rsidRPr="008B68FC">
        <w:t>Commission response</w:t>
      </w:r>
    </w:p>
    <w:p w14:paraId="74E83CD9" w14:textId="77777777" w:rsidR="004F1238" w:rsidRPr="008B68FC" w:rsidRDefault="004F1238" w:rsidP="005B3CCF">
      <w:pPr>
        <w:pStyle w:val="CGC2025ParaNumbers"/>
      </w:pPr>
      <w:r w:rsidRPr="008B68FC">
        <w:t>A standard approach in the literature is to estimate a weekly wage when no information on hours worked is available.</w:t>
      </w:r>
      <w:r w:rsidRPr="00240BB1">
        <w:rPr>
          <w:vertAlign w:val="superscript"/>
        </w:rPr>
        <w:footnoteReference w:id="9"/>
      </w:r>
      <w:r w:rsidRPr="008B68FC">
        <w:t xml:space="preserve"> This is usually accompanied by a restriction to full-time workers, which ensures workers are comparable along the lines of hours of work. Using weekly wages is not favoured when detailed information on hours of work is available, since it reduces sample size significantly and will produce a result that is not informative of wage differences for part-time workers (who are prevalent in the public sector).</w:t>
      </w:r>
    </w:p>
    <w:p w14:paraId="0C7342E0" w14:textId="53B07412" w:rsidR="004F1238" w:rsidRPr="008B68FC" w:rsidRDefault="004F1238" w:rsidP="005B3CCF">
      <w:pPr>
        <w:pStyle w:val="CGC2025ParaNumbers"/>
      </w:pPr>
      <w:r w:rsidRPr="008B68FC">
        <w:t>As discussed in the wages consultation paper, the decrease in explanatory power (R</w:t>
      </w:r>
      <w:r w:rsidR="006126A4">
        <w:noBreakHyphen/>
      </w:r>
      <w:r w:rsidRPr="008B68FC">
        <w:t xml:space="preserve">squared) associated with a switch to hourly wages is not a real reduction in explanatory power. Weekly wages are much more variable than hourly wages, and a great deal of this variation can be directly explained by hours worked per week. Switching to hourly wage removes the variation that is explained directly by hours worked, so while the proportion of variation explained is reduced, the total unexplained variation remains the same. This change results in identical estimates on all coefficients other than logarithm of hours. </w:t>
      </w:r>
    </w:p>
    <w:p w14:paraId="3CD95089" w14:textId="77777777" w:rsidR="004F1238" w:rsidRPr="008B68FC" w:rsidRDefault="004F1238" w:rsidP="005B3CCF">
      <w:pPr>
        <w:pStyle w:val="CGC2025ParaNumbers"/>
      </w:pPr>
      <w:r w:rsidRPr="008B68FC">
        <w:t>The report commissioned by Queensland said that if state of residence is correlated with hours of work, this may bias state coefficients.</w:t>
      </w:r>
      <w:r w:rsidRPr="00240BB1">
        <w:rPr>
          <w:vertAlign w:val="superscript"/>
        </w:rPr>
        <w:footnoteReference w:id="10"/>
      </w:r>
      <w:r w:rsidRPr="008B68FC">
        <w:t xml:space="preserve"> This bias may affect a model predicting hourly wage as a ratio of weekly pay to hours worked, such as the proposed model, but not a model predicting weekly wage, such as the 2020 Review model.</w:t>
      </w:r>
    </w:p>
    <w:p w14:paraId="77F36458" w14:textId="77777777" w:rsidR="004F1238" w:rsidRPr="008B68FC" w:rsidRDefault="004F1238" w:rsidP="005B3CCF">
      <w:pPr>
        <w:pStyle w:val="CGC2025ParaNumbers"/>
      </w:pPr>
      <w:r w:rsidRPr="008B68FC">
        <w:t>The Commission tested this concern by including hours recorded on payslip in the proposed model in a form that makes it functionally equivalent to a weekly wage model. Inclusion of this variable did not improve the model fit, or substantively change state coefficients. This indicates that there is no bias to the state coefficients arising from the use of hourly wage.</w:t>
      </w:r>
    </w:p>
    <w:p w14:paraId="4F5D763C" w14:textId="77777777" w:rsidR="004F1238" w:rsidRPr="008B68FC" w:rsidRDefault="004F1238" w:rsidP="00826F5C">
      <w:pPr>
        <w:pStyle w:val="Heading5"/>
      </w:pPr>
      <w:r w:rsidRPr="008B68FC">
        <w:t>Data concerns</w:t>
      </w:r>
    </w:p>
    <w:p w14:paraId="4F8DB5C9" w14:textId="77777777" w:rsidR="004F1238" w:rsidRPr="008B68FC" w:rsidRDefault="004F1238" w:rsidP="00826F5C">
      <w:pPr>
        <w:pStyle w:val="CGC2025ParaNumbers"/>
      </w:pPr>
      <w:r w:rsidRPr="008B68FC">
        <w:t>Using hourly wage as the outcome variable requires measuring hours of work using the number of hours recorded on each individual’s payslip rather than their usual hours. In the 2021 survey data, first used in the 2023 Update, there were many workers stood down due to COVID-19 lockdown measures, and the link between usual hours and weekly wages was broken. In that situation the Commission used hours recorded on payslips to remove the bias. Large scale weather events, strikes or plant shutdowns could also lead to similar biases. An advantage of the new approach is that estimates will be robust to disruptions of this nature.</w:t>
      </w:r>
    </w:p>
    <w:p w14:paraId="0A83BFA2" w14:textId="77777777" w:rsidR="004F1238" w:rsidRPr="008B68FC" w:rsidRDefault="004F1238" w:rsidP="00826F5C">
      <w:pPr>
        <w:pStyle w:val="CGC2025ParaNumbers"/>
      </w:pPr>
      <w:r w:rsidRPr="008B68FC">
        <w:t xml:space="preserve">In the 2020 survey data however, there was a different bias due to stage 4 COVID-19 lockdowns in Melbourne combined with </w:t>
      </w:r>
      <w:proofErr w:type="spellStart"/>
      <w:r w:rsidRPr="008B68FC">
        <w:t>JobKeeper</w:t>
      </w:r>
      <w:proofErr w:type="spellEnd"/>
      <w:r w:rsidRPr="008B68FC">
        <w:t xml:space="preserve"> payments. This resulted in many workers being paid their usual salary, while their payslips showed reduced working hours. Under the weekly wage model with usual hours the </w:t>
      </w:r>
      <w:proofErr w:type="spellStart"/>
      <w:r w:rsidRPr="008B68FC">
        <w:t>JobKeeper</w:t>
      </w:r>
      <w:proofErr w:type="spellEnd"/>
      <w:r w:rsidRPr="008B68FC">
        <w:t xml:space="preserve"> bias was removed by removing workers earning exactly $750 per week, as for other workers their weekly wage reflected their usual hours of work. </w:t>
      </w:r>
    </w:p>
    <w:p w14:paraId="7B5B54A2" w14:textId="77777777" w:rsidR="004F1238" w:rsidRPr="008B68FC" w:rsidRDefault="004F1238" w:rsidP="00826F5C">
      <w:pPr>
        <w:pStyle w:val="CGC2025ParaNumbers"/>
      </w:pPr>
      <w:r w:rsidRPr="008B68FC">
        <w:t xml:space="preserve">Under the hourly wage model there is no easy way to remove the bias arising from this combination of </w:t>
      </w:r>
      <w:proofErr w:type="spellStart"/>
      <w:r w:rsidRPr="008B68FC">
        <w:t>JobKeeper</w:t>
      </w:r>
      <w:proofErr w:type="spellEnd"/>
      <w:r w:rsidRPr="008B68FC">
        <w:t xml:space="preserve"> payments and lockdowns. The relative state hourly wage estimates from the 2020 survey data are extreme outliers from the average, with a known cause of bias. The Commission proposes to remove the 2020 survey data from the methods used to estimate relative state wages. </w:t>
      </w:r>
    </w:p>
    <w:p w14:paraId="79CAC030" w14:textId="77777777" w:rsidR="004F1238" w:rsidRPr="008B68FC" w:rsidRDefault="004F1238" w:rsidP="00826F5C">
      <w:pPr>
        <w:pStyle w:val="Heading4"/>
      </w:pPr>
      <w:r w:rsidRPr="008B68FC">
        <w:t>Commission draft position</w:t>
      </w:r>
    </w:p>
    <w:p w14:paraId="723BDCA8" w14:textId="77777777" w:rsidR="004F1238" w:rsidRPr="008B68FC" w:rsidRDefault="004F1238" w:rsidP="00826F5C">
      <w:pPr>
        <w:pStyle w:val="CGC2025ParaNumbers"/>
      </w:pPr>
      <w:r w:rsidRPr="008B68FC">
        <w:t xml:space="preserve">The Commission proposes to use hourly wages rather than weekly wages as the dependent variable, and to disregard the biased estimates from 2020 when constructing relative state wage costs. </w:t>
      </w:r>
    </w:p>
    <w:p w14:paraId="7D8D1688" w14:textId="77777777" w:rsidR="004F1238" w:rsidRPr="008B68FC" w:rsidRDefault="004F1238" w:rsidP="00826F5C">
      <w:pPr>
        <w:pStyle w:val="Heading3"/>
      </w:pPr>
      <w:r w:rsidRPr="008B68FC">
        <w:t>Q5. Do states support including usual hours of work in the model as 3 categories, part-time, full-time and more than full-time hours?</w:t>
      </w:r>
    </w:p>
    <w:p w14:paraId="28A66933" w14:textId="77777777" w:rsidR="004F1238" w:rsidRPr="008B68FC" w:rsidRDefault="004F1238" w:rsidP="00826F5C">
      <w:pPr>
        <w:pStyle w:val="Heading4"/>
      </w:pPr>
      <w:r w:rsidRPr="008B68FC">
        <w:t>State views</w:t>
      </w:r>
    </w:p>
    <w:p w14:paraId="131EA4DE" w14:textId="77777777" w:rsidR="004F1238" w:rsidRPr="008B68FC" w:rsidRDefault="004F1238" w:rsidP="00826F5C">
      <w:pPr>
        <w:pStyle w:val="CGC2025ParaNumbers"/>
      </w:pPr>
      <w:r w:rsidRPr="008B68FC">
        <w:t>No state disagreed with this approach, however several asked for further justification. The ACT said</w:t>
      </w:r>
      <w:r w:rsidRPr="008B68FC" w:rsidDel="007B1EEA">
        <w:t xml:space="preserve"> </w:t>
      </w:r>
      <w:r w:rsidRPr="008B68FC">
        <w:t>that full-time and long-hours workers may have similar earning potential and therefore only a part-time control is needed.</w:t>
      </w:r>
    </w:p>
    <w:p w14:paraId="19A79C3D" w14:textId="77777777" w:rsidR="004F1238" w:rsidRPr="008B68FC" w:rsidRDefault="004F1238" w:rsidP="00826F5C">
      <w:pPr>
        <w:pStyle w:val="CGC2025ParaNumbers"/>
      </w:pPr>
      <w:r w:rsidRPr="008B68FC">
        <w:t>Queensland did not oppose investigation into this method. However, it questioned the conceptual basis for an hours control - in particular, the notion that an individual’s hourly pay may depend on their hours of work.</w:t>
      </w:r>
    </w:p>
    <w:p w14:paraId="4E217D7E" w14:textId="77777777" w:rsidR="004F1238" w:rsidRPr="008B68FC" w:rsidRDefault="004F1238" w:rsidP="00826F5C">
      <w:pPr>
        <w:pStyle w:val="Heading4"/>
      </w:pPr>
      <w:r w:rsidRPr="008B68FC">
        <w:t>Commission response</w:t>
      </w:r>
    </w:p>
    <w:p w14:paraId="75D8207D" w14:textId="77777777" w:rsidR="004F1238" w:rsidRPr="008B68FC" w:rsidRDefault="004F1238" w:rsidP="00826F5C">
      <w:pPr>
        <w:pStyle w:val="CGC2025ParaNumbers"/>
      </w:pPr>
      <w:r w:rsidRPr="008B68FC">
        <w:t>There are conceptual reasons for such a control. For example, an individual who usually works fewer hours is likely to accrue lower job-specific human capital with the same level of tenure, and therefore, hourly earnings may increase with hours of work. Conversely, an individual who regularly works overtime is likely to experience more rapid human capital accumulation.</w:t>
      </w:r>
    </w:p>
    <w:p w14:paraId="7F6353D1" w14:textId="77777777" w:rsidR="004F1238" w:rsidRPr="008B68FC" w:rsidRDefault="004F1238" w:rsidP="00826F5C">
      <w:pPr>
        <w:pStyle w:val="CGC2025ParaNumbers"/>
      </w:pPr>
      <w:r w:rsidRPr="008B68FC">
        <w:t>Part-time and long-hours effects have been identified in the literature.</w:t>
      </w:r>
      <w:r w:rsidRPr="0081157F">
        <w:rPr>
          <w:vertAlign w:val="superscript"/>
        </w:rPr>
        <w:footnoteReference w:id="11"/>
      </w:r>
      <w:r w:rsidRPr="008B68FC">
        <w:t xml:space="preserve"> These effects display a similar pattern to coefficient estimates from the model, where part-time workers earn a lower hourly wage and long-hours workers earn a higher wage. </w:t>
      </w:r>
    </w:p>
    <w:p w14:paraId="2093753C" w14:textId="77777777" w:rsidR="004F1238" w:rsidRPr="008B68FC" w:rsidRDefault="004F1238" w:rsidP="00826F5C">
      <w:pPr>
        <w:pStyle w:val="CGC2025ParaNumbers"/>
      </w:pPr>
      <w:r w:rsidRPr="008B68FC">
        <w:t xml:space="preserve">The ACT’s concern that hourly wages may not vary between full-time and long-hours workers is not supported by the data. The coefficients for these variables differ significantly, indicating that these workers have significantly different wage levels, after controlling for all other differences. </w:t>
      </w:r>
    </w:p>
    <w:p w14:paraId="54053F76" w14:textId="77777777" w:rsidR="004F1238" w:rsidRPr="008B68FC" w:rsidRDefault="004F1238" w:rsidP="00826F5C">
      <w:pPr>
        <w:pStyle w:val="Heading4"/>
      </w:pPr>
      <w:r w:rsidRPr="008B68FC">
        <w:t>Commission draft position</w:t>
      </w:r>
    </w:p>
    <w:p w14:paraId="68606257" w14:textId="77777777" w:rsidR="004F1238" w:rsidRPr="008B68FC" w:rsidRDefault="004F1238" w:rsidP="00826F5C">
      <w:pPr>
        <w:pStyle w:val="CGC2025ParaNumbers"/>
      </w:pPr>
      <w:r w:rsidRPr="008B68FC">
        <w:t xml:space="preserve">The Commission considers that hours worked can affect a person’s hourly wage, and proposes to include three categories of usual working hours in the model to capture this. </w:t>
      </w:r>
    </w:p>
    <w:p w14:paraId="54A98097" w14:textId="77777777" w:rsidR="004F1238" w:rsidRPr="008B68FC" w:rsidRDefault="004F1238" w:rsidP="00826F5C">
      <w:pPr>
        <w:pStyle w:val="Heading3"/>
      </w:pPr>
      <w:r w:rsidRPr="008B68FC">
        <w:t>Q6. Do states support replacing imputed work experience and imputed work experience squared with 5-year age groups?</w:t>
      </w:r>
    </w:p>
    <w:p w14:paraId="05B70AA8" w14:textId="77777777" w:rsidR="004F1238" w:rsidRPr="008B68FC" w:rsidRDefault="004F1238" w:rsidP="00826F5C">
      <w:pPr>
        <w:pStyle w:val="Heading4"/>
      </w:pPr>
      <w:r w:rsidRPr="008B68FC">
        <w:t>State views</w:t>
      </w:r>
    </w:p>
    <w:p w14:paraId="5A2094CA" w14:textId="2E6243BA" w:rsidR="004F1238" w:rsidRPr="008B68FC" w:rsidRDefault="004F1238" w:rsidP="00826F5C">
      <w:pPr>
        <w:pStyle w:val="CGC2025ParaNumbers"/>
      </w:pPr>
      <w:r w:rsidRPr="008B68FC">
        <w:t xml:space="preserve">No state disagreed with this approach. Queensland noted differing opinions on the best functional form between the Commission’s proposed approach, the Commission’s consultant’s report, and </w:t>
      </w:r>
      <w:r w:rsidR="0031157A">
        <w:t xml:space="preserve">its consultants from </w:t>
      </w:r>
      <w:r w:rsidRPr="008B68FC">
        <w:t>the University of Queensland as rationale for a discount.</w:t>
      </w:r>
    </w:p>
    <w:p w14:paraId="2EF8E758" w14:textId="77777777" w:rsidR="004F1238" w:rsidRPr="008B68FC" w:rsidRDefault="004F1238" w:rsidP="00826F5C">
      <w:pPr>
        <w:pStyle w:val="Heading4"/>
      </w:pPr>
      <w:r w:rsidRPr="008B68FC">
        <w:t>Commission draft position</w:t>
      </w:r>
    </w:p>
    <w:p w14:paraId="1DCFEC45" w14:textId="77777777" w:rsidR="004F1238" w:rsidRPr="008B68FC" w:rsidRDefault="004F1238" w:rsidP="00826F5C">
      <w:pPr>
        <w:pStyle w:val="CGC2025ParaNumbers"/>
      </w:pPr>
      <w:r w:rsidRPr="008B68FC">
        <w:t>The Commission proposes to replace work experience and work experience squared with 5-year age groups. Uncertainty regarding the ideal functional form is addressed in the Commission’s draft position on responses to question 10.</w:t>
      </w:r>
    </w:p>
    <w:p w14:paraId="4CA7C99D" w14:textId="77777777" w:rsidR="004F1238" w:rsidRPr="008B68FC" w:rsidRDefault="004F1238" w:rsidP="00826F5C">
      <w:pPr>
        <w:pStyle w:val="Heading3"/>
      </w:pPr>
      <w:r w:rsidRPr="008B68FC">
        <w:t>Q7. Do states agree with the Commission’s proposed criteria for including control variables in the model?</w:t>
      </w:r>
    </w:p>
    <w:p w14:paraId="5BEE6EDD" w14:textId="77777777" w:rsidR="004F1238" w:rsidRPr="008B68FC" w:rsidRDefault="004F1238" w:rsidP="00826F5C">
      <w:pPr>
        <w:pStyle w:val="Heading4"/>
      </w:pPr>
      <w:r w:rsidRPr="008B68FC">
        <w:t>State views</w:t>
      </w:r>
    </w:p>
    <w:p w14:paraId="65200487" w14:textId="77777777" w:rsidR="004F1238" w:rsidRPr="008B68FC" w:rsidRDefault="004F1238" w:rsidP="00826F5C">
      <w:pPr>
        <w:pStyle w:val="CGC2025ParaNumbers"/>
      </w:pPr>
      <w:r w:rsidRPr="008B68FC">
        <w:t>Most states agreed with this approach. New South Wales agreed that a variable must change state coefficients and have a strong conceptual basis. However, it disagreed that it must improve overall fit and decrease standard errors of state coefficients.</w:t>
      </w:r>
    </w:p>
    <w:p w14:paraId="185A8CA2" w14:textId="48EEB633" w:rsidR="004F1238" w:rsidRPr="008B68FC" w:rsidRDefault="004F1238" w:rsidP="00826F5C">
      <w:pPr>
        <w:pStyle w:val="CGC2025ParaNumbers"/>
      </w:pPr>
      <w:r w:rsidRPr="008B68FC">
        <w:t>Victoria agreed with the criteria, but did not consider that a sufficient conceptual case for each change has been demonstrated. It requested analysis, such as log</w:t>
      </w:r>
      <w:r w:rsidR="008D6464">
        <w:noBreakHyphen/>
      </w:r>
      <w:r w:rsidRPr="008B68FC">
        <w:t xml:space="preserve">likelihood tests and information criteria, to ensure the model is not overfitted. </w:t>
      </w:r>
    </w:p>
    <w:p w14:paraId="64D1D14E" w14:textId="17A72A68" w:rsidR="004F1238" w:rsidRPr="008B68FC" w:rsidRDefault="004F1238" w:rsidP="00826F5C">
      <w:pPr>
        <w:pStyle w:val="CGC2025ParaNumbers"/>
      </w:pPr>
      <w:r w:rsidRPr="008B68FC">
        <w:t>South Australia said that the criteria must be weighed against each other as a trade</w:t>
      </w:r>
      <w:r w:rsidR="00CE3615">
        <w:noBreakHyphen/>
      </w:r>
      <w:r w:rsidRPr="008B68FC">
        <w:t>off, rather than a list of requirements that must be completely satisfied.</w:t>
      </w:r>
    </w:p>
    <w:p w14:paraId="60578EDA" w14:textId="77777777" w:rsidR="004F1238" w:rsidRPr="008B68FC" w:rsidRDefault="004F1238" w:rsidP="00826F5C">
      <w:pPr>
        <w:pStyle w:val="Heading4"/>
      </w:pPr>
      <w:r w:rsidRPr="008B68FC">
        <w:t>Commission response</w:t>
      </w:r>
    </w:p>
    <w:p w14:paraId="1A102228" w14:textId="77777777" w:rsidR="004F1238" w:rsidRPr="008B68FC" w:rsidRDefault="004F1238" w:rsidP="00826F5C">
      <w:pPr>
        <w:pStyle w:val="CGC2025ParaNumbers"/>
      </w:pPr>
      <w:r w:rsidRPr="008B68FC">
        <w:t xml:space="preserve">The Commission provided diagnostic tests, including the Akaike information criterion and the Bayesian information criterion (Attachment B of the </w:t>
      </w:r>
      <w:hyperlink r:id="rId18" w:history="1">
        <w:r w:rsidRPr="008B68FC">
          <w:rPr>
            <w:rStyle w:val="Hyperlink"/>
          </w:rPr>
          <w:t>Addendum to wages consultation paper</w:t>
        </w:r>
      </w:hyperlink>
      <w:r w:rsidRPr="008B68FC">
        <w:t xml:space="preserve">). The Commission has not proposed the addition of variables that are shown to increase the risk of overfitting. </w:t>
      </w:r>
    </w:p>
    <w:p w14:paraId="77FB0DA7" w14:textId="77777777" w:rsidR="004F1238" w:rsidRPr="008B68FC" w:rsidRDefault="004F1238" w:rsidP="00826F5C">
      <w:pPr>
        <w:pStyle w:val="CGC2025ParaNumbers"/>
      </w:pPr>
      <w:r w:rsidRPr="008B68FC">
        <w:t xml:space="preserve">The Commission agrees with South Australia that these criteria must be weighed against each other. For instance, a variable with a strong conceptual basis that changes state coefficient estimates and decreases standard </w:t>
      </w:r>
      <w:r w:rsidRPr="008B68FC" w:rsidDel="008B74A2">
        <w:t>error</w:t>
      </w:r>
      <w:r w:rsidRPr="008B68FC">
        <w:t>s</w:t>
      </w:r>
      <w:r w:rsidRPr="008B68FC" w:rsidDel="00010AEA">
        <w:t xml:space="preserve"> </w:t>
      </w:r>
      <w:r w:rsidRPr="008B68FC">
        <w:t>may still be included in the model even if it does not improve the overall model according to the information criteria.</w:t>
      </w:r>
    </w:p>
    <w:p w14:paraId="7547B78D" w14:textId="77777777" w:rsidR="004F1238" w:rsidRPr="008B68FC" w:rsidRDefault="004F1238" w:rsidP="00826F5C">
      <w:pPr>
        <w:pStyle w:val="CGC2025ParaNumbers"/>
      </w:pPr>
      <w:r w:rsidRPr="008B68FC">
        <w:t>The motivation for considering both movement in state coefficients and decreased standard errors is to balance the need to eliminate omitted variable bias, and the associated risk of overfitting. The selected conditions must accurately capture this trade off.</w:t>
      </w:r>
    </w:p>
    <w:p w14:paraId="5B598E0A" w14:textId="77777777" w:rsidR="004F1238" w:rsidRPr="008B68FC" w:rsidRDefault="004F1238" w:rsidP="00826F5C">
      <w:pPr>
        <w:pStyle w:val="CGC2025ParaNumbers"/>
      </w:pPr>
      <w:r w:rsidRPr="008B68FC">
        <w:t xml:space="preserve">The Commission and states agree that decreased volatility is an important goal in model </w:t>
      </w:r>
      <w:r w:rsidRPr="008B68FC" w:rsidDel="001571B6">
        <w:t>selection</w:t>
      </w:r>
      <w:r w:rsidRPr="008B68FC">
        <w:t>.</w:t>
      </w:r>
      <w:r w:rsidRPr="008B68FC" w:rsidDel="00534F95">
        <w:t xml:space="preserve"> </w:t>
      </w:r>
      <w:r w:rsidRPr="008B68FC">
        <w:t>Omitting conditions 3-4 would disregard volatility or overfitting completely. Therefore, the Commission proposes to continue to evaluate its model with reference to overall fit and state standard error, to appropriately mitigate the risk of overfitting resulting from a more complex model.</w:t>
      </w:r>
    </w:p>
    <w:p w14:paraId="15AAEC2E" w14:textId="77777777" w:rsidR="004F1238" w:rsidRPr="008B68FC" w:rsidRDefault="004F1238" w:rsidP="00826F5C">
      <w:pPr>
        <w:pStyle w:val="Heading4"/>
      </w:pPr>
      <w:r w:rsidRPr="008B68FC">
        <w:t>Commission draft position</w:t>
      </w:r>
    </w:p>
    <w:p w14:paraId="59334C51" w14:textId="77777777" w:rsidR="004F1238" w:rsidRPr="008B68FC" w:rsidRDefault="004F1238" w:rsidP="00826F5C">
      <w:pPr>
        <w:pStyle w:val="CGC2025ParaNumbers"/>
      </w:pPr>
      <w:r w:rsidRPr="008B68FC">
        <w:t>The Commission proposes to maintain its suggested criteria for including control variables in the model, and to weigh these criteria against each other when considering a variable that does not strictly meet all criteria.</w:t>
      </w:r>
    </w:p>
    <w:p w14:paraId="2003B4B1" w14:textId="77777777" w:rsidR="004F1238" w:rsidRPr="008B68FC" w:rsidRDefault="004F1238" w:rsidP="00826F5C">
      <w:pPr>
        <w:pStyle w:val="Heading3"/>
      </w:pPr>
      <w:r w:rsidRPr="008B68FC">
        <w:t>Q8. Do states support using a less complex model by replacing industry group categories with industry division categories and removing the interaction terms with gender and every other independent variable?</w:t>
      </w:r>
    </w:p>
    <w:p w14:paraId="4937A80B" w14:textId="77777777" w:rsidR="004F1238" w:rsidRPr="008B68FC" w:rsidRDefault="004F1238" w:rsidP="00826F5C">
      <w:pPr>
        <w:pStyle w:val="Heading4"/>
      </w:pPr>
      <w:r w:rsidRPr="008B68FC">
        <w:t>State views</w:t>
      </w:r>
    </w:p>
    <w:p w14:paraId="77367B3E" w14:textId="77777777" w:rsidR="004F1238" w:rsidRPr="008B68FC" w:rsidRDefault="004F1238" w:rsidP="00826F5C">
      <w:pPr>
        <w:pStyle w:val="CGC2025ParaNumbers"/>
      </w:pPr>
      <w:r w:rsidRPr="008B68FC">
        <w:t>Most states agreed, but New South Wales said that the exclusion of detailed industry categories leads to omitted variable bias, and detailed industry categories should be included in the model. New South Wales argued that a move to a model that includes detailed industry categories leads to material distributional effects.</w:t>
      </w:r>
    </w:p>
    <w:p w14:paraId="00230425" w14:textId="77777777" w:rsidR="004F1238" w:rsidRPr="008B68FC" w:rsidRDefault="004F1238" w:rsidP="00826F5C">
      <w:pPr>
        <w:pStyle w:val="CGC2025ParaNumbers"/>
      </w:pPr>
      <w:r w:rsidRPr="008B68FC">
        <w:t>Victoria suggested that occupation could be specified at a lower level of detail, in line with the specification of industry.</w:t>
      </w:r>
    </w:p>
    <w:p w14:paraId="5A62B46A" w14:textId="77777777" w:rsidR="004F1238" w:rsidRPr="008B68FC" w:rsidRDefault="004F1238" w:rsidP="00826F5C">
      <w:pPr>
        <w:pStyle w:val="Heading4"/>
      </w:pPr>
      <w:r w:rsidRPr="008B68FC">
        <w:t>Commission response</w:t>
      </w:r>
    </w:p>
    <w:p w14:paraId="17B03076" w14:textId="77777777" w:rsidR="004F1238" w:rsidRPr="008B68FC" w:rsidRDefault="004F1238" w:rsidP="008E275C">
      <w:pPr>
        <w:pStyle w:val="CGC2025ParaNumbers"/>
      </w:pPr>
      <w:r w:rsidRPr="008B68FC">
        <w:t xml:space="preserve">Using a pooled sample from 2018 to 2022, the Commission developed stepwise models, progressively adding variables in the order suggested by New South Wales. </w:t>
      </w:r>
    </w:p>
    <w:p w14:paraId="5D3FDA95" w14:textId="1C18CB0E" w:rsidR="004F1238" w:rsidRPr="008B68FC" w:rsidRDefault="004F1238" w:rsidP="008E275C">
      <w:pPr>
        <w:pStyle w:val="CGC2025ParaNumbers"/>
      </w:pPr>
      <w:r w:rsidRPr="008B68FC">
        <w:t xml:space="preserve">Including detailed industry categories at any stage in the stepwise regression will increase the standard errors for state coefficients, implying the introduction of random variation in the estimates. By including this element earlier in the stepwise regression, valuable information using the family characteristics and usual hours of work would also be disregarded in the selected model. </w:t>
      </w:r>
      <w:r w:rsidR="00AF14AF">
        <w:t>Figure 3</w:t>
      </w:r>
      <w:r w:rsidRPr="008B68FC">
        <w:t xml:space="preserve"> shows average estimates from these models, which show only minimal deviation after New</w:t>
      </w:r>
      <w:r w:rsidR="00C24DBE">
        <w:t> </w:t>
      </w:r>
      <w:r w:rsidRPr="008B68FC">
        <w:t>South</w:t>
      </w:r>
      <w:r w:rsidR="00C24DBE">
        <w:t> </w:t>
      </w:r>
      <w:proofErr w:type="spellStart"/>
      <w:r w:rsidRPr="008B68FC">
        <w:t>Wales’</w:t>
      </w:r>
      <w:proofErr w:type="spellEnd"/>
      <w:r w:rsidRPr="008B68FC">
        <w:t xml:space="preserve"> proposed model (the vertical blue line).</w:t>
      </w:r>
    </w:p>
    <w:p w14:paraId="75B17D69" w14:textId="2F4FAD74" w:rsidR="004F1238" w:rsidRPr="008B68FC" w:rsidRDefault="004F1238" w:rsidP="0081157F">
      <w:pPr>
        <w:pStyle w:val="CGC2025Caption"/>
        <w:tabs>
          <w:tab w:val="left" w:pos="1134"/>
        </w:tabs>
        <w:ind w:left="1134" w:hanging="1134"/>
      </w:pPr>
      <w:bookmarkStart w:id="2" w:name="_Ref152756726"/>
      <w:bookmarkStart w:id="3" w:name="_Ref166156324"/>
      <w:r w:rsidRPr="008B68FC">
        <w:t xml:space="preserve">Figure </w:t>
      </w:r>
      <w:r w:rsidRPr="008B68FC">
        <w:fldChar w:fldCharType="begin"/>
      </w:r>
      <w:r w:rsidRPr="008B68FC">
        <w:instrText>SEQ Figure \* ARABIC</w:instrText>
      </w:r>
      <w:r w:rsidRPr="008B68FC">
        <w:fldChar w:fldCharType="separate"/>
      </w:r>
      <w:r w:rsidRPr="008B68FC">
        <w:t>3</w:t>
      </w:r>
      <w:r w:rsidRPr="008B68FC">
        <w:fldChar w:fldCharType="end"/>
      </w:r>
      <w:bookmarkEnd w:id="2"/>
      <w:bookmarkEnd w:id="3"/>
      <w:r w:rsidRPr="008B68FC">
        <w:tab/>
        <w:t>Average state coefficients when including additional control variables in the regression model (2018–22)</w:t>
      </w:r>
    </w:p>
    <w:p w14:paraId="32448325" w14:textId="6F40CC1A" w:rsidR="00521087" w:rsidRDefault="00126C58" w:rsidP="00820AAD">
      <w:pPr>
        <w:pStyle w:val="CGC2025Caption"/>
      </w:pPr>
      <w:r w:rsidRPr="00126C58">
        <w:rPr>
          <w:noProof/>
        </w:rPr>
        <w:drawing>
          <wp:inline distT="0" distB="0" distL="0" distR="0" wp14:anchorId="6DEDF7EF" wp14:editId="136044EC">
            <wp:extent cx="5686425" cy="3533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6425" cy="3533775"/>
                    </a:xfrm>
                    <a:prstGeom prst="rect">
                      <a:avLst/>
                    </a:prstGeom>
                    <a:noFill/>
                    <a:ln>
                      <a:noFill/>
                    </a:ln>
                  </pic:spPr>
                </pic:pic>
              </a:graphicData>
            </a:graphic>
          </wp:inline>
        </w:drawing>
      </w:r>
    </w:p>
    <w:p w14:paraId="71BCC209" w14:textId="49E39B0D" w:rsidR="000967CA" w:rsidRPr="001D696A" w:rsidRDefault="000967CA" w:rsidP="004575A0">
      <w:pPr>
        <w:pStyle w:val="CGC2025TableNote"/>
        <w:tabs>
          <w:tab w:val="clear" w:pos="567"/>
          <w:tab w:val="left" w:pos="709"/>
        </w:tabs>
        <w:ind w:left="680" w:hanging="567"/>
      </w:pPr>
      <w:r w:rsidRPr="001D696A">
        <w:t>Notes:</w:t>
      </w:r>
      <w:r w:rsidRPr="001D696A">
        <w:tab/>
        <w:t>Horizontal gridlines represent the approximate amount of change that would materially affect the GST distribution for an average state.</w:t>
      </w:r>
    </w:p>
    <w:p w14:paraId="716CC7C8" w14:textId="785438BF" w:rsidR="000967CA" w:rsidRPr="001D696A" w:rsidRDefault="000967CA" w:rsidP="00102132">
      <w:pPr>
        <w:pStyle w:val="CGC2025TableNote"/>
        <w:ind w:left="851" w:hanging="179"/>
      </w:pPr>
      <w:r w:rsidRPr="001D696A">
        <w:t>Employment includes a permanent/casual indicator and tenure in current job.</w:t>
      </w:r>
    </w:p>
    <w:p w14:paraId="75392EE0" w14:textId="5211E049" w:rsidR="000967CA" w:rsidRPr="001D696A" w:rsidRDefault="000967CA" w:rsidP="00102132">
      <w:pPr>
        <w:pStyle w:val="CGC2025TableNote"/>
        <w:ind w:left="851" w:hanging="165"/>
      </w:pPr>
      <w:r w:rsidRPr="001D696A">
        <w:t>Person characteristics include marital status, migrant status and having dependent children.</w:t>
      </w:r>
    </w:p>
    <w:p w14:paraId="2DC844E2" w14:textId="12D635C0" w:rsidR="000967CA" w:rsidRPr="001D696A" w:rsidRDefault="000967CA" w:rsidP="00102132">
      <w:pPr>
        <w:pStyle w:val="CGC2025TableNote"/>
        <w:ind w:left="851" w:hanging="165"/>
      </w:pPr>
      <w:r w:rsidRPr="001D696A">
        <w:t>Family by sex allows for marital status and dependent children to have a different effect on male and female wages.</w:t>
      </w:r>
    </w:p>
    <w:p w14:paraId="77074F2A" w14:textId="3ED8C970" w:rsidR="000967CA" w:rsidRPr="001D696A" w:rsidRDefault="000967CA" w:rsidP="00102132">
      <w:pPr>
        <w:pStyle w:val="CGC2025TableNote"/>
        <w:ind w:left="851" w:hanging="165"/>
      </w:pPr>
      <w:r w:rsidRPr="001D696A">
        <w:t>Individuals working fewer than 5 hours or 60 or more hours are excluded from the model.</w:t>
      </w:r>
    </w:p>
    <w:p w14:paraId="6E74FFE2" w14:textId="77777777" w:rsidR="000967CA" w:rsidRPr="001D696A" w:rsidRDefault="000967CA" w:rsidP="000967CA">
      <w:pPr>
        <w:pStyle w:val="CGC2025TableNote"/>
      </w:pPr>
      <w:r w:rsidRPr="001D696A">
        <w:t>Source:</w:t>
      </w:r>
      <w:r w:rsidRPr="001D696A">
        <w:tab/>
        <w:t>Commission calculation.</w:t>
      </w:r>
    </w:p>
    <w:p w14:paraId="1989643C" w14:textId="77777777" w:rsidR="000967CA" w:rsidRPr="001D696A" w:rsidRDefault="000967CA" w:rsidP="000967CA"/>
    <w:p w14:paraId="46D71143" w14:textId="77777777" w:rsidR="000967CA" w:rsidRPr="001D696A" w:rsidRDefault="000967CA" w:rsidP="000967CA">
      <w:bookmarkStart w:id="4" w:name="_Ref152760591"/>
      <w:r w:rsidRPr="001D696A">
        <w:br w:type="page"/>
      </w:r>
    </w:p>
    <w:p w14:paraId="43BE0B69" w14:textId="3F07EA47" w:rsidR="000967CA" w:rsidRPr="001D696A" w:rsidRDefault="000967CA" w:rsidP="0081157F">
      <w:pPr>
        <w:pStyle w:val="CGC2025Caption"/>
        <w:tabs>
          <w:tab w:val="left" w:pos="1134"/>
        </w:tabs>
        <w:ind w:left="1134" w:hanging="1134"/>
      </w:pPr>
      <w:r w:rsidRPr="001D696A">
        <w:t xml:space="preserve">Table </w:t>
      </w:r>
      <w:r w:rsidRPr="001D696A">
        <w:fldChar w:fldCharType="begin"/>
      </w:r>
      <w:r w:rsidRPr="001D696A">
        <w:instrText>SEQ Table \* ARABIC</w:instrText>
      </w:r>
      <w:r w:rsidRPr="001D696A">
        <w:fldChar w:fldCharType="separate"/>
      </w:r>
      <w:r w:rsidRPr="001D696A">
        <w:t>1</w:t>
      </w:r>
      <w:r w:rsidRPr="001D696A">
        <w:fldChar w:fldCharType="end"/>
      </w:r>
      <w:bookmarkEnd w:id="4"/>
      <w:r w:rsidRPr="001D696A">
        <w:tab/>
        <w:t>Average standard errors of state coefficients when including additional control variables in the regression model (2018–22)</w:t>
      </w:r>
    </w:p>
    <w:tbl>
      <w:tblPr>
        <w:tblW w:w="8960" w:type="dxa"/>
        <w:tblLook w:val="04A0" w:firstRow="1" w:lastRow="0" w:firstColumn="1" w:lastColumn="0" w:noHBand="0" w:noVBand="1"/>
      </w:tblPr>
      <w:tblGrid>
        <w:gridCol w:w="2217"/>
        <w:gridCol w:w="717"/>
        <w:gridCol w:w="720"/>
        <w:gridCol w:w="770"/>
        <w:gridCol w:w="753"/>
        <w:gridCol w:w="753"/>
        <w:gridCol w:w="753"/>
        <w:gridCol w:w="717"/>
        <w:gridCol w:w="717"/>
        <w:gridCol w:w="843"/>
      </w:tblGrid>
      <w:tr w:rsidR="000952B1" w:rsidRPr="000952B1" w14:paraId="0F9B8AAE" w14:textId="77777777" w:rsidTr="00D607FE">
        <w:trPr>
          <w:trHeight w:val="379"/>
        </w:trPr>
        <w:tc>
          <w:tcPr>
            <w:tcW w:w="2217" w:type="dxa"/>
            <w:tcBorders>
              <w:top w:val="nil"/>
              <w:left w:val="nil"/>
              <w:bottom w:val="nil"/>
              <w:right w:val="nil"/>
            </w:tcBorders>
            <w:shd w:val="clear" w:color="000000" w:fill="006991"/>
            <w:vAlign w:val="center"/>
            <w:hideMark/>
          </w:tcPr>
          <w:p w14:paraId="16EAF750" w14:textId="77777777" w:rsidR="000952B1" w:rsidRPr="000952B1" w:rsidRDefault="000952B1" w:rsidP="000952B1">
            <w:pPr>
              <w:tabs>
                <w:tab w:val="clear" w:pos="567"/>
              </w:tabs>
              <w:spacing w:before="0" w:line="240" w:lineRule="auto"/>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 </w:t>
            </w:r>
          </w:p>
        </w:tc>
        <w:tc>
          <w:tcPr>
            <w:tcW w:w="717" w:type="dxa"/>
            <w:tcBorders>
              <w:top w:val="nil"/>
              <w:left w:val="nil"/>
              <w:bottom w:val="nil"/>
              <w:right w:val="nil"/>
            </w:tcBorders>
            <w:shd w:val="clear" w:color="000000" w:fill="006991"/>
            <w:vAlign w:val="center"/>
            <w:hideMark/>
          </w:tcPr>
          <w:p w14:paraId="4F1E8550"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NSW</w:t>
            </w:r>
          </w:p>
        </w:tc>
        <w:tc>
          <w:tcPr>
            <w:tcW w:w="720" w:type="dxa"/>
            <w:tcBorders>
              <w:top w:val="nil"/>
              <w:left w:val="nil"/>
              <w:bottom w:val="nil"/>
              <w:right w:val="nil"/>
            </w:tcBorders>
            <w:shd w:val="clear" w:color="000000" w:fill="006991"/>
            <w:vAlign w:val="center"/>
            <w:hideMark/>
          </w:tcPr>
          <w:p w14:paraId="60ED3251"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Vic</w:t>
            </w:r>
          </w:p>
        </w:tc>
        <w:tc>
          <w:tcPr>
            <w:tcW w:w="770" w:type="dxa"/>
            <w:tcBorders>
              <w:top w:val="nil"/>
              <w:left w:val="nil"/>
              <w:bottom w:val="nil"/>
              <w:right w:val="nil"/>
            </w:tcBorders>
            <w:shd w:val="clear" w:color="000000" w:fill="006991"/>
            <w:vAlign w:val="center"/>
            <w:hideMark/>
          </w:tcPr>
          <w:p w14:paraId="06B0289E"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Qld</w:t>
            </w:r>
          </w:p>
        </w:tc>
        <w:tc>
          <w:tcPr>
            <w:tcW w:w="753" w:type="dxa"/>
            <w:tcBorders>
              <w:top w:val="nil"/>
              <w:left w:val="nil"/>
              <w:bottom w:val="nil"/>
              <w:right w:val="nil"/>
            </w:tcBorders>
            <w:shd w:val="clear" w:color="000000" w:fill="006991"/>
            <w:vAlign w:val="center"/>
            <w:hideMark/>
          </w:tcPr>
          <w:p w14:paraId="2F12EB0C"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WA</w:t>
            </w:r>
          </w:p>
        </w:tc>
        <w:tc>
          <w:tcPr>
            <w:tcW w:w="753" w:type="dxa"/>
            <w:tcBorders>
              <w:top w:val="nil"/>
              <w:left w:val="nil"/>
              <w:bottom w:val="nil"/>
              <w:right w:val="nil"/>
            </w:tcBorders>
            <w:shd w:val="clear" w:color="000000" w:fill="006991"/>
            <w:vAlign w:val="center"/>
            <w:hideMark/>
          </w:tcPr>
          <w:p w14:paraId="03D0074D"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SA</w:t>
            </w:r>
          </w:p>
        </w:tc>
        <w:tc>
          <w:tcPr>
            <w:tcW w:w="753" w:type="dxa"/>
            <w:tcBorders>
              <w:top w:val="nil"/>
              <w:left w:val="nil"/>
              <w:bottom w:val="nil"/>
              <w:right w:val="nil"/>
            </w:tcBorders>
            <w:shd w:val="clear" w:color="000000" w:fill="006991"/>
            <w:vAlign w:val="center"/>
            <w:hideMark/>
          </w:tcPr>
          <w:p w14:paraId="5EB4C394"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Tas</w:t>
            </w:r>
          </w:p>
        </w:tc>
        <w:tc>
          <w:tcPr>
            <w:tcW w:w="717" w:type="dxa"/>
            <w:tcBorders>
              <w:top w:val="nil"/>
              <w:left w:val="nil"/>
              <w:bottom w:val="nil"/>
              <w:right w:val="nil"/>
            </w:tcBorders>
            <w:shd w:val="clear" w:color="000000" w:fill="006991"/>
            <w:vAlign w:val="center"/>
            <w:hideMark/>
          </w:tcPr>
          <w:p w14:paraId="57BFDDDB"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ACT</w:t>
            </w:r>
          </w:p>
        </w:tc>
        <w:tc>
          <w:tcPr>
            <w:tcW w:w="717" w:type="dxa"/>
            <w:tcBorders>
              <w:top w:val="nil"/>
              <w:left w:val="nil"/>
              <w:bottom w:val="nil"/>
              <w:right w:val="nil"/>
            </w:tcBorders>
            <w:shd w:val="clear" w:color="000000" w:fill="006991"/>
            <w:vAlign w:val="center"/>
            <w:hideMark/>
          </w:tcPr>
          <w:p w14:paraId="76AEF345"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NT</w:t>
            </w:r>
          </w:p>
        </w:tc>
        <w:tc>
          <w:tcPr>
            <w:tcW w:w="843" w:type="dxa"/>
            <w:tcBorders>
              <w:top w:val="nil"/>
              <w:left w:val="nil"/>
              <w:bottom w:val="nil"/>
              <w:right w:val="nil"/>
            </w:tcBorders>
            <w:shd w:val="clear" w:color="000000" w:fill="006991"/>
            <w:vAlign w:val="center"/>
            <w:hideMark/>
          </w:tcPr>
          <w:p w14:paraId="30B7A0AB"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0952B1">
              <w:rPr>
                <w:rFonts w:ascii="Open Sans Semibold" w:eastAsia="Times New Roman" w:hAnsi="Open Sans Semibold" w:cs="Open Sans Semibold"/>
                <w:color w:val="FFFFFF"/>
                <w:sz w:val="16"/>
                <w:szCs w:val="16"/>
                <w:lang w:eastAsia="en-AU"/>
              </w:rPr>
              <w:t>Average</w:t>
            </w:r>
          </w:p>
        </w:tc>
      </w:tr>
      <w:tr w:rsidR="000952B1" w:rsidRPr="000952B1" w14:paraId="38674025"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5D23DE6C"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State and sex</w:t>
            </w:r>
          </w:p>
        </w:tc>
        <w:tc>
          <w:tcPr>
            <w:tcW w:w="717" w:type="dxa"/>
            <w:tcBorders>
              <w:top w:val="single" w:sz="4" w:space="0" w:color="ADD6EA"/>
              <w:left w:val="nil"/>
              <w:bottom w:val="nil"/>
              <w:right w:val="nil"/>
            </w:tcBorders>
            <w:shd w:val="clear" w:color="000000" w:fill="FFFFFF"/>
            <w:vAlign w:val="center"/>
            <w:hideMark/>
          </w:tcPr>
          <w:p w14:paraId="4418AB5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0.0102</w:t>
            </w:r>
          </w:p>
        </w:tc>
        <w:tc>
          <w:tcPr>
            <w:tcW w:w="720" w:type="dxa"/>
            <w:tcBorders>
              <w:top w:val="single" w:sz="4" w:space="0" w:color="ADD6EA"/>
              <w:left w:val="nil"/>
              <w:bottom w:val="nil"/>
              <w:right w:val="nil"/>
            </w:tcBorders>
            <w:shd w:val="clear" w:color="000000" w:fill="FFFFFF"/>
            <w:vAlign w:val="center"/>
            <w:hideMark/>
          </w:tcPr>
          <w:p w14:paraId="0171840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0.0102</w:t>
            </w:r>
          </w:p>
        </w:tc>
        <w:tc>
          <w:tcPr>
            <w:tcW w:w="770" w:type="dxa"/>
            <w:tcBorders>
              <w:top w:val="single" w:sz="4" w:space="0" w:color="ADD6EA"/>
              <w:left w:val="nil"/>
              <w:bottom w:val="nil"/>
              <w:right w:val="nil"/>
            </w:tcBorders>
            <w:shd w:val="clear" w:color="000000" w:fill="FFFFFF"/>
            <w:vAlign w:val="center"/>
            <w:hideMark/>
          </w:tcPr>
          <w:p w14:paraId="7AE35B41"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0.0107</w:t>
            </w:r>
          </w:p>
        </w:tc>
        <w:tc>
          <w:tcPr>
            <w:tcW w:w="753" w:type="dxa"/>
            <w:tcBorders>
              <w:top w:val="single" w:sz="4" w:space="0" w:color="ADD6EA"/>
              <w:left w:val="nil"/>
              <w:bottom w:val="nil"/>
              <w:right w:val="nil"/>
            </w:tcBorders>
            <w:shd w:val="clear" w:color="000000" w:fill="FFFFFF"/>
            <w:vAlign w:val="center"/>
            <w:hideMark/>
          </w:tcPr>
          <w:p w14:paraId="7F30D4D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c>
          <w:tcPr>
            <w:tcW w:w="753" w:type="dxa"/>
            <w:tcBorders>
              <w:top w:val="single" w:sz="4" w:space="0" w:color="ADD6EA"/>
              <w:left w:val="nil"/>
              <w:bottom w:val="nil"/>
              <w:right w:val="nil"/>
            </w:tcBorders>
            <w:shd w:val="clear" w:color="000000" w:fill="FFFFFF"/>
            <w:vAlign w:val="center"/>
            <w:hideMark/>
          </w:tcPr>
          <w:p w14:paraId="0F61DD4D"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0.0129</w:t>
            </w:r>
          </w:p>
        </w:tc>
        <w:tc>
          <w:tcPr>
            <w:tcW w:w="753" w:type="dxa"/>
            <w:tcBorders>
              <w:top w:val="single" w:sz="4" w:space="0" w:color="ADD6EA"/>
              <w:left w:val="nil"/>
              <w:bottom w:val="nil"/>
              <w:right w:val="nil"/>
            </w:tcBorders>
            <w:shd w:val="clear" w:color="000000" w:fill="FFFFFF"/>
            <w:vAlign w:val="center"/>
            <w:hideMark/>
          </w:tcPr>
          <w:p w14:paraId="3873986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0.0145</w:t>
            </w:r>
          </w:p>
        </w:tc>
        <w:tc>
          <w:tcPr>
            <w:tcW w:w="717" w:type="dxa"/>
            <w:tcBorders>
              <w:top w:val="single" w:sz="4" w:space="0" w:color="ADD6EA"/>
              <w:left w:val="nil"/>
              <w:bottom w:val="nil"/>
              <w:right w:val="nil"/>
            </w:tcBorders>
            <w:shd w:val="clear" w:color="000000" w:fill="FFFFFF"/>
            <w:vAlign w:val="center"/>
            <w:hideMark/>
          </w:tcPr>
          <w:p w14:paraId="45AB9C69"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0.0237</w:t>
            </w:r>
          </w:p>
        </w:tc>
        <w:tc>
          <w:tcPr>
            <w:tcW w:w="717" w:type="dxa"/>
            <w:tcBorders>
              <w:top w:val="single" w:sz="4" w:space="0" w:color="ADD6EA"/>
              <w:left w:val="nil"/>
              <w:bottom w:val="nil"/>
              <w:right w:val="nil"/>
            </w:tcBorders>
            <w:shd w:val="clear" w:color="000000" w:fill="FFFFFF"/>
            <w:vAlign w:val="center"/>
            <w:hideMark/>
          </w:tcPr>
          <w:p w14:paraId="639C49ED"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0.0210</w:t>
            </w:r>
          </w:p>
        </w:tc>
        <w:tc>
          <w:tcPr>
            <w:tcW w:w="843" w:type="dxa"/>
            <w:tcBorders>
              <w:top w:val="single" w:sz="4" w:space="0" w:color="ADD6EA"/>
              <w:left w:val="nil"/>
              <w:bottom w:val="nil"/>
              <w:right w:val="nil"/>
            </w:tcBorders>
            <w:shd w:val="clear" w:color="000000" w:fill="FFFFFF"/>
            <w:vAlign w:val="center"/>
            <w:hideMark/>
          </w:tcPr>
          <w:p w14:paraId="7DCCE482"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0.0144</w:t>
            </w:r>
          </w:p>
        </w:tc>
      </w:tr>
      <w:tr w:rsidR="000952B1" w:rsidRPr="000952B1" w14:paraId="0C538CC2"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6C149B16"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Education</w:t>
            </w:r>
          </w:p>
        </w:tc>
        <w:tc>
          <w:tcPr>
            <w:tcW w:w="717" w:type="dxa"/>
            <w:tcBorders>
              <w:top w:val="single" w:sz="4" w:space="0" w:color="ADD6EA"/>
              <w:left w:val="nil"/>
              <w:bottom w:val="nil"/>
              <w:right w:val="nil"/>
            </w:tcBorders>
            <w:shd w:val="clear" w:color="000000" w:fill="FFFFFF"/>
            <w:vAlign w:val="center"/>
            <w:hideMark/>
          </w:tcPr>
          <w:p w14:paraId="6D8E9E6A"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0.0095</w:t>
            </w:r>
          </w:p>
        </w:tc>
        <w:tc>
          <w:tcPr>
            <w:tcW w:w="720" w:type="dxa"/>
            <w:tcBorders>
              <w:top w:val="single" w:sz="4" w:space="0" w:color="ADD6EA"/>
              <w:left w:val="nil"/>
              <w:bottom w:val="nil"/>
              <w:right w:val="nil"/>
            </w:tcBorders>
            <w:shd w:val="clear" w:color="000000" w:fill="FFFFFF"/>
            <w:vAlign w:val="center"/>
            <w:hideMark/>
          </w:tcPr>
          <w:p w14:paraId="1360396E"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0.0097</w:t>
            </w:r>
          </w:p>
        </w:tc>
        <w:tc>
          <w:tcPr>
            <w:tcW w:w="770" w:type="dxa"/>
            <w:tcBorders>
              <w:top w:val="single" w:sz="4" w:space="0" w:color="ADD6EA"/>
              <w:left w:val="nil"/>
              <w:bottom w:val="nil"/>
              <w:right w:val="nil"/>
            </w:tcBorders>
            <w:shd w:val="clear" w:color="000000" w:fill="FFFFFF"/>
            <w:vAlign w:val="center"/>
            <w:hideMark/>
          </w:tcPr>
          <w:p w14:paraId="6D87DA3E"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0.0100</w:t>
            </w:r>
          </w:p>
        </w:tc>
        <w:tc>
          <w:tcPr>
            <w:tcW w:w="753" w:type="dxa"/>
            <w:tcBorders>
              <w:top w:val="single" w:sz="4" w:space="0" w:color="ADD6EA"/>
              <w:left w:val="nil"/>
              <w:bottom w:val="nil"/>
              <w:right w:val="nil"/>
            </w:tcBorders>
            <w:shd w:val="clear" w:color="000000" w:fill="FFFFFF"/>
            <w:vAlign w:val="center"/>
            <w:hideMark/>
          </w:tcPr>
          <w:p w14:paraId="0FCC7FF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0.0108</w:t>
            </w:r>
          </w:p>
        </w:tc>
        <w:tc>
          <w:tcPr>
            <w:tcW w:w="753" w:type="dxa"/>
            <w:tcBorders>
              <w:top w:val="single" w:sz="4" w:space="0" w:color="ADD6EA"/>
              <w:left w:val="nil"/>
              <w:bottom w:val="nil"/>
              <w:right w:val="nil"/>
            </w:tcBorders>
            <w:shd w:val="clear" w:color="000000" w:fill="FFFFFF"/>
            <w:vAlign w:val="center"/>
            <w:hideMark/>
          </w:tcPr>
          <w:p w14:paraId="335557D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0.0120</w:t>
            </w:r>
          </w:p>
        </w:tc>
        <w:tc>
          <w:tcPr>
            <w:tcW w:w="753" w:type="dxa"/>
            <w:tcBorders>
              <w:top w:val="single" w:sz="4" w:space="0" w:color="ADD6EA"/>
              <w:left w:val="nil"/>
              <w:bottom w:val="nil"/>
              <w:right w:val="nil"/>
            </w:tcBorders>
            <w:shd w:val="clear" w:color="000000" w:fill="FFFFFF"/>
            <w:vAlign w:val="center"/>
            <w:hideMark/>
          </w:tcPr>
          <w:p w14:paraId="6C1755F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0.0137</w:t>
            </w:r>
          </w:p>
        </w:tc>
        <w:tc>
          <w:tcPr>
            <w:tcW w:w="717" w:type="dxa"/>
            <w:tcBorders>
              <w:top w:val="single" w:sz="4" w:space="0" w:color="ADD6EA"/>
              <w:left w:val="nil"/>
              <w:bottom w:val="nil"/>
              <w:right w:val="nil"/>
            </w:tcBorders>
            <w:shd w:val="clear" w:color="000000" w:fill="FFFFFF"/>
            <w:vAlign w:val="center"/>
            <w:hideMark/>
          </w:tcPr>
          <w:p w14:paraId="564947B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0.0225</w:t>
            </w:r>
          </w:p>
        </w:tc>
        <w:tc>
          <w:tcPr>
            <w:tcW w:w="717" w:type="dxa"/>
            <w:tcBorders>
              <w:top w:val="single" w:sz="4" w:space="0" w:color="ADD6EA"/>
              <w:left w:val="nil"/>
              <w:bottom w:val="nil"/>
              <w:right w:val="nil"/>
            </w:tcBorders>
            <w:shd w:val="clear" w:color="000000" w:fill="FFFFFF"/>
            <w:vAlign w:val="center"/>
            <w:hideMark/>
          </w:tcPr>
          <w:p w14:paraId="5451C5E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0.0205</w:t>
            </w:r>
          </w:p>
        </w:tc>
        <w:tc>
          <w:tcPr>
            <w:tcW w:w="843" w:type="dxa"/>
            <w:tcBorders>
              <w:top w:val="single" w:sz="4" w:space="0" w:color="ADD6EA"/>
              <w:left w:val="nil"/>
              <w:bottom w:val="nil"/>
              <w:right w:val="nil"/>
            </w:tcBorders>
            <w:shd w:val="clear" w:color="000000" w:fill="FFFFFF"/>
            <w:vAlign w:val="center"/>
            <w:hideMark/>
          </w:tcPr>
          <w:p w14:paraId="6021D0C9"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0.0136</w:t>
            </w:r>
          </w:p>
        </w:tc>
      </w:tr>
      <w:tr w:rsidR="000952B1" w:rsidRPr="000952B1" w14:paraId="538E465E"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7C4BAADE"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Employment</w:t>
            </w:r>
          </w:p>
        </w:tc>
        <w:tc>
          <w:tcPr>
            <w:tcW w:w="717" w:type="dxa"/>
            <w:tcBorders>
              <w:top w:val="single" w:sz="4" w:space="0" w:color="ADD6EA"/>
              <w:left w:val="nil"/>
              <w:bottom w:val="nil"/>
              <w:right w:val="nil"/>
            </w:tcBorders>
            <w:shd w:val="clear" w:color="000000" w:fill="FFFFFF"/>
            <w:vAlign w:val="center"/>
            <w:hideMark/>
          </w:tcPr>
          <w:p w14:paraId="7DE6EFE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0.0093</w:t>
            </w:r>
          </w:p>
        </w:tc>
        <w:tc>
          <w:tcPr>
            <w:tcW w:w="720" w:type="dxa"/>
            <w:tcBorders>
              <w:top w:val="single" w:sz="4" w:space="0" w:color="ADD6EA"/>
              <w:left w:val="nil"/>
              <w:bottom w:val="nil"/>
              <w:right w:val="nil"/>
            </w:tcBorders>
            <w:shd w:val="clear" w:color="000000" w:fill="FFFFFF"/>
            <w:vAlign w:val="center"/>
            <w:hideMark/>
          </w:tcPr>
          <w:p w14:paraId="1F8F128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0.0088</w:t>
            </w:r>
          </w:p>
        </w:tc>
        <w:tc>
          <w:tcPr>
            <w:tcW w:w="770" w:type="dxa"/>
            <w:tcBorders>
              <w:top w:val="single" w:sz="4" w:space="0" w:color="ADD6EA"/>
              <w:left w:val="nil"/>
              <w:bottom w:val="nil"/>
              <w:right w:val="nil"/>
            </w:tcBorders>
            <w:shd w:val="clear" w:color="000000" w:fill="FFFFFF"/>
            <w:vAlign w:val="center"/>
            <w:hideMark/>
          </w:tcPr>
          <w:p w14:paraId="4EC62D71"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0.0095</w:t>
            </w:r>
          </w:p>
        </w:tc>
        <w:tc>
          <w:tcPr>
            <w:tcW w:w="753" w:type="dxa"/>
            <w:tcBorders>
              <w:top w:val="single" w:sz="4" w:space="0" w:color="ADD6EA"/>
              <w:left w:val="nil"/>
              <w:bottom w:val="nil"/>
              <w:right w:val="nil"/>
            </w:tcBorders>
            <w:shd w:val="clear" w:color="000000" w:fill="FFFFFF"/>
            <w:vAlign w:val="center"/>
            <w:hideMark/>
          </w:tcPr>
          <w:p w14:paraId="23CA199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0.0110</w:t>
            </w:r>
          </w:p>
        </w:tc>
        <w:tc>
          <w:tcPr>
            <w:tcW w:w="753" w:type="dxa"/>
            <w:tcBorders>
              <w:top w:val="single" w:sz="4" w:space="0" w:color="ADD6EA"/>
              <w:left w:val="nil"/>
              <w:bottom w:val="nil"/>
              <w:right w:val="nil"/>
            </w:tcBorders>
            <w:shd w:val="clear" w:color="000000" w:fill="FFFFFF"/>
            <w:vAlign w:val="center"/>
            <w:hideMark/>
          </w:tcPr>
          <w:p w14:paraId="1B43E7D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0.0117</w:t>
            </w:r>
          </w:p>
        </w:tc>
        <w:tc>
          <w:tcPr>
            <w:tcW w:w="753" w:type="dxa"/>
            <w:tcBorders>
              <w:top w:val="single" w:sz="4" w:space="0" w:color="ADD6EA"/>
              <w:left w:val="nil"/>
              <w:bottom w:val="nil"/>
              <w:right w:val="nil"/>
            </w:tcBorders>
            <w:shd w:val="clear" w:color="000000" w:fill="FFFFFF"/>
            <w:vAlign w:val="center"/>
            <w:hideMark/>
          </w:tcPr>
          <w:p w14:paraId="17229307"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0.0130</w:t>
            </w:r>
          </w:p>
        </w:tc>
        <w:tc>
          <w:tcPr>
            <w:tcW w:w="717" w:type="dxa"/>
            <w:tcBorders>
              <w:top w:val="single" w:sz="4" w:space="0" w:color="ADD6EA"/>
              <w:left w:val="nil"/>
              <w:bottom w:val="nil"/>
              <w:right w:val="nil"/>
            </w:tcBorders>
            <w:shd w:val="clear" w:color="000000" w:fill="FFFFFF"/>
            <w:vAlign w:val="center"/>
            <w:hideMark/>
          </w:tcPr>
          <w:p w14:paraId="246F3E8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0.0223</w:t>
            </w:r>
          </w:p>
        </w:tc>
        <w:tc>
          <w:tcPr>
            <w:tcW w:w="717" w:type="dxa"/>
            <w:tcBorders>
              <w:top w:val="single" w:sz="4" w:space="0" w:color="ADD6EA"/>
              <w:left w:val="nil"/>
              <w:bottom w:val="nil"/>
              <w:right w:val="nil"/>
            </w:tcBorders>
            <w:shd w:val="clear" w:color="000000" w:fill="FFFFFF"/>
            <w:vAlign w:val="center"/>
            <w:hideMark/>
          </w:tcPr>
          <w:p w14:paraId="5ABF53E1"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0.0199</w:t>
            </w:r>
          </w:p>
        </w:tc>
        <w:tc>
          <w:tcPr>
            <w:tcW w:w="843" w:type="dxa"/>
            <w:tcBorders>
              <w:top w:val="single" w:sz="4" w:space="0" w:color="ADD6EA"/>
              <w:left w:val="nil"/>
              <w:bottom w:val="nil"/>
              <w:right w:val="nil"/>
            </w:tcBorders>
            <w:shd w:val="clear" w:color="000000" w:fill="FFFFFF"/>
            <w:vAlign w:val="center"/>
            <w:hideMark/>
          </w:tcPr>
          <w:p w14:paraId="7901C277"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0.0132</w:t>
            </w:r>
          </w:p>
        </w:tc>
      </w:tr>
      <w:tr w:rsidR="000952B1" w:rsidRPr="000952B1" w14:paraId="1CD59E2B"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142E56CC"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Age (5 year bins)</w:t>
            </w:r>
          </w:p>
        </w:tc>
        <w:tc>
          <w:tcPr>
            <w:tcW w:w="717" w:type="dxa"/>
            <w:tcBorders>
              <w:top w:val="single" w:sz="4" w:space="0" w:color="ADD6EA"/>
              <w:left w:val="nil"/>
              <w:bottom w:val="nil"/>
              <w:right w:val="nil"/>
            </w:tcBorders>
            <w:shd w:val="clear" w:color="000000" w:fill="FFFFFF"/>
            <w:vAlign w:val="center"/>
            <w:hideMark/>
          </w:tcPr>
          <w:p w14:paraId="50C490F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0.0092</w:t>
            </w:r>
          </w:p>
        </w:tc>
        <w:tc>
          <w:tcPr>
            <w:tcW w:w="720" w:type="dxa"/>
            <w:tcBorders>
              <w:top w:val="single" w:sz="4" w:space="0" w:color="ADD6EA"/>
              <w:left w:val="nil"/>
              <w:bottom w:val="nil"/>
              <w:right w:val="nil"/>
            </w:tcBorders>
            <w:shd w:val="clear" w:color="000000" w:fill="FFFFFF"/>
            <w:vAlign w:val="center"/>
            <w:hideMark/>
          </w:tcPr>
          <w:p w14:paraId="1FFB6C0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0.0088</w:t>
            </w:r>
          </w:p>
        </w:tc>
        <w:tc>
          <w:tcPr>
            <w:tcW w:w="770" w:type="dxa"/>
            <w:tcBorders>
              <w:top w:val="single" w:sz="4" w:space="0" w:color="ADD6EA"/>
              <w:left w:val="nil"/>
              <w:bottom w:val="nil"/>
              <w:right w:val="nil"/>
            </w:tcBorders>
            <w:shd w:val="clear" w:color="000000" w:fill="FFFFFF"/>
            <w:vAlign w:val="center"/>
            <w:hideMark/>
          </w:tcPr>
          <w:p w14:paraId="0B6BA61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0.0095</w:t>
            </w:r>
          </w:p>
        </w:tc>
        <w:tc>
          <w:tcPr>
            <w:tcW w:w="753" w:type="dxa"/>
            <w:tcBorders>
              <w:top w:val="single" w:sz="4" w:space="0" w:color="ADD6EA"/>
              <w:left w:val="nil"/>
              <w:bottom w:val="nil"/>
              <w:right w:val="nil"/>
            </w:tcBorders>
            <w:shd w:val="clear" w:color="000000" w:fill="FFFFFF"/>
            <w:vAlign w:val="center"/>
            <w:hideMark/>
          </w:tcPr>
          <w:p w14:paraId="3BCF11D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0.0106</w:t>
            </w:r>
          </w:p>
        </w:tc>
        <w:tc>
          <w:tcPr>
            <w:tcW w:w="753" w:type="dxa"/>
            <w:tcBorders>
              <w:top w:val="single" w:sz="4" w:space="0" w:color="ADD6EA"/>
              <w:left w:val="nil"/>
              <w:bottom w:val="nil"/>
              <w:right w:val="nil"/>
            </w:tcBorders>
            <w:shd w:val="clear" w:color="000000" w:fill="FFFFFF"/>
            <w:vAlign w:val="center"/>
            <w:hideMark/>
          </w:tcPr>
          <w:p w14:paraId="11EBAD36"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0.0119</w:t>
            </w:r>
          </w:p>
        </w:tc>
        <w:tc>
          <w:tcPr>
            <w:tcW w:w="753" w:type="dxa"/>
            <w:tcBorders>
              <w:top w:val="single" w:sz="4" w:space="0" w:color="ADD6EA"/>
              <w:left w:val="nil"/>
              <w:bottom w:val="nil"/>
              <w:right w:val="nil"/>
            </w:tcBorders>
            <w:shd w:val="clear" w:color="000000" w:fill="FFFFFF"/>
            <w:vAlign w:val="center"/>
            <w:hideMark/>
          </w:tcPr>
          <w:p w14:paraId="1960B721"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0.0130</w:t>
            </w:r>
          </w:p>
        </w:tc>
        <w:tc>
          <w:tcPr>
            <w:tcW w:w="717" w:type="dxa"/>
            <w:tcBorders>
              <w:top w:val="single" w:sz="4" w:space="0" w:color="ADD6EA"/>
              <w:left w:val="nil"/>
              <w:bottom w:val="nil"/>
              <w:right w:val="nil"/>
            </w:tcBorders>
            <w:shd w:val="clear" w:color="000000" w:fill="FFFFFF"/>
            <w:vAlign w:val="center"/>
            <w:hideMark/>
          </w:tcPr>
          <w:p w14:paraId="2E5E1D8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0.0213</w:t>
            </w:r>
          </w:p>
        </w:tc>
        <w:tc>
          <w:tcPr>
            <w:tcW w:w="717" w:type="dxa"/>
            <w:tcBorders>
              <w:top w:val="single" w:sz="4" w:space="0" w:color="ADD6EA"/>
              <w:left w:val="nil"/>
              <w:bottom w:val="nil"/>
              <w:right w:val="nil"/>
            </w:tcBorders>
            <w:shd w:val="clear" w:color="000000" w:fill="FFFFFF"/>
            <w:vAlign w:val="center"/>
            <w:hideMark/>
          </w:tcPr>
          <w:p w14:paraId="6BA02BF2"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0.0197</w:t>
            </w:r>
          </w:p>
        </w:tc>
        <w:tc>
          <w:tcPr>
            <w:tcW w:w="843" w:type="dxa"/>
            <w:tcBorders>
              <w:top w:val="single" w:sz="4" w:space="0" w:color="ADD6EA"/>
              <w:left w:val="nil"/>
              <w:bottom w:val="nil"/>
              <w:right w:val="nil"/>
            </w:tcBorders>
            <w:shd w:val="clear" w:color="000000" w:fill="FFFFFF"/>
            <w:vAlign w:val="center"/>
            <w:hideMark/>
          </w:tcPr>
          <w:p w14:paraId="7AC2C391"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0.0130</w:t>
            </w:r>
          </w:p>
        </w:tc>
      </w:tr>
      <w:tr w:rsidR="000952B1" w:rsidRPr="000952B1" w14:paraId="64A4FCE8"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4A21A146"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bookmarkStart w:id="5" w:name="RANGE!A92"/>
            <w:r w:rsidRPr="000952B1">
              <w:rPr>
                <w:rFonts w:eastAsia="Times New Roman" w:cs="Open Sans Light"/>
                <w:color w:val="000000"/>
                <w:sz w:val="16"/>
                <w:szCs w:val="16"/>
                <w:lang w:eastAsia="en-AU"/>
              </w:rPr>
              <w:t>Person characteristics</w:t>
            </w:r>
            <w:bookmarkEnd w:id="5"/>
          </w:p>
        </w:tc>
        <w:tc>
          <w:tcPr>
            <w:tcW w:w="717" w:type="dxa"/>
            <w:tcBorders>
              <w:top w:val="single" w:sz="4" w:space="0" w:color="ADD6EA"/>
              <w:left w:val="nil"/>
              <w:bottom w:val="nil"/>
              <w:right w:val="nil"/>
            </w:tcBorders>
            <w:shd w:val="clear" w:color="000000" w:fill="FFFFFF"/>
            <w:vAlign w:val="center"/>
            <w:hideMark/>
          </w:tcPr>
          <w:p w14:paraId="0734E97A"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0.0089</w:t>
            </w:r>
          </w:p>
        </w:tc>
        <w:tc>
          <w:tcPr>
            <w:tcW w:w="720" w:type="dxa"/>
            <w:tcBorders>
              <w:top w:val="single" w:sz="4" w:space="0" w:color="ADD6EA"/>
              <w:left w:val="nil"/>
              <w:bottom w:val="nil"/>
              <w:right w:val="nil"/>
            </w:tcBorders>
            <w:shd w:val="clear" w:color="000000" w:fill="FFFFFF"/>
            <w:vAlign w:val="center"/>
            <w:hideMark/>
          </w:tcPr>
          <w:p w14:paraId="13EDA82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0.0087</w:t>
            </w:r>
          </w:p>
        </w:tc>
        <w:tc>
          <w:tcPr>
            <w:tcW w:w="770" w:type="dxa"/>
            <w:tcBorders>
              <w:top w:val="single" w:sz="4" w:space="0" w:color="ADD6EA"/>
              <w:left w:val="nil"/>
              <w:bottom w:val="nil"/>
              <w:right w:val="nil"/>
            </w:tcBorders>
            <w:shd w:val="clear" w:color="000000" w:fill="FFFFFF"/>
            <w:vAlign w:val="center"/>
            <w:hideMark/>
          </w:tcPr>
          <w:p w14:paraId="1F58371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0.0095</w:t>
            </w:r>
          </w:p>
        </w:tc>
        <w:tc>
          <w:tcPr>
            <w:tcW w:w="753" w:type="dxa"/>
            <w:tcBorders>
              <w:top w:val="single" w:sz="4" w:space="0" w:color="ADD6EA"/>
              <w:left w:val="nil"/>
              <w:bottom w:val="nil"/>
              <w:right w:val="nil"/>
            </w:tcBorders>
            <w:shd w:val="clear" w:color="000000" w:fill="FFFFFF"/>
            <w:vAlign w:val="center"/>
            <w:hideMark/>
          </w:tcPr>
          <w:p w14:paraId="1646F25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0.0103</w:t>
            </w:r>
          </w:p>
        </w:tc>
        <w:tc>
          <w:tcPr>
            <w:tcW w:w="753" w:type="dxa"/>
            <w:tcBorders>
              <w:top w:val="single" w:sz="4" w:space="0" w:color="ADD6EA"/>
              <w:left w:val="nil"/>
              <w:bottom w:val="nil"/>
              <w:right w:val="nil"/>
            </w:tcBorders>
            <w:shd w:val="clear" w:color="000000" w:fill="FFFFFF"/>
            <w:vAlign w:val="center"/>
            <w:hideMark/>
          </w:tcPr>
          <w:p w14:paraId="3ACB737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0.0114</w:t>
            </w:r>
          </w:p>
        </w:tc>
        <w:tc>
          <w:tcPr>
            <w:tcW w:w="753" w:type="dxa"/>
            <w:tcBorders>
              <w:top w:val="single" w:sz="4" w:space="0" w:color="ADD6EA"/>
              <w:left w:val="nil"/>
              <w:bottom w:val="nil"/>
              <w:right w:val="nil"/>
            </w:tcBorders>
            <w:shd w:val="clear" w:color="000000" w:fill="FFFFFF"/>
            <w:vAlign w:val="center"/>
            <w:hideMark/>
          </w:tcPr>
          <w:p w14:paraId="2A191B6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0.0124</w:t>
            </w:r>
          </w:p>
        </w:tc>
        <w:tc>
          <w:tcPr>
            <w:tcW w:w="717" w:type="dxa"/>
            <w:tcBorders>
              <w:top w:val="single" w:sz="4" w:space="0" w:color="ADD6EA"/>
              <w:left w:val="nil"/>
              <w:bottom w:val="nil"/>
              <w:right w:val="nil"/>
            </w:tcBorders>
            <w:shd w:val="clear" w:color="000000" w:fill="FFFFFF"/>
            <w:vAlign w:val="center"/>
            <w:hideMark/>
          </w:tcPr>
          <w:p w14:paraId="203D3EB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0.0201</w:t>
            </w:r>
          </w:p>
        </w:tc>
        <w:tc>
          <w:tcPr>
            <w:tcW w:w="717" w:type="dxa"/>
            <w:tcBorders>
              <w:top w:val="single" w:sz="4" w:space="0" w:color="ADD6EA"/>
              <w:left w:val="nil"/>
              <w:bottom w:val="nil"/>
              <w:right w:val="nil"/>
            </w:tcBorders>
            <w:shd w:val="clear" w:color="000000" w:fill="FFFFFF"/>
            <w:vAlign w:val="center"/>
            <w:hideMark/>
          </w:tcPr>
          <w:p w14:paraId="689B0B4D"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0.0185</w:t>
            </w:r>
          </w:p>
        </w:tc>
        <w:tc>
          <w:tcPr>
            <w:tcW w:w="843" w:type="dxa"/>
            <w:tcBorders>
              <w:top w:val="single" w:sz="4" w:space="0" w:color="ADD6EA"/>
              <w:left w:val="nil"/>
              <w:bottom w:val="nil"/>
              <w:right w:val="nil"/>
            </w:tcBorders>
            <w:shd w:val="clear" w:color="000000" w:fill="FFFFFF"/>
            <w:vAlign w:val="center"/>
            <w:hideMark/>
          </w:tcPr>
          <w:p w14:paraId="1F0D849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0.0125</w:t>
            </w:r>
          </w:p>
        </w:tc>
      </w:tr>
      <w:tr w:rsidR="000952B1" w:rsidRPr="000952B1" w14:paraId="3DDFF290"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28873EE1"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Occupation (broad)</w:t>
            </w:r>
          </w:p>
        </w:tc>
        <w:tc>
          <w:tcPr>
            <w:tcW w:w="717" w:type="dxa"/>
            <w:tcBorders>
              <w:top w:val="single" w:sz="4" w:space="0" w:color="ADD6EA"/>
              <w:left w:val="nil"/>
              <w:bottom w:val="nil"/>
              <w:right w:val="nil"/>
            </w:tcBorders>
            <w:shd w:val="clear" w:color="000000" w:fill="FFFFFF"/>
            <w:vAlign w:val="center"/>
            <w:hideMark/>
          </w:tcPr>
          <w:p w14:paraId="6783F51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0.0088</w:t>
            </w:r>
          </w:p>
        </w:tc>
        <w:tc>
          <w:tcPr>
            <w:tcW w:w="720" w:type="dxa"/>
            <w:tcBorders>
              <w:top w:val="single" w:sz="4" w:space="0" w:color="ADD6EA"/>
              <w:left w:val="nil"/>
              <w:bottom w:val="nil"/>
              <w:right w:val="nil"/>
            </w:tcBorders>
            <w:shd w:val="clear" w:color="000000" w:fill="FFFFFF"/>
            <w:vAlign w:val="center"/>
            <w:hideMark/>
          </w:tcPr>
          <w:p w14:paraId="4C5F15ED"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0.0081</w:t>
            </w:r>
          </w:p>
        </w:tc>
        <w:tc>
          <w:tcPr>
            <w:tcW w:w="770" w:type="dxa"/>
            <w:tcBorders>
              <w:top w:val="single" w:sz="4" w:space="0" w:color="ADD6EA"/>
              <w:left w:val="nil"/>
              <w:bottom w:val="nil"/>
              <w:right w:val="nil"/>
            </w:tcBorders>
            <w:shd w:val="clear" w:color="000000" w:fill="FFFFFF"/>
            <w:vAlign w:val="center"/>
            <w:hideMark/>
          </w:tcPr>
          <w:p w14:paraId="76D90E5E"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0.0088</w:t>
            </w:r>
          </w:p>
        </w:tc>
        <w:tc>
          <w:tcPr>
            <w:tcW w:w="753" w:type="dxa"/>
            <w:tcBorders>
              <w:top w:val="single" w:sz="4" w:space="0" w:color="ADD6EA"/>
              <w:left w:val="nil"/>
              <w:bottom w:val="nil"/>
              <w:right w:val="nil"/>
            </w:tcBorders>
            <w:shd w:val="clear" w:color="000000" w:fill="FFFFFF"/>
            <w:vAlign w:val="center"/>
            <w:hideMark/>
          </w:tcPr>
          <w:p w14:paraId="00093439"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0.0101</w:t>
            </w:r>
          </w:p>
        </w:tc>
        <w:tc>
          <w:tcPr>
            <w:tcW w:w="753" w:type="dxa"/>
            <w:tcBorders>
              <w:top w:val="single" w:sz="4" w:space="0" w:color="ADD6EA"/>
              <w:left w:val="nil"/>
              <w:bottom w:val="nil"/>
              <w:right w:val="nil"/>
            </w:tcBorders>
            <w:shd w:val="clear" w:color="000000" w:fill="FFFFFF"/>
            <w:vAlign w:val="center"/>
            <w:hideMark/>
          </w:tcPr>
          <w:p w14:paraId="7C251CC9"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0.0107</w:t>
            </w:r>
          </w:p>
        </w:tc>
        <w:tc>
          <w:tcPr>
            <w:tcW w:w="753" w:type="dxa"/>
            <w:tcBorders>
              <w:top w:val="single" w:sz="4" w:space="0" w:color="ADD6EA"/>
              <w:left w:val="nil"/>
              <w:bottom w:val="nil"/>
              <w:right w:val="nil"/>
            </w:tcBorders>
            <w:shd w:val="clear" w:color="000000" w:fill="FFFFFF"/>
            <w:vAlign w:val="center"/>
            <w:hideMark/>
          </w:tcPr>
          <w:p w14:paraId="36CE400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0.0119</w:t>
            </w:r>
          </w:p>
        </w:tc>
        <w:tc>
          <w:tcPr>
            <w:tcW w:w="717" w:type="dxa"/>
            <w:tcBorders>
              <w:top w:val="single" w:sz="4" w:space="0" w:color="ADD6EA"/>
              <w:left w:val="nil"/>
              <w:bottom w:val="nil"/>
              <w:right w:val="nil"/>
            </w:tcBorders>
            <w:shd w:val="clear" w:color="000000" w:fill="FFFFFF"/>
            <w:vAlign w:val="center"/>
            <w:hideMark/>
          </w:tcPr>
          <w:p w14:paraId="217C5C70"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0.0190</w:t>
            </w:r>
          </w:p>
        </w:tc>
        <w:tc>
          <w:tcPr>
            <w:tcW w:w="717" w:type="dxa"/>
            <w:tcBorders>
              <w:top w:val="single" w:sz="4" w:space="0" w:color="ADD6EA"/>
              <w:left w:val="nil"/>
              <w:bottom w:val="nil"/>
              <w:right w:val="nil"/>
            </w:tcBorders>
            <w:shd w:val="clear" w:color="000000" w:fill="FFFFFF"/>
            <w:vAlign w:val="center"/>
            <w:hideMark/>
          </w:tcPr>
          <w:p w14:paraId="3AF2F820"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0.0180</w:t>
            </w:r>
          </w:p>
        </w:tc>
        <w:tc>
          <w:tcPr>
            <w:tcW w:w="843" w:type="dxa"/>
            <w:tcBorders>
              <w:top w:val="single" w:sz="4" w:space="0" w:color="ADD6EA"/>
              <w:left w:val="nil"/>
              <w:bottom w:val="nil"/>
              <w:right w:val="nil"/>
            </w:tcBorders>
            <w:shd w:val="clear" w:color="000000" w:fill="FFFFFF"/>
            <w:vAlign w:val="center"/>
            <w:hideMark/>
          </w:tcPr>
          <w:p w14:paraId="1625A96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0.0119</w:t>
            </w:r>
          </w:p>
        </w:tc>
      </w:tr>
      <w:tr w:rsidR="000952B1" w:rsidRPr="000952B1" w14:paraId="315CA8EA"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53694F9C"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Occupation (detailed)</w:t>
            </w:r>
          </w:p>
        </w:tc>
        <w:tc>
          <w:tcPr>
            <w:tcW w:w="717" w:type="dxa"/>
            <w:tcBorders>
              <w:top w:val="single" w:sz="4" w:space="0" w:color="ADD6EA"/>
              <w:left w:val="nil"/>
              <w:bottom w:val="nil"/>
              <w:right w:val="nil"/>
            </w:tcBorders>
            <w:shd w:val="clear" w:color="000000" w:fill="FFFFFF"/>
            <w:vAlign w:val="center"/>
            <w:hideMark/>
          </w:tcPr>
          <w:p w14:paraId="0A1FF096"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0.0085</w:t>
            </w:r>
          </w:p>
        </w:tc>
        <w:tc>
          <w:tcPr>
            <w:tcW w:w="720" w:type="dxa"/>
            <w:tcBorders>
              <w:top w:val="single" w:sz="4" w:space="0" w:color="ADD6EA"/>
              <w:left w:val="nil"/>
              <w:bottom w:val="nil"/>
              <w:right w:val="nil"/>
            </w:tcBorders>
            <w:shd w:val="clear" w:color="000000" w:fill="FFFFFF"/>
            <w:vAlign w:val="center"/>
            <w:hideMark/>
          </w:tcPr>
          <w:p w14:paraId="065D66F7"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0.0081</w:t>
            </w:r>
          </w:p>
        </w:tc>
        <w:tc>
          <w:tcPr>
            <w:tcW w:w="770" w:type="dxa"/>
            <w:tcBorders>
              <w:top w:val="single" w:sz="4" w:space="0" w:color="ADD6EA"/>
              <w:left w:val="nil"/>
              <w:bottom w:val="nil"/>
              <w:right w:val="nil"/>
            </w:tcBorders>
            <w:shd w:val="clear" w:color="000000" w:fill="FFFFFF"/>
            <w:vAlign w:val="center"/>
            <w:hideMark/>
          </w:tcPr>
          <w:p w14:paraId="4843B53F"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0.0085</w:t>
            </w:r>
          </w:p>
        </w:tc>
        <w:tc>
          <w:tcPr>
            <w:tcW w:w="753" w:type="dxa"/>
            <w:tcBorders>
              <w:top w:val="single" w:sz="4" w:space="0" w:color="ADD6EA"/>
              <w:left w:val="nil"/>
              <w:bottom w:val="nil"/>
              <w:right w:val="nil"/>
            </w:tcBorders>
            <w:shd w:val="clear" w:color="000000" w:fill="FFFFFF"/>
            <w:vAlign w:val="center"/>
            <w:hideMark/>
          </w:tcPr>
          <w:p w14:paraId="688D0F7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0.0101</w:t>
            </w:r>
          </w:p>
        </w:tc>
        <w:tc>
          <w:tcPr>
            <w:tcW w:w="753" w:type="dxa"/>
            <w:tcBorders>
              <w:top w:val="single" w:sz="4" w:space="0" w:color="ADD6EA"/>
              <w:left w:val="nil"/>
              <w:bottom w:val="nil"/>
              <w:right w:val="nil"/>
            </w:tcBorders>
            <w:shd w:val="clear" w:color="000000" w:fill="FFFFFF"/>
            <w:vAlign w:val="center"/>
            <w:hideMark/>
          </w:tcPr>
          <w:p w14:paraId="069769C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0.0100</w:t>
            </w:r>
          </w:p>
        </w:tc>
        <w:tc>
          <w:tcPr>
            <w:tcW w:w="753" w:type="dxa"/>
            <w:tcBorders>
              <w:top w:val="single" w:sz="4" w:space="0" w:color="ADD6EA"/>
              <w:left w:val="nil"/>
              <w:bottom w:val="nil"/>
              <w:right w:val="nil"/>
            </w:tcBorders>
            <w:shd w:val="clear" w:color="000000" w:fill="FFFFFF"/>
            <w:vAlign w:val="center"/>
            <w:hideMark/>
          </w:tcPr>
          <w:p w14:paraId="79C1C271"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c>
          <w:tcPr>
            <w:tcW w:w="717" w:type="dxa"/>
            <w:tcBorders>
              <w:top w:val="single" w:sz="4" w:space="0" w:color="ADD6EA"/>
              <w:left w:val="nil"/>
              <w:bottom w:val="nil"/>
              <w:right w:val="nil"/>
            </w:tcBorders>
            <w:shd w:val="clear" w:color="000000" w:fill="FFFFFF"/>
            <w:vAlign w:val="center"/>
            <w:hideMark/>
          </w:tcPr>
          <w:p w14:paraId="194D7060"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0.0175</w:t>
            </w:r>
          </w:p>
        </w:tc>
        <w:tc>
          <w:tcPr>
            <w:tcW w:w="717" w:type="dxa"/>
            <w:tcBorders>
              <w:top w:val="single" w:sz="4" w:space="0" w:color="ADD6EA"/>
              <w:left w:val="nil"/>
              <w:bottom w:val="nil"/>
              <w:right w:val="nil"/>
            </w:tcBorders>
            <w:shd w:val="clear" w:color="000000" w:fill="FFFFFF"/>
            <w:vAlign w:val="center"/>
            <w:hideMark/>
          </w:tcPr>
          <w:p w14:paraId="4ADCC826"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0.0172</w:t>
            </w:r>
          </w:p>
        </w:tc>
        <w:tc>
          <w:tcPr>
            <w:tcW w:w="843" w:type="dxa"/>
            <w:tcBorders>
              <w:top w:val="single" w:sz="4" w:space="0" w:color="ADD6EA"/>
              <w:left w:val="nil"/>
              <w:bottom w:val="nil"/>
              <w:right w:val="nil"/>
            </w:tcBorders>
            <w:shd w:val="clear" w:color="000000" w:fill="FFFFFF"/>
            <w:vAlign w:val="center"/>
            <w:hideMark/>
          </w:tcPr>
          <w:p w14:paraId="12F7394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0.0114</w:t>
            </w:r>
          </w:p>
        </w:tc>
      </w:tr>
      <w:tr w:rsidR="000952B1" w:rsidRPr="000952B1" w14:paraId="43B6223F"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4AC8F039"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Industry (broad)</w:t>
            </w:r>
          </w:p>
        </w:tc>
        <w:tc>
          <w:tcPr>
            <w:tcW w:w="717" w:type="dxa"/>
            <w:tcBorders>
              <w:top w:val="single" w:sz="4" w:space="0" w:color="ADD6EA"/>
              <w:left w:val="nil"/>
              <w:bottom w:val="nil"/>
              <w:right w:val="nil"/>
            </w:tcBorders>
            <w:shd w:val="clear" w:color="000000" w:fill="FFFFFF"/>
            <w:vAlign w:val="center"/>
            <w:hideMark/>
          </w:tcPr>
          <w:p w14:paraId="19B4A50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0.0084</w:t>
            </w:r>
          </w:p>
        </w:tc>
        <w:tc>
          <w:tcPr>
            <w:tcW w:w="720" w:type="dxa"/>
            <w:tcBorders>
              <w:top w:val="single" w:sz="4" w:space="0" w:color="ADD6EA"/>
              <w:left w:val="nil"/>
              <w:bottom w:val="nil"/>
              <w:right w:val="nil"/>
            </w:tcBorders>
            <w:shd w:val="clear" w:color="000000" w:fill="FFFFFF"/>
            <w:vAlign w:val="center"/>
            <w:hideMark/>
          </w:tcPr>
          <w:p w14:paraId="422BF41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0.0082</w:t>
            </w:r>
          </w:p>
        </w:tc>
        <w:tc>
          <w:tcPr>
            <w:tcW w:w="770" w:type="dxa"/>
            <w:tcBorders>
              <w:top w:val="single" w:sz="4" w:space="0" w:color="ADD6EA"/>
              <w:left w:val="nil"/>
              <w:bottom w:val="nil"/>
              <w:right w:val="nil"/>
            </w:tcBorders>
            <w:shd w:val="clear" w:color="000000" w:fill="FFFFFF"/>
            <w:vAlign w:val="center"/>
            <w:hideMark/>
          </w:tcPr>
          <w:p w14:paraId="2B3F8ABE"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0.0086</w:t>
            </w:r>
          </w:p>
        </w:tc>
        <w:tc>
          <w:tcPr>
            <w:tcW w:w="753" w:type="dxa"/>
            <w:tcBorders>
              <w:top w:val="single" w:sz="4" w:space="0" w:color="ADD6EA"/>
              <w:left w:val="nil"/>
              <w:bottom w:val="nil"/>
              <w:right w:val="nil"/>
            </w:tcBorders>
            <w:shd w:val="clear" w:color="000000" w:fill="FFFFFF"/>
            <w:vAlign w:val="center"/>
            <w:hideMark/>
          </w:tcPr>
          <w:p w14:paraId="3FBA6EF2"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0.0098</w:t>
            </w:r>
          </w:p>
        </w:tc>
        <w:tc>
          <w:tcPr>
            <w:tcW w:w="753" w:type="dxa"/>
            <w:tcBorders>
              <w:top w:val="single" w:sz="4" w:space="0" w:color="ADD6EA"/>
              <w:left w:val="nil"/>
              <w:bottom w:val="nil"/>
              <w:right w:val="nil"/>
            </w:tcBorders>
            <w:shd w:val="clear" w:color="000000" w:fill="FFFFFF"/>
            <w:vAlign w:val="center"/>
            <w:hideMark/>
          </w:tcPr>
          <w:p w14:paraId="6E3EFE2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0.0098</w:t>
            </w:r>
          </w:p>
        </w:tc>
        <w:tc>
          <w:tcPr>
            <w:tcW w:w="753" w:type="dxa"/>
            <w:tcBorders>
              <w:top w:val="single" w:sz="4" w:space="0" w:color="ADD6EA"/>
              <w:left w:val="nil"/>
              <w:bottom w:val="nil"/>
              <w:right w:val="nil"/>
            </w:tcBorders>
            <w:shd w:val="clear" w:color="000000" w:fill="FFFFFF"/>
            <w:vAlign w:val="center"/>
            <w:hideMark/>
          </w:tcPr>
          <w:p w14:paraId="01A9CA09"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c>
          <w:tcPr>
            <w:tcW w:w="717" w:type="dxa"/>
            <w:tcBorders>
              <w:top w:val="single" w:sz="4" w:space="0" w:color="ADD6EA"/>
              <w:left w:val="nil"/>
              <w:bottom w:val="nil"/>
              <w:right w:val="nil"/>
            </w:tcBorders>
            <w:shd w:val="clear" w:color="000000" w:fill="FFFFFF"/>
            <w:vAlign w:val="center"/>
            <w:hideMark/>
          </w:tcPr>
          <w:p w14:paraId="69B86C0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0.0177</w:t>
            </w:r>
          </w:p>
        </w:tc>
        <w:tc>
          <w:tcPr>
            <w:tcW w:w="717" w:type="dxa"/>
            <w:tcBorders>
              <w:top w:val="single" w:sz="4" w:space="0" w:color="ADD6EA"/>
              <w:left w:val="nil"/>
              <w:bottom w:val="nil"/>
              <w:right w:val="nil"/>
            </w:tcBorders>
            <w:shd w:val="clear" w:color="000000" w:fill="FFFFFF"/>
            <w:vAlign w:val="center"/>
            <w:hideMark/>
          </w:tcPr>
          <w:p w14:paraId="6315EBB7"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0.0169</w:t>
            </w:r>
          </w:p>
        </w:tc>
        <w:tc>
          <w:tcPr>
            <w:tcW w:w="843" w:type="dxa"/>
            <w:tcBorders>
              <w:top w:val="single" w:sz="4" w:space="0" w:color="ADD6EA"/>
              <w:left w:val="nil"/>
              <w:bottom w:val="nil"/>
              <w:right w:val="nil"/>
            </w:tcBorders>
            <w:shd w:val="clear" w:color="000000" w:fill="FFFFFF"/>
            <w:vAlign w:val="center"/>
            <w:hideMark/>
          </w:tcPr>
          <w:p w14:paraId="5B00AB3D"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0.0114</w:t>
            </w:r>
          </w:p>
        </w:tc>
      </w:tr>
      <w:tr w:rsidR="000952B1" w:rsidRPr="000952B1" w14:paraId="005260F8"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3D4C919F"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Industry (intermediate)</w:t>
            </w:r>
          </w:p>
        </w:tc>
        <w:tc>
          <w:tcPr>
            <w:tcW w:w="717" w:type="dxa"/>
            <w:tcBorders>
              <w:top w:val="single" w:sz="4" w:space="0" w:color="ADD6EA"/>
              <w:left w:val="nil"/>
              <w:bottom w:val="nil"/>
              <w:right w:val="nil"/>
            </w:tcBorders>
            <w:shd w:val="clear" w:color="000000" w:fill="FFFFFF"/>
            <w:vAlign w:val="center"/>
            <w:hideMark/>
          </w:tcPr>
          <w:p w14:paraId="3D7B4639"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0.0084</w:t>
            </w:r>
          </w:p>
        </w:tc>
        <w:tc>
          <w:tcPr>
            <w:tcW w:w="720" w:type="dxa"/>
            <w:tcBorders>
              <w:top w:val="single" w:sz="4" w:space="0" w:color="ADD6EA"/>
              <w:left w:val="nil"/>
              <w:bottom w:val="nil"/>
              <w:right w:val="nil"/>
            </w:tcBorders>
            <w:shd w:val="clear" w:color="000000" w:fill="FFFFFF"/>
            <w:vAlign w:val="center"/>
            <w:hideMark/>
          </w:tcPr>
          <w:p w14:paraId="3D41BAC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0.0083</w:t>
            </w:r>
          </w:p>
        </w:tc>
        <w:tc>
          <w:tcPr>
            <w:tcW w:w="770" w:type="dxa"/>
            <w:tcBorders>
              <w:top w:val="single" w:sz="4" w:space="0" w:color="ADD6EA"/>
              <w:left w:val="nil"/>
              <w:bottom w:val="nil"/>
              <w:right w:val="nil"/>
            </w:tcBorders>
            <w:shd w:val="clear" w:color="000000" w:fill="FFFFFF"/>
            <w:vAlign w:val="center"/>
            <w:hideMark/>
          </w:tcPr>
          <w:p w14:paraId="1DA7DF8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0.0088</w:t>
            </w:r>
          </w:p>
        </w:tc>
        <w:tc>
          <w:tcPr>
            <w:tcW w:w="753" w:type="dxa"/>
            <w:tcBorders>
              <w:top w:val="single" w:sz="4" w:space="0" w:color="ADD6EA"/>
              <w:left w:val="nil"/>
              <w:bottom w:val="nil"/>
              <w:right w:val="nil"/>
            </w:tcBorders>
            <w:shd w:val="clear" w:color="000000" w:fill="FFFFFF"/>
            <w:vAlign w:val="center"/>
            <w:hideMark/>
          </w:tcPr>
          <w:p w14:paraId="4C37197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0.0098</w:t>
            </w:r>
          </w:p>
        </w:tc>
        <w:tc>
          <w:tcPr>
            <w:tcW w:w="753" w:type="dxa"/>
            <w:tcBorders>
              <w:top w:val="single" w:sz="4" w:space="0" w:color="ADD6EA"/>
              <w:left w:val="nil"/>
              <w:bottom w:val="nil"/>
              <w:right w:val="nil"/>
            </w:tcBorders>
            <w:shd w:val="clear" w:color="000000" w:fill="FFFFFF"/>
            <w:vAlign w:val="center"/>
            <w:hideMark/>
          </w:tcPr>
          <w:p w14:paraId="78D8680E"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0.0095</w:t>
            </w:r>
          </w:p>
        </w:tc>
        <w:tc>
          <w:tcPr>
            <w:tcW w:w="753" w:type="dxa"/>
            <w:tcBorders>
              <w:top w:val="single" w:sz="4" w:space="0" w:color="ADD6EA"/>
              <w:left w:val="nil"/>
              <w:bottom w:val="nil"/>
              <w:right w:val="nil"/>
            </w:tcBorders>
            <w:shd w:val="clear" w:color="000000" w:fill="FFFFFF"/>
            <w:vAlign w:val="center"/>
            <w:hideMark/>
          </w:tcPr>
          <w:p w14:paraId="211CD706"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0.0113</w:t>
            </w:r>
          </w:p>
        </w:tc>
        <w:tc>
          <w:tcPr>
            <w:tcW w:w="717" w:type="dxa"/>
            <w:tcBorders>
              <w:top w:val="single" w:sz="4" w:space="0" w:color="ADD6EA"/>
              <w:left w:val="nil"/>
              <w:bottom w:val="nil"/>
              <w:right w:val="nil"/>
            </w:tcBorders>
            <w:shd w:val="clear" w:color="000000" w:fill="FFFFFF"/>
            <w:vAlign w:val="center"/>
            <w:hideMark/>
          </w:tcPr>
          <w:p w14:paraId="6A71D76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0.0178</w:t>
            </w:r>
          </w:p>
        </w:tc>
        <w:tc>
          <w:tcPr>
            <w:tcW w:w="717" w:type="dxa"/>
            <w:tcBorders>
              <w:top w:val="single" w:sz="4" w:space="0" w:color="ADD6EA"/>
              <w:left w:val="nil"/>
              <w:bottom w:val="nil"/>
              <w:right w:val="nil"/>
            </w:tcBorders>
            <w:shd w:val="clear" w:color="000000" w:fill="FFFFFF"/>
            <w:vAlign w:val="center"/>
            <w:hideMark/>
          </w:tcPr>
          <w:p w14:paraId="2C6226B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0.0172</w:t>
            </w:r>
          </w:p>
        </w:tc>
        <w:tc>
          <w:tcPr>
            <w:tcW w:w="843" w:type="dxa"/>
            <w:tcBorders>
              <w:top w:val="single" w:sz="4" w:space="0" w:color="ADD6EA"/>
              <w:left w:val="nil"/>
              <w:bottom w:val="nil"/>
              <w:right w:val="nil"/>
            </w:tcBorders>
            <w:shd w:val="clear" w:color="000000" w:fill="FFFFFF"/>
            <w:vAlign w:val="center"/>
            <w:hideMark/>
          </w:tcPr>
          <w:p w14:paraId="4C735A0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0.0114</w:t>
            </w:r>
          </w:p>
        </w:tc>
      </w:tr>
      <w:tr w:rsidR="000952B1" w:rsidRPr="000952B1" w14:paraId="273631EF"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735EBF11"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Industry (detailed)</w:t>
            </w:r>
          </w:p>
        </w:tc>
        <w:tc>
          <w:tcPr>
            <w:tcW w:w="717" w:type="dxa"/>
            <w:tcBorders>
              <w:top w:val="single" w:sz="4" w:space="0" w:color="ADD6EA"/>
              <w:left w:val="nil"/>
              <w:bottom w:val="nil"/>
              <w:right w:val="nil"/>
            </w:tcBorders>
            <w:shd w:val="clear" w:color="000000" w:fill="FFFFFF"/>
            <w:vAlign w:val="center"/>
            <w:hideMark/>
          </w:tcPr>
          <w:p w14:paraId="14D4D921"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0.0084</w:t>
            </w:r>
          </w:p>
        </w:tc>
        <w:tc>
          <w:tcPr>
            <w:tcW w:w="720" w:type="dxa"/>
            <w:tcBorders>
              <w:top w:val="single" w:sz="4" w:space="0" w:color="ADD6EA"/>
              <w:left w:val="nil"/>
              <w:bottom w:val="nil"/>
              <w:right w:val="nil"/>
            </w:tcBorders>
            <w:shd w:val="clear" w:color="000000" w:fill="FFFFFF"/>
            <w:vAlign w:val="center"/>
            <w:hideMark/>
          </w:tcPr>
          <w:p w14:paraId="449A82B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0.0083</w:t>
            </w:r>
          </w:p>
        </w:tc>
        <w:tc>
          <w:tcPr>
            <w:tcW w:w="770" w:type="dxa"/>
            <w:tcBorders>
              <w:top w:val="single" w:sz="4" w:space="0" w:color="ADD6EA"/>
              <w:left w:val="nil"/>
              <w:bottom w:val="nil"/>
              <w:right w:val="nil"/>
            </w:tcBorders>
            <w:shd w:val="clear" w:color="000000" w:fill="FFFFFF"/>
            <w:vAlign w:val="center"/>
            <w:hideMark/>
          </w:tcPr>
          <w:p w14:paraId="76952AA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0.0090</w:t>
            </w:r>
          </w:p>
        </w:tc>
        <w:tc>
          <w:tcPr>
            <w:tcW w:w="753" w:type="dxa"/>
            <w:tcBorders>
              <w:top w:val="single" w:sz="4" w:space="0" w:color="ADD6EA"/>
              <w:left w:val="nil"/>
              <w:bottom w:val="nil"/>
              <w:right w:val="nil"/>
            </w:tcBorders>
            <w:shd w:val="clear" w:color="000000" w:fill="FFFFFF"/>
            <w:vAlign w:val="center"/>
            <w:hideMark/>
          </w:tcPr>
          <w:p w14:paraId="53930F4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0.0102</w:t>
            </w:r>
          </w:p>
        </w:tc>
        <w:tc>
          <w:tcPr>
            <w:tcW w:w="753" w:type="dxa"/>
            <w:tcBorders>
              <w:top w:val="single" w:sz="4" w:space="0" w:color="ADD6EA"/>
              <w:left w:val="nil"/>
              <w:bottom w:val="nil"/>
              <w:right w:val="nil"/>
            </w:tcBorders>
            <w:shd w:val="clear" w:color="000000" w:fill="FFFFFF"/>
            <w:vAlign w:val="center"/>
            <w:hideMark/>
          </w:tcPr>
          <w:p w14:paraId="4BBE0E4E"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0.0099</w:t>
            </w:r>
          </w:p>
        </w:tc>
        <w:tc>
          <w:tcPr>
            <w:tcW w:w="753" w:type="dxa"/>
            <w:tcBorders>
              <w:top w:val="single" w:sz="4" w:space="0" w:color="ADD6EA"/>
              <w:left w:val="nil"/>
              <w:bottom w:val="nil"/>
              <w:right w:val="nil"/>
            </w:tcBorders>
            <w:shd w:val="clear" w:color="000000" w:fill="FFFFFF"/>
            <w:vAlign w:val="center"/>
            <w:hideMark/>
          </w:tcPr>
          <w:p w14:paraId="5537954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c>
          <w:tcPr>
            <w:tcW w:w="717" w:type="dxa"/>
            <w:tcBorders>
              <w:top w:val="single" w:sz="4" w:space="0" w:color="ADD6EA"/>
              <w:left w:val="nil"/>
              <w:bottom w:val="nil"/>
              <w:right w:val="nil"/>
            </w:tcBorders>
            <w:shd w:val="clear" w:color="000000" w:fill="FFFFFF"/>
            <w:vAlign w:val="center"/>
            <w:hideMark/>
          </w:tcPr>
          <w:p w14:paraId="5067E2C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0.0182</w:t>
            </w:r>
          </w:p>
        </w:tc>
        <w:tc>
          <w:tcPr>
            <w:tcW w:w="717" w:type="dxa"/>
            <w:tcBorders>
              <w:top w:val="single" w:sz="4" w:space="0" w:color="ADD6EA"/>
              <w:left w:val="nil"/>
              <w:bottom w:val="nil"/>
              <w:right w:val="nil"/>
            </w:tcBorders>
            <w:shd w:val="clear" w:color="000000" w:fill="FFFFFF"/>
            <w:vAlign w:val="center"/>
            <w:hideMark/>
          </w:tcPr>
          <w:p w14:paraId="3C738F0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0.0176</w:t>
            </w:r>
          </w:p>
        </w:tc>
        <w:tc>
          <w:tcPr>
            <w:tcW w:w="843" w:type="dxa"/>
            <w:tcBorders>
              <w:top w:val="single" w:sz="4" w:space="0" w:color="ADD6EA"/>
              <w:left w:val="nil"/>
              <w:bottom w:val="nil"/>
              <w:right w:val="nil"/>
            </w:tcBorders>
            <w:shd w:val="clear" w:color="000000" w:fill="FFFFFF"/>
            <w:vAlign w:val="center"/>
            <w:hideMark/>
          </w:tcPr>
          <w:p w14:paraId="3844171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0.0117</w:t>
            </w:r>
          </w:p>
        </w:tc>
      </w:tr>
      <w:tr w:rsidR="000952B1" w:rsidRPr="000952B1" w14:paraId="449C15EC"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6526653B"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Usual hours</w:t>
            </w:r>
          </w:p>
        </w:tc>
        <w:tc>
          <w:tcPr>
            <w:tcW w:w="717" w:type="dxa"/>
            <w:tcBorders>
              <w:top w:val="single" w:sz="4" w:space="0" w:color="ADD6EA"/>
              <w:left w:val="nil"/>
              <w:bottom w:val="nil"/>
              <w:right w:val="nil"/>
            </w:tcBorders>
            <w:shd w:val="clear" w:color="000000" w:fill="FFFFFF"/>
            <w:vAlign w:val="center"/>
            <w:hideMark/>
          </w:tcPr>
          <w:p w14:paraId="0D06663F"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0.0083</w:t>
            </w:r>
          </w:p>
        </w:tc>
        <w:tc>
          <w:tcPr>
            <w:tcW w:w="720" w:type="dxa"/>
            <w:tcBorders>
              <w:top w:val="single" w:sz="4" w:space="0" w:color="ADD6EA"/>
              <w:left w:val="nil"/>
              <w:bottom w:val="nil"/>
              <w:right w:val="nil"/>
            </w:tcBorders>
            <w:shd w:val="clear" w:color="000000" w:fill="FFFFFF"/>
            <w:vAlign w:val="center"/>
            <w:hideMark/>
          </w:tcPr>
          <w:p w14:paraId="498D423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0.0082</w:t>
            </w:r>
          </w:p>
        </w:tc>
        <w:tc>
          <w:tcPr>
            <w:tcW w:w="770" w:type="dxa"/>
            <w:tcBorders>
              <w:top w:val="single" w:sz="4" w:space="0" w:color="ADD6EA"/>
              <w:left w:val="nil"/>
              <w:bottom w:val="nil"/>
              <w:right w:val="nil"/>
            </w:tcBorders>
            <w:shd w:val="clear" w:color="000000" w:fill="FFFFFF"/>
            <w:vAlign w:val="center"/>
            <w:hideMark/>
          </w:tcPr>
          <w:p w14:paraId="4B33500A"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0.0090</w:t>
            </w:r>
          </w:p>
        </w:tc>
        <w:tc>
          <w:tcPr>
            <w:tcW w:w="753" w:type="dxa"/>
            <w:tcBorders>
              <w:top w:val="single" w:sz="4" w:space="0" w:color="ADD6EA"/>
              <w:left w:val="nil"/>
              <w:bottom w:val="nil"/>
              <w:right w:val="nil"/>
            </w:tcBorders>
            <w:shd w:val="clear" w:color="000000" w:fill="FFFFFF"/>
            <w:vAlign w:val="center"/>
            <w:hideMark/>
          </w:tcPr>
          <w:p w14:paraId="0A9271B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0.0101</w:t>
            </w:r>
          </w:p>
        </w:tc>
        <w:tc>
          <w:tcPr>
            <w:tcW w:w="753" w:type="dxa"/>
            <w:tcBorders>
              <w:top w:val="single" w:sz="4" w:space="0" w:color="ADD6EA"/>
              <w:left w:val="nil"/>
              <w:bottom w:val="nil"/>
              <w:right w:val="nil"/>
            </w:tcBorders>
            <w:shd w:val="clear" w:color="000000" w:fill="FFFFFF"/>
            <w:vAlign w:val="center"/>
            <w:hideMark/>
          </w:tcPr>
          <w:p w14:paraId="2F214A6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0.0098</w:t>
            </w:r>
          </w:p>
        </w:tc>
        <w:tc>
          <w:tcPr>
            <w:tcW w:w="753" w:type="dxa"/>
            <w:tcBorders>
              <w:top w:val="single" w:sz="4" w:space="0" w:color="ADD6EA"/>
              <w:left w:val="nil"/>
              <w:bottom w:val="nil"/>
              <w:right w:val="nil"/>
            </w:tcBorders>
            <w:shd w:val="clear" w:color="000000" w:fill="FFFFFF"/>
            <w:vAlign w:val="center"/>
            <w:hideMark/>
          </w:tcPr>
          <w:p w14:paraId="2B3031DA"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c>
          <w:tcPr>
            <w:tcW w:w="717" w:type="dxa"/>
            <w:tcBorders>
              <w:top w:val="single" w:sz="4" w:space="0" w:color="ADD6EA"/>
              <w:left w:val="nil"/>
              <w:bottom w:val="nil"/>
              <w:right w:val="nil"/>
            </w:tcBorders>
            <w:shd w:val="clear" w:color="000000" w:fill="FFFFFF"/>
            <w:vAlign w:val="center"/>
            <w:hideMark/>
          </w:tcPr>
          <w:p w14:paraId="72F5494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0.0181</w:t>
            </w:r>
          </w:p>
        </w:tc>
        <w:tc>
          <w:tcPr>
            <w:tcW w:w="717" w:type="dxa"/>
            <w:tcBorders>
              <w:top w:val="single" w:sz="4" w:space="0" w:color="ADD6EA"/>
              <w:left w:val="nil"/>
              <w:bottom w:val="nil"/>
              <w:right w:val="nil"/>
            </w:tcBorders>
            <w:shd w:val="clear" w:color="000000" w:fill="FFFFFF"/>
            <w:vAlign w:val="center"/>
            <w:hideMark/>
          </w:tcPr>
          <w:p w14:paraId="4708A41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0.0178</w:t>
            </w:r>
          </w:p>
        </w:tc>
        <w:tc>
          <w:tcPr>
            <w:tcW w:w="843" w:type="dxa"/>
            <w:tcBorders>
              <w:top w:val="single" w:sz="4" w:space="0" w:color="ADD6EA"/>
              <w:left w:val="nil"/>
              <w:bottom w:val="nil"/>
              <w:right w:val="nil"/>
            </w:tcBorders>
            <w:shd w:val="clear" w:color="000000" w:fill="FFFFFF"/>
            <w:vAlign w:val="center"/>
            <w:hideMark/>
          </w:tcPr>
          <w:p w14:paraId="318B35C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r>
      <w:tr w:rsidR="000952B1" w:rsidRPr="000952B1" w14:paraId="5786D447"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3301E2C4"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Family by sex</w:t>
            </w:r>
          </w:p>
        </w:tc>
        <w:tc>
          <w:tcPr>
            <w:tcW w:w="717" w:type="dxa"/>
            <w:tcBorders>
              <w:top w:val="single" w:sz="4" w:space="0" w:color="ADD6EA"/>
              <w:left w:val="nil"/>
              <w:bottom w:val="nil"/>
              <w:right w:val="nil"/>
            </w:tcBorders>
            <w:shd w:val="clear" w:color="000000" w:fill="FFFFFF"/>
            <w:vAlign w:val="center"/>
            <w:hideMark/>
          </w:tcPr>
          <w:p w14:paraId="6A653F7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0.0083</w:t>
            </w:r>
          </w:p>
        </w:tc>
        <w:tc>
          <w:tcPr>
            <w:tcW w:w="720" w:type="dxa"/>
            <w:tcBorders>
              <w:top w:val="single" w:sz="4" w:space="0" w:color="ADD6EA"/>
              <w:left w:val="nil"/>
              <w:bottom w:val="nil"/>
              <w:right w:val="nil"/>
            </w:tcBorders>
            <w:shd w:val="clear" w:color="000000" w:fill="FFFFFF"/>
            <w:vAlign w:val="center"/>
            <w:hideMark/>
          </w:tcPr>
          <w:p w14:paraId="4941606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0.0082</w:t>
            </w:r>
          </w:p>
        </w:tc>
        <w:tc>
          <w:tcPr>
            <w:tcW w:w="770" w:type="dxa"/>
            <w:tcBorders>
              <w:top w:val="single" w:sz="4" w:space="0" w:color="ADD6EA"/>
              <w:left w:val="nil"/>
              <w:bottom w:val="nil"/>
              <w:right w:val="nil"/>
            </w:tcBorders>
            <w:shd w:val="clear" w:color="000000" w:fill="FFFFFF"/>
            <w:vAlign w:val="center"/>
            <w:hideMark/>
          </w:tcPr>
          <w:p w14:paraId="6C1CEA0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0.0090</w:t>
            </w:r>
          </w:p>
        </w:tc>
        <w:tc>
          <w:tcPr>
            <w:tcW w:w="753" w:type="dxa"/>
            <w:tcBorders>
              <w:top w:val="single" w:sz="4" w:space="0" w:color="ADD6EA"/>
              <w:left w:val="nil"/>
              <w:bottom w:val="nil"/>
              <w:right w:val="nil"/>
            </w:tcBorders>
            <w:shd w:val="clear" w:color="000000" w:fill="FFFFFF"/>
            <w:vAlign w:val="center"/>
            <w:hideMark/>
          </w:tcPr>
          <w:p w14:paraId="2C4BADE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0.0102</w:t>
            </w:r>
          </w:p>
        </w:tc>
        <w:tc>
          <w:tcPr>
            <w:tcW w:w="753" w:type="dxa"/>
            <w:tcBorders>
              <w:top w:val="single" w:sz="4" w:space="0" w:color="ADD6EA"/>
              <w:left w:val="nil"/>
              <w:bottom w:val="nil"/>
              <w:right w:val="nil"/>
            </w:tcBorders>
            <w:shd w:val="clear" w:color="000000" w:fill="FFFFFF"/>
            <w:vAlign w:val="center"/>
            <w:hideMark/>
          </w:tcPr>
          <w:p w14:paraId="6E5AF471"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0.0098</w:t>
            </w:r>
          </w:p>
        </w:tc>
        <w:tc>
          <w:tcPr>
            <w:tcW w:w="753" w:type="dxa"/>
            <w:tcBorders>
              <w:top w:val="single" w:sz="4" w:space="0" w:color="ADD6EA"/>
              <w:left w:val="nil"/>
              <w:bottom w:val="nil"/>
              <w:right w:val="nil"/>
            </w:tcBorders>
            <w:shd w:val="clear" w:color="000000" w:fill="FFFFFF"/>
            <w:vAlign w:val="center"/>
            <w:hideMark/>
          </w:tcPr>
          <w:p w14:paraId="3260937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0.0115</w:t>
            </w:r>
          </w:p>
        </w:tc>
        <w:tc>
          <w:tcPr>
            <w:tcW w:w="717" w:type="dxa"/>
            <w:tcBorders>
              <w:top w:val="single" w:sz="4" w:space="0" w:color="ADD6EA"/>
              <w:left w:val="nil"/>
              <w:bottom w:val="nil"/>
              <w:right w:val="nil"/>
            </w:tcBorders>
            <w:shd w:val="clear" w:color="000000" w:fill="FFFFFF"/>
            <w:vAlign w:val="center"/>
            <w:hideMark/>
          </w:tcPr>
          <w:p w14:paraId="3E06960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0.0181</w:t>
            </w:r>
          </w:p>
        </w:tc>
        <w:tc>
          <w:tcPr>
            <w:tcW w:w="717" w:type="dxa"/>
            <w:tcBorders>
              <w:top w:val="single" w:sz="4" w:space="0" w:color="ADD6EA"/>
              <w:left w:val="nil"/>
              <w:bottom w:val="nil"/>
              <w:right w:val="nil"/>
            </w:tcBorders>
            <w:shd w:val="clear" w:color="000000" w:fill="FFFFFF"/>
            <w:vAlign w:val="center"/>
            <w:hideMark/>
          </w:tcPr>
          <w:p w14:paraId="1DB7255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0.0177</w:t>
            </w:r>
          </w:p>
        </w:tc>
        <w:tc>
          <w:tcPr>
            <w:tcW w:w="843" w:type="dxa"/>
            <w:tcBorders>
              <w:top w:val="single" w:sz="4" w:space="0" w:color="ADD6EA"/>
              <w:left w:val="nil"/>
              <w:bottom w:val="nil"/>
              <w:right w:val="nil"/>
            </w:tcBorders>
            <w:shd w:val="clear" w:color="000000" w:fill="FFFFFF"/>
            <w:vAlign w:val="center"/>
            <w:hideMark/>
          </w:tcPr>
          <w:p w14:paraId="161FA84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r>
      <w:tr w:rsidR="000952B1" w:rsidRPr="000952B1" w14:paraId="1BE51A88"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6A8A7BA3"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Education by age</w:t>
            </w:r>
          </w:p>
        </w:tc>
        <w:tc>
          <w:tcPr>
            <w:tcW w:w="717" w:type="dxa"/>
            <w:tcBorders>
              <w:top w:val="single" w:sz="4" w:space="0" w:color="ADD6EA"/>
              <w:left w:val="nil"/>
              <w:bottom w:val="nil"/>
              <w:right w:val="nil"/>
            </w:tcBorders>
            <w:shd w:val="clear" w:color="000000" w:fill="FFFFFF"/>
            <w:vAlign w:val="center"/>
            <w:hideMark/>
          </w:tcPr>
          <w:p w14:paraId="5DB5FFDE"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0.0084</w:t>
            </w:r>
          </w:p>
        </w:tc>
        <w:tc>
          <w:tcPr>
            <w:tcW w:w="720" w:type="dxa"/>
            <w:tcBorders>
              <w:top w:val="single" w:sz="4" w:space="0" w:color="ADD6EA"/>
              <w:left w:val="nil"/>
              <w:bottom w:val="nil"/>
              <w:right w:val="nil"/>
            </w:tcBorders>
            <w:shd w:val="clear" w:color="000000" w:fill="FFFFFF"/>
            <w:vAlign w:val="center"/>
            <w:hideMark/>
          </w:tcPr>
          <w:p w14:paraId="2A25D7D1"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0.0080</w:t>
            </w:r>
          </w:p>
        </w:tc>
        <w:tc>
          <w:tcPr>
            <w:tcW w:w="770" w:type="dxa"/>
            <w:tcBorders>
              <w:top w:val="single" w:sz="4" w:space="0" w:color="ADD6EA"/>
              <w:left w:val="nil"/>
              <w:bottom w:val="nil"/>
              <w:right w:val="nil"/>
            </w:tcBorders>
            <w:shd w:val="clear" w:color="000000" w:fill="FFFFFF"/>
            <w:vAlign w:val="center"/>
            <w:hideMark/>
          </w:tcPr>
          <w:p w14:paraId="08D5438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0.0091</w:t>
            </w:r>
          </w:p>
        </w:tc>
        <w:tc>
          <w:tcPr>
            <w:tcW w:w="753" w:type="dxa"/>
            <w:tcBorders>
              <w:top w:val="single" w:sz="4" w:space="0" w:color="ADD6EA"/>
              <w:left w:val="nil"/>
              <w:bottom w:val="nil"/>
              <w:right w:val="nil"/>
            </w:tcBorders>
            <w:shd w:val="clear" w:color="000000" w:fill="FFFFFF"/>
            <w:vAlign w:val="center"/>
            <w:hideMark/>
          </w:tcPr>
          <w:p w14:paraId="788D046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0.0103</w:t>
            </w:r>
          </w:p>
        </w:tc>
        <w:tc>
          <w:tcPr>
            <w:tcW w:w="753" w:type="dxa"/>
            <w:tcBorders>
              <w:top w:val="single" w:sz="4" w:space="0" w:color="ADD6EA"/>
              <w:left w:val="nil"/>
              <w:bottom w:val="nil"/>
              <w:right w:val="nil"/>
            </w:tcBorders>
            <w:shd w:val="clear" w:color="000000" w:fill="FFFFFF"/>
            <w:vAlign w:val="center"/>
            <w:hideMark/>
          </w:tcPr>
          <w:p w14:paraId="54F00777"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0.0098</w:t>
            </w:r>
          </w:p>
        </w:tc>
        <w:tc>
          <w:tcPr>
            <w:tcW w:w="753" w:type="dxa"/>
            <w:tcBorders>
              <w:top w:val="single" w:sz="4" w:space="0" w:color="ADD6EA"/>
              <w:left w:val="nil"/>
              <w:bottom w:val="nil"/>
              <w:right w:val="nil"/>
            </w:tcBorders>
            <w:shd w:val="clear" w:color="000000" w:fill="FFFFFF"/>
            <w:vAlign w:val="center"/>
            <w:hideMark/>
          </w:tcPr>
          <w:p w14:paraId="175B44DD" w14:textId="77777777" w:rsidR="000952B1" w:rsidRPr="000952B1" w:rsidRDefault="000952B1" w:rsidP="00D607F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0952B1">
              <w:rPr>
                <w:rFonts w:ascii="Open Sans Semibold" w:eastAsia="Times New Roman" w:hAnsi="Open Sans Semibold" w:cs="Open Sans Semibold"/>
                <w:color w:val="000000"/>
                <w:sz w:val="16"/>
                <w:szCs w:val="16"/>
                <w:lang w:eastAsia="en-AU"/>
              </w:rPr>
              <w:t>0.0113</w:t>
            </w:r>
          </w:p>
        </w:tc>
        <w:tc>
          <w:tcPr>
            <w:tcW w:w="717" w:type="dxa"/>
            <w:tcBorders>
              <w:top w:val="single" w:sz="4" w:space="0" w:color="ADD6EA"/>
              <w:left w:val="nil"/>
              <w:bottom w:val="nil"/>
              <w:right w:val="nil"/>
            </w:tcBorders>
            <w:shd w:val="clear" w:color="000000" w:fill="FFFFFF"/>
            <w:vAlign w:val="center"/>
            <w:hideMark/>
          </w:tcPr>
          <w:p w14:paraId="236D8397"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0.0180</w:t>
            </w:r>
          </w:p>
        </w:tc>
        <w:tc>
          <w:tcPr>
            <w:tcW w:w="717" w:type="dxa"/>
            <w:tcBorders>
              <w:top w:val="single" w:sz="4" w:space="0" w:color="ADD6EA"/>
              <w:left w:val="nil"/>
              <w:bottom w:val="nil"/>
              <w:right w:val="nil"/>
            </w:tcBorders>
            <w:shd w:val="clear" w:color="000000" w:fill="FFFFFF"/>
            <w:vAlign w:val="center"/>
            <w:hideMark/>
          </w:tcPr>
          <w:p w14:paraId="3B5DFF43"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0.0176</w:t>
            </w:r>
          </w:p>
        </w:tc>
        <w:tc>
          <w:tcPr>
            <w:tcW w:w="843" w:type="dxa"/>
            <w:tcBorders>
              <w:top w:val="single" w:sz="4" w:space="0" w:color="ADD6EA"/>
              <w:left w:val="nil"/>
              <w:bottom w:val="nil"/>
              <w:right w:val="nil"/>
            </w:tcBorders>
            <w:shd w:val="clear" w:color="000000" w:fill="FFFFFF"/>
            <w:vAlign w:val="center"/>
            <w:hideMark/>
          </w:tcPr>
          <w:p w14:paraId="20168B27"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r>
      <w:tr w:rsidR="000952B1" w:rsidRPr="000952B1" w14:paraId="4CD8CB08" w14:textId="77777777" w:rsidTr="00D607FE">
        <w:trPr>
          <w:trHeight w:val="319"/>
        </w:trPr>
        <w:tc>
          <w:tcPr>
            <w:tcW w:w="2217" w:type="dxa"/>
            <w:tcBorders>
              <w:top w:val="single" w:sz="4" w:space="0" w:color="ADD6EA"/>
              <w:left w:val="nil"/>
              <w:bottom w:val="nil"/>
              <w:right w:val="nil"/>
            </w:tcBorders>
            <w:shd w:val="clear" w:color="000000" w:fill="FFFFFF"/>
            <w:vAlign w:val="center"/>
            <w:hideMark/>
          </w:tcPr>
          <w:p w14:paraId="3F379232"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Age by sex</w:t>
            </w:r>
          </w:p>
        </w:tc>
        <w:tc>
          <w:tcPr>
            <w:tcW w:w="717" w:type="dxa"/>
            <w:tcBorders>
              <w:top w:val="single" w:sz="4" w:space="0" w:color="ADD6EA"/>
              <w:left w:val="nil"/>
              <w:bottom w:val="nil"/>
              <w:right w:val="nil"/>
            </w:tcBorders>
            <w:shd w:val="clear" w:color="000000" w:fill="FFFFFF"/>
            <w:vAlign w:val="center"/>
            <w:hideMark/>
          </w:tcPr>
          <w:p w14:paraId="51F06A3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0.0084</w:t>
            </w:r>
          </w:p>
        </w:tc>
        <w:tc>
          <w:tcPr>
            <w:tcW w:w="720" w:type="dxa"/>
            <w:tcBorders>
              <w:top w:val="single" w:sz="4" w:space="0" w:color="ADD6EA"/>
              <w:left w:val="nil"/>
              <w:bottom w:val="nil"/>
              <w:right w:val="nil"/>
            </w:tcBorders>
            <w:shd w:val="clear" w:color="000000" w:fill="FFFFFF"/>
            <w:vAlign w:val="center"/>
            <w:hideMark/>
          </w:tcPr>
          <w:p w14:paraId="0F28C3D0"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0.0080</w:t>
            </w:r>
          </w:p>
        </w:tc>
        <w:tc>
          <w:tcPr>
            <w:tcW w:w="770" w:type="dxa"/>
            <w:tcBorders>
              <w:top w:val="single" w:sz="4" w:space="0" w:color="ADD6EA"/>
              <w:left w:val="nil"/>
              <w:bottom w:val="nil"/>
              <w:right w:val="nil"/>
            </w:tcBorders>
            <w:shd w:val="clear" w:color="000000" w:fill="FFFFFF"/>
            <w:vAlign w:val="center"/>
            <w:hideMark/>
          </w:tcPr>
          <w:p w14:paraId="29ECBCA2"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0.0090</w:t>
            </w:r>
          </w:p>
        </w:tc>
        <w:tc>
          <w:tcPr>
            <w:tcW w:w="753" w:type="dxa"/>
            <w:tcBorders>
              <w:top w:val="single" w:sz="4" w:space="0" w:color="ADD6EA"/>
              <w:left w:val="nil"/>
              <w:bottom w:val="nil"/>
              <w:right w:val="nil"/>
            </w:tcBorders>
            <w:shd w:val="clear" w:color="000000" w:fill="FFFFFF"/>
            <w:vAlign w:val="center"/>
            <w:hideMark/>
          </w:tcPr>
          <w:p w14:paraId="7A0D63EC"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0.0103</w:t>
            </w:r>
          </w:p>
        </w:tc>
        <w:tc>
          <w:tcPr>
            <w:tcW w:w="753" w:type="dxa"/>
            <w:tcBorders>
              <w:top w:val="single" w:sz="4" w:space="0" w:color="ADD6EA"/>
              <w:left w:val="nil"/>
              <w:bottom w:val="nil"/>
              <w:right w:val="nil"/>
            </w:tcBorders>
            <w:shd w:val="clear" w:color="000000" w:fill="FFFFFF"/>
            <w:vAlign w:val="center"/>
            <w:hideMark/>
          </w:tcPr>
          <w:p w14:paraId="6EBF431A"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0.0098</w:t>
            </w:r>
          </w:p>
        </w:tc>
        <w:tc>
          <w:tcPr>
            <w:tcW w:w="753" w:type="dxa"/>
            <w:tcBorders>
              <w:top w:val="single" w:sz="4" w:space="0" w:color="ADD6EA"/>
              <w:left w:val="nil"/>
              <w:bottom w:val="nil"/>
              <w:right w:val="nil"/>
            </w:tcBorders>
            <w:shd w:val="clear" w:color="000000" w:fill="FFFFFF"/>
            <w:vAlign w:val="center"/>
            <w:hideMark/>
          </w:tcPr>
          <w:p w14:paraId="3A7E2BB7"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0.0114</w:t>
            </w:r>
          </w:p>
        </w:tc>
        <w:tc>
          <w:tcPr>
            <w:tcW w:w="717" w:type="dxa"/>
            <w:tcBorders>
              <w:top w:val="single" w:sz="4" w:space="0" w:color="ADD6EA"/>
              <w:left w:val="nil"/>
              <w:bottom w:val="nil"/>
              <w:right w:val="nil"/>
            </w:tcBorders>
            <w:shd w:val="clear" w:color="000000" w:fill="FFFFFF"/>
            <w:vAlign w:val="center"/>
            <w:hideMark/>
          </w:tcPr>
          <w:p w14:paraId="155FDB4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0.0181</w:t>
            </w:r>
          </w:p>
        </w:tc>
        <w:tc>
          <w:tcPr>
            <w:tcW w:w="717" w:type="dxa"/>
            <w:tcBorders>
              <w:top w:val="single" w:sz="4" w:space="0" w:color="ADD6EA"/>
              <w:left w:val="nil"/>
              <w:bottom w:val="nil"/>
              <w:right w:val="nil"/>
            </w:tcBorders>
            <w:shd w:val="clear" w:color="000000" w:fill="FFFFFF"/>
            <w:vAlign w:val="center"/>
            <w:hideMark/>
          </w:tcPr>
          <w:p w14:paraId="196C1DC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0.0177</w:t>
            </w:r>
          </w:p>
        </w:tc>
        <w:tc>
          <w:tcPr>
            <w:tcW w:w="843" w:type="dxa"/>
            <w:tcBorders>
              <w:top w:val="single" w:sz="4" w:space="0" w:color="ADD6EA"/>
              <w:left w:val="nil"/>
              <w:bottom w:val="nil"/>
              <w:right w:val="nil"/>
            </w:tcBorders>
            <w:shd w:val="clear" w:color="000000" w:fill="FFFFFF"/>
            <w:vAlign w:val="center"/>
            <w:hideMark/>
          </w:tcPr>
          <w:p w14:paraId="63BFB6E8"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r>
      <w:tr w:rsidR="000952B1" w:rsidRPr="000952B1" w14:paraId="7CCC56F7" w14:textId="77777777" w:rsidTr="00D607FE">
        <w:trPr>
          <w:trHeight w:val="319"/>
        </w:trPr>
        <w:tc>
          <w:tcPr>
            <w:tcW w:w="2217" w:type="dxa"/>
            <w:tcBorders>
              <w:top w:val="single" w:sz="4" w:space="0" w:color="ADD6EA"/>
              <w:left w:val="nil"/>
              <w:bottom w:val="single" w:sz="4" w:space="0" w:color="ADD6EA"/>
              <w:right w:val="nil"/>
            </w:tcBorders>
            <w:shd w:val="clear" w:color="000000" w:fill="FFFFFF"/>
            <w:vAlign w:val="center"/>
            <w:hideMark/>
          </w:tcPr>
          <w:p w14:paraId="33F1C933" w14:textId="77777777" w:rsidR="000952B1" w:rsidRPr="000952B1" w:rsidRDefault="000952B1" w:rsidP="00D607FE">
            <w:pPr>
              <w:tabs>
                <w:tab w:val="clear" w:pos="567"/>
              </w:tabs>
              <w:spacing w:before="0" w:line="240" w:lineRule="auto"/>
              <w:rPr>
                <w:rFonts w:eastAsia="Times New Roman" w:cs="Open Sans Light"/>
                <w:color w:val="000000"/>
                <w:sz w:val="16"/>
                <w:szCs w:val="16"/>
                <w:lang w:eastAsia="en-AU"/>
              </w:rPr>
            </w:pPr>
            <w:r w:rsidRPr="000952B1">
              <w:rPr>
                <w:rFonts w:eastAsia="Times New Roman" w:cs="Open Sans Light"/>
                <w:color w:val="000000"/>
                <w:sz w:val="16"/>
                <w:szCs w:val="16"/>
                <w:lang w:eastAsia="en-AU"/>
              </w:rPr>
              <w:t>Everything by sex</w:t>
            </w:r>
          </w:p>
        </w:tc>
        <w:tc>
          <w:tcPr>
            <w:tcW w:w="717" w:type="dxa"/>
            <w:tcBorders>
              <w:top w:val="single" w:sz="4" w:space="0" w:color="ADD6EA"/>
              <w:left w:val="nil"/>
              <w:bottom w:val="single" w:sz="4" w:space="0" w:color="ADD6EA"/>
              <w:right w:val="nil"/>
            </w:tcBorders>
            <w:shd w:val="clear" w:color="000000" w:fill="FFFFFF"/>
            <w:vAlign w:val="center"/>
            <w:hideMark/>
          </w:tcPr>
          <w:p w14:paraId="5DC07474"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0.0087</w:t>
            </w:r>
          </w:p>
        </w:tc>
        <w:tc>
          <w:tcPr>
            <w:tcW w:w="720" w:type="dxa"/>
            <w:tcBorders>
              <w:top w:val="single" w:sz="4" w:space="0" w:color="ADD6EA"/>
              <w:left w:val="nil"/>
              <w:bottom w:val="single" w:sz="4" w:space="0" w:color="ADD6EA"/>
              <w:right w:val="nil"/>
            </w:tcBorders>
            <w:shd w:val="clear" w:color="000000" w:fill="FFFFFF"/>
            <w:vAlign w:val="center"/>
            <w:hideMark/>
          </w:tcPr>
          <w:p w14:paraId="3B40788F"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0.0083</w:t>
            </w:r>
          </w:p>
        </w:tc>
        <w:tc>
          <w:tcPr>
            <w:tcW w:w="770" w:type="dxa"/>
            <w:tcBorders>
              <w:top w:val="single" w:sz="4" w:space="0" w:color="ADD6EA"/>
              <w:left w:val="nil"/>
              <w:bottom w:val="single" w:sz="4" w:space="0" w:color="ADD6EA"/>
              <w:right w:val="nil"/>
            </w:tcBorders>
            <w:shd w:val="clear" w:color="000000" w:fill="FFFFFF"/>
            <w:vAlign w:val="center"/>
            <w:hideMark/>
          </w:tcPr>
          <w:p w14:paraId="335DC770"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0.0093</w:t>
            </w:r>
          </w:p>
        </w:tc>
        <w:tc>
          <w:tcPr>
            <w:tcW w:w="753" w:type="dxa"/>
            <w:tcBorders>
              <w:top w:val="single" w:sz="4" w:space="0" w:color="ADD6EA"/>
              <w:left w:val="nil"/>
              <w:bottom w:val="single" w:sz="4" w:space="0" w:color="ADD6EA"/>
              <w:right w:val="nil"/>
            </w:tcBorders>
            <w:shd w:val="clear" w:color="000000" w:fill="FFFFFF"/>
            <w:vAlign w:val="center"/>
            <w:hideMark/>
          </w:tcPr>
          <w:p w14:paraId="2FB8E416"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0.0105</w:t>
            </w:r>
          </w:p>
        </w:tc>
        <w:tc>
          <w:tcPr>
            <w:tcW w:w="753" w:type="dxa"/>
            <w:tcBorders>
              <w:top w:val="single" w:sz="4" w:space="0" w:color="ADD6EA"/>
              <w:left w:val="nil"/>
              <w:bottom w:val="single" w:sz="4" w:space="0" w:color="ADD6EA"/>
              <w:right w:val="nil"/>
            </w:tcBorders>
            <w:shd w:val="clear" w:color="000000" w:fill="FFFFFF"/>
            <w:vAlign w:val="center"/>
            <w:hideMark/>
          </w:tcPr>
          <w:p w14:paraId="6312F602"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0.0100</w:t>
            </w:r>
          </w:p>
        </w:tc>
        <w:tc>
          <w:tcPr>
            <w:tcW w:w="753" w:type="dxa"/>
            <w:tcBorders>
              <w:top w:val="single" w:sz="4" w:space="0" w:color="ADD6EA"/>
              <w:left w:val="nil"/>
              <w:bottom w:val="single" w:sz="4" w:space="0" w:color="ADD6EA"/>
              <w:right w:val="nil"/>
            </w:tcBorders>
            <w:shd w:val="clear" w:color="000000" w:fill="FFFFFF"/>
            <w:vAlign w:val="center"/>
            <w:hideMark/>
          </w:tcPr>
          <w:p w14:paraId="697498A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0.0116</w:t>
            </w:r>
          </w:p>
        </w:tc>
        <w:tc>
          <w:tcPr>
            <w:tcW w:w="717" w:type="dxa"/>
            <w:tcBorders>
              <w:top w:val="single" w:sz="4" w:space="0" w:color="ADD6EA"/>
              <w:left w:val="nil"/>
              <w:bottom w:val="single" w:sz="4" w:space="0" w:color="ADD6EA"/>
              <w:right w:val="nil"/>
            </w:tcBorders>
            <w:shd w:val="clear" w:color="000000" w:fill="FFFFFF"/>
            <w:vAlign w:val="center"/>
            <w:hideMark/>
          </w:tcPr>
          <w:p w14:paraId="3910DDB0"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0.0189</w:t>
            </w:r>
          </w:p>
        </w:tc>
        <w:tc>
          <w:tcPr>
            <w:tcW w:w="717" w:type="dxa"/>
            <w:tcBorders>
              <w:top w:val="single" w:sz="4" w:space="0" w:color="ADD6EA"/>
              <w:left w:val="nil"/>
              <w:bottom w:val="single" w:sz="4" w:space="0" w:color="ADD6EA"/>
              <w:right w:val="nil"/>
            </w:tcBorders>
            <w:shd w:val="clear" w:color="000000" w:fill="FFFFFF"/>
            <w:vAlign w:val="center"/>
            <w:hideMark/>
          </w:tcPr>
          <w:p w14:paraId="57158A6B"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0.0178</w:t>
            </w:r>
          </w:p>
        </w:tc>
        <w:tc>
          <w:tcPr>
            <w:tcW w:w="843" w:type="dxa"/>
            <w:tcBorders>
              <w:top w:val="single" w:sz="4" w:space="0" w:color="ADD6EA"/>
              <w:left w:val="nil"/>
              <w:bottom w:val="single" w:sz="4" w:space="0" w:color="ADD6EA"/>
              <w:right w:val="nil"/>
            </w:tcBorders>
            <w:shd w:val="clear" w:color="000000" w:fill="FFFFFF"/>
            <w:vAlign w:val="center"/>
            <w:hideMark/>
          </w:tcPr>
          <w:p w14:paraId="706C10C5" w14:textId="77777777" w:rsidR="000952B1" w:rsidRPr="000952B1" w:rsidRDefault="000952B1" w:rsidP="00D607FE">
            <w:pPr>
              <w:tabs>
                <w:tab w:val="clear" w:pos="567"/>
              </w:tabs>
              <w:spacing w:before="0" w:line="240" w:lineRule="auto"/>
              <w:jc w:val="right"/>
              <w:rPr>
                <w:rFonts w:eastAsia="Times New Roman" w:cs="Open Sans Light"/>
                <w:color w:val="000000"/>
                <w:sz w:val="16"/>
                <w:szCs w:val="16"/>
                <w:lang w:eastAsia="en-AU"/>
              </w:rPr>
            </w:pPr>
            <w:r w:rsidRPr="000952B1">
              <w:rPr>
                <w:rFonts w:eastAsia="Times New Roman" w:cs="Open Sans Light"/>
                <w:color w:val="000000"/>
                <w:sz w:val="16"/>
                <w:szCs w:val="16"/>
                <w:lang w:eastAsia="en-AU"/>
              </w:rPr>
              <w:t>0.0119</w:t>
            </w:r>
          </w:p>
        </w:tc>
      </w:tr>
    </w:tbl>
    <w:p w14:paraId="5A4EE3CE" w14:textId="77777777" w:rsidR="0059162B" w:rsidRPr="00490269" w:rsidRDefault="0059162B" w:rsidP="0059162B">
      <w:pPr>
        <w:pStyle w:val="CGC2025TableNote"/>
      </w:pPr>
      <w:r w:rsidRPr="00490269">
        <w:t>Notes:</w:t>
      </w:r>
      <w:r w:rsidRPr="00490269">
        <w:tab/>
      </w:r>
      <w:r w:rsidRPr="00490269">
        <w:tab/>
        <w:t>Minimum average standard errors for each column are in bold.</w:t>
      </w:r>
    </w:p>
    <w:p w14:paraId="1F864C3A" w14:textId="18EDDD6C" w:rsidR="0059162B" w:rsidRPr="00490269" w:rsidRDefault="0059162B" w:rsidP="00102132">
      <w:pPr>
        <w:pStyle w:val="CGC2025TableNote"/>
        <w:tabs>
          <w:tab w:val="clear" w:pos="567"/>
          <w:tab w:val="clear" w:pos="680"/>
          <w:tab w:val="left" w:pos="709"/>
          <w:tab w:val="left" w:pos="993"/>
        </w:tabs>
        <w:ind w:left="567" w:firstLine="119"/>
      </w:pPr>
      <w:r w:rsidRPr="00490269">
        <w:t xml:space="preserve">See notes to </w:t>
      </w:r>
      <w:r w:rsidRPr="00490269">
        <w:fldChar w:fldCharType="begin"/>
      </w:r>
      <w:r w:rsidRPr="00490269">
        <w:instrText xml:space="preserve"> REF _Ref152756726 \h  \* MERGEFORMAT </w:instrText>
      </w:r>
      <w:r w:rsidRPr="00490269">
        <w:fldChar w:fldCharType="separate"/>
      </w:r>
      <w:r w:rsidRPr="00490269">
        <w:t>Figure 1</w:t>
      </w:r>
      <w:r w:rsidRPr="00490269">
        <w:fldChar w:fldCharType="end"/>
      </w:r>
      <w:r w:rsidRPr="00490269">
        <w:t>.</w:t>
      </w:r>
    </w:p>
    <w:p w14:paraId="7E27003E" w14:textId="77777777" w:rsidR="0059162B" w:rsidRPr="00490269" w:rsidRDefault="0059162B" w:rsidP="0059162B">
      <w:pPr>
        <w:pStyle w:val="CGC2025TableNote"/>
      </w:pPr>
      <w:r w:rsidRPr="00490269">
        <w:t>Source:</w:t>
      </w:r>
      <w:r w:rsidRPr="00490269">
        <w:tab/>
        <w:t>Commission calculation.</w:t>
      </w:r>
    </w:p>
    <w:p w14:paraId="39414D0D" w14:textId="77777777" w:rsidR="0059162B" w:rsidRPr="00490269" w:rsidRDefault="0059162B" w:rsidP="0059162B">
      <w:bookmarkStart w:id="6" w:name="_Ref152760617"/>
      <w:r w:rsidRPr="00490269">
        <w:br w:type="page"/>
      </w:r>
    </w:p>
    <w:p w14:paraId="1935AF63" w14:textId="56F049BB" w:rsidR="0059162B" w:rsidRPr="00490269" w:rsidRDefault="0059162B" w:rsidP="00857AFF">
      <w:pPr>
        <w:pStyle w:val="CGC2025Caption"/>
        <w:tabs>
          <w:tab w:val="left" w:pos="1134"/>
        </w:tabs>
        <w:ind w:left="1134" w:hanging="1134"/>
      </w:pPr>
      <w:r w:rsidRPr="00490269">
        <w:t xml:space="preserve">Table </w:t>
      </w:r>
      <w:r w:rsidRPr="00490269">
        <w:fldChar w:fldCharType="begin"/>
      </w:r>
      <w:r w:rsidRPr="00490269">
        <w:instrText>SEQ Table \* ARABIC</w:instrText>
      </w:r>
      <w:r w:rsidRPr="00490269">
        <w:fldChar w:fldCharType="separate"/>
      </w:r>
      <w:r w:rsidRPr="00490269">
        <w:t>2</w:t>
      </w:r>
      <w:r w:rsidRPr="00490269">
        <w:fldChar w:fldCharType="end"/>
      </w:r>
      <w:bookmarkEnd w:id="6"/>
      <w:r w:rsidRPr="00490269">
        <w:tab/>
        <w:t>Average model fit statistics of regression models including additional variables (2018–22)</w:t>
      </w:r>
    </w:p>
    <w:tbl>
      <w:tblPr>
        <w:tblW w:w="8942" w:type="dxa"/>
        <w:tblLook w:val="04A0" w:firstRow="1" w:lastRow="0" w:firstColumn="1" w:lastColumn="0" w:noHBand="0" w:noVBand="1"/>
      </w:tblPr>
      <w:tblGrid>
        <w:gridCol w:w="3685"/>
        <w:gridCol w:w="720"/>
        <w:gridCol w:w="720"/>
        <w:gridCol w:w="1017"/>
        <w:gridCol w:w="740"/>
        <w:gridCol w:w="740"/>
        <w:gridCol w:w="1320"/>
      </w:tblGrid>
      <w:tr w:rsidR="00A07E06" w:rsidRPr="00A07E06" w14:paraId="03E29709" w14:textId="77777777" w:rsidTr="00335218">
        <w:trPr>
          <w:trHeight w:val="795"/>
        </w:trPr>
        <w:tc>
          <w:tcPr>
            <w:tcW w:w="3701" w:type="dxa"/>
            <w:tcBorders>
              <w:top w:val="nil"/>
              <w:left w:val="nil"/>
              <w:bottom w:val="nil"/>
              <w:right w:val="nil"/>
            </w:tcBorders>
            <w:shd w:val="clear" w:color="000000" w:fill="006991"/>
            <w:vAlign w:val="bottom"/>
            <w:hideMark/>
          </w:tcPr>
          <w:p w14:paraId="1D856216" w14:textId="77777777" w:rsidR="00A07E06" w:rsidRPr="00A07E06" w:rsidRDefault="00A07E06" w:rsidP="00A07E06">
            <w:pPr>
              <w:tabs>
                <w:tab w:val="clear" w:pos="567"/>
              </w:tabs>
              <w:spacing w:before="0" w:line="240" w:lineRule="auto"/>
              <w:rPr>
                <w:rFonts w:ascii="Open Sans Semibold" w:eastAsia="Times New Roman" w:hAnsi="Open Sans Semibold" w:cs="Open Sans Semibold"/>
                <w:color w:val="FFFFFF"/>
                <w:sz w:val="16"/>
                <w:szCs w:val="16"/>
                <w:lang w:eastAsia="en-AU"/>
              </w:rPr>
            </w:pPr>
            <w:r w:rsidRPr="00A07E06">
              <w:rPr>
                <w:rFonts w:ascii="Open Sans Semibold" w:eastAsia="Times New Roman" w:hAnsi="Open Sans Semibold" w:cs="Open Sans Semibold"/>
                <w:color w:val="FFFFFF"/>
                <w:sz w:val="16"/>
                <w:szCs w:val="16"/>
                <w:lang w:eastAsia="en-AU"/>
              </w:rPr>
              <w:t> </w:t>
            </w:r>
          </w:p>
        </w:tc>
        <w:tc>
          <w:tcPr>
            <w:tcW w:w="712" w:type="dxa"/>
            <w:tcBorders>
              <w:top w:val="nil"/>
              <w:left w:val="nil"/>
              <w:bottom w:val="nil"/>
              <w:right w:val="nil"/>
            </w:tcBorders>
            <w:shd w:val="clear" w:color="000000" w:fill="006991"/>
            <w:vAlign w:val="center"/>
            <w:hideMark/>
          </w:tcPr>
          <w:p w14:paraId="2110A229" w14:textId="77777777" w:rsidR="00A07E06" w:rsidRPr="00A07E06" w:rsidRDefault="00A07E06" w:rsidP="00335218">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7E06">
              <w:rPr>
                <w:rFonts w:ascii="Open Sans Semibold" w:eastAsia="Times New Roman" w:hAnsi="Open Sans Semibold" w:cs="Open Sans Semibold"/>
                <w:color w:val="FFFFFF"/>
                <w:sz w:val="16"/>
                <w:szCs w:val="16"/>
                <w:lang w:eastAsia="en-AU"/>
              </w:rPr>
              <w:t>R</w:t>
            </w:r>
            <w:r w:rsidRPr="00A07E06">
              <w:rPr>
                <w:rFonts w:ascii="Arial" w:eastAsia="Times New Roman" w:hAnsi="Arial" w:cs="Arial"/>
                <w:color w:val="FFFFFF"/>
                <w:szCs w:val="20"/>
                <w:vertAlign w:val="superscript"/>
                <w:lang w:eastAsia="en-AU"/>
              </w:rPr>
              <w:t>2</w:t>
            </w:r>
          </w:p>
        </w:tc>
        <w:tc>
          <w:tcPr>
            <w:tcW w:w="712" w:type="dxa"/>
            <w:tcBorders>
              <w:top w:val="nil"/>
              <w:left w:val="nil"/>
              <w:bottom w:val="nil"/>
              <w:right w:val="nil"/>
            </w:tcBorders>
            <w:shd w:val="clear" w:color="000000" w:fill="006991"/>
            <w:vAlign w:val="center"/>
            <w:hideMark/>
          </w:tcPr>
          <w:p w14:paraId="1629D344" w14:textId="77777777" w:rsidR="00A07E06" w:rsidRPr="00A07E06" w:rsidRDefault="00A07E06" w:rsidP="00335218">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7E06">
              <w:rPr>
                <w:rFonts w:ascii="Open Sans Semibold" w:eastAsia="Times New Roman" w:hAnsi="Open Sans Semibold" w:cs="Open Sans Semibold"/>
                <w:color w:val="FFFFFF"/>
                <w:sz w:val="16"/>
                <w:szCs w:val="16"/>
                <w:lang w:eastAsia="en-AU"/>
              </w:rPr>
              <w:t>R</w:t>
            </w:r>
            <w:r w:rsidRPr="00A07E06">
              <w:rPr>
                <w:rFonts w:ascii="Arial" w:eastAsia="Times New Roman" w:hAnsi="Arial" w:cs="Arial"/>
                <w:color w:val="FFFFFF"/>
                <w:szCs w:val="20"/>
                <w:vertAlign w:val="superscript"/>
                <w:lang w:eastAsia="en-AU"/>
              </w:rPr>
              <w:t>2</w:t>
            </w:r>
            <w:r w:rsidRPr="00A07E06">
              <w:rPr>
                <w:rFonts w:ascii="Arial" w:eastAsia="Times New Roman" w:hAnsi="Arial" w:cs="Arial"/>
                <w:color w:val="FFFFFF"/>
                <w:szCs w:val="20"/>
                <w:lang w:eastAsia="en-AU"/>
              </w:rPr>
              <w:t xml:space="preserve"> (adj)</w:t>
            </w:r>
          </w:p>
        </w:tc>
        <w:tc>
          <w:tcPr>
            <w:tcW w:w="1017" w:type="dxa"/>
            <w:tcBorders>
              <w:top w:val="nil"/>
              <w:left w:val="nil"/>
              <w:bottom w:val="nil"/>
              <w:right w:val="nil"/>
            </w:tcBorders>
            <w:shd w:val="clear" w:color="000000" w:fill="006991"/>
            <w:vAlign w:val="center"/>
            <w:hideMark/>
          </w:tcPr>
          <w:p w14:paraId="5D9A9F68" w14:textId="77777777" w:rsidR="00A07E06" w:rsidRPr="00A07E06" w:rsidRDefault="00A07E06" w:rsidP="00335218">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7E06">
              <w:rPr>
                <w:rFonts w:ascii="Open Sans Semibold" w:eastAsia="Times New Roman" w:hAnsi="Open Sans Semibold" w:cs="Open Sans Semibold"/>
                <w:color w:val="FFFFFF"/>
                <w:sz w:val="16"/>
                <w:szCs w:val="16"/>
                <w:lang w:eastAsia="en-AU"/>
              </w:rPr>
              <w:t>log Likelihood</w:t>
            </w:r>
          </w:p>
        </w:tc>
        <w:tc>
          <w:tcPr>
            <w:tcW w:w="740" w:type="dxa"/>
            <w:tcBorders>
              <w:top w:val="nil"/>
              <w:left w:val="nil"/>
              <w:bottom w:val="nil"/>
              <w:right w:val="nil"/>
            </w:tcBorders>
            <w:shd w:val="clear" w:color="000000" w:fill="006991"/>
            <w:vAlign w:val="center"/>
            <w:hideMark/>
          </w:tcPr>
          <w:p w14:paraId="0FE25278" w14:textId="77777777" w:rsidR="00A07E06" w:rsidRPr="00A07E06" w:rsidRDefault="00A07E06" w:rsidP="00335218">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7E06">
              <w:rPr>
                <w:rFonts w:ascii="Open Sans Semibold" w:eastAsia="Times New Roman" w:hAnsi="Open Sans Semibold" w:cs="Open Sans Semibold"/>
                <w:color w:val="FFFFFF"/>
                <w:sz w:val="16"/>
                <w:szCs w:val="16"/>
                <w:lang w:eastAsia="en-AU"/>
              </w:rPr>
              <w:t>AIC</w:t>
            </w:r>
          </w:p>
        </w:tc>
        <w:tc>
          <w:tcPr>
            <w:tcW w:w="740" w:type="dxa"/>
            <w:tcBorders>
              <w:top w:val="nil"/>
              <w:left w:val="nil"/>
              <w:bottom w:val="nil"/>
              <w:right w:val="nil"/>
            </w:tcBorders>
            <w:shd w:val="clear" w:color="000000" w:fill="006991"/>
            <w:vAlign w:val="center"/>
            <w:hideMark/>
          </w:tcPr>
          <w:p w14:paraId="78827878" w14:textId="77777777" w:rsidR="00A07E06" w:rsidRPr="00A07E06" w:rsidRDefault="00A07E06" w:rsidP="00335218">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7E06">
              <w:rPr>
                <w:rFonts w:ascii="Open Sans Semibold" w:eastAsia="Times New Roman" w:hAnsi="Open Sans Semibold" w:cs="Open Sans Semibold"/>
                <w:color w:val="FFFFFF"/>
                <w:sz w:val="16"/>
                <w:szCs w:val="16"/>
                <w:lang w:eastAsia="en-AU"/>
              </w:rPr>
              <w:t>BIC</w:t>
            </w:r>
          </w:p>
        </w:tc>
        <w:tc>
          <w:tcPr>
            <w:tcW w:w="1320" w:type="dxa"/>
            <w:tcBorders>
              <w:top w:val="nil"/>
              <w:left w:val="nil"/>
              <w:bottom w:val="nil"/>
              <w:right w:val="nil"/>
            </w:tcBorders>
            <w:shd w:val="clear" w:color="000000" w:fill="006991"/>
            <w:vAlign w:val="center"/>
            <w:hideMark/>
          </w:tcPr>
          <w:p w14:paraId="40547A3F" w14:textId="77777777" w:rsidR="00A07E06" w:rsidRPr="00A07E06" w:rsidRDefault="00A07E06" w:rsidP="00335218">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A07E06">
              <w:rPr>
                <w:rFonts w:ascii="Open Sans Semibold" w:eastAsia="Times New Roman" w:hAnsi="Open Sans Semibold" w:cs="Open Sans Semibold"/>
                <w:color w:val="FFFFFF"/>
                <w:sz w:val="16"/>
                <w:szCs w:val="16"/>
                <w:lang w:eastAsia="en-AU"/>
              </w:rPr>
              <w:t>States with consistent movements</w:t>
            </w:r>
          </w:p>
        </w:tc>
      </w:tr>
      <w:tr w:rsidR="00A07E06" w:rsidRPr="00A07E06" w14:paraId="5AE20CC4"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26C8E713"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State and sex</w:t>
            </w:r>
          </w:p>
        </w:tc>
        <w:tc>
          <w:tcPr>
            <w:tcW w:w="712" w:type="dxa"/>
            <w:tcBorders>
              <w:top w:val="single" w:sz="4" w:space="0" w:color="ADD6EA"/>
              <w:left w:val="nil"/>
              <w:bottom w:val="nil"/>
              <w:right w:val="nil"/>
            </w:tcBorders>
            <w:shd w:val="clear" w:color="auto" w:fill="auto"/>
            <w:vAlign w:val="center"/>
            <w:hideMark/>
          </w:tcPr>
          <w:p w14:paraId="04557D3A"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0.0198</w:t>
            </w:r>
          </w:p>
        </w:tc>
        <w:tc>
          <w:tcPr>
            <w:tcW w:w="712" w:type="dxa"/>
            <w:tcBorders>
              <w:top w:val="single" w:sz="4" w:space="0" w:color="ADD6EA"/>
              <w:left w:val="nil"/>
              <w:bottom w:val="nil"/>
              <w:right w:val="nil"/>
            </w:tcBorders>
            <w:shd w:val="clear" w:color="auto" w:fill="auto"/>
            <w:vAlign w:val="center"/>
            <w:hideMark/>
          </w:tcPr>
          <w:p w14:paraId="5EB1CBD2"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0.0193</w:t>
            </w:r>
          </w:p>
        </w:tc>
        <w:tc>
          <w:tcPr>
            <w:tcW w:w="1017" w:type="dxa"/>
            <w:tcBorders>
              <w:top w:val="single" w:sz="4" w:space="0" w:color="ADD6EA"/>
              <w:left w:val="nil"/>
              <w:bottom w:val="nil"/>
              <w:right w:val="nil"/>
            </w:tcBorders>
            <w:shd w:val="clear" w:color="auto" w:fill="auto"/>
            <w:vAlign w:val="center"/>
            <w:hideMark/>
          </w:tcPr>
          <w:p w14:paraId="65E5288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-12,863</w:t>
            </w:r>
          </w:p>
        </w:tc>
        <w:tc>
          <w:tcPr>
            <w:tcW w:w="740" w:type="dxa"/>
            <w:tcBorders>
              <w:top w:val="single" w:sz="4" w:space="0" w:color="ADD6EA"/>
              <w:left w:val="nil"/>
              <w:bottom w:val="nil"/>
              <w:right w:val="nil"/>
            </w:tcBorders>
            <w:shd w:val="clear" w:color="auto" w:fill="auto"/>
            <w:vAlign w:val="center"/>
            <w:hideMark/>
          </w:tcPr>
          <w:p w14:paraId="234FC85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25,747</w:t>
            </w:r>
          </w:p>
        </w:tc>
        <w:tc>
          <w:tcPr>
            <w:tcW w:w="740" w:type="dxa"/>
            <w:tcBorders>
              <w:top w:val="single" w:sz="4" w:space="0" w:color="ADD6EA"/>
              <w:left w:val="nil"/>
              <w:bottom w:val="nil"/>
              <w:right w:val="nil"/>
            </w:tcBorders>
            <w:shd w:val="clear" w:color="auto" w:fill="auto"/>
            <w:vAlign w:val="center"/>
            <w:hideMark/>
          </w:tcPr>
          <w:p w14:paraId="46C46AAC"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25,823</w:t>
            </w:r>
          </w:p>
        </w:tc>
        <w:tc>
          <w:tcPr>
            <w:tcW w:w="1320" w:type="dxa"/>
            <w:tcBorders>
              <w:top w:val="single" w:sz="4" w:space="0" w:color="ADD6EA"/>
              <w:left w:val="nil"/>
              <w:bottom w:val="nil"/>
              <w:right w:val="nil"/>
            </w:tcBorders>
            <w:shd w:val="clear" w:color="auto" w:fill="auto"/>
            <w:vAlign w:val="center"/>
            <w:hideMark/>
          </w:tcPr>
          <w:p w14:paraId="783D188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 </w:t>
            </w:r>
          </w:p>
        </w:tc>
      </w:tr>
      <w:tr w:rsidR="00A07E06" w:rsidRPr="00A07E06" w14:paraId="5B614137"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2D109771"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Education</w:t>
            </w:r>
          </w:p>
        </w:tc>
        <w:tc>
          <w:tcPr>
            <w:tcW w:w="712" w:type="dxa"/>
            <w:tcBorders>
              <w:top w:val="single" w:sz="4" w:space="0" w:color="ADD6EA"/>
              <w:left w:val="nil"/>
              <w:bottom w:val="nil"/>
              <w:right w:val="nil"/>
            </w:tcBorders>
            <w:shd w:val="clear" w:color="auto" w:fill="auto"/>
            <w:vAlign w:val="center"/>
            <w:hideMark/>
          </w:tcPr>
          <w:p w14:paraId="708E9487"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0.1345</w:t>
            </w:r>
          </w:p>
        </w:tc>
        <w:tc>
          <w:tcPr>
            <w:tcW w:w="712" w:type="dxa"/>
            <w:tcBorders>
              <w:top w:val="single" w:sz="4" w:space="0" w:color="ADD6EA"/>
              <w:left w:val="nil"/>
              <w:bottom w:val="nil"/>
              <w:right w:val="nil"/>
            </w:tcBorders>
            <w:shd w:val="clear" w:color="auto" w:fill="auto"/>
            <w:vAlign w:val="center"/>
            <w:hideMark/>
          </w:tcPr>
          <w:p w14:paraId="28E4EE03"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0.1336</w:t>
            </w:r>
          </w:p>
        </w:tc>
        <w:tc>
          <w:tcPr>
            <w:tcW w:w="1017" w:type="dxa"/>
            <w:tcBorders>
              <w:top w:val="single" w:sz="4" w:space="0" w:color="ADD6EA"/>
              <w:left w:val="nil"/>
              <w:bottom w:val="nil"/>
              <w:right w:val="nil"/>
            </w:tcBorders>
            <w:shd w:val="clear" w:color="auto" w:fill="auto"/>
            <w:vAlign w:val="center"/>
            <w:hideMark/>
          </w:tcPr>
          <w:p w14:paraId="718BC36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-11,878</w:t>
            </w:r>
          </w:p>
        </w:tc>
        <w:tc>
          <w:tcPr>
            <w:tcW w:w="740" w:type="dxa"/>
            <w:tcBorders>
              <w:top w:val="single" w:sz="4" w:space="0" w:color="ADD6EA"/>
              <w:left w:val="nil"/>
              <w:bottom w:val="nil"/>
              <w:right w:val="nil"/>
            </w:tcBorders>
            <w:shd w:val="clear" w:color="auto" w:fill="auto"/>
            <w:vAlign w:val="center"/>
            <w:hideMark/>
          </w:tcPr>
          <w:p w14:paraId="19D3355C"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23,790</w:t>
            </w:r>
          </w:p>
        </w:tc>
        <w:tc>
          <w:tcPr>
            <w:tcW w:w="740" w:type="dxa"/>
            <w:tcBorders>
              <w:top w:val="single" w:sz="4" w:space="0" w:color="ADD6EA"/>
              <w:left w:val="nil"/>
              <w:bottom w:val="nil"/>
              <w:right w:val="nil"/>
            </w:tcBorders>
            <w:shd w:val="clear" w:color="auto" w:fill="auto"/>
            <w:vAlign w:val="center"/>
            <w:hideMark/>
          </w:tcPr>
          <w:p w14:paraId="56B2CB15"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23,920</w:t>
            </w:r>
          </w:p>
        </w:tc>
        <w:tc>
          <w:tcPr>
            <w:tcW w:w="1320" w:type="dxa"/>
            <w:tcBorders>
              <w:top w:val="single" w:sz="4" w:space="0" w:color="ADD6EA"/>
              <w:left w:val="nil"/>
              <w:bottom w:val="nil"/>
              <w:right w:val="nil"/>
            </w:tcBorders>
            <w:shd w:val="clear" w:color="auto" w:fill="auto"/>
            <w:vAlign w:val="center"/>
            <w:hideMark/>
          </w:tcPr>
          <w:p w14:paraId="2425DB78"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6</w:t>
            </w:r>
          </w:p>
        </w:tc>
      </w:tr>
      <w:tr w:rsidR="00A07E06" w:rsidRPr="00A07E06" w14:paraId="3411C842"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3D0FC4C8"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Employment</w:t>
            </w:r>
          </w:p>
        </w:tc>
        <w:tc>
          <w:tcPr>
            <w:tcW w:w="712" w:type="dxa"/>
            <w:tcBorders>
              <w:top w:val="single" w:sz="4" w:space="0" w:color="ADD6EA"/>
              <w:left w:val="nil"/>
              <w:bottom w:val="nil"/>
              <w:right w:val="nil"/>
            </w:tcBorders>
            <w:shd w:val="clear" w:color="auto" w:fill="auto"/>
            <w:vAlign w:val="center"/>
            <w:hideMark/>
          </w:tcPr>
          <w:p w14:paraId="20FCF26B"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0.1832</w:t>
            </w:r>
          </w:p>
        </w:tc>
        <w:tc>
          <w:tcPr>
            <w:tcW w:w="712" w:type="dxa"/>
            <w:tcBorders>
              <w:top w:val="single" w:sz="4" w:space="0" w:color="ADD6EA"/>
              <w:left w:val="nil"/>
              <w:bottom w:val="nil"/>
              <w:right w:val="nil"/>
            </w:tcBorders>
            <w:shd w:val="clear" w:color="auto" w:fill="auto"/>
            <w:vAlign w:val="center"/>
            <w:hideMark/>
          </w:tcPr>
          <w:p w14:paraId="22ECAA78"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0.1823</w:t>
            </w:r>
          </w:p>
        </w:tc>
        <w:tc>
          <w:tcPr>
            <w:tcW w:w="1017" w:type="dxa"/>
            <w:tcBorders>
              <w:top w:val="single" w:sz="4" w:space="0" w:color="ADD6EA"/>
              <w:left w:val="nil"/>
              <w:bottom w:val="nil"/>
              <w:right w:val="nil"/>
            </w:tcBorders>
            <w:shd w:val="clear" w:color="auto" w:fill="auto"/>
            <w:vAlign w:val="center"/>
            <w:hideMark/>
          </w:tcPr>
          <w:p w14:paraId="6C548EE3"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-11,422</w:t>
            </w:r>
          </w:p>
        </w:tc>
        <w:tc>
          <w:tcPr>
            <w:tcW w:w="740" w:type="dxa"/>
            <w:tcBorders>
              <w:top w:val="single" w:sz="4" w:space="0" w:color="ADD6EA"/>
              <w:left w:val="nil"/>
              <w:bottom w:val="nil"/>
              <w:right w:val="nil"/>
            </w:tcBorders>
            <w:shd w:val="clear" w:color="auto" w:fill="auto"/>
            <w:vAlign w:val="center"/>
            <w:hideMark/>
          </w:tcPr>
          <w:p w14:paraId="02FA9DBE"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22,881</w:t>
            </w:r>
          </w:p>
        </w:tc>
        <w:tc>
          <w:tcPr>
            <w:tcW w:w="740" w:type="dxa"/>
            <w:tcBorders>
              <w:top w:val="single" w:sz="4" w:space="0" w:color="ADD6EA"/>
              <w:left w:val="nil"/>
              <w:bottom w:val="nil"/>
              <w:right w:val="nil"/>
            </w:tcBorders>
            <w:shd w:val="clear" w:color="auto" w:fill="auto"/>
            <w:vAlign w:val="center"/>
            <w:hideMark/>
          </w:tcPr>
          <w:p w14:paraId="63823E7D"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23,027</w:t>
            </w:r>
          </w:p>
        </w:tc>
        <w:tc>
          <w:tcPr>
            <w:tcW w:w="1320" w:type="dxa"/>
            <w:tcBorders>
              <w:top w:val="single" w:sz="4" w:space="0" w:color="ADD6EA"/>
              <w:left w:val="nil"/>
              <w:bottom w:val="nil"/>
              <w:right w:val="nil"/>
            </w:tcBorders>
            <w:shd w:val="clear" w:color="auto" w:fill="auto"/>
            <w:vAlign w:val="center"/>
            <w:hideMark/>
          </w:tcPr>
          <w:p w14:paraId="16A431A8"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7</w:t>
            </w:r>
          </w:p>
        </w:tc>
      </w:tr>
      <w:tr w:rsidR="00A07E06" w:rsidRPr="00A07E06" w14:paraId="2152C8D3"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293C57BB"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Age (5 year bins)</w:t>
            </w:r>
          </w:p>
        </w:tc>
        <w:tc>
          <w:tcPr>
            <w:tcW w:w="712" w:type="dxa"/>
            <w:tcBorders>
              <w:top w:val="single" w:sz="4" w:space="0" w:color="ADD6EA"/>
              <w:left w:val="nil"/>
              <w:bottom w:val="nil"/>
              <w:right w:val="nil"/>
            </w:tcBorders>
            <w:shd w:val="clear" w:color="auto" w:fill="auto"/>
            <w:vAlign w:val="center"/>
            <w:hideMark/>
          </w:tcPr>
          <w:p w14:paraId="0AFE6CEA"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0.2402</w:t>
            </w:r>
          </w:p>
        </w:tc>
        <w:tc>
          <w:tcPr>
            <w:tcW w:w="712" w:type="dxa"/>
            <w:tcBorders>
              <w:top w:val="single" w:sz="4" w:space="0" w:color="ADD6EA"/>
              <w:left w:val="nil"/>
              <w:bottom w:val="nil"/>
              <w:right w:val="nil"/>
            </w:tcBorders>
            <w:shd w:val="clear" w:color="auto" w:fill="auto"/>
            <w:vAlign w:val="center"/>
            <w:hideMark/>
          </w:tcPr>
          <w:p w14:paraId="5DA50786"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0.2389</w:t>
            </w:r>
          </w:p>
        </w:tc>
        <w:tc>
          <w:tcPr>
            <w:tcW w:w="1017" w:type="dxa"/>
            <w:tcBorders>
              <w:top w:val="single" w:sz="4" w:space="0" w:color="ADD6EA"/>
              <w:left w:val="nil"/>
              <w:bottom w:val="nil"/>
              <w:right w:val="nil"/>
            </w:tcBorders>
            <w:shd w:val="clear" w:color="auto" w:fill="auto"/>
            <w:vAlign w:val="center"/>
            <w:hideMark/>
          </w:tcPr>
          <w:p w14:paraId="1F1E9A9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-10,853</w:t>
            </w:r>
          </w:p>
        </w:tc>
        <w:tc>
          <w:tcPr>
            <w:tcW w:w="740" w:type="dxa"/>
            <w:tcBorders>
              <w:top w:val="single" w:sz="4" w:space="0" w:color="ADD6EA"/>
              <w:left w:val="nil"/>
              <w:bottom w:val="nil"/>
              <w:right w:val="nil"/>
            </w:tcBorders>
            <w:shd w:val="clear" w:color="auto" w:fill="auto"/>
            <w:vAlign w:val="center"/>
            <w:hideMark/>
          </w:tcPr>
          <w:p w14:paraId="741C5BF4"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21,763</w:t>
            </w:r>
          </w:p>
        </w:tc>
        <w:tc>
          <w:tcPr>
            <w:tcW w:w="740" w:type="dxa"/>
            <w:tcBorders>
              <w:top w:val="single" w:sz="4" w:space="0" w:color="ADD6EA"/>
              <w:left w:val="nil"/>
              <w:bottom w:val="nil"/>
              <w:right w:val="nil"/>
            </w:tcBorders>
            <w:shd w:val="clear" w:color="auto" w:fill="auto"/>
            <w:vAlign w:val="center"/>
            <w:hideMark/>
          </w:tcPr>
          <w:p w14:paraId="7F009114"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21,985</w:t>
            </w:r>
          </w:p>
        </w:tc>
        <w:tc>
          <w:tcPr>
            <w:tcW w:w="1320" w:type="dxa"/>
            <w:tcBorders>
              <w:top w:val="single" w:sz="4" w:space="0" w:color="ADD6EA"/>
              <w:left w:val="nil"/>
              <w:bottom w:val="nil"/>
              <w:right w:val="nil"/>
            </w:tcBorders>
            <w:shd w:val="clear" w:color="auto" w:fill="auto"/>
            <w:vAlign w:val="center"/>
            <w:hideMark/>
          </w:tcPr>
          <w:p w14:paraId="53CAACC4"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5</w:t>
            </w:r>
          </w:p>
        </w:tc>
      </w:tr>
      <w:tr w:rsidR="00A07E06" w:rsidRPr="00A07E06" w14:paraId="59D625E0"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7FEF1686"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Person characteristics</w:t>
            </w:r>
          </w:p>
        </w:tc>
        <w:tc>
          <w:tcPr>
            <w:tcW w:w="712" w:type="dxa"/>
            <w:tcBorders>
              <w:top w:val="single" w:sz="4" w:space="0" w:color="ADD6EA"/>
              <w:left w:val="nil"/>
              <w:bottom w:val="nil"/>
              <w:right w:val="nil"/>
            </w:tcBorders>
            <w:shd w:val="clear" w:color="auto" w:fill="auto"/>
            <w:vAlign w:val="center"/>
            <w:hideMark/>
          </w:tcPr>
          <w:p w14:paraId="124004A6"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0.2592</w:t>
            </w:r>
          </w:p>
        </w:tc>
        <w:tc>
          <w:tcPr>
            <w:tcW w:w="712" w:type="dxa"/>
            <w:tcBorders>
              <w:top w:val="single" w:sz="4" w:space="0" w:color="ADD6EA"/>
              <w:left w:val="nil"/>
              <w:bottom w:val="nil"/>
              <w:right w:val="nil"/>
            </w:tcBorders>
            <w:shd w:val="clear" w:color="auto" w:fill="auto"/>
            <w:vAlign w:val="center"/>
            <w:hideMark/>
          </w:tcPr>
          <w:p w14:paraId="3CFF126C"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0.2575</w:t>
            </w:r>
          </w:p>
        </w:tc>
        <w:tc>
          <w:tcPr>
            <w:tcW w:w="1017" w:type="dxa"/>
            <w:tcBorders>
              <w:top w:val="single" w:sz="4" w:space="0" w:color="ADD6EA"/>
              <w:left w:val="nil"/>
              <w:bottom w:val="nil"/>
              <w:right w:val="nil"/>
            </w:tcBorders>
            <w:shd w:val="clear" w:color="auto" w:fill="auto"/>
            <w:vAlign w:val="center"/>
            <w:hideMark/>
          </w:tcPr>
          <w:p w14:paraId="207282F7"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-10,652</w:t>
            </w:r>
          </w:p>
        </w:tc>
        <w:tc>
          <w:tcPr>
            <w:tcW w:w="740" w:type="dxa"/>
            <w:tcBorders>
              <w:top w:val="single" w:sz="4" w:space="0" w:color="ADD6EA"/>
              <w:left w:val="nil"/>
              <w:bottom w:val="nil"/>
              <w:right w:val="nil"/>
            </w:tcBorders>
            <w:shd w:val="clear" w:color="auto" w:fill="auto"/>
            <w:vAlign w:val="center"/>
            <w:hideMark/>
          </w:tcPr>
          <w:p w14:paraId="64170D6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21,378</w:t>
            </w:r>
          </w:p>
        </w:tc>
        <w:tc>
          <w:tcPr>
            <w:tcW w:w="740" w:type="dxa"/>
            <w:tcBorders>
              <w:top w:val="single" w:sz="4" w:space="0" w:color="ADD6EA"/>
              <w:left w:val="nil"/>
              <w:bottom w:val="nil"/>
              <w:right w:val="nil"/>
            </w:tcBorders>
            <w:shd w:val="clear" w:color="auto" w:fill="auto"/>
            <w:vAlign w:val="center"/>
            <w:hideMark/>
          </w:tcPr>
          <w:p w14:paraId="63691F4C"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21,661</w:t>
            </w:r>
          </w:p>
        </w:tc>
        <w:tc>
          <w:tcPr>
            <w:tcW w:w="1320" w:type="dxa"/>
            <w:tcBorders>
              <w:top w:val="single" w:sz="4" w:space="0" w:color="ADD6EA"/>
              <w:left w:val="nil"/>
              <w:bottom w:val="nil"/>
              <w:right w:val="nil"/>
            </w:tcBorders>
            <w:shd w:val="clear" w:color="auto" w:fill="auto"/>
            <w:vAlign w:val="center"/>
            <w:hideMark/>
          </w:tcPr>
          <w:p w14:paraId="52E2976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7</w:t>
            </w:r>
          </w:p>
        </w:tc>
      </w:tr>
      <w:tr w:rsidR="00A07E06" w:rsidRPr="00A07E06" w14:paraId="642D2831"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0777E0B7"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Occupation (broad)</w:t>
            </w:r>
          </w:p>
        </w:tc>
        <w:tc>
          <w:tcPr>
            <w:tcW w:w="712" w:type="dxa"/>
            <w:tcBorders>
              <w:top w:val="single" w:sz="4" w:space="0" w:color="ADD6EA"/>
              <w:left w:val="nil"/>
              <w:bottom w:val="nil"/>
              <w:right w:val="nil"/>
            </w:tcBorders>
            <w:shd w:val="clear" w:color="auto" w:fill="auto"/>
            <w:vAlign w:val="center"/>
            <w:hideMark/>
          </w:tcPr>
          <w:p w14:paraId="1CF473E5"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0.3116</w:t>
            </w:r>
          </w:p>
        </w:tc>
        <w:tc>
          <w:tcPr>
            <w:tcW w:w="712" w:type="dxa"/>
            <w:tcBorders>
              <w:top w:val="single" w:sz="4" w:space="0" w:color="ADD6EA"/>
              <w:left w:val="nil"/>
              <w:bottom w:val="nil"/>
              <w:right w:val="nil"/>
            </w:tcBorders>
            <w:shd w:val="clear" w:color="auto" w:fill="auto"/>
            <w:vAlign w:val="center"/>
            <w:hideMark/>
          </w:tcPr>
          <w:p w14:paraId="690EE07F"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0.3097</w:t>
            </w:r>
          </w:p>
        </w:tc>
        <w:tc>
          <w:tcPr>
            <w:tcW w:w="1017" w:type="dxa"/>
            <w:tcBorders>
              <w:top w:val="single" w:sz="4" w:space="0" w:color="ADD6EA"/>
              <w:left w:val="nil"/>
              <w:bottom w:val="nil"/>
              <w:right w:val="nil"/>
            </w:tcBorders>
            <w:shd w:val="clear" w:color="auto" w:fill="auto"/>
            <w:vAlign w:val="center"/>
            <w:hideMark/>
          </w:tcPr>
          <w:p w14:paraId="7AC74CD6"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-10,075</w:t>
            </w:r>
          </w:p>
        </w:tc>
        <w:tc>
          <w:tcPr>
            <w:tcW w:w="740" w:type="dxa"/>
            <w:tcBorders>
              <w:top w:val="single" w:sz="4" w:space="0" w:color="ADD6EA"/>
              <w:left w:val="nil"/>
              <w:bottom w:val="nil"/>
              <w:right w:val="nil"/>
            </w:tcBorders>
            <w:shd w:val="clear" w:color="auto" w:fill="auto"/>
            <w:vAlign w:val="center"/>
            <w:hideMark/>
          </w:tcPr>
          <w:p w14:paraId="4ADBB2BD"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20,237</w:t>
            </w:r>
          </w:p>
        </w:tc>
        <w:tc>
          <w:tcPr>
            <w:tcW w:w="740" w:type="dxa"/>
            <w:tcBorders>
              <w:top w:val="single" w:sz="4" w:space="0" w:color="ADD6EA"/>
              <w:left w:val="nil"/>
              <w:bottom w:val="nil"/>
              <w:right w:val="nil"/>
            </w:tcBorders>
            <w:shd w:val="clear" w:color="auto" w:fill="auto"/>
            <w:vAlign w:val="center"/>
            <w:hideMark/>
          </w:tcPr>
          <w:p w14:paraId="6964E662"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20,574</w:t>
            </w:r>
          </w:p>
        </w:tc>
        <w:tc>
          <w:tcPr>
            <w:tcW w:w="1320" w:type="dxa"/>
            <w:tcBorders>
              <w:top w:val="single" w:sz="4" w:space="0" w:color="ADD6EA"/>
              <w:left w:val="nil"/>
              <w:bottom w:val="nil"/>
              <w:right w:val="nil"/>
            </w:tcBorders>
            <w:shd w:val="clear" w:color="auto" w:fill="auto"/>
            <w:vAlign w:val="center"/>
            <w:hideMark/>
          </w:tcPr>
          <w:p w14:paraId="5EE722C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5</w:t>
            </w:r>
          </w:p>
        </w:tc>
      </w:tr>
      <w:tr w:rsidR="00A07E06" w:rsidRPr="00A07E06" w14:paraId="21207AA4"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336BD716"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Occupation (detailed)</w:t>
            </w:r>
          </w:p>
        </w:tc>
        <w:tc>
          <w:tcPr>
            <w:tcW w:w="712" w:type="dxa"/>
            <w:tcBorders>
              <w:top w:val="single" w:sz="4" w:space="0" w:color="ADD6EA"/>
              <w:left w:val="nil"/>
              <w:bottom w:val="nil"/>
              <w:right w:val="nil"/>
            </w:tcBorders>
            <w:shd w:val="clear" w:color="auto" w:fill="auto"/>
            <w:vAlign w:val="center"/>
            <w:hideMark/>
          </w:tcPr>
          <w:p w14:paraId="4B27476D"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0.3563</w:t>
            </w:r>
          </w:p>
        </w:tc>
        <w:tc>
          <w:tcPr>
            <w:tcW w:w="712" w:type="dxa"/>
            <w:tcBorders>
              <w:top w:val="single" w:sz="4" w:space="0" w:color="ADD6EA"/>
              <w:left w:val="nil"/>
              <w:bottom w:val="nil"/>
              <w:right w:val="nil"/>
            </w:tcBorders>
            <w:shd w:val="clear" w:color="auto" w:fill="auto"/>
            <w:vAlign w:val="center"/>
            <w:hideMark/>
          </w:tcPr>
          <w:p w14:paraId="3CEBF1AC"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0.3503</w:t>
            </w:r>
          </w:p>
        </w:tc>
        <w:tc>
          <w:tcPr>
            <w:tcW w:w="1017" w:type="dxa"/>
            <w:tcBorders>
              <w:top w:val="single" w:sz="4" w:space="0" w:color="ADD6EA"/>
              <w:left w:val="nil"/>
              <w:bottom w:val="nil"/>
              <w:right w:val="nil"/>
            </w:tcBorders>
            <w:shd w:val="clear" w:color="auto" w:fill="auto"/>
            <w:vAlign w:val="center"/>
            <w:hideMark/>
          </w:tcPr>
          <w:p w14:paraId="42A31B7E"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-9,545</w:t>
            </w:r>
          </w:p>
        </w:tc>
        <w:tc>
          <w:tcPr>
            <w:tcW w:w="740" w:type="dxa"/>
            <w:tcBorders>
              <w:top w:val="single" w:sz="4" w:space="0" w:color="ADD6EA"/>
              <w:left w:val="nil"/>
              <w:bottom w:val="nil"/>
              <w:right w:val="nil"/>
            </w:tcBorders>
            <w:shd w:val="clear" w:color="auto" w:fill="auto"/>
            <w:vAlign w:val="center"/>
            <w:hideMark/>
          </w:tcPr>
          <w:p w14:paraId="0662799C"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19,385</w:t>
            </w:r>
          </w:p>
        </w:tc>
        <w:tc>
          <w:tcPr>
            <w:tcW w:w="740" w:type="dxa"/>
            <w:tcBorders>
              <w:top w:val="single" w:sz="4" w:space="0" w:color="ADD6EA"/>
              <w:left w:val="nil"/>
              <w:bottom w:val="nil"/>
              <w:right w:val="nil"/>
            </w:tcBorders>
            <w:shd w:val="clear" w:color="auto" w:fill="auto"/>
            <w:vAlign w:val="center"/>
            <w:hideMark/>
          </w:tcPr>
          <w:p w14:paraId="0ADFF81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20,513</w:t>
            </w:r>
          </w:p>
        </w:tc>
        <w:tc>
          <w:tcPr>
            <w:tcW w:w="1320" w:type="dxa"/>
            <w:tcBorders>
              <w:top w:val="single" w:sz="4" w:space="0" w:color="ADD6EA"/>
              <w:left w:val="nil"/>
              <w:bottom w:val="nil"/>
              <w:right w:val="nil"/>
            </w:tcBorders>
            <w:shd w:val="clear" w:color="auto" w:fill="auto"/>
            <w:vAlign w:val="center"/>
            <w:hideMark/>
          </w:tcPr>
          <w:p w14:paraId="4D3C65F6"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4</w:t>
            </w:r>
          </w:p>
        </w:tc>
      </w:tr>
      <w:tr w:rsidR="00A07E06" w:rsidRPr="00A07E06" w14:paraId="72711AED"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760DAB1C"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Industry (broad)</w:t>
            </w:r>
          </w:p>
        </w:tc>
        <w:tc>
          <w:tcPr>
            <w:tcW w:w="712" w:type="dxa"/>
            <w:tcBorders>
              <w:top w:val="single" w:sz="4" w:space="0" w:color="ADD6EA"/>
              <w:left w:val="nil"/>
              <w:bottom w:val="nil"/>
              <w:right w:val="nil"/>
            </w:tcBorders>
            <w:shd w:val="clear" w:color="auto" w:fill="auto"/>
            <w:vAlign w:val="center"/>
            <w:hideMark/>
          </w:tcPr>
          <w:p w14:paraId="056A4098"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0.3671</w:t>
            </w:r>
          </w:p>
        </w:tc>
        <w:tc>
          <w:tcPr>
            <w:tcW w:w="712" w:type="dxa"/>
            <w:tcBorders>
              <w:top w:val="single" w:sz="4" w:space="0" w:color="ADD6EA"/>
              <w:left w:val="nil"/>
              <w:bottom w:val="nil"/>
              <w:right w:val="nil"/>
            </w:tcBorders>
            <w:shd w:val="clear" w:color="auto" w:fill="auto"/>
            <w:vAlign w:val="center"/>
            <w:hideMark/>
          </w:tcPr>
          <w:p w14:paraId="583CBE97"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0.3605</w:t>
            </w:r>
          </w:p>
        </w:tc>
        <w:tc>
          <w:tcPr>
            <w:tcW w:w="1017" w:type="dxa"/>
            <w:tcBorders>
              <w:top w:val="single" w:sz="4" w:space="0" w:color="ADD6EA"/>
              <w:left w:val="nil"/>
              <w:bottom w:val="nil"/>
              <w:right w:val="nil"/>
            </w:tcBorders>
            <w:shd w:val="clear" w:color="auto" w:fill="auto"/>
            <w:vAlign w:val="center"/>
            <w:hideMark/>
          </w:tcPr>
          <w:p w14:paraId="2D68899D"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-9,411</w:t>
            </w:r>
          </w:p>
        </w:tc>
        <w:tc>
          <w:tcPr>
            <w:tcW w:w="740" w:type="dxa"/>
            <w:tcBorders>
              <w:top w:val="single" w:sz="4" w:space="0" w:color="ADD6EA"/>
              <w:left w:val="nil"/>
              <w:bottom w:val="nil"/>
              <w:right w:val="nil"/>
            </w:tcBorders>
            <w:shd w:val="clear" w:color="auto" w:fill="auto"/>
            <w:vAlign w:val="center"/>
            <w:hideMark/>
          </w:tcPr>
          <w:p w14:paraId="1E740EF3"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19,152</w:t>
            </w:r>
          </w:p>
        </w:tc>
        <w:tc>
          <w:tcPr>
            <w:tcW w:w="740" w:type="dxa"/>
            <w:tcBorders>
              <w:top w:val="single" w:sz="4" w:space="0" w:color="ADD6EA"/>
              <w:left w:val="nil"/>
              <w:bottom w:val="nil"/>
              <w:right w:val="nil"/>
            </w:tcBorders>
            <w:shd w:val="clear" w:color="auto" w:fill="auto"/>
            <w:vAlign w:val="center"/>
            <w:hideMark/>
          </w:tcPr>
          <w:p w14:paraId="656E3B9E" w14:textId="77777777" w:rsidR="00A07E06" w:rsidRPr="00A07E06" w:rsidRDefault="00A07E06" w:rsidP="00335218">
            <w:pPr>
              <w:tabs>
                <w:tab w:val="clear" w:pos="567"/>
              </w:tabs>
              <w:spacing w:before="0" w:line="240" w:lineRule="auto"/>
              <w:jc w:val="right"/>
              <w:rPr>
                <w:rFonts w:eastAsia="Times New Roman" w:cs="Open Sans Light"/>
                <w:b/>
                <w:bCs/>
                <w:color w:val="000000"/>
                <w:sz w:val="16"/>
                <w:szCs w:val="16"/>
                <w:lang w:eastAsia="en-AU"/>
              </w:rPr>
            </w:pPr>
            <w:r w:rsidRPr="00A07E06">
              <w:rPr>
                <w:rFonts w:eastAsia="Times New Roman" w:cs="Open Sans Light"/>
                <w:b/>
                <w:bCs/>
                <w:color w:val="000000"/>
                <w:sz w:val="16"/>
                <w:szCs w:val="16"/>
                <w:lang w:eastAsia="en-AU"/>
              </w:rPr>
              <w:t>20,418</w:t>
            </w:r>
          </w:p>
        </w:tc>
        <w:tc>
          <w:tcPr>
            <w:tcW w:w="1320" w:type="dxa"/>
            <w:tcBorders>
              <w:top w:val="single" w:sz="4" w:space="0" w:color="ADD6EA"/>
              <w:left w:val="nil"/>
              <w:bottom w:val="nil"/>
              <w:right w:val="nil"/>
            </w:tcBorders>
            <w:shd w:val="clear" w:color="auto" w:fill="auto"/>
            <w:vAlign w:val="center"/>
            <w:hideMark/>
          </w:tcPr>
          <w:p w14:paraId="50F21735" w14:textId="77777777" w:rsidR="00A07E06" w:rsidRPr="00A07E06" w:rsidRDefault="00A07E06" w:rsidP="00335218">
            <w:pPr>
              <w:tabs>
                <w:tab w:val="clear" w:pos="567"/>
              </w:tabs>
              <w:spacing w:before="0" w:line="240" w:lineRule="auto"/>
              <w:jc w:val="right"/>
              <w:rPr>
                <w:rFonts w:eastAsia="Times New Roman" w:cs="Open Sans Light"/>
                <w:b/>
                <w:bCs/>
                <w:color w:val="000000"/>
                <w:sz w:val="16"/>
                <w:szCs w:val="16"/>
                <w:lang w:eastAsia="en-AU"/>
              </w:rPr>
            </w:pPr>
            <w:r w:rsidRPr="00A07E06">
              <w:rPr>
                <w:rFonts w:eastAsia="Times New Roman" w:cs="Open Sans Light"/>
                <w:b/>
                <w:bCs/>
                <w:color w:val="000000"/>
                <w:sz w:val="16"/>
                <w:szCs w:val="16"/>
                <w:lang w:eastAsia="en-AU"/>
              </w:rPr>
              <w:t>6</w:t>
            </w:r>
          </w:p>
        </w:tc>
      </w:tr>
      <w:tr w:rsidR="00A07E06" w:rsidRPr="00A07E06" w14:paraId="21BA1413"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7822EBA8"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Industry (intermediate)</w:t>
            </w:r>
          </w:p>
        </w:tc>
        <w:tc>
          <w:tcPr>
            <w:tcW w:w="712" w:type="dxa"/>
            <w:tcBorders>
              <w:top w:val="single" w:sz="4" w:space="0" w:color="ADD6EA"/>
              <w:left w:val="nil"/>
              <w:bottom w:val="nil"/>
              <w:right w:val="nil"/>
            </w:tcBorders>
            <w:shd w:val="clear" w:color="auto" w:fill="auto"/>
            <w:vAlign w:val="center"/>
            <w:hideMark/>
          </w:tcPr>
          <w:p w14:paraId="6EB78C15"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0.3750</w:t>
            </w:r>
          </w:p>
        </w:tc>
        <w:tc>
          <w:tcPr>
            <w:tcW w:w="712" w:type="dxa"/>
            <w:tcBorders>
              <w:top w:val="single" w:sz="4" w:space="0" w:color="ADD6EA"/>
              <w:left w:val="nil"/>
              <w:bottom w:val="nil"/>
              <w:right w:val="nil"/>
            </w:tcBorders>
            <w:shd w:val="clear" w:color="auto" w:fill="auto"/>
            <w:vAlign w:val="center"/>
            <w:hideMark/>
          </w:tcPr>
          <w:p w14:paraId="1285EBCE"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0.3655</w:t>
            </w:r>
          </w:p>
        </w:tc>
        <w:tc>
          <w:tcPr>
            <w:tcW w:w="1017" w:type="dxa"/>
            <w:tcBorders>
              <w:top w:val="single" w:sz="4" w:space="0" w:color="ADD6EA"/>
              <w:left w:val="nil"/>
              <w:bottom w:val="nil"/>
              <w:right w:val="nil"/>
            </w:tcBorders>
            <w:shd w:val="clear" w:color="auto" w:fill="auto"/>
            <w:vAlign w:val="center"/>
            <w:hideMark/>
          </w:tcPr>
          <w:p w14:paraId="36B40026"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-9,311</w:t>
            </w:r>
          </w:p>
        </w:tc>
        <w:tc>
          <w:tcPr>
            <w:tcW w:w="740" w:type="dxa"/>
            <w:tcBorders>
              <w:top w:val="single" w:sz="4" w:space="0" w:color="ADD6EA"/>
              <w:left w:val="nil"/>
              <w:bottom w:val="nil"/>
              <w:right w:val="nil"/>
            </w:tcBorders>
            <w:shd w:val="clear" w:color="auto" w:fill="auto"/>
            <w:vAlign w:val="center"/>
            <w:hideMark/>
          </w:tcPr>
          <w:p w14:paraId="32768221" w14:textId="77777777" w:rsidR="00A07E06" w:rsidRPr="00A07E06" w:rsidRDefault="00A07E06" w:rsidP="00335218">
            <w:pPr>
              <w:tabs>
                <w:tab w:val="clear" w:pos="567"/>
              </w:tabs>
              <w:spacing w:before="0" w:line="240" w:lineRule="auto"/>
              <w:jc w:val="right"/>
              <w:rPr>
                <w:rFonts w:eastAsia="Times New Roman" w:cs="Open Sans Light"/>
                <w:b/>
                <w:bCs/>
                <w:color w:val="000000"/>
                <w:sz w:val="16"/>
                <w:szCs w:val="16"/>
                <w:lang w:eastAsia="en-AU"/>
              </w:rPr>
            </w:pPr>
            <w:r w:rsidRPr="00A07E06">
              <w:rPr>
                <w:rFonts w:eastAsia="Times New Roman" w:cs="Open Sans Light"/>
                <w:b/>
                <w:bCs/>
                <w:color w:val="000000"/>
                <w:sz w:val="16"/>
                <w:szCs w:val="16"/>
                <w:lang w:eastAsia="en-AU"/>
              </w:rPr>
              <w:t>19,098</w:t>
            </w:r>
          </w:p>
        </w:tc>
        <w:tc>
          <w:tcPr>
            <w:tcW w:w="740" w:type="dxa"/>
            <w:tcBorders>
              <w:top w:val="single" w:sz="4" w:space="0" w:color="ADD6EA"/>
              <w:left w:val="nil"/>
              <w:bottom w:val="nil"/>
              <w:right w:val="nil"/>
            </w:tcBorders>
            <w:shd w:val="clear" w:color="auto" w:fill="auto"/>
            <w:vAlign w:val="center"/>
            <w:hideMark/>
          </w:tcPr>
          <w:p w14:paraId="076AFB0B"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20,917</w:t>
            </w:r>
          </w:p>
        </w:tc>
        <w:tc>
          <w:tcPr>
            <w:tcW w:w="1320" w:type="dxa"/>
            <w:tcBorders>
              <w:top w:val="single" w:sz="4" w:space="0" w:color="ADD6EA"/>
              <w:left w:val="nil"/>
              <w:bottom w:val="nil"/>
              <w:right w:val="nil"/>
            </w:tcBorders>
            <w:shd w:val="clear" w:color="auto" w:fill="auto"/>
            <w:vAlign w:val="center"/>
            <w:hideMark/>
          </w:tcPr>
          <w:p w14:paraId="2E2D7A5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w:t>
            </w:r>
          </w:p>
        </w:tc>
      </w:tr>
      <w:tr w:rsidR="00A07E06" w:rsidRPr="00A07E06" w14:paraId="3B751CD0"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7AA0DB8A"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Industry (detailed)</w:t>
            </w:r>
          </w:p>
        </w:tc>
        <w:tc>
          <w:tcPr>
            <w:tcW w:w="712" w:type="dxa"/>
            <w:tcBorders>
              <w:top w:val="single" w:sz="4" w:space="0" w:color="ADD6EA"/>
              <w:left w:val="nil"/>
              <w:bottom w:val="nil"/>
              <w:right w:val="nil"/>
            </w:tcBorders>
            <w:shd w:val="clear" w:color="auto" w:fill="auto"/>
            <w:vAlign w:val="center"/>
            <w:hideMark/>
          </w:tcPr>
          <w:p w14:paraId="081337A5"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0.3870</w:t>
            </w:r>
          </w:p>
        </w:tc>
        <w:tc>
          <w:tcPr>
            <w:tcW w:w="712" w:type="dxa"/>
            <w:tcBorders>
              <w:top w:val="single" w:sz="4" w:space="0" w:color="ADD6EA"/>
              <w:left w:val="nil"/>
              <w:bottom w:val="nil"/>
              <w:right w:val="nil"/>
            </w:tcBorders>
            <w:shd w:val="clear" w:color="auto" w:fill="auto"/>
            <w:vAlign w:val="center"/>
            <w:hideMark/>
          </w:tcPr>
          <w:p w14:paraId="644A67D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0.3711</w:t>
            </w:r>
          </w:p>
        </w:tc>
        <w:tc>
          <w:tcPr>
            <w:tcW w:w="1017" w:type="dxa"/>
            <w:tcBorders>
              <w:top w:val="single" w:sz="4" w:space="0" w:color="ADD6EA"/>
              <w:left w:val="nil"/>
              <w:bottom w:val="nil"/>
              <w:right w:val="nil"/>
            </w:tcBorders>
            <w:shd w:val="clear" w:color="auto" w:fill="auto"/>
            <w:vAlign w:val="center"/>
            <w:hideMark/>
          </w:tcPr>
          <w:p w14:paraId="157DA395"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-9,160</w:t>
            </w:r>
          </w:p>
        </w:tc>
        <w:tc>
          <w:tcPr>
            <w:tcW w:w="740" w:type="dxa"/>
            <w:tcBorders>
              <w:top w:val="single" w:sz="4" w:space="0" w:color="ADD6EA"/>
              <w:left w:val="nil"/>
              <w:bottom w:val="nil"/>
              <w:right w:val="nil"/>
            </w:tcBorders>
            <w:shd w:val="clear" w:color="auto" w:fill="auto"/>
            <w:vAlign w:val="center"/>
            <w:hideMark/>
          </w:tcPr>
          <w:p w14:paraId="0FF938C3"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19,114</w:t>
            </w:r>
          </w:p>
        </w:tc>
        <w:tc>
          <w:tcPr>
            <w:tcW w:w="740" w:type="dxa"/>
            <w:tcBorders>
              <w:top w:val="single" w:sz="4" w:space="0" w:color="ADD6EA"/>
              <w:left w:val="nil"/>
              <w:bottom w:val="nil"/>
              <w:right w:val="nil"/>
            </w:tcBorders>
            <w:shd w:val="clear" w:color="auto" w:fill="auto"/>
            <w:vAlign w:val="center"/>
            <w:hideMark/>
          </w:tcPr>
          <w:p w14:paraId="67035C1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22,158</w:t>
            </w:r>
          </w:p>
        </w:tc>
        <w:tc>
          <w:tcPr>
            <w:tcW w:w="1320" w:type="dxa"/>
            <w:tcBorders>
              <w:top w:val="single" w:sz="4" w:space="0" w:color="ADD6EA"/>
              <w:left w:val="nil"/>
              <w:bottom w:val="nil"/>
              <w:right w:val="nil"/>
            </w:tcBorders>
            <w:shd w:val="clear" w:color="auto" w:fill="auto"/>
            <w:vAlign w:val="center"/>
            <w:hideMark/>
          </w:tcPr>
          <w:p w14:paraId="06EFE01B"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w:t>
            </w:r>
          </w:p>
        </w:tc>
      </w:tr>
      <w:tr w:rsidR="00A07E06" w:rsidRPr="00A07E06" w14:paraId="38806A02"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16DF2976"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Usual hours</w:t>
            </w:r>
          </w:p>
        </w:tc>
        <w:tc>
          <w:tcPr>
            <w:tcW w:w="712" w:type="dxa"/>
            <w:tcBorders>
              <w:top w:val="single" w:sz="4" w:space="0" w:color="ADD6EA"/>
              <w:left w:val="nil"/>
              <w:bottom w:val="nil"/>
              <w:right w:val="nil"/>
            </w:tcBorders>
            <w:shd w:val="clear" w:color="auto" w:fill="auto"/>
            <w:vAlign w:val="center"/>
            <w:hideMark/>
          </w:tcPr>
          <w:p w14:paraId="0A465BCD"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0.3893</w:t>
            </w:r>
          </w:p>
        </w:tc>
        <w:tc>
          <w:tcPr>
            <w:tcW w:w="712" w:type="dxa"/>
            <w:tcBorders>
              <w:top w:val="single" w:sz="4" w:space="0" w:color="ADD6EA"/>
              <w:left w:val="nil"/>
              <w:bottom w:val="nil"/>
              <w:right w:val="nil"/>
            </w:tcBorders>
            <w:shd w:val="clear" w:color="auto" w:fill="auto"/>
            <w:vAlign w:val="center"/>
            <w:hideMark/>
          </w:tcPr>
          <w:p w14:paraId="483C8956"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0.3735</w:t>
            </w:r>
          </w:p>
        </w:tc>
        <w:tc>
          <w:tcPr>
            <w:tcW w:w="1017" w:type="dxa"/>
            <w:tcBorders>
              <w:top w:val="single" w:sz="4" w:space="0" w:color="ADD6EA"/>
              <w:left w:val="nil"/>
              <w:bottom w:val="nil"/>
              <w:right w:val="nil"/>
            </w:tcBorders>
            <w:shd w:val="clear" w:color="auto" w:fill="auto"/>
            <w:vAlign w:val="center"/>
            <w:hideMark/>
          </w:tcPr>
          <w:p w14:paraId="556D751E"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-9,129</w:t>
            </w:r>
          </w:p>
        </w:tc>
        <w:tc>
          <w:tcPr>
            <w:tcW w:w="740" w:type="dxa"/>
            <w:tcBorders>
              <w:top w:val="single" w:sz="4" w:space="0" w:color="ADD6EA"/>
              <w:left w:val="nil"/>
              <w:bottom w:val="nil"/>
              <w:right w:val="nil"/>
            </w:tcBorders>
            <w:shd w:val="clear" w:color="auto" w:fill="auto"/>
            <w:vAlign w:val="center"/>
            <w:hideMark/>
          </w:tcPr>
          <w:p w14:paraId="6332E7AC"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19,057</w:t>
            </w:r>
          </w:p>
        </w:tc>
        <w:tc>
          <w:tcPr>
            <w:tcW w:w="740" w:type="dxa"/>
            <w:tcBorders>
              <w:top w:val="single" w:sz="4" w:space="0" w:color="ADD6EA"/>
              <w:left w:val="nil"/>
              <w:bottom w:val="nil"/>
              <w:right w:val="nil"/>
            </w:tcBorders>
            <w:shd w:val="clear" w:color="auto" w:fill="auto"/>
            <w:vAlign w:val="center"/>
            <w:hideMark/>
          </w:tcPr>
          <w:p w14:paraId="32EEA147"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22,117</w:t>
            </w:r>
          </w:p>
        </w:tc>
        <w:tc>
          <w:tcPr>
            <w:tcW w:w="1320" w:type="dxa"/>
            <w:tcBorders>
              <w:top w:val="single" w:sz="4" w:space="0" w:color="ADD6EA"/>
              <w:left w:val="nil"/>
              <w:bottom w:val="nil"/>
              <w:right w:val="nil"/>
            </w:tcBorders>
            <w:shd w:val="clear" w:color="auto" w:fill="auto"/>
            <w:vAlign w:val="center"/>
            <w:hideMark/>
          </w:tcPr>
          <w:p w14:paraId="07ADFAEF"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4</w:t>
            </w:r>
          </w:p>
        </w:tc>
      </w:tr>
      <w:tr w:rsidR="00A07E06" w:rsidRPr="00A07E06" w14:paraId="1AC72EAF"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316F97A2"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Family by sex</w:t>
            </w:r>
          </w:p>
        </w:tc>
        <w:tc>
          <w:tcPr>
            <w:tcW w:w="712" w:type="dxa"/>
            <w:tcBorders>
              <w:top w:val="single" w:sz="4" w:space="0" w:color="ADD6EA"/>
              <w:left w:val="nil"/>
              <w:bottom w:val="nil"/>
              <w:right w:val="nil"/>
            </w:tcBorders>
            <w:shd w:val="clear" w:color="auto" w:fill="auto"/>
            <w:vAlign w:val="center"/>
            <w:hideMark/>
          </w:tcPr>
          <w:p w14:paraId="2118F194"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0.3913</w:t>
            </w:r>
          </w:p>
        </w:tc>
        <w:tc>
          <w:tcPr>
            <w:tcW w:w="712" w:type="dxa"/>
            <w:tcBorders>
              <w:top w:val="single" w:sz="4" w:space="0" w:color="ADD6EA"/>
              <w:left w:val="nil"/>
              <w:bottom w:val="nil"/>
              <w:right w:val="nil"/>
            </w:tcBorders>
            <w:shd w:val="clear" w:color="auto" w:fill="auto"/>
            <w:vAlign w:val="center"/>
            <w:hideMark/>
          </w:tcPr>
          <w:p w14:paraId="54F8786E"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0.3754</w:t>
            </w:r>
          </w:p>
        </w:tc>
        <w:tc>
          <w:tcPr>
            <w:tcW w:w="1017" w:type="dxa"/>
            <w:tcBorders>
              <w:top w:val="single" w:sz="4" w:space="0" w:color="ADD6EA"/>
              <w:left w:val="nil"/>
              <w:bottom w:val="nil"/>
              <w:right w:val="nil"/>
            </w:tcBorders>
            <w:shd w:val="clear" w:color="auto" w:fill="auto"/>
            <w:vAlign w:val="center"/>
            <w:hideMark/>
          </w:tcPr>
          <w:p w14:paraId="5B31009B"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-9,105</w:t>
            </w:r>
          </w:p>
        </w:tc>
        <w:tc>
          <w:tcPr>
            <w:tcW w:w="740" w:type="dxa"/>
            <w:tcBorders>
              <w:top w:val="single" w:sz="4" w:space="0" w:color="ADD6EA"/>
              <w:left w:val="nil"/>
              <w:bottom w:val="nil"/>
              <w:right w:val="nil"/>
            </w:tcBorders>
            <w:shd w:val="clear" w:color="auto" w:fill="auto"/>
            <w:vAlign w:val="center"/>
            <w:hideMark/>
          </w:tcPr>
          <w:p w14:paraId="01F122B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19,013</w:t>
            </w:r>
          </w:p>
        </w:tc>
        <w:tc>
          <w:tcPr>
            <w:tcW w:w="740" w:type="dxa"/>
            <w:tcBorders>
              <w:top w:val="single" w:sz="4" w:space="0" w:color="ADD6EA"/>
              <w:left w:val="nil"/>
              <w:bottom w:val="nil"/>
              <w:right w:val="nil"/>
            </w:tcBorders>
            <w:shd w:val="clear" w:color="auto" w:fill="auto"/>
            <w:vAlign w:val="center"/>
            <w:hideMark/>
          </w:tcPr>
          <w:p w14:paraId="1ACC6E64"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22,087</w:t>
            </w:r>
          </w:p>
        </w:tc>
        <w:tc>
          <w:tcPr>
            <w:tcW w:w="1320" w:type="dxa"/>
            <w:tcBorders>
              <w:top w:val="single" w:sz="4" w:space="0" w:color="ADD6EA"/>
              <w:left w:val="nil"/>
              <w:bottom w:val="nil"/>
              <w:right w:val="nil"/>
            </w:tcBorders>
            <w:shd w:val="clear" w:color="auto" w:fill="auto"/>
            <w:vAlign w:val="center"/>
            <w:hideMark/>
          </w:tcPr>
          <w:p w14:paraId="2FB3AB8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w:t>
            </w:r>
          </w:p>
        </w:tc>
      </w:tr>
      <w:tr w:rsidR="00A07E06" w:rsidRPr="00A07E06" w14:paraId="584DC245"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6656B99A"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Education by age</w:t>
            </w:r>
          </w:p>
        </w:tc>
        <w:tc>
          <w:tcPr>
            <w:tcW w:w="712" w:type="dxa"/>
            <w:tcBorders>
              <w:top w:val="single" w:sz="4" w:space="0" w:color="ADD6EA"/>
              <w:left w:val="nil"/>
              <w:bottom w:val="nil"/>
              <w:right w:val="nil"/>
            </w:tcBorders>
            <w:shd w:val="clear" w:color="auto" w:fill="auto"/>
            <w:vAlign w:val="center"/>
            <w:hideMark/>
          </w:tcPr>
          <w:p w14:paraId="281B3478"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0.3993</w:t>
            </w:r>
          </w:p>
        </w:tc>
        <w:tc>
          <w:tcPr>
            <w:tcW w:w="712" w:type="dxa"/>
            <w:tcBorders>
              <w:top w:val="single" w:sz="4" w:space="0" w:color="ADD6EA"/>
              <w:left w:val="nil"/>
              <w:bottom w:val="nil"/>
              <w:right w:val="nil"/>
            </w:tcBorders>
            <w:shd w:val="clear" w:color="auto" w:fill="auto"/>
            <w:vAlign w:val="center"/>
            <w:hideMark/>
          </w:tcPr>
          <w:p w14:paraId="36B8AC2C"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0.3810</w:t>
            </w:r>
          </w:p>
        </w:tc>
        <w:tc>
          <w:tcPr>
            <w:tcW w:w="1017" w:type="dxa"/>
            <w:tcBorders>
              <w:top w:val="single" w:sz="4" w:space="0" w:color="ADD6EA"/>
              <w:left w:val="nil"/>
              <w:bottom w:val="nil"/>
              <w:right w:val="nil"/>
            </w:tcBorders>
            <w:shd w:val="clear" w:color="auto" w:fill="auto"/>
            <w:vAlign w:val="center"/>
            <w:hideMark/>
          </w:tcPr>
          <w:p w14:paraId="65B1DFE2"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-9,000</w:t>
            </w:r>
          </w:p>
        </w:tc>
        <w:tc>
          <w:tcPr>
            <w:tcW w:w="740" w:type="dxa"/>
            <w:tcBorders>
              <w:top w:val="single" w:sz="4" w:space="0" w:color="ADD6EA"/>
              <w:left w:val="nil"/>
              <w:bottom w:val="nil"/>
              <w:right w:val="nil"/>
            </w:tcBorders>
            <w:shd w:val="clear" w:color="auto" w:fill="auto"/>
            <w:vAlign w:val="center"/>
            <w:hideMark/>
          </w:tcPr>
          <w:p w14:paraId="73E6E16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18,935</w:t>
            </w:r>
          </w:p>
        </w:tc>
        <w:tc>
          <w:tcPr>
            <w:tcW w:w="740" w:type="dxa"/>
            <w:tcBorders>
              <w:top w:val="single" w:sz="4" w:space="0" w:color="ADD6EA"/>
              <w:left w:val="nil"/>
              <w:bottom w:val="nil"/>
              <w:right w:val="nil"/>
            </w:tcBorders>
            <w:shd w:val="clear" w:color="auto" w:fill="auto"/>
            <w:vAlign w:val="center"/>
            <w:hideMark/>
          </w:tcPr>
          <w:p w14:paraId="7B611EE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22,522</w:t>
            </w:r>
          </w:p>
        </w:tc>
        <w:tc>
          <w:tcPr>
            <w:tcW w:w="1320" w:type="dxa"/>
            <w:tcBorders>
              <w:top w:val="single" w:sz="4" w:space="0" w:color="ADD6EA"/>
              <w:left w:val="nil"/>
              <w:bottom w:val="nil"/>
              <w:right w:val="nil"/>
            </w:tcBorders>
            <w:shd w:val="clear" w:color="auto" w:fill="auto"/>
            <w:vAlign w:val="center"/>
            <w:hideMark/>
          </w:tcPr>
          <w:p w14:paraId="57EA7315"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w:t>
            </w:r>
          </w:p>
        </w:tc>
      </w:tr>
      <w:tr w:rsidR="00A07E06" w:rsidRPr="00A07E06" w14:paraId="49CF9137" w14:textId="77777777" w:rsidTr="00335218">
        <w:trPr>
          <w:trHeight w:val="315"/>
        </w:trPr>
        <w:tc>
          <w:tcPr>
            <w:tcW w:w="3701" w:type="dxa"/>
            <w:tcBorders>
              <w:top w:val="single" w:sz="4" w:space="0" w:color="ADD6EA"/>
              <w:left w:val="nil"/>
              <w:bottom w:val="nil"/>
              <w:right w:val="nil"/>
            </w:tcBorders>
            <w:shd w:val="clear" w:color="auto" w:fill="auto"/>
            <w:vAlign w:val="center"/>
            <w:hideMark/>
          </w:tcPr>
          <w:p w14:paraId="3A22C282"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Age by sex</w:t>
            </w:r>
          </w:p>
        </w:tc>
        <w:tc>
          <w:tcPr>
            <w:tcW w:w="712" w:type="dxa"/>
            <w:tcBorders>
              <w:top w:val="single" w:sz="4" w:space="0" w:color="ADD6EA"/>
              <w:left w:val="nil"/>
              <w:bottom w:val="single" w:sz="4" w:space="0" w:color="ADD6EA"/>
              <w:right w:val="nil"/>
            </w:tcBorders>
            <w:shd w:val="clear" w:color="auto" w:fill="auto"/>
            <w:noWrap/>
            <w:vAlign w:val="center"/>
            <w:hideMark/>
          </w:tcPr>
          <w:p w14:paraId="628CCF37"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0.4016</w:t>
            </w:r>
          </w:p>
        </w:tc>
        <w:tc>
          <w:tcPr>
            <w:tcW w:w="712" w:type="dxa"/>
            <w:tcBorders>
              <w:top w:val="single" w:sz="4" w:space="0" w:color="ADD6EA"/>
              <w:left w:val="nil"/>
              <w:bottom w:val="single" w:sz="4" w:space="0" w:color="ADD6EA"/>
              <w:right w:val="nil"/>
            </w:tcBorders>
            <w:shd w:val="clear" w:color="auto" w:fill="auto"/>
            <w:noWrap/>
            <w:vAlign w:val="center"/>
            <w:hideMark/>
          </w:tcPr>
          <w:p w14:paraId="4EF65097"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0.3829</w:t>
            </w:r>
          </w:p>
        </w:tc>
        <w:tc>
          <w:tcPr>
            <w:tcW w:w="1017" w:type="dxa"/>
            <w:tcBorders>
              <w:top w:val="single" w:sz="4" w:space="0" w:color="ADD6EA"/>
              <w:left w:val="nil"/>
              <w:bottom w:val="single" w:sz="4" w:space="0" w:color="ADD6EA"/>
              <w:right w:val="nil"/>
            </w:tcBorders>
            <w:shd w:val="clear" w:color="auto" w:fill="auto"/>
            <w:noWrap/>
            <w:vAlign w:val="center"/>
            <w:hideMark/>
          </w:tcPr>
          <w:p w14:paraId="5A7E820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-8,969</w:t>
            </w:r>
          </w:p>
        </w:tc>
        <w:tc>
          <w:tcPr>
            <w:tcW w:w="740" w:type="dxa"/>
            <w:tcBorders>
              <w:top w:val="single" w:sz="4" w:space="0" w:color="ADD6EA"/>
              <w:left w:val="nil"/>
              <w:bottom w:val="single" w:sz="4" w:space="0" w:color="ADD6EA"/>
              <w:right w:val="nil"/>
            </w:tcBorders>
            <w:shd w:val="clear" w:color="auto" w:fill="auto"/>
            <w:noWrap/>
            <w:vAlign w:val="center"/>
            <w:hideMark/>
          </w:tcPr>
          <w:p w14:paraId="424E2F56"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18,894</w:t>
            </w:r>
          </w:p>
        </w:tc>
        <w:tc>
          <w:tcPr>
            <w:tcW w:w="740" w:type="dxa"/>
            <w:tcBorders>
              <w:top w:val="single" w:sz="4" w:space="0" w:color="ADD6EA"/>
              <w:left w:val="nil"/>
              <w:bottom w:val="single" w:sz="4" w:space="0" w:color="ADD6EA"/>
              <w:right w:val="nil"/>
            </w:tcBorders>
            <w:shd w:val="clear" w:color="auto" w:fill="auto"/>
            <w:noWrap/>
            <w:vAlign w:val="center"/>
            <w:hideMark/>
          </w:tcPr>
          <w:p w14:paraId="4C7AE150"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22,557</w:t>
            </w:r>
          </w:p>
        </w:tc>
        <w:tc>
          <w:tcPr>
            <w:tcW w:w="1320" w:type="dxa"/>
            <w:tcBorders>
              <w:top w:val="single" w:sz="4" w:space="0" w:color="ADD6EA"/>
              <w:left w:val="nil"/>
              <w:bottom w:val="single" w:sz="4" w:space="0" w:color="ADD6EA"/>
              <w:right w:val="nil"/>
            </w:tcBorders>
            <w:shd w:val="clear" w:color="auto" w:fill="auto"/>
            <w:noWrap/>
            <w:vAlign w:val="center"/>
            <w:hideMark/>
          </w:tcPr>
          <w:p w14:paraId="2122A98F"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w:t>
            </w:r>
          </w:p>
        </w:tc>
      </w:tr>
      <w:tr w:rsidR="00A07E06" w:rsidRPr="00A07E06" w14:paraId="162089DE" w14:textId="77777777" w:rsidTr="00335218">
        <w:trPr>
          <w:trHeight w:val="315"/>
        </w:trPr>
        <w:tc>
          <w:tcPr>
            <w:tcW w:w="3701" w:type="dxa"/>
            <w:tcBorders>
              <w:top w:val="single" w:sz="4" w:space="0" w:color="ADD6EA"/>
              <w:left w:val="nil"/>
              <w:bottom w:val="single" w:sz="4" w:space="0" w:color="ADD6EA"/>
              <w:right w:val="nil"/>
            </w:tcBorders>
            <w:shd w:val="clear" w:color="auto" w:fill="auto"/>
            <w:vAlign w:val="center"/>
            <w:hideMark/>
          </w:tcPr>
          <w:p w14:paraId="3B02C2A6" w14:textId="77777777" w:rsidR="00A07E06" w:rsidRPr="00A07E06" w:rsidRDefault="00A07E06" w:rsidP="00335218">
            <w:pPr>
              <w:tabs>
                <w:tab w:val="clear" w:pos="567"/>
              </w:tabs>
              <w:spacing w:before="0" w:line="240" w:lineRule="auto"/>
              <w:rPr>
                <w:rFonts w:eastAsia="Times New Roman" w:cs="Open Sans Light"/>
                <w:color w:val="000000"/>
                <w:sz w:val="16"/>
                <w:szCs w:val="16"/>
                <w:lang w:eastAsia="en-AU"/>
              </w:rPr>
            </w:pPr>
            <w:r w:rsidRPr="00A07E06">
              <w:rPr>
                <w:rFonts w:eastAsia="Times New Roman" w:cs="Open Sans Light"/>
                <w:color w:val="000000"/>
                <w:sz w:val="16"/>
                <w:szCs w:val="16"/>
                <w:lang w:eastAsia="en-AU"/>
              </w:rPr>
              <w:t>Everything by sex</w:t>
            </w:r>
          </w:p>
        </w:tc>
        <w:tc>
          <w:tcPr>
            <w:tcW w:w="712" w:type="dxa"/>
            <w:tcBorders>
              <w:top w:val="nil"/>
              <w:left w:val="nil"/>
              <w:bottom w:val="single" w:sz="4" w:space="0" w:color="ADD6EA"/>
              <w:right w:val="nil"/>
            </w:tcBorders>
            <w:shd w:val="clear" w:color="auto" w:fill="auto"/>
            <w:noWrap/>
            <w:vAlign w:val="center"/>
            <w:hideMark/>
          </w:tcPr>
          <w:p w14:paraId="73F221B5" w14:textId="77777777" w:rsidR="00A07E06" w:rsidRPr="00A07E06" w:rsidRDefault="00A07E06" w:rsidP="00335218">
            <w:pPr>
              <w:tabs>
                <w:tab w:val="clear" w:pos="567"/>
              </w:tabs>
              <w:spacing w:before="0" w:line="240" w:lineRule="auto"/>
              <w:jc w:val="right"/>
              <w:rPr>
                <w:rFonts w:eastAsia="Times New Roman" w:cs="Open Sans Light"/>
                <w:b/>
                <w:bCs/>
                <w:color w:val="000000"/>
                <w:sz w:val="16"/>
                <w:szCs w:val="16"/>
                <w:lang w:eastAsia="en-AU"/>
              </w:rPr>
            </w:pPr>
            <w:r w:rsidRPr="00A07E06">
              <w:rPr>
                <w:rFonts w:eastAsia="Times New Roman" w:cs="Open Sans Light"/>
                <w:b/>
                <w:bCs/>
                <w:color w:val="000000"/>
                <w:sz w:val="16"/>
                <w:szCs w:val="16"/>
                <w:lang w:eastAsia="en-AU"/>
              </w:rPr>
              <w:t>0.4232</w:t>
            </w:r>
          </w:p>
        </w:tc>
        <w:tc>
          <w:tcPr>
            <w:tcW w:w="712" w:type="dxa"/>
            <w:tcBorders>
              <w:top w:val="nil"/>
              <w:left w:val="nil"/>
              <w:bottom w:val="single" w:sz="4" w:space="0" w:color="ADD6EA"/>
              <w:right w:val="nil"/>
            </w:tcBorders>
            <w:shd w:val="clear" w:color="auto" w:fill="auto"/>
            <w:noWrap/>
            <w:vAlign w:val="center"/>
            <w:hideMark/>
          </w:tcPr>
          <w:p w14:paraId="2B0420EE" w14:textId="77777777" w:rsidR="00A07E06" w:rsidRPr="00A07E06" w:rsidRDefault="00A07E06" w:rsidP="00335218">
            <w:pPr>
              <w:tabs>
                <w:tab w:val="clear" w:pos="567"/>
              </w:tabs>
              <w:spacing w:before="0" w:line="240" w:lineRule="auto"/>
              <w:jc w:val="right"/>
              <w:rPr>
                <w:rFonts w:eastAsia="Times New Roman" w:cs="Open Sans Light"/>
                <w:b/>
                <w:bCs/>
                <w:color w:val="000000"/>
                <w:sz w:val="16"/>
                <w:szCs w:val="16"/>
                <w:lang w:eastAsia="en-AU"/>
              </w:rPr>
            </w:pPr>
            <w:r w:rsidRPr="00A07E06">
              <w:rPr>
                <w:rFonts w:eastAsia="Times New Roman" w:cs="Open Sans Light"/>
                <w:b/>
                <w:bCs/>
                <w:color w:val="000000"/>
                <w:sz w:val="16"/>
                <w:szCs w:val="16"/>
                <w:lang w:eastAsia="en-AU"/>
              </w:rPr>
              <w:t>0.3894</w:t>
            </w:r>
          </w:p>
        </w:tc>
        <w:tc>
          <w:tcPr>
            <w:tcW w:w="1017" w:type="dxa"/>
            <w:tcBorders>
              <w:top w:val="nil"/>
              <w:left w:val="nil"/>
              <w:bottom w:val="single" w:sz="4" w:space="0" w:color="ADD6EA"/>
              <w:right w:val="nil"/>
            </w:tcBorders>
            <w:shd w:val="clear" w:color="auto" w:fill="auto"/>
            <w:noWrap/>
            <w:vAlign w:val="center"/>
            <w:hideMark/>
          </w:tcPr>
          <w:p w14:paraId="58700DD2" w14:textId="77777777" w:rsidR="00A07E06" w:rsidRPr="00A07E06" w:rsidRDefault="00A07E06" w:rsidP="00335218">
            <w:pPr>
              <w:tabs>
                <w:tab w:val="clear" w:pos="567"/>
              </w:tabs>
              <w:spacing w:before="0" w:line="240" w:lineRule="auto"/>
              <w:jc w:val="right"/>
              <w:rPr>
                <w:rFonts w:eastAsia="Times New Roman" w:cs="Open Sans Light"/>
                <w:b/>
                <w:bCs/>
                <w:color w:val="000000"/>
                <w:sz w:val="16"/>
                <w:szCs w:val="16"/>
                <w:lang w:eastAsia="en-AU"/>
              </w:rPr>
            </w:pPr>
            <w:r w:rsidRPr="00A07E06">
              <w:rPr>
                <w:rFonts w:eastAsia="Times New Roman" w:cs="Open Sans Light"/>
                <w:b/>
                <w:bCs/>
                <w:color w:val="000000"/>
                <w:sz w:val="16"/>
                <w:szCs w:val="16"/>
                <w:lang w:eastAsia="en-AU"/>
              </w:rPr>
              <w:t>-8,682</w:t>
            </w:r>
          </w:p>
        </w:tc>
        <w:tc>
          <w:tcPr>
            <w:tcW w:w="740" w:type="dxa"/>
            <w:tcBorders>
              <w:top w:val="nil"/>
              <w:left w:val="nil"/>
              <w:bottom w:val="single" w:sz="4" w:space="0" w:color="ADD6EA"/>
              <w:right w:val="nil"/>
            </w:tcBorders>
            <w:shd w:val="clear" w:color="auto" w:fill="auto"/>
            <w:noWrap/>
            <w:vAlign w:val="center"/>
            <w:hideMark/>
          </w:tcPr>
          <w:p w14:paraId="5DCF167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19,101</w:t>
            </w:r>
          </w:p>
        </w:tc>
        <w:tc>
          <w:tcPr>
            <w:tcW w:w="740" w:type="dxa"/>
            <w:tcBorders>
              <w:top w:val="nil"/>
              <w:left w:val="nil"/>
              <w:bottom w:val="single" w:sz="4" w:space="0" w:color="ADD6EA"/>
              <w:right w:val="nil"/>
            </w:tcBorders>
            <w:shd w:val="clear" w:color="auto" w:fill="auto"/>
            <w:noWrap/>
            <w:vAlign w:val="center"/>
            <w:hideMark/>
          </w:tcPr>
          <w:p w14:paraId="6C9CCF21"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25,757</w:t>
            </w:r>
          </w:p>
        </w:tc>
        <w:tc>
          <w:tcPr>
            <w:tcW w:w="1320" w:type="dxa"/>
            <w:tcBorders>
              <w:top w:val="nil"/>
              <w:left w:val="nil"/>
              <w:bottom w:val="single" w:sz="4" w:space="0" w:color="ADD6EA"/>
              <w:right w:val="nil"/>
            </w:tcBorders>
            <w:shd w:val="clear" w:color="auto" w:fill="auto"/>
            <w:noWrap/>
            <w:vAlign w:val="center"/>
            <w:hideMark/>
          </w:tcPr>
          <w:p w14:paraId="56C31C46" w14:textId="77777777" w:rsidR="00A07E06" w:rsidRPr="00A07E06" w:rsidRDefault="00A07E06" w:rsidP="00335218">
            <w:pPr>
              <w:tabs>
                <w:tab w:val="clear" w:pos="567"/>
              </w:tabs>
              <w:spacing w:before="0" w:line="240" w:lineRule="auto"/>
              <w:jc w:val="right"/>
              <w:rPr>
                <w:rFonts w:eastAsia="Times New Roman" w:cs="Open Sans Light"/>
                <w:color w:val="000000"/>
                <w:sz w:val="16"/>
                <w:szCs w:val="16"/>
                <w:lang w:eastAsia="en-AU"/>
              </w:rPr>
            </w:pPr>
            <w:r w:rsidRPr="00A07E06">
              <w:rPr>
                <w:rFonts w:eastAsia="Times New Roman" w:cs="Open Sans Light"/>
                <w:color w:val="000000"/>
                <w:sz w:val="16"/>
                <w:szCs w:val="16"/>
                <w:lang w:eastAsia="en-AU"/>
              </w:rPr>
              <w:t>2</w:t>
            </w:r>
          </w:p>
        </w:tc>
      </w:tr>
    </w:tbl>
    <w:p w14:paraId="45CFBAD4" w14:textId="45B29256" w:rsidR="00D804CF" w:rsidRPr="0092322B" w:rsidRDefault="00D804CF" w:rsidP="00D804CF">
      <w:pPr>
        <w:pStyle w:val="CGC2025TableNote"/>
      </w:pPr>
      <w:r w:rsidRPr="0092322B">
        <w:t xml:space="preserve">Notes: </w:t>
      </w:r>
      <w:r w:rsidRPr="0092322B">
        <w:tab/>
      </w:r>
      <w:r w:rsidR="0011236A">
        <w:tab/>
      </w:r>
      <w:r w:rsidRPr="0092322B">
        <w:t>Optimal model based on each statistic is in bold.</w:t>
      </w:r>
      <w:r w:rsidRPr="0092322B">
        <w:tab/>
      </w:r>
    </w:p>
    <w:p w14:paraId="0AAFA557" w14:textId="6EA4D3AB" w:rsidR="00D804CF" w:rsidRPr="0092322B" w:rsidRDefault="0011236A" w:rsidP="0011236A">
      <w:pPr>
        <w:pStyle w:val="CGC2025TableNote"/>
        <w:tabs>
          <w:tab w:val="clear" w:pos="567"/>
          <w:tab w:val="clear" w:pos="680"/>
          <w:tab w:val="left" w:pos="1134"/>
          <w:tab w:val="left" w:pos="1276"/>
        </w:tabs>
        <w:ind w:left="720" w:hanging="9"/>
      </w:pPr>
      <w:r>
        <w:tab/>
      </w:r>
      <w:r w:rsidR="00D804CF" w:rsidRPr="0092322B">
        <w:t>“States with consistent movements” counts the number of state coefficients which move in a consistent direction in all years when including additional control variables in the regression model.</w:t>
      </w:r>
    </w:p>
    <w:p w14:paraId="0F66AF22" w14:textId="21754B23" w:rsidR="00D804CF" w:rsidRPr="0092322B" w:rsidRDefault="00D804CF" w:rsidP="00857AFF">
      <w:pPr>
        <w:pStyle w:val="CGC2025TableNote"/>
        <w:ind w:firstLine="346"/>
      </w:pPr>
      <w:r w:rsidRPr="0092322B">
        <w:t xml:space="preserve">See notes to </w:t>
      </w:r>
      <w:r w:rsidRPr="0092322B">
        <w:fldChar w:fldCharType="begin"/>
      </w:r>
      <w:r w:rsidRPr="0092322B">
        <w:instrText xml:space="preserve"> REF _Ref152756726 \h  \* MERGEFORMAT </w:instrText>
      </w:r>
      <w:r w:rsidRPr="0092322B">
        <w:fldChar w:fldCharType="separate"/>
      </w:r>
      <w:r w:rsidRPr="0092322B">
        <w:t>Figure 1</w:t>
      </w:r>
      <w:r w:rsidRPr="0092322B">
        <w:fldChar w:fldCharType="end"/>
      </w:r>
      <w:r w:rsidRPr="0092322B">
        <w:t>.</w:t>
      </w:r>
    </w:p>
    <w:p w14:paraId="71596B7D" w14:textId="77777777" w:rsidR="00D804CF" w:rsidRPr="0092322B" w:rsidRDefault="00D804CF" w:rsidP="00D804CF">
      <w:pPr>
        <w:pStyle w:val="CGC2025TableNote"/>
      </w:pPr>
      <w:r w:rsidRPr="0092322B">
        <w:t xml:space="preserve">Source: </w:t>
      </w:r>
      <w:r w:rsidRPr="0092322B">
        <w:tab/>
        <w:t>Commission calculation.</w:t>
      </w:r>
    </w:p>
    <w:p w14:paraId="0E7D86D6" w14:textId="6490B3F1" w:rsidR="00D804CF" w:rsidRPr="0092322B" w:rsidRDefault="00D804CF" w:rsidP="009E442D">
      <w:pPr>
        <w:pStyle w:val="CGC2025ParaNumbers"/>
      </w:pPr>
      <w:r w:rsidRPr="0092322B">
        <w:t>The addition of “Industry (detailed)” immediately following “Industry (broad)” results in an increase in standard errors for all states, and on average (</w:t>
      </w:r>
      <w:r w:rsidR="00AF14AF">
        <w:t>Table 1</w:t>
      </w:r>
      <w:r w:rsidRPr="0092322B">
        <w:t>). This also results in a sharp increase in Bayesian Information Criterion, a statistic designed to penalise overfitting (</w:t>
      </w:r>
      <w:r w:rsidR="00AF14AF">
        <w:t>Table 2</w:t>
      </w:r>
      <w:r w:rsidRPr="0092322B">
        <w:t xml:space="preserve">). In this series, both Bayesian Information Criterion and average standard errors are minimised by the model “Industry (broad)”. </w:t>
      </w:r>
    </w:p>
    <w:p w14:paraId="00AA6CEE" w14:textId="77777777" w:rsidR="00D804CF" w:rsidRPr="0092322B" w:rsidRDefault="00D804CF" w:rsidP="009E442D">
      <w:pPr>
        <w:pStyle w:val="CGC2025ParaNumbers"/>
      </w:pPr>
      <w:r w:rsidRPr="0092322B">
        <w:t>Under the proposed criteria for evaluating models, detailed industry is supported by a strong conceptual case and results in some movement in state coefficients. However, these changes are inconsistent in direction, resulting from the higher uncertainty. As such, the Commission does not believe that this is a reliable result, or that the inclusion of detailed industry is justified.</w:t>
      </w:r>
    </w:p>
    <w:p w14:paraId="252187E2" w14:textId="77777777" w:rsidR="00D804CF" w:rsidRPr="0092322B" w:rsidRDefault="00D804CF" w:rsidP="009E442D">
      <w:pPr>
        <w:pStyle w:val="CGC2025ParaNumbers"/>
      </w:pPr>
      <w:r w:rsidRPr="0092322B">
        <w:t>With this stepwise ordering, the selected model under the proposed criteria would be “Industry (broad)”. This ordering prevents the addition of further variables such as “Usual hours”</w:t>
      </w:r>
      <w:r w:rsidRPr="0092322B" w:rsidDel="00E14290">
        <w:t xml:space="preserve"> </w:t>
      </w:r>
      <w:r w:rsidRPr="0092322B">
        <w:t>without the inclusion of detailed industry.</w:t>
      </w:r>
    </w:p>
    <w:p w14:paraId="12669D08" w14:textId="77777777" w:rsidR="00D804CF" w:rsidRPr="0092322B" w:rsidRDefault="00D804CF" w:rsidP="009E442D">
      <w:pPr>
        <w:pStyle w:val="CGC2025ParaNumbers"/>
      </w:pPr>
      <w:r w:rsidRPr="0092322B">
        <w:t>The Commission notes Victoria’s concern that the specification should only include 1</w:t>
      </w:r>
      <w:r w:rsidRPr="0092322B">
        <w:noBreakHyphen/>
        <w:t>digit occupation controls, to achieve parsimony and avoid overfitting, noting the similar proposed treatment of industry. The Commission proposes to maintain 3</w:t>
      </w:r>
      <w:r w:rsidRPr="0092322B">
        <w:noBreakHyphen/>
        <w:t>digit occupation controls for reasons outlined in the addendum to the wage costs consultation paper. Detailed occupation has a strong conceptual case for inclusion, moves state coefficients, decreases average standard errors for all states, and improves average fit based on all fit statistics considered. 3-digit industry did not meet these criteria, and since industry and occupation are separate variables, they do not need to be included at the same level of detail.</w:t>
      </w:r>
    </w:p>
    <w:p w14:paraId="05A2F62B" w14:textId="77777777" w:rsidR="00D804CF" w:rsidRPr="0092322B" w:rsidRDefault="00D804CF" w:rsidP="009E442D">
      <w:pPr>
        <w:pStyle w:val="Heading4"/>
      </w:pPr>
      <w:r w:rsidRPr="0092322B">
        <w:t>Commission draft position</w:t>
      </w:r>
    </w:p>
    <w:p w14:paraId="57CA7891" w14:textId="5DE352C5" w:rsidR="00D804CF" w:rsidRPr="0092322B" w:rsidRDefault="00D804CF" w:rsidP="009E442D">
      <w:pPr>
        <w:pStyle w:val="CGC2025ParaNumbers"/>
      </w:pPr>
      <w:r w:rsidRPr="0092322B">
        <w:t>The Commission proposes to maintain its ordering of stepwise inclusion of variables in the model and exclude detailed industry controls from the model and remove the gender interaction terms.</w:t>
      </w:r>
    </w:p>
    <w:p w14:paraId="0D8049ED" w14:textId="77777777" w:rsidR="00D804CF" w:rsidRPr="0092322B" w:rsidRDefault="00D804CF" w:rsidP="009E442D">
      <w:pPr>
        <w:pStyle w:val="Heading3"/>
      </w:pPr>
      <w:r w:rsidRPr="0092322B">
        <w:t>Q9. Do states agree with the proposed approach to combine estimates of relative differences in states’ wages across years?</w:t>
      </w:r>
    </w:p>
    <w:p w14:paraId="0DA0D2D5" w14:textId="77777777" w:rsidR="00D804CF" w:rsidRPr="0092322B" w:rsidRDefault="00D804CF" w:rsidP="009E442D">
      <w:pPr>
        <w:pStyle w:val="Heading4"/>
      </w:pPr>
      <w:r w:rsidRPr="0092322B">
        <w:t>State views</w:t>
      </w:r>
    </w:p>
    <w:p w14:paraId="6DC4DEA9" w14:textId="77777777" w:rsidR="00D804CF" w:rsidRPr="0092322B" w:rsidRDefault="00D804CF" w:rsidP="009E442D">
      <w:pPr>
        <w:pStyle w:val="CGC2025ParaNumbers"/>
      </w:pPr>
      <w:r w:rsidRPr="0092322B">
        <w:t>All states agreed with the proposal to implement a smoothing/pooling method to reduce volatility and improve the reliability of annual estimates. Support for the proposed method was mixed. South Australia and the ACT explicitly preferred the variance-weighted average approach to a pooled approach. The Northern Territory supported the approach, but preferred an implementation that would not lead to revisions (only using data older than the year in question when combining estimates for a given assessment year).</w:t>
      </w:r>
    </w:p>
    <w:p w14:paraId="349EFCD2" w14:textId="77777777" w:rsidR="00D804CF" w:rsidRPr="0092322B" w:rsidRDefault="00D804CF" w:rsidP="009E442D">
      <w:pPr>
        <w:pStyle w:val="CGC2025ParaNumbers"/>
      </w:pPr>
      <w:r w:rsidRPr="0092322B">
        <w:t>Victoria, Western Australia and South Australia were not concerned with the validity of the proposed method, but expressed concerns that the complexity may not warrant its use over the simpler pooled regression approach.</w:t>
      </w:r>
    </w:p>
    <w:p w14:paraId="5255CED8" w14:textId="77777777" w:rsidR="00D804CF" w:rsidRPr="0092322B" w:rsidRDefault="00D804CF" w:rsidP="009E442D">
      <w:pPr>
        <w:pStyle w:val="CGC2025ParaNumbers"/>
      </w:pPr>
      <w:r w:rsidRPr="0092322B">
        <w:t>New South Wales did not support the proposed approach, instead supporting pooling. It expressed concerns with complexity and said that the differences in standard errors between years are not significant enough that heterogeneous weighting leads to a substantially more reliable estimate. It also expressed concerns with potential revision effects.</w:t>
      </w:r>
    </w:p>
    <w:p w14:paraId="40ED040B" w14:textId="77777777" w:rsidR="00D804CF" w:rsidRPr="0092322B" w:rsidRDefault="00D804CF" w:rsidP="009E442D">
      <w:pPr>
        <w:pStyle w:val="CGC2025ParaNumbers"/>
      </w:pPr>
      <w:r w:rsidRPr="0092322B">
        <w:t>Queensland similarly did not support the variance-weighted average method, expressing concerns that the weights placed on certain years appear arbitrary and are not transparent. It argued that statistical power is decreased when compared to a true pooling method and expressed concerns that correct standard errors are difficult to compute.</w:t>
      </w:r>
    </w:p>
    <w:p w14:paraId="5FC0F016" w14:textId="77777777" w:rsidR="00D804CF" w:rsidRPr="0092322B" w:rsidRDefault="00D804CF" w:rsidP="009E442D">
      <w:pPr>
        <w:pStyle w:val="CGC2025ParaNumbers"/>
      </w:pPr>
      <w:r w:rsidRPr="0092322B">
        <w:t xml:space="preserve">Tasmania did not support the variance-weighted average method, expressing concerns that as the series of estimates become longer, estimates become less </w:t>
      </w:r>
      <w:r w:rsidRPr="0092322B" w:rsidDel="00F4242F">
        <w:t>responsive to</w:t>
      </w:r>
      <w:r w:rsidRPr="0092322B">
        <w:t xml:space="preserve"> current labour market conditions.</w:t>
      </w:r>
    </w:p>
    <w:p w14:paraId="07C770E2" w14:textId="77777777" w:rsidR="00D804CF" w:rsidRPr="0092322B" w:rsidRDefault="00D804CF" w:rsidP="009E442D">
      <w:pPr>
        <w:pStyle w:val="Heading4"/>
      </w:pPr>
      <w:r w:rsidRPr="0092322B">
        <w:t>Commission response</w:t>
      </w:r>
    </w:p>
    <w:p w14:paraId="09424F5E" w14:textId="4A03B1B1" w:rsidR="00D804CF" w:rsidRPr="0092322B" w:rsidRDefault="00D804CF" w:rsidP="009E442D">
      <w:pPr>
        <w:pStyle w:val="CGC2025ParaNumbers"/>
      </w:pPr>
      <w:r w:rsidRPr="0092322B">
        <w:t xml:space="preserve">The Commission’s proposed approach to smoothing reduces volatility more than using a 3-year pooled sample. This is shown in </w:t>
      </w:r>
      <w:r w:rsidR="00AF14AF">
        <w:t>Table 3</w:t>
      </w:r>
      <w:r w:rsidRPr="0092322B">
        <w:t xml:space="preserve">. It does this by using a sample that covers a longer time period than in the 3-year pooled sample, including all the historic estimates back to 2016–17. </w:t>
      </w:r>
    </w:p>
    <w:p w14:paraId="53E0505D" w14:textId="1B1D2C46" w:rsidR="00126C58" w:rsidRDefault="00D804CF" w:rsidP="00857AFF">
      <w:pPr>
        <w:pStyle w:val="CGC2025Caption"/>
        <w:tabs>
          <w:tab w:val="left" w:pos="1134"/>
        </w:tabs>
        <w:ind w:left="1134" w:hanging="1134"/>
      </w:pPr>
      <w:bookmarkStart w:id="7" w:name="_Ref158971433"/>
      <w:r w:rsidRPr="0092322B">
        <w:t xml:space="preserve">Table </w:t>
      </w:r>
      <w:r w:rsidRPr="0092322B">
        <w:fldChar w:fldCharType="begin"/>
      </w:r>
      <w:r w:rsidRPr="0092322B">
        <w:instrText>SEQ Table \* ARABIC</w:instrText>
      </w:r>
      <w:r w:rsidRPr="0092322B">
        <w:fldChar w:fldCharType="separate"/>
      </w:r>
      <w:r w:rsidRPr="0092322B">
        <w:t>3</w:t>
      </w:r>
      <w:r w:rsidRPr="0092322B">
        <w:fldChar w:fldCharType="end"/>
      </w:r>
      <w:bookmarkEnd w:id="7"/>
      <w:r w:rsidRPr="0092322B">
        <w:tab/>
        <w:t>Magnitudes of GST effects from updating relative state wages under different approaches to smoothing</w:t>
      </w:r>
    </w:p>
    <w:tbl>
      <w:tblPr>
        <w:tblW w:w="8942" w:type="dxa"/>
        <w:tblLook w:val="04A0" w:firstRow="1" w:lastRow="0" w:firstColumn="1" w:lastColumn="0" w:noHBand="0" w:noVBand="1"/>
      </w:tblPr>
      <w:tblGrid>
        <w:gridCol w:w="1950"/>
        <w:gridCol w:w="1166"/>
        <w:gridCol w:w="1166"/>
        <w:gridCol w:w="1165"/>
        <w:gridCol w:w="1165"/>
        <w:gridCol w:w="1165"/>
        <w:gridCol w:w="1165"/>
      </w:tblGrid>
      <w:tr w:rsidR="00AA4AFE" w:rsidRPr="00AA4AFE" w14:paraId="269D8285" w14:textId="77777777" w:rsidTr="005F0143">
        <w:trPr>
          <w:trHeight w:val="379"/>
        </w:trPr>
        <w:tc>
          <w:tcPr>
            <w:tcW w:w="1950" w:type="dxa"/>
            <w:tcBorders>
              <w:top w:val="nil"/>
              <w:left w:val="nil"/>
              <w:bottom w:val="nil"/>
              <w:right w:val="nil"/>
            </w:tcBorders>
            <w:shd w:val="clear" w:color="000000" w:fill="006991"/>
            <w:vAlign w:val="bottom"/>
            <w:hideMark/>
          </w:tcPr>
          <w:p w14:paraId="2E381DD2" w14:textId="77777777" w:rsidR="00AA4AFE" w:rsidRPr="00AA4AFE" w:rsidRDefault="00AA4AFE" w:rsidP="00AA4AFE">
            <w:pPr>
              <w:tabs>
                <w:tab w:val="clear" w:pos="567"/>
              </w:tabs>
              <w:spacing w:before="0" w:line="240" w:lineRule="auto"/>
              <w:rPr>
                <w:rFonts w:ascii="Open Sans Semibold" w:eastAsia="Times New Roman" w:hAnsi="Open Sans Semibold" w:cs="Open Sans Semibold"/>
                <w:color w:val="FFFFFF"/>
                <w:sz w:val="16"/>
                <w:szCs w:val="16"/>
                <w:lang w:eastAsia="en-AU"/>
              </w:rPr>
            </w:pPr>
            <w:bookmarkStart w:id="8" w:name="RANGE!A7:G12"/>
            <w:r w:rsidRPr="00AA4AFE">
              <w:rPr>
                <w:rFonts w:ascii="Open Sans Semibold" w:eastAsia="Times New Roman" w:hAnsi="Open Sans Semibold" w:cs="Open Sans Semibold"/>
                <w:color w:val="FFFFFF"/>
                <w:sz w:val="16"/>
                <w:szCs w:val="16"/>
                <w:lang w:eastAsia="en-AU"/>
              </w:rPr>
              <w:t> </w:t>
            </w:r>
            <w:bookmarkEnd w:id="8"/>
          </w:p>
        </w:tc>
        <w:tc>
          <w:tcPr>
            <w:tcW w:w="3497" w:type="dxa"/>
            <w:gridSpan w:val="3"/>
            <w:tcBorders>
              <w:top w:val="nil"/>
              <w:left w:val="nil"/>
              <w:bottom w:val="single" w:sz="4" w:space="0" w:color="ADD6EA"/>
              <w:right w:val="nil"/>
            </w:tcBorders>
            <w:shd w:val="clear" w:color="000000" w:fill="006991"/>
            <w:vAlign w:val="center"/>
            <w:hideMark/>
          </w:tcPr>
          <w:p w14:paraId="39DCBD28" w14:textId="77777777" w:rsidR="00AA4AFE" w:rsidRPr="00AA4AFE" w:rsidRDefault="00AA4AFE" w:rsidP="00AA4AFE">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AA4AFE">
              <w:rPr>
                <w:rFonts w:ascii="Open Sans Semibold" w:eastAsia="Times New Roman" w:hAnsi="Open Sans Semibold" w:cs="Open Sans Semibold"/>
                <w:color w:val="FFFFFF"/>
                <w:sz w:val="16"/>
                <w:szCs w:val="16"/>
                <w:lang w:eastAsia="en-AU"/>
              </w:rPr>
              <w:t>Average state</w:t>
            </w:r>
          </w:p>
        </w:tc>
        <w:tc>
          <w:tcPr>
            <w:tcW w:w="3495" w:type="dxa"/>
            <w:gridSpan w:val="3"/>
            <w:tcBorders>
              <w:top w:val="nil"/>
              <w:left w:val="nil"/>
              <w:bottom w:val="single" w:sz="4" w:space="0" w:color="ADD6EA"/>
              <w:right w:val="nil"/>
            </w:tcBorders>
            <w:shd w:val="clear" w:color="000000" w:fill="006991"/>
            <w:vAlign w:val="center"/>
            <w:hideMark/>
          </w:tcPr>
          <w:p w14:paraId="64518663" w14:textId="77777777" w:rsidR="00AA4AFE" w:rsidRPr="00AA4AFE" w:rsidRDefault="00AA4AFE" w:rsidP="00AA4AFE">
            <w:pPr>
              <w:tabs>
                <w:tab w:val="clear" w:pos="567"/>
              </w:tabs>
              <w:spacing w:before="0" w:line="240" w:lineRule="auto"/>
              <w:jc w:val="center"/>
              <w:rPr>
                <w:rFonts w:ascii="Open Sans Semibold" w:eastAsia="Times New Roman" w:hAnsi="Open Sans Semibold" w:cs="Open Sans Semibold"/>
                <w:color w:val="FFFFFF"/>
                <w:sz w:val="16"/>
                <w:szCs w:val="16"/>
                <w:lang w:eastAsia="en-AU"/>
              </w:rPr>
            </w:pPr>
            <w:r w:rsidRPr="00AA4AFE">
              <w:rPr>
                <w:rFonts w:ascii="Open Sans Semibold" w:eastAsia="Times New Roman" w:hAnsi="Open Sans Semibold" w:cs="Open Sans Semibold"/>
                <w:color w:val="FFFFFF"/>
                <w:sz w:val="16"/>
                <w:szCs w:val="16"/>
                <w:lang w:eastAsia="en-AU"/>
              </w:rPr>
              <w:t>Biggest mover</w:t>
            </w:r>
          </w:p>
        </w:tc>
      </w:tr>
      <w:tr w:rsidR="00AA4AFE" w:rsidRPr="00AA4AFE" w14:paraId="3BD81AA7" w14:textId="77777777" w:rsidTr="001D0DDE">
        <w:trPr>
          <w:trHeight w:val="315"/>
        </w:trPr>
        <w:tc>
          <w:tcPr>
            <w:tcW w:w="1950" w:type="dxa"/>
            <w:tcBorders>
              <w:top w:val="single" w:sz="4" w:space="0" w:color="ADD6EA"/>
              <w:left w:val="nil"/>
              <w:bottom w:val="nil"/>
              <w:right w:val="nil"/>
            </w:tcBorders>
            <w:shd w:val="clear" w:color="000000" w:fill="B6D5E4"/>
            <w:vAlign w:val="bottom"/>
            <w:hideMark/>
          </w:tcPr>
          <w:p w14:paraId="03A4FA24" w14:textId="77777777" w:rsidR="00AA4AFE" w:rsidRPr="00AA4AFE" w:rsidRDefault="00AA4AFE" w:rsidP="00AA4AFE">
            <w:pPr>
              <w:tabs>
                <w:tab w:val="clear" w:pos="567"/>
              </w:tabs>
              <w:spacing w:before="0" w:line="240" w:lineRule="auto"/>
              <w:rPr>
                <w:rFonts w:ascii="Open Sans Semibold" w:eastAsia="Times New Roman" w:hAnsi="Open Sans Semibold" w:cs="Open Sans Semibold"/>
                <w:color w:val="000000"/>
                <w:sz w:val="18"/>
                <w:szCs w:val="18"/>
                <w:lang w:eastAsia="en-AU"/>
              </w:rPr>
            </w:pPr>
            <w:r w:rsidRPr="00AA4AFE">
              <w:rPr>
                <w:rFonts w:ascii="Open Sans Semibold" w:eastAsia="Times New Roman" w:hAnsi="Open Sans Semibold" w:cs="Open Sans Semibold"/>
                <w:color w:val="000000"/>
                <w:sz w:val="18"/>
                <w:szCs w:val="18"/>
                <w:lang w:eastAsia="en-AU"/>
              </w:rPr>
              <w:t> </w:t>
            </w:r>
          </w:p>
        </w:tc>
        <w:tc>
          <w:tcPr>
            <w:tcW w:w="1166" w:type="dxa"/>
            <w:tcBorders>
              <w:top w:val="nil"/>
              <w:left w:val="nil"/>
              <w:bottom w:val="nil"/>
              <w:right w:val="nil"/>
            </w:tcBorders>
            <w:shd w:val="clear" w:color="000000" w:fill="B6D5E4"/>
            <w:noWrap/>
            <w:vAlign w:val="center"/>
            <w:hideMark/>
          </w:tcPr>
          <w:p w14:paraId="6B1CF80A" w14:textId="77777777" w:rsidR="00AA4AFE" w:rsidRPr="001D0DD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D0DDE">
              <w:rPr>
                <w:rFonts w:ascii="Open Sans Semibold" w:eastAsia="Times New Roman" w:hAnsi="Open Sans Semibold" w:cs="Open Sans Semibold"/>
                <w:color w:val="000000"/>
                <w:sz w:val="16"/>
                <w:szCs w:val="16"/>
                <w:lang w:eastAsia="en-AU"/>
              </w:rPr>
              <w:t>U2022</w:t>
            </w:r>
          </w:p>
        </w:tc>
        <w:tc>
          <w:tcPr>
            <w:tcW w:w="1166" w:type="dxa"/>
            <w:tcBorders>
              <w:top w:val="nil"/>
              <w:left w:val="nil"/>
              <w:bottom w:val="nil"/>
              <w:right w:val="nil"/>
            </w:tcBorders>
            <w:shd w:val="clear" w:color="000000" w:fill="B6D5E4"/>
            <w:noWrap/>
            <w:vAlign w:val="center"/>
            <w:hideMark/>
          </w:tcPr>
          <w:p w14:paraId="516483FA" w14:textId="77777777" w:rsidR="00AA4AFE" w:rsidRPr="001D0DD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D0DDE">
              <w:rPr>
                <w:rFonts w:ascii="Open Sans Semibold" w:eastAsia="Times New Roman" w:hAnsi="Open Sans Semibold" w:cs="Open Sans Semibold"/>
                <w:color w:val="000000"/>
                <w:sz w:val="16"/>
                <w:szCs w:val="16"/>
                <w:lang w:eastAsia="en-AU"/>
              </w:rPr>
              <w:t>U2023</w:t>
            </w:r>
          </w:p>
        </w:tc>
        <w:tc>
          <w:tcPr>
            <w:tcW w:w="1165" w:type="dxa"/>
            <w:tcBorders>
              <w:top w:val="nil"/>
              <w:left w:val="nil"/>
              <w:bottom w:val="nil"/>
              <w:right w:val="nil"/>
            </w:tcBorders>
            <w:shd w:val="clear" w:color="000000" w:fill="B6D5E4"/>
            <w:noWrap/>
            <w:vAlign w:val="center"/>
            <w:hideMark/>
          </w:tcPr>
          <w:p w14:paraId="182800D7" w14:textId="77777777" w:rsidR="00AA4AFE" w:rsidRPr="001D0DD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D0DDE">
              <w:rPr>
                <w:rFonts w:ascii="Open Sans Semibold" w:eastAsia="Times New Roman" w:hAnsi="Open Sans Semibold" w:cs="Open Sans Semibold"/>
                <w:color w:val="000000"/>
                <w:sz w:val="16"/>
                <w:szCs w:val="16"/>
                <w:lang w:eastAsia="en-AU"/>
              </w:rPr>
              <w:t>U2024</w:t>
            </w:r>
          </w:p>
        </w:tc>
        <w:tc>
          <w:tcPr>
            <w:tcW w:w="1165" w:type="dxa"/>
            <w:tcBorders>
              <w:top w:val="nil"/>
              <w:left w:val="nil"/>
              <w:bottom w:val="nil"/>
              <w:right w:val="nil"/>
            </w:tcBorders>
            <w:shd w:val="clear" w:color="000000" w:fill="B6D5E4"/>
            <w:noWrap/>
            <w:vAlign w:val="center"/>
            <w:hideMark/>
          </w:tcPr>
          <w:p w14:paraId="51B4E49D" w14:textId="77777777" w:rsidR="00AA4AFE" w:rsidRPr="001D0DD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D0DDE">
              <w:rPr>
                <w:rFonts w:ascii="Open Sans Semibold" w:eastAsia="Times New Roman" w:hAnsi="Open Sans Semibold" w:cs="Open Sans Semibold"/>
                <w:color w:val="000000"/>
                <w:sz w:val="16"/>
                <w:szCs w:val="16"/>
                <w:lang w:eastAsia="en-AU"/>
              </w:rPr>
              <w:t>U2022</w:t>
            </w:r>
          </w:p>
        </w:tc>
        <w:tc>
          <w:tcPr>
            <w:tcW w:w="1165" w:type="dxa"/>
            <w:tcBorders>
              <w:top w:val="nil"/>
              <w:left w:val="nil"/>
              <w:bottom w:val="nil"/>
              <w:right w:val="nil"/>
            </w:tcBorders>
            <w:shd w:val="clear" w:color="000000" w:fill="B6D5E4"/>
            <w:noWrap/>
            <w:vAlign w:val="center"/>
            <w:hideMark/>
          </w:tcPr>
          <w:p w14:paraId="23B330D5" w14:textId="77777777" w:rsidR="00AA4AFE" w:rsidRPr="001D0DD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D0DDE">
              <w:rPr>
                <w:rFonts w:ascii="Open Sans Semibold" w:eastAsia="Times New Roman" w:hAnsi="Open Sans Semibold" w:cs="Open Sans Semibold"/>
                <w:color w:val="000000"/>
                <w:sz w:val="16"/>
                <w:szCs w:val="16"/>
                <w:lang w:eastAsia="en-AU"/>
              </w:rPr>
              <w:t>U2023</w:t>
            </w:r>
          </w:p>
        </w:tc>
        <w:tc>
          <w:tcPr>
            <w:tcW w:w="1165" w:type="dxa"/>
            <w:tcBorders>
              <w:top w:val="nil"/>
              <w:left w:val="nil"/>
              <w:bottom w:val="nil"/>
              <w:right w:val="nil"/>
            </w:tcBorders>
            <w:shd w:val="clear" w:color="000000" w:fill="B6D5E4"/>
            <w:noWrap/>
            <w:vAlign w:val="center"/>
            <w:hideMark/>
          </w:tcPr>
          <w:p w14:paraId="2C650E08" w14:textId="77777777" w:rsidR="00AA4AFE" w:rsidRPr="001D0DD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1D0DDE">
              <w:rPr>
                <w:rFonts w:ascii="Open Sans Semibold" w:eastAsia="Times New Roman" w:hAnsi="Open Sans Semibold" w:cs="Open Sans Semibold"/>
                <w:color w:val="000000"/>
                <w:sz w:val="16"/>
                <w:szCs w:val="16"/>
                <w:lang w:eastAsia="en-AU"/>
              </w:rPr>
              <w:t>U2024</w:t>
            </w:r>
          </w:p>
        </w:tc>
      </w:tr>
      <w:tr w:rsidR="00AA4AFE" w:rsidRPr="00AA4AFE" w14:paraId="24EBD71B" w14:textId="77777777" w:rsidTr="001D0DDE">
        <w:trPr>
          <w:trHeight w:val="259"/>
        </w:trPr>
        <w:tc>
          <w:tcPr>
            <w:tcW w:w="1950" w:type="dxa"/>
            <w:tcBorders>
              <w:top w:val="single" w:sz="4" w:space="0" w:color="ADD6EA"/>
              <w:left w:val="nil"/>
              <w:bottom w:val="single" w:sz="4" w:space="0" w:color="ADD6EA"/>
              <w:right w:val="nil"/>
            </w:tcBorders>
            <w:shd w:val="clear" w:color="000000" w:fill="D6E7F0"/>
            <w:vAlign w:val="bottom"/>
            <w:hideMark/>
          </w:tcPr>
          <w:p w14:paraId="6C835906" w14:textId="77777777" w:rsidR="00AA4AFE" w:rsidRPr="00AA4AFE" w:rsidRDefault="00AA4AFE" w:rsidP="00AA4AFE">
            <w:pPr>
              <w:tabs>
                <w:tab w:val="clear" w:pos="567"/>
              </w:tabs>
              <w:spacing w:before="0" w:line="240" w:lineRule="auto"/>
              <w:rPr>
                <w:rFonts w:ascii="Open Sans Semibold" w:eastAsia="Times New Roman" w:hAnsi="Open Sans Semibold" w:cs="Open Sans Semibold"/>
                <w:color w:val="000000"/>
                <w:sz w:val="16"/>
                <w:szCs w:val="16"/>
                <w:lang w:eastAsia="en-AU"/>
              </w:rPr>
            </w:pPr>
            <w:r w:rsidRPr="00AA4AFE">
              <w:rPr>
                <w:rFonts w:ascii="Open Sans Semibold" w:eastAsia="Times New Roman" w:hAnsi="Open Sans Semibold" w:cs="Open Sans Semibold"/>
                <w:color w:val="000000"/>
                <w:sz w:val="16"/>
                <w:szCs w:val="16"/>
                <w:lang w:eastAsia="en-AU"/>
              </w:rPr>
              <w:t> </w:t>
            </w:r>
          </w:p>
        </w:tc>
        <w:tc>
          <w:tcPr>
            <w:tcW w:w="1166" w:type="dxa"/>
            <w:tcBorders>
              <w:top w:val="single" w:sz="4" w:space="0" w:color="ADD6EA"/>
              <w:left w:val="nil"/>
              <w:bottom w:val="single" w:sz="4" w:space="0" w:color="ADD6EA"/>
              <w:right w:val="nil"/>
            </w:tcBorders>
            <w:shd w:val="clear" w:color="000000" w:fill="D6E7F0"/>
            <w:noWrap/>
            <w:vAlign w:val="center"/>
            <w:hideMark/>
          </w:tcPr>
          <w:p w14:paraId="05FB2BA7" w14:textId="77777777" w:rsidR="00AA4AFE" w:rsidRPr="00AA4AF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A4AFE">
              <w:rPr>
                <w:rFonts w:ascii="Open Sans Semibold" w:eastAsia="Times New Roman" w:hAnsi="Open Sans Semibold" w:cs="Open Sans Semibold"/>
                <w:color w:val="000000"/>
                <w:sz w:val="16"/>
                <w:szCs w:val="16"/>
                <w:lang w:eastAsia="en-AU"/>
              </w:rPr>
              <w:t>$pc</w:t>
            </w:r>
          </w:p>
        </w:tc>
        <w:tc>
          <w:tcPr>
            <w:tcW w:w="1166" w:type="dxa"/>
            <w:tcBorders>
              <w:top w:val="single" w:sz="4" w:space="0" w:color="ADD6EA"/>
              <w:left w:val="nil"/>
              <w:bottom w:val="single" w:sz="4" w:space="0" w:color="ADD6EA"/>
              <w:right w:val="nil"/>
            </w:tcBorders>
            <w:shd w:val="clear" w:color="000000" w:fill="D6E7F0"/>
            <w:noWrap/>
            <w:vAlign w:val="center"/>
            <w:hideMark/>
          </w:tcPr>
          <w:p w14:paraId="0FC64B83" w14:textId="77777777" w:rsidR="00AA4AFE" w:rsidRPr="00AA4AF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A4AFE">
              <w:rPr>
                <w:rFonts w:ascii="Open Sans Semibold" w:eastAsia="Times New Roman" w:hAnsi="Open Sans Semibold" w:cs="Open Sans Semibold"/>
                <w:color w:val="000000"/>
                <w:sz w:val="16"/>
                <w:szCs w:val="16"/>
                <w:lang w:eastAsia="en-AU"/>
              </w:rPr>
              <w:t>$pc</w:t>
            </w:r>
          </w:p>
        </w:tc>
        <w:tc>
          <w:tcPr>
            <w:tcW w:w="1165" w:type="dxa"/>
            <w:tcBorders>
              <w:top w:val="single" w:sz="4" w:space="0" w:color="ADD6EA"/>
              <w:left w:val="nil"/>
              <w:bottom w:val="single" w:sz="4" w:space="0" w:color="ADD6EA"/>
              <w:right w:val="nil"/>
            </w:tcBorders>
            <w:shd w:val="clear" w:color="000000" w:fill="D6E7F0"/>
            <w:noWrap/>
            <w:vAlign w:val="center"/>
            <w:hideMark/>
          </w:tcPr>
          <w:p w14:paraId="454B89A7" w14:textId="77777777" w:rsidR="00AA4AFE" w:rsidRPr="00AA4AF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A4AFE">
              <w:rPr>
                <w:rFonts w:ascii="Open Sans Semibold" w:eastAsia="Times New Roman" w:hAnsi="Open Sans Semibold" w:cs="Open Sans Semibold"/>
                <w:color w:val="000000"/>
                <w:sz w:val="16"/>
                <w:szCs w:val="16"/>
                <w:lang w:eastAsia="en-AU"/>
              </w:rPr>
              <w:t>$pc</w:t>
            </w:r>
          </w:p>
        </w:tc>
        <w:tc>
          <w:tcPr>
            <w:tcW w:w="1165" w:type="dxa"/>
            <w:tcBorders>
              <w:top w:val="single" w:sz="4" w:space="0" w:color="ADD6EA"/>
              <w:left w:val="nil"/>
              <w:bottom w:val="single" w:sz="4" w:space="0" w:color="ADD6EA"/>
              <w:right w:val="nil"/>
            </w:tcBorders>
            <w:shd w:val="clear" w:color="000000" w:fill="D6E7F0"/>
            <w:noWrap/>
            <w:vAlign w:val="center"/>
            <w:hideMark/>
          </w:tcPr>
          <w:p w14:paraId="7DEC93D2" w14:textId="77777777" w:rsidR="00AA4AFE" w:rsidRPr="00AA4AF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A4AFE">
              <w:rPr>
                <w:rFonts w:ascii="Open Sans Semibold" w:eastAsia="Times New Roman" w:hAnsi="Open Sans Semibold" w:cs="Open Sans Semibold"/>
                <w:color w:val="000000"/>
                <w:sz w:val="16"/>
                <w:szCs w:val="16"/>
                <w:lang w:eastAsia="en-AU"/>
              </w:rPr>
              <w:t>$pc</w:t>
            </w:r>
          </w:p>
        </w:tc>
        <w:tc>
          <w:tcPr>
            <w:tcW w:w="1165" w:type="dxa"/>
            <w:tcBorders>
              <w:top w:val="single" w:sz="4" w:space="0" w:color="ADD6EA"/>
              <w:left w:val="nil"/>
              <w:bottom w:val="single" w:sz="4" w:space="0" w:color="ADD6EA"/>
              <w:right w:val="nil"/>
            </w:tcBorders>
            <w:shd w:val="clear" w:color="000000" w:fill="D6E7F0"/>
            <w:noWrap/>
            <w:vAlign w:val="center"/>
            <w:hideMark/>
          </w:tcPr>
          <w:p w14:paraId="77EFDC6B" w14:textId="77777777" w:rsidR="00AA4AFE" w:rsidRPr="00AA4AF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A4AFE">
              <w:rPr>
                <w:rFonts w:ascii="Open Sans Semibold" w:eastAsia="Times New Roman" w:hAnsi="Open Sans Semibold" w:cs="Open Sans Semibold"/>
                <w:color w:val="000000"/>
                <w:sz w:val="16"/>
                <w:szCs w:val="16"/>
                <w:lang w:eastAsia="en-AU"/>
              </w:rPr>
              <w:t>$pc</w:t>
            </w:r>
          </w:p>
        </w:tc>
        <w:tc>
          <w:tcPr>
            <w:tcW w:w="1165" w:type="dxa"/>
            <w:tcBorders>
              <w:top w:val="single" w:sz="4" w:space="0" w:color="ADD6EA"/>
              <w:left w:val="nil"/>
              <w:bottom w:val="single" w:sz="4" w:space="0" w:color="ADD6EA"/>
              <w:right w:val="nil"/>
            </w:tcBorders>
            <w:shd w:val="clear" w:color="000000" w:fill="D6E7F0"/>
            <w:noWrap/>
            <w:vAlign w:val="center"/>
            <w:hideMark/>
          </w:tcPr>
          <w:p w14:paraId="47E7DBE6" w14:textId="77777777" w:rsidR="00AA4AFE" w:rsidRPr="00AA4AFE" w:rsidRDefault="00AA4AFE" w:rsidP="001D0DDE">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AA4AFE">
              <w:rPr>
                <w:rFonts w:ascii="Open Sans Semibold" w:eastAsia="Times New Roman" w:hAnsi="Open Sans Semibold" w:cs="Open Sans Semibold"/>
                <w:color w:val="000000"/>
                <w:sz w:val="16"/>
                <w:szCs w:val="16"/>
                <w:lang w:eastAsia="en-AU"/>
              </w:rPr>
              <w:t>$pc</w:t>
            </w:r>
          </w:p>
        </w:tc>
      </w:tr>
      <w:tr w:rsidR="00AA4AFE" w:rsidRPr="00AA4AFE" w14:paraId="20221D38" w14:textId="77777777" w:rsidTr="001D0DDE">
        <w:trPr>
          <w:trHeight w:val="315"/>
        </w:trPr>
        <w:tc>
          <w:tcPr>
            <w:tcW w:w="1950" w:type="dxa"/>
            <w:tcBorders>
              <w:top w:val="nil"/>
              <w:left w:val="nil"/>
              <w:bottom w:val="nil"/>
              <w:right w:val="nil"/>
            </w:tcBorders>
            <w:shd w:val="clear" w:color="auto" w:fill="auto"/>
            <w:vAlign w:val="center"/>
            <w:hideMark/>
          </w:tcPr>
          <w:p w14:paraId="06A7E467" w14:textId="77777777" w:rsidR="00AA4AFE" w:rsidRPr="00AA4AFE" w:rsidRDefault="00AA4AFE" w:rsidP="001D0DDE">
            <w:pPr>
              <w:tabs>
                <w:tab w:val="clear" w:pos="567"/>
              </w:tabs>
              <w:spacing w:before="0" w:line="240" w:lineRule="auto"/>
              <w:rPr>
                <w:rFonts w:eastAsia="Times New Roman" w:cs="Open Sans Light"/>
                <w:color w:val="000000"/>
                <w:sz w:val="16"/>
                <w:szCs w:val="16"/>
                <w:lang w:eastAsia="en-AU"/>
              </w:rPr>
            </w:pPr>
            <w:r w:rsidRPr="00AA4AFE">
              <w:rPr>
                <w:rFonts w:eastAsia="Times New Roman" w:cs="Open Sans Light"/>
                <w:color w:val="000000"/>
                <w:sz w:val="16"/>
                <w:szCs w:val="16"/>
                <w:lang w:eastAsia="en-AU"/>
              </w:rPr>
              <w:t>R2020 methods</w:t>
            </w:r>
          </w:p>
        </w:tc>
        <w:tc>
          <w:tcPr>
            <w:tcW w:w="1166" w:type="dxa"/>
            <w:tcBorders>
              <w:top w:val="nil"/>
              <w:left w:val="nil"/>
              <w:bottom w:val="nil"/>
              <w:right w:val="nil"/>
            </w:tcBorders>
            <w:shd w:val="clear" w:color="auto" w:fill="auto"/>
            <w:noWrap/>
            <w:vAlign w:val="center"/>
            <w:hideMark/>
          </w:tcPr>
          <w:p w14:paraId="71F202BB"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46</w:t>
            </w:r>
          </w:p>
        </w:tc>
        <w:tc>
          <w:tcPr>
            <w:tcW w:w="1166" w:type="dxa"/>
            <w:tcBorders>
              <w:top w:val="nil"/>
              <w:left w:val="nil"/>
              <w:bottom w:val="nil"/>
              <w:right w:val="nil"/>
            </w:tcBorders>
            <w:shd w:val="clear" w:color="auto" w:fill="auto"/>
            <w:noWrap/>
            <w:vAlign w:val="center"/>
            <w:hideMark/>
          </w:tcPr>
          <w:p w14:paraId="6C5FAC6D"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37</w:t>
            </w:r>
          </w:p>
        </w:tc>
        <w:tc>
          <w:tcPr>
            <w:tcW w:w="1165" w:type="dxa"/>
            <w:tcBorders>
              <w:top w:val="nil"/>
              <w:left w:val="nil"/>
              <w:bottom w:val="nil"/>
              <w:right w:val="nil"/>
            </w:tcBorders>
            <w:shd w:val="clear" w:color="auto" w:fill="auto"/>
            <w:noWrap/>
            <w:vAlign w:val="center"/>
            <w:hideMark/>
          </w:tcPr>
          <w:p w14:paraId="2D66D267"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57</w:t>
            </w:r>
          </w:p>
        </w:tc>
        <w:tc>
          <w:tcPr>
            <w:tcW w:w="1165" w:type="dxa"/>
            <w:tcBorders>
              <w:top w:val="nil"/>
              <w:left w:val="nil"/>
              <w:bottom w:val="nil"/>
              <w:right w:val="nil"/>
            </w:tcBorders>
            <w:shd w:val="clear" w:color="auto" w:fill="auto"/>
            <w:noWrap/>
            <w:vAlign w:val="center"/>
            <w:hideMark/>
          </w:tcPr>
          <w:p w14:paraId="5CA2762F"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112</w:t>
            </w:r>
          </w:p>
        </w:tc>
        <w:tc>
          <w:tcPr>
            <w:tcW w:w="1165" w:type="dxa"/>
            <w:tcBorders>
              <w:top w:val="nil"/>
              <w:left w:val="nil"/>
              <w:bottom w:val="nil"/>
              <w:right w:val="nil"/>
            </w:tcBorders>
            <w:shd w:val="clear" w:color="auto" w:fill="auto"/>
            <w:noWrap/>
            <w:vAlign w:val="center"/>
            <w:hideMark/>
          </w:tcPr>
          <w:p w14:paraId="5F9CCED3"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109</w:t>
            </w:r>
          </w:p>
        </w:tc>
        <w:tc>
          <w:tcPr>
            <w:tcW w:w="1165" w:type="dxa"/>
            <w:tcBorders>
              <w:top w:val="nil"/>
              <w:left w:val="nil"/>
              <w:bottom w:val="nil"/>
              <w:right w:val="nil"/>
            </w:tcBorders>
            <w:shd w:val="clear" w:color="auto" w:fill="auto"/>
            <w:noWrap/>
            <w:vAlign w:val="center"/>
            <w:hideMark/>
          </w:tcPr>
          <w:p w14:paraId="1DB7681F"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184</w:t>
            </w:r>
          </w:p>
        </w:tc>
      </w:tr>
      <w:tr w:rsidR="00AA4AFE" w:rsidRPr="00AA4AFE" w14:paraId="3AC7A2CA" w14:textId="77777777" w:rsidTr="001D0DDE">
        <w:trPr>
          <w:trHeight w:val="315"/>
        </w:trPr>
        <w:tc>
          <w:tcPr>
            <w:tcW w:w="1950" w:type="dxa"/>
            <w:tcBorders>
              <w:top w:val="single" w:sz="4" w:space="0" w:color="ADD6EA"/>
              <w:left w:val="nil"/>
              <w:bottom w:val="nil"/>
              <w:right w:val="nil"/>
            </w:tcBorders>
            <w:shd w:val="clear" w:color="auto" w:fill="auto"/>
            <w:vAlign w:val="center"/>
            <w:hideMark/>
          </w:tcPr>
          <w:p w14:paraId="57C7AA69" w14:textId="77777777" w:rsidR="00AA4AFE" w:rsidRPr="00AA4AFE" w:rsidRDefault="00AA4AFE" w:rsidP="001D0DDE">
            <w:pPr>
              <w:tabs>
                <w:tab w:val="clear" w:pos="567"/>
              </w:tabs>
              <w:spacing w:before="0" w:line="240" w:lineRule="auto"/>
              <w:rPr>
                <w:rFonts w:eastAsia="Times New Roman" w:cs="Open Sans Light"/>
                <w:color w:val="000000"/>
                <w:sz w:val="16"/>
                <w:szCs w:val="16"/>
                <w:lang w:eastAsia="en-AU"/>
              </w:rPr>
            </w:pPr>
            <w:r w:rsidRPr="00AA4AFE">
              <w:rPr>
                <w:rFonts w:eastAsia="Times New Roman" w:cs="Open Sans Light"/>
                <w:color w:val="000000"/>
                <w:sz w:val="16"/>
                <w:szCs w:val="16"/>
                <w:lang w:eastAsia="en-AU"/>
              </w:rPr>
              <w:t>Pooled model</w:t>
            </w:r>
          </w:p>
        </w:tc>
        <w:tc>
          <w:tcPr>
            <w:tcW w:w="1166" w:type="dxa"/>
            <w:tcBorders>
              <w:top w:val="single" w:sz="4" w:space="0" w:color="ADD6EA"/>
              <w:left w:val="nil"/>
              <w:bottom w:val="nil"/>
              <w:right w:val="nil"/>
            </w:tcBorders>
            <w:shd w:val="clear" w:color="auto" w:fill="auto"/>
            <w:noWrap/>
            <w:vAlign w:val="center"/>
            <w:hideMark/>
          </w:tcPr>
          <w:p w14:paraId="21E15969"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34</w:t>
            </w:r>
          </w:p>
        </w:tc>
        <w:tc>
          <w:tcPr>
            <w:tcW w:w="1166" w:type="dxa"/>
            <w:tcBorders>
              <w:top w:val="single" w:sz="4" w:space="0" w:color="ADD6EA"/>
              <w:left w:val="nil"/>
              <w:bottom w:val="nil"/>
              <w:right w:val="nil"/>
            </w:tcBorders>
            <w:shd w:val="clear" w:color="auto" w:fill="auto"/>
            <w:noWrap/>
            <w:vAlign w:val="center"/>
            <w:hideMark/>
          </w:tcPr>
          <w:p w14:paraId="5D2FCDC3"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30</w:t>
            </w:r>
          </w:p>
        </w:tc>
        <w:tc>
          <w:tcPr>
            <w:tcW w:w="1165" w:type="dxa"/>
            <w:tcBorders>
              <w:top w:val="single" w:sz="4" w:space="0" w:color="ADD6EA"/>
              <w:left w:val="nil"/>
              <w:bottom w:val="nil"/>
              <w:right w:val="nil"/>
            </w:tcBorders>
            <w:shd w:val="clear" w:color="auto" w:fill="auto"/>
            <w:noWrap/>
            <w:vAlign w:val="center"/>
            <w:hideMark/>
          </w:tcPr>
          <w:p w14:paraId="0DF589A9"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39</w:t>
            </w:r>
          </w:p>
        </w:tc>
        <w:tc>
          <w:tcPr>
            <w:tcW w:w="1165" w:type="dxa"/>
            <w:tcBorders>
              <w:top w:val="single" w:sz="4" w:space="0" w:color="ADD6EA"/>
              <w:left w:val="nil"/>
              <w:bottom w:val="nil"/>
              <w:right w:val="nil"/>
            </w:tcBorders>
            <w:shd w:val="clear" w:color="auto" w:fill="auto"/>
            <w:noWrap/>
            <w:vAlign w:val="center"/>
            <w:hideMark/>
          </w:tcPr>
          <w:p w14:paraId="1FAEC760"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129</w:t>
            </w:r>
          </w:p>
        </w:tc>
        <w:tc>
          <w:tcPr>
            <w:tcW w:w="1165" w:type="dxa"/>
            <w:tcBorders>
              <w:top w:val="single" w:sz="4" w:space="0" w:color="ADD6EA"/>
              <w:left w:val="nil"/>
              <w:bottom w:val="nil"/>
              <w:right w:val="nil"/>
            </w:tcBorders>
            <w:shd w:val="clear" w:color="auto" w:fill="auto"/>
            <w:noWrap/>
            <w:vAlign w:val="center"/>
            <w:hideMark/>
          </w:tcPr>
          <w:p w14:paraId="0F238372"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70</w:t>
            </w:r>
          </w:p>
        </w:tc>
        <w:tc>
          <w:tcPr>
            <w:tcW w:w="1165" w:type="dxa"/>
            <w:tcBorders>
              <w:top w:val="single" w:sz="4" w:space="0" w:color="ADD6EA"/>
              <w:left w:val="nil"/>
              <w:bottom w:val="nil"/>
              <w:right w:val="nil"/>
            </w:tcBorders>
            <w:shd w:val="clear" w:color="auto" w:fill="auto"/>
            <w:noWrap/>
            <w:vAlign w:val="center"/>
            <w:hideMark/>
          </w:tcPr>
          <w:p w14:paraId="60767086"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68</w:t>
            </w:r>
          </w:p>
        </w:tc>
      </w:tr>
      <w:tr w:rsidR="00AA4AFE" w:rsidRPr="00AA4AFE" w14:paraId="65885970" w14:textId="77777777" w:rsidTr="001D0DDE">
        <w:trPr>
          <w:trHeight w:val="315"/>
        </w:trPr>
        <w:tc>
          <w:tcPr>
            <w:tcW w:w="1950" w:type="dxa"/>
            <w:tcBorders>
              <w:top w:val="single" w:sz="4" w:space="0" w:color="ADD6EA"/>
              <w:left w:val="nil"/>
              <w:bottom w:val="single" w:sz="4" w:space="0" w:color="ADD6EA"/>
              <w:right w:val="nil"/>
            </w:tcBorders>
            <w:shd w:val="clear" w:color="auto" w:fill="auto"/>
            <w:vAlign w:val="center"/>
            <w:hideMark/>
          </w:tcPr>
          <w:p w14:paraId="17BCFE9F" w14:textId="77777777" w:rsidR="00AA4AFE" w:rsidRPr="00AA4AFE" w:rsidRDefault="00AA4AFE" w:rsidP="001D0DDE">
            <w:pPr>
              <w:tabs>
                <w:tab w:val="clear" w:pos="567"/>
              </w:tabs>
              <w:spacing w:before="0" w:line="240" w:lineRule="auto"/>
              <w:rPr>
                <w:rFonts w:eastAsia="Times New Roman" w:cs="Open Sans Light"/>
                <w:color w:val="000000"/>
                <w:sz w:val="16"/>
                <w:szCs w:val="16"/>
                <w:lang w:eastAsia="en-AU"/>
              </w:rPr>
            </w:pPr>
            <w:r w:rsidRPr="00AA4AFE">
              <w:rPr>
                <w:rFonts w:eastAsia="Times New Roman" w:cs="Open Sans Light"/>
                <w:color w:val="000000"/>
                <w:sz w:val="16"/>
                <w:szCs w:val="16"/>
                <w:lang w:eastAsia="en-AU"/>
              </w:rPr>
              <w:t>Weighted averages</w:t>
            </w:r>
          </w:p>
        </w:tc>
        <w:tc>
          <w:tcPr>
            <w:tcW w:w="1166" w:type="dxa"/>
            <w:tcBorders>
              <w:top w:val="single" w:sz="4" w:space="0" w:color="ADD6EA"/>
              <w:left w:val="nil"/>
              <w:bottom w:val="single" w:sz="4" w:space="0" w:color="ADD6EA"/>
              <w:right w:val="nil"/>
            </w:tcBorders>
            <w:shd w:val="clear" w:color="auto" w:fill="auto"/>
            <w:noWrap/>
            <w:vAlign w:val="center"/>
            <w:hideMark/>
          </w:tcPr>
          <w:p w14:paraId="4880C811"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21</w:t>
            </w:r>
          </w:p>
        </w:tc>
        <w:tc>
          <w:tcPr>
            <w:tcW w:w="1166" w:type="dxa"/>
            <w:tcBorders>
              <w:top w:val="single" w:sz="4" w:space="0" w:color="ADD6EA"/>
              <w:left w:val="nil"/>
              <w:bottom w:val="single" w:sz="4" w:space="0" w:color="ADD6EA"/>
              <w:right w:val="nil"/>
            </w:tcBorders>
            <w:shd w:val="clear" w:color="auto" w:fill="auto"/>
            <w:noWrap/>
            <w:vAlign w:val="center"/>
            <w:hideMark/>
          </w:tcPr>
          <w:p w14:paraId="0F8817C2"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9</w:t>
            </w:r>
          </w:p>
        </w:tc>
        <w:tc>
          <w:tcPr>
            <w:tcW w:w="1165" w:type="dxa"/>
            <w:tcBorders>
              <w:top w:val="single" w:sz="4" w:space="0" w:color="ADD6EA"/>
              <w:left w:val="nil"/>
              <w:bottom w:val="single" w:sz="4" w:space="0" w:color="ADD6EA"/>
              <w:right w:val="nil"/>
            </w:tcBorders>
            <w:shd w:val="clear" w:color="auto" w:fill="auto"/>
            <w:noWrap/>
            <w:vAlign w:val="center"/>
            <w:hideMark/>
          </w:tcPr>
          <w:p w14:paraId="7304304F"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13</w:t>
            </w:r>
          </w:p>
        </w:tc>
        <w:tc>
          <w:tcPr>
            <w:tcW w:w="1165" w:type="dxa"/>
            <w:tcBorders>
              <w:top w:val="single" w:sz="4" w:space="0" w:color="ADD6EA"/>
              <w:left w:val="nil"/>
              <w:bottom w:val="single" w:sz="4" w:space="0" w:color="ADD6EA"/>
              <w:right w:val="nil"/>
            </w:tcBorders>
            <w:shd w:val="clear" w:color="auto" w:fill="auto"/>
            <w:noWrap/>
            <w:vAlign w:val="center"/>
            <w:hideMark/>
          </w:tcPr>
          <w:p w14:paraId="02BE47CE"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105</w:t>
            </w:r>
          </w:p>
        </w:tc>
        <w:tc>
          <w:tcPr>
            <w:tcW w:w="1165" w:type="dxa"/>
            <w:tcBorders>
              <w:top w:val="single" w:sz="4" w:space="0" w:color="ADD6EA"/>
              <w:left w:val="nil"/>
              <w:bottom w:val="single" w:sz="4" w:space="0" w:color="ADD6EA"/>
              <w:right w:val="nil"/>
            </w:tcBorders>
            <w:shd w:val="clear" w:color="auto" w:fill="auto"/>
            <w:noWrap/>
            <w:vAlign w:val="center"/>
            <w:hideMark/>
          </w:tcPr>
          <w:p w14:paraId="58D55C1D"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24</w:t>
            </w:r>
          </w:p>
        </w:tc>
        <w:tc>
          <w:tcPr>
            <w:tcW w:w="1165" w:type="dxa"/>
            <w:tcBorders>
              <w:top w:val="single" w:sz="4" w:space="0" w:color="ADD6EA"/>
              <w:left w:val="nil"/>
              <w:bottom w:val="single" w:sz="4" w:space="0" w:color="ADD6EA"/>
              <w:right w:val="nil"/>
            </w:tcBorders>
            <w:shd w:val="clear" w:color="auto" w:fill="auto"/>
            <w:noWrap/>
            <w:vAlign w:val="center"/>
            <w:hideMark/>
          </w:tcPr>
          <w:p w14:paraId="0C3B99CF" w14:textId="77777777" w:rsidR="00AA4AFE" w:rsidRPr="00AA4AFE" w:rsidRDefault="00AA4AFE" w:rsidP="001D0DDE">
            <w:pPr>
              <w:tabs>
                <w:tab w:val="clear" w:pos="567"/>
              </w:tabs>
              <w:spacing w:before="0" w:line="240" w:lineRule="auto"/>
              <w:jc w:val="right"/>
              <w:rPr>
                <w:rFonts w:eastAsia="Times New Roman" w:cs="Open Sans Light"/>
                <w:color w:val="000000"/>
                <w:sz w:val="16"/>
                <w:szCs w:val="16"/>
                <w:lang w:eastAsia="en-AU"/>
              </w:rPr>
            </w:pPr>
            <w:r w:rsidRPr="00AA4AFE">
              <w:rPr>
                <w:rFonts w:eastAsia="Times New Roman" w:cs="Open Sans Light"/>
                <w:color w:val="000000"/>
                <w:sz w:val="16"/>
                <w:szCs w:val="16"/>
                <w:lang w:eastAsia="en-AU"/>
              </w:rPr>
              <w:t>23</w:t>
            </w:r>
          </w:p>
        </w:tc>
      </w:tr>
    </w:tbl>
    <w:p w14:paraId="321E3FC5" w14:textId="1FDAC2B6" w:rsidR="005F0143" w:rsidRPr="00E44BF5" w:rsidRDefault="005F0143" w:rsidP="005F0143">
      <w:pPr>
        <w:pStyle w:val="CGC2025TableNote"/>
      </w:pPr>
      <w:r w:rsidRPr="00E44BF5">
        <w:t xml:space="preserve">Note: </w:t>
      </w:r>
      <w:r w:rsidR="0011236A">
        <w:tab/>
      </w:r>
      <w:r w:rsidR="0011236A">
        <w:tab/>
      </w:r>
      <w:r w:rsidRPr="00E44BF5">
        <w:t>These changes include minor revision effects due to ABS sample reweighting.</w:t>
      </w:r>
    </w:p>
    <w:p w14:paraId="4D814660" w14:textId="77777777" w:rsidR="005F0143" w:rsidRPr="00E44BF5" w:rsidRDefault="005F0143" w:rsidP="005F0143">
      <w:pPr>
        <w:pStyle w:val="CGC2025TableNote"/>
      </w:pPr>
      <w:r w:rsidRPr="00E44BF5">
        <w:t>Source: Commission calculation.</w:t>
      </w:r>
    </w:p>
    <w:p w14:paraId="7375BA99" w14:textId="77777777" w:rsidR="005F0143" w:rsidRPr="00E44BF5" w:rsidRDefault="005F0143" w:rsidP="005F0143">
      <w:pPr>
        <w:pStyle w:val="CGC2025ParaNumbers"/>
      </w:pPr>
      <w:r w:rsidRPr="00E44BF5">
        <w:t xml:space="preserve">Regarding Tasmania’s view that the proposed method compromises contemporaneity, the Commission recognises that estimates become less influenced by newer years of data. However, insofar as wage movements are reflected in the ABS’s Wage Price Index, all indexed estimates for a single year are reflective of the relative wage levels for that year. </w:t>
      </w:r>
    </w:p>
    <w:p w14:paraId="068464BD" w14:textId="77777777" w:rsidR="005F0143" w:rsidRPr="00E44BF5" w:rsidRDefault="005F0143" w:rsidP="005F0143">
      <w:pPr>
        <w:pStyle w:val="CGC2025ParaNumbers"/>
      </w:pPr>
      <w:r w:rsidRPr="00E44BF5">
        <w:t xml:space="preserve">Queensland raised concerns that the proposed approach would reduce statistical </w:t>
      </w:r>
      <w:r w:rsidRPr="00E44BF5" w:rsidDel="006D0F83">
        <w:t>power</w:t>
      </w:r>
      <w:r w:rsidRPr="00E44BF5">
        <w:t xml:space="preserve"> and be somewhat arbitrary. The Commission notes that the proposed approach applied to only 3 years, and without indexation, would produce identical results to the pooled approach. However, using additional years increases the statistical power, and indexation ensures they are contemporaneous. </w:t>
      </w:r>
    </w:p>
    <w:p w14:paraId="20196288" w14:textId="5A34627F" w:rsidR="005F0143" w:rsidRPr="00E44BF5" w:rsidRDefault="005F0143" w:rsidP="005F0143">
      <w:pPr>
        <w:pStyle w:val="CGC2025ParaNumbers"/>
      </w:pPr>
      <w:r w:rsidRPr="00E44BF5">
        <w:t xml:space="preserve">The Commission recognises that the method proposed in the consultation paper would introduce revision effects as each new year of data is used to recalibrate estimates from previous years. To address these concerns about revision effects the Commission agrees with New South Wales and the Northern Territory and will not incorporate newer years of data into previous estimates, avoiding revision effects as new years of data become available. </w:t>
      </w:r>
    </w:p>
    <w:p w14:paraId="08E5B3E8" w14:textId="77777777" w:rsidR="005F0143" w:rsidRPr="00E44BF5" w:rsidRDefault="005F0143" w:rsidP="005F0143">
      <w:pPr>
        <w:pStyle w:val="Heading4"/>
      </w:pPr>
      <w:r w:rsidRPr="00E44BF5">
        <w:t>Commission draft position</w:t>
      </w:r>
    </w:p>
    <w:p w14:paraId="6F337D1B" w14:textId="77777777" w:rsidR="005F0143" w:rsidRPr="00E44BF5" w:rsidRDefault="005F0143" w:rsidP="005F0143">
      <w:pPr>
        <w:pStyle w:val="CGC2025ParaNumbers"/>
      </w:pPr>
      <w:r w:rsidRPr="00E44BF5">
        <w:t>The Commission proposes to smooth data over time using the proposed method, but not to incorporate newer years of data into earlier estimates to avoid revision effects.</w:t>
      </w:r>
    </w:p>
    <w:p w14:paraId="25536CFF" w14:textId="77777777" w:rsidR="005F0143" w:rsidRPr="00E44BF5" w:rsidRDefault="005F0143" w:rsidP="005F0143">
      <w:pPr>
        <w:pStyle w:val="Heading3"/>
      </w:pPr>
      <w:r w:rsidRPr="00E44BF5">
        <w:t>Q10. Do states agree that a 12.5% discount remains appropriate?</w:t>
      </w:r>
    </w:p>
    <w:p w14:paraId="0C89339A" w14:textId="77777777" w:rsidR="005F0143" w:rsidRPr="00E44BF5" w:rsidRDefault="005F0143" w:rsidP="005F0143">
      <w:pPr>
        <w:pStyle w:val="Heading4"/>
      </w:pPr>
      <w:r w:rsidRPr="00E44BF5">
        <w:t>State views</w:t>
      </w:r>
    </w:p>
    <w:p w14:paraId="068D60EF" w14:textId="430573BB" w:rsidR="005F0143" w:rsidRPr="00E44BF5" w:rsidRDefault="005F0143" w:rsidP="005F0143">
      <w:pPr>
        <w:pStyle w:val="CGC2025ParaNumbers"/>
      </w:pPr>
      <w:r w:rsidRPr="00E44BF5">
        <w:t>State views on the appropriate level of discounting were mixed. Victoria agreed that a 12.5% discount remains appropriate, and Queensland agreed that at least a 12.5%</w:t>
      </w:r>
      <w:r w:rsidR="00296D9D">
        <w:t> </w:t>
      </w:r>
      <w:r w:rsidRPr="00E44BF5">
        <w:t>discount is appropriate. New South Wales, Western Australia, the ACT and the Northern Territory said</w:t>
      </w:r>
      <w:r w:rsidRPr="00E44BF5" w:rsidDel="00585E1D">
        <w:t xml:space="preserve"> </w:t>
      </w:r>
      <w:r w:rsidRPr="00E44BF5">
        <w:t>no discount is required. South Australia and Tasmania said a 25% discount is appropriate.</w:t>
      </w:r>
    </w:p>
    <w:p w14:paraId="78CC56F6" w14:textId="77777777" w:rsidR="005F0143" w:rsidRPr="00E44BF5" w:rsidRDefault="005F0143" w:rsidP="005F0143">
      <w:pPr>
        <w:pStyle w:val="CGC2025ParaNumbers"/>
      </w:pPr>
      <w:r w:rsidRPr="00E44BF5">
        <w:t xml:space="preserve">In the wage costs assessment, the 12.5% discount is due to uncertainty from the model, rather than correcting a systematic bias of state coefficients away from zero. New South Wales said that given no evidence of systematic bias, the reliability of the Characteristics of Employment survey, the extent of econometric controls, and the strength of the private sector proxy, </w:t>
      </w:r>
      <w:r w:rsidRPr="00E44BF5" w:rsidDel="004425B0">
        <w:t xml:space="preserve">a </w:t>
      </w:r>
      <w:r w:rsidRPr="00E44BF5">
        <w:t>discount is not warranted.</w:t>
      </w:r>
    </w:p>
    <w:p w14:paraId="523106AA" w14:textId="77777777" w:rsidR="005F0143" w:rsidRPr="00E44BF5" w:rsidRDefault="005F0143" w:rsidP="005F0143">
      <w:pPr>
        <w:pStyle w:val="CGC2025ParaNumbers"/>
      </w:pPr>
      <w:r w:rsidRPr="00E44BF5">
        <w:t>The Northern Territory said that the wages assessment already underestimates differences in cost pressures, which will be made worse by a discount.</w:t>
      </w:r>
    </w:p>
    <w:p w14:paraId="3DD985CB" w14:textId="77777777" w:rsidR="005F0143" w:rsidRPr="00E44BF5" w:rsidRDefault="005F0143" w:rsidP="005F0143">
      <w:pPr>
        <w:pStyle w:val="CGC2025ParaNumbers"/>
      </w:pPr>
      <w:r w:rsidRPr="00E44BF5">
        <w:t>Western Australia and the ACT said that, as the proposed changes will improve both reliability and volatility, the need for a discount on these grounds would no longer be warranted if these changes are implemented.</w:t>
      </w:r>
    </w:p>
    <w:p w14:paraId="5CEE9503" w14:textId="77777777" w:rsidR="005F0143" w:rsidRPr="00E44BF5" w:rsidRDefault="005F0143" w:rsidP="005F0143">
      <w:pPr>
        <w:pStyle w:val="CGC2025ParaNumbers"/>
      </w:pPr>
      <w:r w:rsidRPr="00E44BF5">
        <w:t xml:space="preserve">In supporting the removal of the discount, New South Wales and Western Australia drew attention to Professor Preston’s endorsement of the private sector proxy. Western Australia additionally drew attention to New South </w:t>
      </w:r>
      <w:proofErr w:type="spellStart"/>
      <w:r w:rsidRPr="00E44BF5">
        <w:t>Wales’</w:t>
      </w:r>
      <w:proofErr w:type="spellEnd"/>
      <w:r w:rsidRPr="00E44BF5">
        <w:t xml:space="preserve"> consultant Professor Morley’s review, which made no criticism of the strength of the proxy.</w:t>
      </w:r>
      <w:r w:rsidRPr="00857AFF">
        <w:rPr>
          <w:vertAlign w:val="superscript"/>
        </w:rPr>
        <w:footnoteReference w:id="12"/>
      </w:r>
    </w:p>
    <w:p w14:paraId="47D76CE1" w14:textId="77777777" w:rsidR="005F0143" w:rsidRPr="00E44BF5" w:rsidRDefault="005F0143" w:rsidP="005F0143">
      <w:pPr>
        <w:pStyle w:val="CGC2025ParaNumbers"/>
      </w:pPr>
      <w:r w:rsidRPr="00E44BF5">
        <w:t>Queensland said that due to issues with the private sector proxy, differing views between the Commission and Professor Preston in the modelling approach, and small sample sizes in the Characteristics of Employment survey, a discount of at least 12.5% remains appropriate.</w:t>
      </w:r>
    </w:p>
    <w:p w14:paraId="2E78D6F2" w14:textId="77777777" w:rsidR="005F0143" w:rsidRPr="00E44BF5" w:rsidRDefault="005F0143" w:rsidP="005F0143">
      <w:pPr>
        <w:pStyle w:val="CGC2025ParaNumbers"/>
      </w:pPr>
      <w:r w:rsidRPr="00E44BF5">
        <w:t>University of Queensland consultants</w:t>
      </w:r>
      <w:r w:rsidRPr="00E44BF5" w:rsidDel="0037615E">
        <w:t xml:space="preserve"> </w:t>
      </w:r>
      <w:r w:rsidRPr="00E44BF5">
        <w:t>conducted econometric analysis, selecting the largest discount that would not significantly bias state coefficients towards zero in each year. This demonstrated that a discount of 12.5% does not introduce measurable bias.</w:t>
      </w:r>
    </w:p>
    <w:p w14:paraId="6CDAC845" w14:textId="77777777" w:rsidR="005F0143" w:rsidRPr="00E44BF5" w:rsidRDefault="005F0143" w:rsidP="005F0143">
      <w:pPr>
        <w:pStyle w:val="CGC2025ParaNumbers"/>
      </w:pPr>
      <w:r w:rsidRPr="00E44BF5">
        <w:t>South Australia said that, due to compositional differences between the public and private sectors, differences in outcomes between the sectors and possible differences in remote working between the sectors, the weakness of the conceptual case for the private sector proxy warrants a discount of 25%.</w:t>
      </w:r>
    </w:p>
    <w:p w14:paraId="2041EE6A" w14:textId="7C574B15" w:rsidR="005F0143" w:rsidRPr="00E44BF5" w:rsidRDefault="005F0143" w:rsidP="005F0143">
      <w:pPr>
        <w:pStyle w:val="CGC2025ParaNumbers"/>
      </w:pPr>
      <w:r w:rsidRPr="00E44BF5">
        <w:t>Tasmania also said that due to differing private and public sector outcomes, and small sample size, a 25% discount is appropriate. In addition, Tasmania said that the modelling approach may not account for non-geographic biases and said that a 25%</w:t>
      </w:r>
      <w:r w:rsidR="00296D9D">
        <w:t> </w:t>
      </w:r>
      <w:r w:rsidRPr="00E44BF5">
        <w:t>discount is applied in the urban transport assessment for a similar level of uncertainty due to the use of a proxy and reliability of data.</w:t>
      </w:r>
    </w:p>
    <w:p w14:paraId="1C6408FD" w14:textId="77777777" w:rsidR="005F0143" w:rsidRPr="00E44BF5" w:rsidRDefault="005F0143" w:rsidP="005B1C75">
      <w:pPr>
        <w:pStyle w:val="Heading4"/>
      </w:pPr>
      <w:r w:rsidRPr="00E44BF5">
        <w:t>Commission response</w:t>
      </w:r>
    </w:p>
    <w:p w14:paraId="44B99964" w14:textId="77777777" w:rsidR="005F0143" w:rsidRPr="00E44BF5" w:rsidRDefault="005F0143" w:rsidP="005B1C75">
      <w:pPr>
        <w:pStyle w:val="CGC2025ParaNumbers"/>
      </w:pPr>
      <w:r w:rsidRPr="00E44BF5">
        <w:t xml:space="preserve">The changes proposed by the Commission are expected to improve the reliability and reduce the volatility of the wages assessment. However, uncertainty from the use of private sector proxy data, as identified in the Commission’s consultant’s report, remains. This continues to warrant some discounting. The Commission does not consider that the strength of the private-sector proxy has weakened such that the size of the discount needs to be increased. On balance, the Commission considers the existing 12.5% discount remains appropriate. </w:t>
      </w:r>
    </w:p>
    <w:p w14:paraId="1F3E761C" w14:textId="77777777" w:rsidR="005F0143" w:rsidRPr="00E44BF5" w:rsidRDefault="005F0143" w:rsidP="005B1C75">
      <w:pPr>
        <w:pStyle w:val="Heading4"/>
      </w:pPr>
      <w:r w:rsidRPr="00E44BF5">
        <w:t>Commission draft position</w:t>
      </w:r>
    </w:p>
    <w:p w14:paraId="3A45CF69" w14:textId="77777777" w:rsidR="005F0143" w:rsidRPr="00E44BF5" w:rsidRDefault="005F0143" w:rsidP="005B1C75">
      <w:pPr>
        <w:pStyle w:val="CGC2025ParaNumbers"/>
      </w:pPr>
      <w:r w:rsidRPr="00E44BF5">
        <w:t>The Commission proposes to maintain a 12.5% discount, reflecting continuing general uncertainty about measurement issues and the use of the private sector wages proxy.</w:t>
      </w:r>
    </w:p>
    <w:p w14:paraId="2332D4AD" w14:textId="77777777" w:rsidR="005F0143" w:rsidRPr="00E44BF5" w:rsidRDefault="005F0143" w:rsidP="005B1C75">
      <w:pPr>
        <w:pStyle w:val="Heading2"/>
      </w:pPr>
      <w:r w:rsidRPr="00E44BF5">
        <w:t>Other issues raised by states</w:t>
      </w:r>
    </w:p>
    <w:p w14:paraId="7015A90B" w14:textId="77777777" w:rsidR="005F0143" w:rsidRPr="00E44BF5" w:rsidRDefault="005F0143" w:rsidP="005B1C75">
      <w:pPr>
        <w:pStyle w:val="Heading3"/>
      </w:pPr>
      <w:r w:rsidRPr="00E44BF5">
        <w:t>Wage to non-wage costs</w:t>
      </w:r>
    </w:p>
    <w:p w14:paraId="0A02EDAE" w14:textId="77777777" w:rsidR="005F0143" w:rsidRPr="00E44BF5" w:rsidRDefault="005F0143" w:rsidP="005B1C75">
      <w:pPr>
        <w:pStyle w:val="CGC2025ParaNumbers"/>
      </w:pPr>
      <w:r w:rsidRPr="00E44BF5">
        <w:t>Victoria raised concerns about the calculation of the proportion of state expenses that are wage related, in particular in the housing, roads and transport assessments.</w:t>
      </w:r>
    </w:p>
    <w:p w14:paraId="2D64E83B" w14:textId="77777777" w:rsidR="005F0143" w:rsidRPr="00E44BF5" w:rsidRDefault="005F0143" w:rsidP="005B1C75">
      <w:pPr>
        <w:pStyle w:val="CGC2025ParaNumbers"/>
      </w:pPr>
      <w:r w:rsidRPr="00E44BF5">
        <w:t>The Commission classifies spending as wage, non-wage or other and calculates wages as a proportion of wage and non-wage costs and extrapolates that to all spending. Victoria said this approach results in an overstatement of the wage proportion of expenses. For example, direct grants to remote communities which subsidise the provision of electricity and water are classified as ‘other’ and hence have an assumed embedded wage cost.</w:t>
      </w:r>
    </w:p>
    <w:p w14:paraId="132DE5DF" w14:textId="77777777" w:rsidR="005F0143" w:rsidRPr="00E44BF5" w:rsidRDefault="005F0143" w:rsidP="005B1C75">
      <w:pPr>
        <w:pStyle w:val="CGC2025ParaNumbers"/>
      </w:pPr>
      <w:r w:rsidRPr="00E44BF5">
        <w:t>State recurrent spending on housing, roads and transport has a very low proportion of wages, largely reflecting the high use of contractors in these areas. Government Finance Statistics (GFS) on the wage proportion in these categories are an unreliable proxy for the overall local wage share. The Commission currently sets the wage share for these categories as equal to the average of all other categories. Victoria said that these components are more capital intensive than the average of other assessments, and as such, should have a lower-than-average wage cost proportion.</w:t>
      </w:r>
    </w:p>
    <w:p w14:paraId="62D84598" w14:textId="58AE917D" w:rsidR="005F0143" w:rsidRPr="00E44BF5" w:rsidRDefault="005F0143" w:rsidP="005B1C75">
      <w:pPr>
        <w:pStyle w:val="CGC2025ParaNumbers"/>
      </w:pPr>
      <w:r w:rsidRPr="00E44BF5">
        <w:t xml:space="preserve">Victoria pointed </w:t>
      </w:r>
      <w:r w:rsidRPr="00E44BF5" w:rsidDel="005F6723">
        <w:t xml:space="preserve">to </w:t>
      </w:r>
      <w:r w:rsidRPr="00E44BF5">
        <w:t>Bureau of Infrastructure and Transport Research Economics</w:t>
      </w:r>
      <w:r w:rsidRPr="00E44BF5" w:rsidDel="005F6723">
        <w:t xml:space="preserve"> </w:t>
      </w:r>
      <w:r w:rsidRPr="00E44BF5">
        <w:t>data, which suggest local labour costs make up 34% of spending on roads, lower than the 63% average proportion. Victoria requested the Commission remove the adjustment to GFS</w:t>
      </w:r>
      <w:r w:rsidRPr="00E44BF5" w:rsidDel="003A11A7">
        <w:t xml:space="preserve"> </w:t>
      </w:r>
      <w:r w:rsidRPr="00E44BF5">
        <w:t>data or consider alternative data sources for adjustment if GFS data are not satisfactory.</w:t>
      </w:r>
    </w:p>
    <w:p w14:paraId="1DF2D128" w14:textId="77777777" w:rsidR="005F0143" w:rsidRPr="00E44BF5" w:rsidRDefault="005F0143" w:rsidP="005B1C75">
      <w:pPr>
        <w:pStyle w:val="Heading4"/>
      </w:pPr>
      <w:r w:rsidRPr="00E44BF5">
        <w:t>Commission</w:t>
      </w:r>
      <w:r w:rsidRPr="00E44BF5" w:rsidDel="003A11A7">
        <w:t xml:space="preserve"> </w:t>
      </w:r>
      <w:r w:rsidRPr="00E44BF5">
        <w:t xml:space="preserve">response </w:t>
      </w:r>
    </w:p>
    <w:p w14:paraId="074EA574" w14:textId="77777777" w:rsidR="005F0143" w:rsidRPr="00E44BF5" w:rsidRDefault="005F0143" w:rsidP="005B1C75">
      <w:pPr>
        <w:pStyle w:val="CGC2025ParaNumbers"/>
      </w:pPr>
      <w:r w:rsidRPr="00E44BF5">
        <w:t>Expenses attributed as other expenses (neither wage nor non-wage) generally relate to direct grants that are generally for the provision of state type services. For example, a state may give a grant to a not-for-profit to provide services. The Commission considers that in this scenario, the not</w:t>
      </w:r>
      <w:r w:rsidRPr="00E44BF5">
        <w:noBreakHyphen/>
        <w:t>for</w:t>
      </w:r>
      <w:r w:rsidRPr="00E44BF5">
        <w:noBreakHyphen/>
        <w:t>profit would be expected to face the same wage to non-wage mix and pressures. While this will not be the case in all circumstances, including direct grants as non-wage costs in the calculation of proportions would understate the wage cost proportion.</w:t>
      </w:r>
    </w:p>
    <w:p w14:paraId="6F2E1646" w14:textId="77777777" w:rsidR="005F0143" w:rsidRPr="00E44BF5" w:rsidRDefault="005F0143" w:rsidP="005B1C75">
      <w:pPr>
        <w:pStyle w:val="CGC2025ParaNumbers"/>
      </w:pPr>
      <w:r w:rsidRPr="00E44BF5">
        <w:t xml:space="preserve">In housing, roads and transport, the majority of expenses in GFS data are attributed as other expenses. This generated uncertainty about the actual wage proportion of expenses in these categories. In the 2020 Review method the wage proportion of these categories was extrapolated as the average proportion of all other categories. </w:t>
      </w:r>
    </w:p>
    <w:p w14:paraId="5619720A" w14:textId="77777777" w:rsidR="005F0143" w:rsidRPr="00E44BF5" w:rsidRDefault="005F0143" w:rsidP="005B1C75">
      <w:pPr>
        <w:pStyle w:val="CGC2025ParaNumbers"/>
      </w:pPr>
      <w:r w:rsidRPr="00E44BF5">
        <w:t xml:space="preserve">The Commission has analysed ABS national account Input-Output table data. Local labour makes up less than the average proportion in housing, roads and transport. </w:t>
      </w:r>
    </w:p>
    <w:p w14:paraId="2938D827" w14:textId="77777777" w:rsidR="005F0143" w:rsidRPr="00E44BF5" w:rsidRDefault="005F0143" w:rsidP="005B1C75">
      <w:pPr>
        <w:pStyle w:val="CGC2025ParaNumbers"/>
      </w:pPr>
      <w:r w:rsidRPr="00E44BF5">
        <w:t xml:space="preserve">Instead of imputing the categories with higher levels of unattributed spending, the Commission proposes to impute unattributed spending in all categories based on the ratio of total known wage and non-wage spending, just as it does for other categories. </w:t>
      </w:r>
    </w:p>
    <w:p w14:paraId="04C926F0" w14:textId="775E5AB9" w:rsidR="005F0143" w:rsidRPr="00E44BF5" w:rsidRDefault="005F0143" w:rsidP="005B1C75">
      <w:pPr>
        <w:pStyle w:val="CGC2025ParaNumbers"/>
      </w:pPr>
      <w:r w:rsidRPr="00E44BF5">
        <w:t xml:space="preserve">The comparison of these methods can be seen in </w:t>
      </w:r>
      <w:r w:rsidR="00AE7160">
        <w:t>Table 4</w:t>
      </w:r>
      <w:r w:rsidRPr="00E44BF5">
        <w:t xml:space="preserve">. By splitting the unattributed expenses in each category by the total known wage to non-wage proportions, all categories move closer to the average. This effect is more pronounced in categories with a higher proportion of unattributed expenses. </w:t>
      </w:r>
    </w:p>
    <w:p w14:paraId="39F3451F" w14:textId="55639494" w:rsidR="00AA4AFE" w:rsidRDefault="005F0143" w:rsidP="00857AFF">
      <w:pPr>
        <w:pStyle w:val="CGC2025Caption"/>
        <w:tabs>
          <w:tab w:val="left" w:pos="1134"/>
        </w:tabs>
      </w:pPr>
      <w:bookmarkStart w:id="9" w:name="_Ref163218493"/>
      <w:r w:rsidRPr="005B1C75">
        <w:t xml:space="preserve">Table </w:t>
      </w:r>
      <w:r w:rsidR="000268BC">
        <w:fldChar w:fldCharType="begin"/>
      </w:r>
      <w:r w:rsidR="000268BC">
        <w:instrText xml:space="preserve"> SEQ Table \* ARABIC </w:instrText>
      </w:r>
      <w:r w:rsidR="000268BC">
        <w:fldChar w:fldCharType="separate"/>
      </w:r>
      <w:r w:rsidRPr="005B1C75">
        <w:t>4</w:t>
      </w:r>
      <w:r w:rsidR="000268BC">
        <w:fldChar w:fldCharType="end"/>
      </w:r>
      <w:bookmarkEnd w:id="9"/>
      <w:r w:rsidRPr="005B1C75">
        <w:tab/>
        <w:t>Wage costs by category, 2018–19 to 2021–22 averages</w:t>
      </w:r>
    </w:p>
    <w:tbl>
      <w:tblPr>
        <w:tblW w:w="8942" w:type="dxa"/>
        <w:tblLook w:val="04A0" w:firstRow="1" w:lastRow="0" w:firstColumn="1" w:lastColumn="0" w:noHBand="0" w:noVBand="1"/>
      </w:tblPr>
      <w:tblGrid>
        <w:gridCol w:w="2293"/>
        <w:gridCol w:w="757"/>
        <w:gridCol w:w="1051"/>
        <w:gridCol w:w="1288"/>
        <w:gridCol w:w="1135"/>
        <w:gridCol w:w="1135"/>
        <w:gridCol w:w="1283"/>
      </w:tblGrid>
      <w:tr w:rsidR="0062347D" w:rsidRPr="003E6EEF" w14:paraId="1D6DB4B1" w14:textId="77777777" w:rsidTr="006D4BE9">
        <w:trPr>
          <w:trHeight w:val="555"/>
        </w:trPr>
        <w:tc>
          <w:tcPr>
            <w:tcW w:w="2293" w:type="dxa"/>
            <w:tcBorders>
              <w:top w:val="nil"/>
              <w:left w:val="nil"/>
              <w:bottom w:val="nil"/>
              <w:right w:val="nil"/>
            </w:tcBorders>
            <w:shd w:val="clear" w:color="000000" w:fill="006991"/>
            <w:vAlign w:val="center"/>
            <w:hideMark/>
          </w:tcPr>
          <w:p w14:paraId="2C644B1A" w14:textId="77777777" w:rsidR="003E6EEF" w:rsidRPr="003E6EEF" w:rsidRDefault="003E6EEF" w:rsidP="003E6EEF">
            <w:pPr>
              <w:tabs>
                <w:tab w:val="clear" w:pos="567"/>
              </w:tabs>
              <w:spacing w:before="0" w:line="240" w:lineRule="auto"/>
              <w:jc w:val="right"/>
              <w:rPr>
                <w:rFonts w:ascii="Open Sans Semibold" w:eastAsia="Times New Roman" w:hAnsi="Open Sans Semibold" w:cs="Open Sans Semibold"/>
                <w:color w:val="FFFFFF"/>
                <w:sz w:val="16"/>
                <w:szCs w:val="16"/>
                <w:lang w:eastAsia="en-AU"/>
              </w:rPr>
            </w:pPr>
            <w:bookmarkStart w:id="10" w:name="RANGE!A3:G15"/>
            <w:r w:rsidRPr="003E6EEF">
              <w:rPr>
                <w:rFonts w:ascii="Open Sans Semibold" w:eastAsia="Times New Roman" w:hAnsi="Open Sans Semibold" w:cs="Open Sans Semibold"/>
                <w:color w:val="FFFFFF"/>
                <w:sz w:val="16"/>
                <w:szCs w:val="16"/>
                <w:lang w:eastAsia="en-AU"/>
              </w:rPr>
              <w:t> </w:t>
            </w:r>
            <w:bookmarkEnd w:id="10"/>
          </w:p>
        </w:tc>
        <w:tc>
          <w:tcPr>
            <w:tcW w:w="757" w:type="dxa"/>
            <w:tcBorders>
              <w:top w:val="nil"/>
              <w:left w:val="nil"/>
              <w:bottom w:val="nil"/>
              <w:right w:val="nil"/>
            </w:tcBorders>
            <w:shd w:val="clear" w:color="000000" w:fill="006991"/>
            <w:vAlign w:val="center"/>
            <w:hideMark/>
          </w:tcPr>
          <w:p w14:paraId="1EA1E2CA"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E6EEF">
              <w:rPr>
                <w:rFonts w:ascii="Open Sans Semibold" w:eastAsia="Times New Roman" w:hAnsi="Open Sans Semibold" w:cs="Open Sans Semibold"/>
                <w:color w:val="FFFFFF"/>
                <w:sz w:val="16"/>
                <w:szCs w:val="16"/>
                <w:lang w:eastAsia="en-AU"/>
              </w:rPr>
              <w:t>Wage</w:t>
            </w:r>
          </w:p>
        </w:tc>
        <w:tc>
          <w:tcPr>
            <w:tcW w:w="1051" w:type="dxa"/>
            <w:tcBorders>
              <w:top w:val="nil"/>
              <w:left w:val="nil"/>
              <w:bottom w:val="nil"/>
              <w:right w:val="nil"/>
            </w:tcBorders>
            <w:shd w:val="clear" w:color="000000" w:fill="006991"/>
            <w:vAlign w:val="center"/>
            <w:hideMark/>
          </w:tcPr>
          <w:p w14:paraId="438617A7"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E6EEF">
              <w:rPr>
                <w:rFonts w:ascii="Open Sans Semibold" w:eastAsia="Times New Roman" w:hAnsi="Open Sans Semibold" w:cs="Open Sans Semibold"/>
                <w:color w:val="FFFFFF"/>
                <w:sz w:val="16"/>
                <w:szCs w:val="16"/>
                <w:lang w:eastAsia="en-AU"/>
              </w:rPr>
              <w:t>Non-wage</w:t>
            </w:r>
          </w:p>
        </w:tc>
        <w:tc>
          <w:tcPr>
            <w:tcW w:w="1288" w:type="dxa"/>
            <w:tcBorders>
              <w:top w:val="nil"/>
              <w:left w:val="nil"/>
              <w:bottom w:val="nil"/>
              <w:right w:val="nil"/>
            </w:tcBorders>
            <w:shd w:val="clear" w:color="000000" w:fill="006991"/>
            <w:vAlign w:val="center"/>
            <w:hideMark/>
          </w:tcPr>
          <w:p w14:paraId="0A464B52"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E6EEF">
              <w:rPr>
                <w:rFonts w:ascii="Open Sans Semibold" w:eastAsia="Times New Roman" w:hAnsi="Open Sans Semibold" w:cs="Open Sans Semibold"/>
                <w:color w:val="FFFFFF"/>
                <w:sz w:val="16"/>
                <w:szCs w:val="16"/>
                <w:lang w:eastAsia="en-AU"/>
              </w:rPr>
              <w:t>Unattributed</w:t>
            </w:r>
          </w:p>
        </w:tc>
        <w:tc>
          <w:tcPr>
            <w:tcW w:w="1135" w:type="dxa"/>
            <w:tcBorders>
              <w:top w:val="nil"/>
              <w:left w:val="nil"/>
              <w:bottom w:val="nil"/>
              <w:right w:val="nil"/>
            </w:tcBorders>
            <w:shd w:val="clear" w:color="000000" w:fill="006991"/>
            <w:vAlign w:val="center"/>
            <w:hideMark/>
          </w:tcPr>
          <w:p w14:paraId="45C4409C"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E6EEF">
              <w:rPr>
                <w:rFonts w:ascii="Open Sans Semibold" w:eastAsia="Times New Roman" w:hAnsi="Open Sans Semibold" w:cs="Open Sans Semibold"/>
                <w:color w:val="FFFFFF"/>
                <w:sz w:val="16"/>
                <w:szCs w:val="16"/>
                <w:lang w:eastAsia="en-AU"/>
              </w:rPr>
              <w:t xml:space="preserve">Wage ratio </w:t>
            </w:r>
          </w:p>
        </w:tc>
        <w:tc>
          <w:tcPr>
            <w:tcW w:w="1135" w:type="dxa"/>
            <w:tcBorders>
              <w:top w:val="nil"/>
              <w:left w:val="nil"/>
              <w:bottom w:val="nil"/>
              <w:right w:val="nil"/>
            </w:tcBorders>
            <w:shd w:val="clear" w:color="000000" w:fill="006991"/>
            <w:vAlign w:val="center"/>
            <w:hideMark/>
          </w:tcPr>
          <w:p w14:paraId="14EF86E1"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E6EEF">
              <w:rPr>
                <w:rFonts w:ascii="Open Sans Semibold" w:eastAsia="Times New Roman" w:hAnsi="Open Sans Semibold" w:cs="Open Sans Semibold"/>
                <w:color w:val="FFFFFF"/>
                <w:sz w:val="16"/>
                <w:szCs w:val="16"/>
                <w:lang w:eastAsia="en-AU"/>
              </w:rPr>
              <w:t>R2020 method</w:t>
            </w:r>
          </w:p>
        </w:tc>
        <w:tc>
          <w:tcPr>
            <w:tcW w:w="1283" w:type="dxa"/>
            <w:tcBorders>
              <w:top w:val="nil"/>
              <w:left w:val="nil"/>
              <w:bottom w:val="nil"/>
              <w:right w:val="nil"/>
            </w:tcBorders>
            <w:shd w:val="clear" w:color="000000" w:fill="006991"/>
            <w:vAlign w:val="center"/>
            <w:hideMark/>
          </w:tcPr>
          <w:p w14:paraId="44160FEC"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E6EEF">
              <w:rPr>
                <w:rFonts w:ascii="Open Sans Semibold" w:eastAsia="Times New Roman" w:hAnsi="Open Sans Semibold" w:cs="Open Sans Semibold"/>
                <w:color w:val="FFFFFF"/>
                <w:sz w:val="16"/>
                <w:szCs w:val="16"/>
                <w:lang w:eastAsia="en-AU"/>
              </w:rPr>
              <w:t>Proposed method</w:t>
            </w:r>
          </w:p>
        </w:tc>
      </w:tr>
      <w:tr w:rsidR="0062347D" w:rsidRPr="003E6EEF" w14:paraId="6B074194" w14:textId="77777777" w:rsidTr="006D4BE9">
        <w:trPr>
          <w:trHeight w:val="259"/>
        </w:trPr>
        <w:tc>
          <w:tcPr>
            <w:tcW w:w="2293" w:type="dxa"/>
            <w:tcBorders>
              <w:top w:val="single" w:sz="4" w:space="0" w:color="ADD6EA"/>
              <w:left w:val="nil"/>
              <w:bottom w:val="single" w:sz="4" w:space="0" w:color="ADD6EA"/>
              <w:right w:val="nil"/>
            </w:tcBorders>
            <w:shd w:val="clear" w:color="000000" w:fill="B6D5E4"/>
            <w:vAlign w:val="bottom"/>
            <w:hideMark/>
          </w:tcPr>
          <w:p w14:paraId="14B9A99E" w14:textId="77777777" w:rsidR="003E6EEF" w:rsidRPr="003E6EEF" w:rsidRDefault="003E6EEF" w:rsidP="003E6EEF">
            <w:pPr>
              <w:tabs>
                <w:tab w:val="clear" w:pos="567"/>
              </w:tabs>
              <w:spacing w:before="0" w:line="240" w:lineRule="auto"/>
              <w:rPr>
                <w:rFonts w:ascii="Open Sans Semibold" w:eastAsia="Times New Roman" w:hAnsi="Open Sans Semibold" w:cs="Open Sans Semibold"/>
                <w:color w:val="000000"/>
                <w:sz w:val="16"/>
                <w:szCs w:val="16"/>
                <w:lang w:eastAsia="en-AU"/>
              </w:rPr>
            </w:pPr>
            <w:r w:rsidRPr="003E6EEF">
              <w:rPr>
                <w:rFonts w:ascii="Open Sans Semibold" w:eastAsia="Times New Roman" w:hAnsi="Open Sans Semibold" w:cs="Open Sans Semibold"/>
                <w:color w:val="000000"/>
                <w:sz w:val="16"/>
                <w:szCs w:val="16"/>
                <w:lang w:eastAsia="en-AU"/>
              </w:rPr>
              <w:t> </w:t>
            </w:r>
          </w:p>
        </w:tc>
        <w:tc>
          <w:tcPr>
            <w:tcW w:w="757" w:type="dxa"/>
            <w:tcBorders>
              <w:top w:val="single" w:sz="4" w:space="0" w:color="ADD6EA"/>
              <w:left w:val="nil"/>
              <w:bottom w:val="single" w:sz="4" w:space="0" w:color="ADD6EA"/>
              <w:right w:val="nil"/>
            </w:tcBorders>
            <w:shd w:val="clear" w:color="000000" w:fill="B6D5E4"/>
            <w:noWrap/>
            <w:vAlign w:val="center"/>
            <w:hideMark/>
          </w:tcPr>
          <w:p w14:paraId="31ACD888"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E6EEF">
              <w:rPr>
                <w:rFonts w:ascii="Open Sans Semibold" w:eastAsia="Times New Roman" w:hAnsi="Open Sans Semibold" w:cs="Open Sans Semibold"/>
                <w:color w:val="000000"/>
                <w:sz w:val="16"/>
                <w:szCs w:val="16"/>
                <w:lang w:eastAsia="en-AU"/>
              </w:rPr>
              <w:t>$m</w:t>
            </w:r>
          </w:p>
        </w:tc>
        <w:tc>
          <w:tcPr>
            <w:tcW w:w="1051" w:type="dxa"/>
            <w:tcBorders>
              <w:top w:val="single" w:sz="4" w:space="0" w:color="ADD6EA"/>
              <w:left w:val="nil"/>
              <w:bottom w:val="single" w:sz="4" w:space="0" w:color="ADD6EA"/>
              <w:right w:val="nil"/>
            </w:tcBorders>
            <w:shd w:val="clear" w:color="000000" w:fill="B6D5E4"/>
            <w:noWrap/>
            <w:vAlign w:val="center"/>
            <w:hideMark/>
          </w:tcPr>
          <w:p w14:paraId="4EFBB3D8"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E6EEF">
              <w:rPr>
                <w:rFonts w:ascii="Open Sans Semibold" w:eastAsia="Times New Roman" w:hAnsi="Open Sans Semibold" w:cs="Open Sans Semibold"/>
                <w:color w:val="000000"/>
                <w:sz w:val="16"/>
                <w:szCs w:val="16"/>
                <w:lang w:eastAsia="en-AU"/>
              </w:rPr>
              <w:t>$m</w:t>
            </w:r>
          </w:p>
        </w:tc>
        <w:tc>
          <w:tcPr>
            <w:tcW w:w="1288" w:type="dxa"/>
            <w:tcBorders>
              <w:top w:val="single" w:sz="4" w:space="0" w:color="ADD6EA"/>
              <w:left w:val="nil"/>
              <w:bottom w:val="single" w:sz="4" w:space="0" w:color="ADD6EA"/>
              <w:right w:val="nil"/>
            </w:tcBorders>
            <w:shd w:val="clear" w:color="000000" w:fill="B6D5E4"/>
            <w:noWrap/>
            <w:vAlign w:val="center"/>
            <w:hideMark/>
          </w:tcPr>
          <w:p w14:paraId="292F4887"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E6EEF">
              <w:rPr>
                <w:rFonts w:ascii="Open Sans Semibold" w:eastAsia="Times New Roman" w:hAnsi="Open Sans Semibold" w:cs="Open Sans Semibold"/>
                <w:color w:val="000000"/>
                <w:sz w:val="16"/>
                <w:szCs w:val="16"/>
                <w:lang w:eastAsia="en-AU"/>
              </w:rPr>
              <w:t>$m</w:t>
            </w:r>
          </w:p>
        </w:tc>
        <w:tc>
          <w:tcPr>
            <w:tcW w:w="1135" w:type="dxa"/>
            <w:tcBorders>
              <w:top w:val="single" w:sz="4" w:space="0" w:color="ADD6EA"/>
              <w:left w:val="nil"/>
              <w:bottom w:val="single" w:sz="4" w:space="0" w:color="ADD6EA"/>
              <w:right w:val="nil"/>
            </w:tcBorders>
            <w:shd w:val="clear" w:color="000000" w:fill="B6D5E4"/>
            <w:noWrap/>
            <w:vAlign w:val="center"/>
            <w:hideMark/>
          </w:tcPr>
          <w:p w14:paraId="15FE1B78"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E6EEF">
              <w:rPr>
                <w:rFonts w:ascii="Open Sans Semibold" w:eastAsia="Times New Roman" w:hAnsi="Open Sans Semibold" w:cs="Open Sans Semibold"/>
                <w:color w:val="000000"/>
                <w:sz w:val="16"/>
                <w:szCs w:val="16"/>
                <w:lang w:eastAsia="en-AU"/>
              </w:rPr>
              <w:t>%</w:t>
            </w:r>
          </w:p>
        </w:tc>
        <w:tc>
          <w:tcPr>
            <w:tcW w:w="1135" w:type="dxa"/>
            <w:tcBorders>
              <w:top w:val="single" w:sz="4" w:space="0" w:color="ADD6EA"/>
              <w:left w:val="nil"/>
              <w:bottom w:val="single" w:sz="4" w:space="0" w:color="ADD6EA"/>
              <w:right w:val="nil"/>
            </w:tcBorders>
            <w:shd w:val="clear" w:color="000000" w:fill="B6D5E4"/>
            <w:noWrap/>
            <w:vAlign w:val="center"/>
            <w:hideMark/>
          </w:tcPr>
          <w:p w14:paraId="50707574"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E6EEF">
              <w:rPr>
                <w:rFonts w:ascii="Open Sans Semibold" w:eastAsia="Times New Roman" w:hAnsi="Open Sans Semibold" w:cs="Open Sans Semibold"/>
                <w:color w:val="000000"/>
                <w:sz w:val="16"/>
                <w:szCs w:val="16"/>
                <w:lang w:eastAsia="en-AU"/>
              </w:rPr>
              <w:t>%</w:t>
            </w:r>
          </w:p>
        </w:tc>
        <w:tc>
          <w:tcPr>
            <w:tcW w:w="1283" w:type="dxa"/>
            <w:tcBorders>
              <w:top w:val="single" w:sz="4" w:space="0" w:color="ADD6EA"/>
              <w:left w:val="nil"/>
              <w:bottom w:val="single" w:sz="4" w:space="0" w:color="ADD6EA"/>
              <w:right w:val="nil"/>
            </w:tcBorders>
            <w:shd w:val="clear" w:color="000000" w:fill="B6D5E4"/>
            <w:noWrap/>
            <w:vAlign w:val="center"/>
            <w:hideMark/>
          </w:tcPr>
          <w:p w14:paraId="0556B916" w14:textId="77777777" w:rsidR="003E6EEF" w:rsidRPr="003E6EEF" w:rsidRDefault="003E6EEF" w:rsidP="006D4BE9">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E6EEF">
              <w:rPr>
                <w:rFonts w:ascii="Open Sans Semibold" w:eastAsia="Times New Roman" w:hAnsi="Open Sans Semibold" w:cs="Open Sans Semibold"/>
                <w:color w:val="000000"/>
                <w:sz w:val="16"/>
                <w:szCs w:val="16"/>
                <w:lang w:eastAsia="en-AU"/>
              </w:rPr>
              <w:t>%</w:t>
            </w:r>
          </w:p>
        </w:tc>
      </w:tr>
      <w:tr w:rsidR="003E6EEF" w:rsidRPr="003E6EEF" w14:paraId="3A25DAAB" w14:textId="77777777" w:rsidTr="006D4BE9">
        <w:trPr>
          <w:trHeight w:val="315"/>
        </w:trPr>
        <w:tc>
          <w:tcPr>
            <w:tcW w:w="2293" w:type="dxa"/>
            <w:tcBorders>
              <w:top w:val="nil"/>
              <w:left w:val="nil"/>
              <w:bottom w:val="nil"/>
              <w:right w:val="nil"/>
            </w:tcBorders>
            <w:shd w:val="clear" w:color="auto" w:fill="auto"/>
            <w:vAlign w:val="center"/>
            <w:hideMark/>
          </w:tcPr>
          <w:p w14:paraId="106BBAA3"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Schools</w:t>
            </w:r>
          </w:p>
        </w:tc>
        <w:tc>
          <w:tcPr>
            <w:tcW w:w="757" w:type="dxa"/>
            <w:tcBorders>
              <w:top w:val="nil"/>
              <w:left w:val="nil"/>
              <w:bottom w:val="nil"/>
              <w:right w:val="nil"/>
            </w:tcBorders>
            <w:shd w:val="clear" w:color="auto" w:fill="auto"/>
            <w:noWrap/>
            <w:vAlign w:val="center"/>
            <w:hideMark/>
          </w:tcPr>
          <w:p w14:paraId="0FE3BA09"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33,969</w:t>
            </w:r>
          </w:p>
        </w:tc>
        <w:tc>
          <w:tcPr>
            <w:tcW w:w="1051" w:type="dxa"/>
            <w:tcBorders>
              <w:top w:val="nil"/>
              <w:left w:val="nil"/>
              <w:bottom w:val="nil"/>
              <w:right w:val="nil"/>
            </w:tcBorders>
            <w:shd w:val="clear" w:color="auto" w:fill="auto"/>
            <w:noWrap/>
            <w:vAlign w:val="center"/>
            <w:hideMark/>
          </w:tcPr>
          <w:p w14:paraId="2E64B54D"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12,108</w:t>
            </w:r>
          </w:p>
        </w:tc>
        <w:tc>
          <w:tcPr>
            <w:tcW w:w="1288" w:type="dxa"/>
            <w:tcBorders>
              <w:top w:val="nil"/>
              <w:left w:val="nil"/>
              <w:bottom w:val="nil"/>
              <w:right w:val="nil"/>
            </w:tcBorders>
            <w:shd w:val="clear" w:color="auto" w:fill="auto"/>
            <w:noWrap/>
            <w:vAlign w:val="center"/>
            <w:hideMark/>
          </w:tcPr>
          <w:p w14:paraId="688C1021"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2,551</w:t>
            </w:r>
          </w:p>
        </w:tc>
        <w:tc>
          <w:tcPr>
            <w:tcW w:w="1135" w:type="dxa"/>
            <w:tcBorders>
              <w:top w:val="nil"/>
              <w:left w:val="nil"/>
              <w:bottom w:val="nil"/>
              <w:right w:val="nil"/>
            </w:tcBorders>
            <w:shd w:val="clear" w:color="auto" w:fill="auto"/>
            <w:noWrap/>
            <w:vAlign w:val="center"/>
            <w:hideMark/>
          </w:tcPr>
          <w:p w14:paraId="6053B4ED"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73.7</w:t>
            </w:r>
          </w:p>
        </w:tc>
        <w:tc>
          <w:tcPr>
            <w:tcW w:w="1135" w:type="dxa"/>
            <w:tcBorders>
              <w:top w:val="nil"/>
              <w:left w:val="nil"/>
              <w:bottom w:val="nil"/>
              <w:right w:val="nil"/>
            </w:tcBorders>
            <w:shd w:val="clear" w:color="auto" w:fill="auto"/>
            <w:noWrap/>
            <w:vAlign w:val="center"/>
            <w:hideMark/>
          </w:tcPr>
          <w:p w14:paraId="0650DA5E"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73.7</w:t>
            </w:r>
          </w:p>
        </w:tc>
        <w:tc>
          <w:tcPr>
            <w:tcW w:w="1283" w:type="dxa"/>
            <w:tcBorders>
              <w:top w:val="nil"/>
              <w:left w:val="nil"/>
              <w:bottom w:val="nil"/>
              <w:right w:val="nil"/>
            </w:tcBorders>
            <w:shd w:val="clear" w:color="auto" w:fill="auto"/>
            <w:noWrap/>
            <w:vAlign w:val="center"/>
            <w:hideMark/>
          </w:tcPr>
          <w:p w14:paraId="66D5FBB2"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73.0</w:t>
            </w:r>
          </w:p>
        </w:tc>
      </w:tr>
      <w:tr w:rsidR="003E6EEF" w:rsidRPr="003E6EEF" w14:paraId="41094E7B"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5942A763"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Post-secondary education</w:t>
            </w:r>
          </w:p>
        </w:tc>
        <w:tc>
          <w:tcPr>
            <w:tcW w:w="757" w:type="dxa"/>
            <w:tcBorders>
              <w:top w:val="single" w:sz="4" w:space="0" w:color="ADD6EA"/>
              <w:left w:val="nil"/>
              <w:bottom w:val="nil"/>
              <w:right w:val="nil"/>
            </w:tcBorders>
            <w:shd w:val="clear" w:color="auto" w:fill="auto"/>
            <w:vAlign w:val="center"/>
            <w:hideMark/>
          </w:tcPr>
          <w:p w14:paraId="6D1C75ED"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3,587</w:t>
            </w:r>
          </w:p>
        </w:tc>
        <w:tc>
          <w:tcPr>
            <w:tcW w:w="1051" w:type="dxa"/>
            <w:tcBorders>
              <w:top w:val="single" w:sz="4" w:space="0" w:color="ADD6EA"/>
              <w:left w:val="nil"/>
              <w:bottom w:val="nil"/>
              <w:right w:val="nil"/>
            </w:tcBorders>
            <w:shd w:val="clear" w:color="auto" w:fill="auto"/>
            <w:vAlign w:val="center"/>
            <w:hideMark/>
          </w:tcPr>
          <w:p w14:paraId="77E4F3B0"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2,809</w:t>
            </w:r>
          </w:p>
        </w:tc>
        <w:tc>
          <w:tcPr>
            <w:tcW w:w="1288" w:type="dxa"/>
            <w:tcBorders>
              <w:top w:val="single" w:sz="4" w:space="0" w:color="ADD6EA"/>
              <w:left w:val="nil"/>
              <w:bottom w:val="nil"/>
              <w:right w:val="nil"/>
            </w:tcBorders>
            <w:shd w:val="clear" w:color="auto" w:fill="auto"/>
            <w:vAlign w:val="center"/>
            <w:hideMark/>
          </w:tcPr>
          <w:p w14:paraId="2565AB0A"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1,430</w:t>
            </w:r>
          </w:p>
        </w:tc>
        <w:tc>
          <w:tcPr>
            <w:tcW w:w="1135" w:type="dxa"/>
            <w:tcBorders>
              <w:top w:val="single" w:sz="4" w:space="0" w:color="ADD6EA"/>
              <w:left w:val="nil"/>
              <w:bottom w:val="nil"/>
              <w:right w:val="nil"/>
            </w:tcBorders>
            <w:shd w:val="clear" w:color="auto" w:fill="auto"/>
            <w:vAlign w:val="center"/>
            <w:hideMark/>
          </w:tcPr>
          <w:p w14:paraId="485F5B1A"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56.1</w:t>
            </w:r>
          </w:p>
        </w:tc>
        <w:tc>
          <w:tcPr>
            <w:tcW w:w="1135" w:type="dxa"/>
            <w:tcBorders>
              <w:top w:val="single" w:sz="4" w:space="0" w:color="ADD6EA"/>
              <w:left w:val="nil"/>
              <w:bottom w:val="nil"/>
              <w:right w:val="nil"/>
            </w:tcBorders>
            <w:shd w:val="clear" w:color="auto" w:fill="auto"/>
            <w:vAlign w:val="center"/>
            <w:hideMark/>
          </w:tcPr>
          <w:p w14:paraId="0D36BE54"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56.1</w:t>
            </w:r>
          </w:p>
        </w:tc>
        <w:tc>
          <w:tcPr>
            <w:tcW w:w="1283" w:type="dxa"/>
            <w:tcBorders>
              <w:top w:val="single" w:sz="4" w:space="0" w:color="ADD6EA"/>
              <w:left w:val="nil"/>
              <w:bottom w:val="nil"/>
              <w:right w:val="nil"/>
            </w:tcBorders>
            <w:shd w:val="clear" w:color="auto" w:fill="auto"/>
            <w:vAlign w:val="center"/>
            <w:hideMark/>
          </w:tcPr>
          <w:p w14:paraId="083053BE"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56.7</w:t>
            </w:r>
          </w:p>
        </w:tc>
      </w:tr>
      <w:tr w:rsidR="003E6EEF" w:rsidRPr="003E6EEF" w14:paraId="48D28D5C"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1D148FD7"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Health</w:t>
            </w:r>
          </w:p>
        </w:tc>
        <w:tc>
          <w:tcPr>
            <w:tcW w:w="757" w:type="dxa"/>
            <w:tcBorders>
              <w:top w:val="single" w:sz="4" w:space="0" w:color="ADD6EA"/>
              <w:left w:val="nil"/>
              <w:bottom w:val="nil"/>
              <w:right w:val="nil"/>
            </w:tcBorders>
            <w:shd w:val="clear" w:color="auto" w:fill="auto"/>
            <w:noWrap/>
            <w:vAlign w:val="center"/>
            <w:hideMark/>
          </w:tcPr>
          <w:p w14:paraId="38DEE5B3"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55,159</w:t>
            </w:r>
          </w:p>
        </w:tc>
        <w:tc>
          <w:tcPr>
            <w:tcW w:w="1051" w:type="dxa"/>
            <w:tcBorders>
              <w:top w:val="single" w:sz="4" w:space="0" w:color="ADD6EA"/>
              <w:left w:val="nil"/>
              <w:bottom w:val="nil"/>
              <w:right w:val="nil"/>
            </w:tcBorders>
            <w:shd w:val="clear" w:color="auto" w:fill="auto"/>
            <w:noWrap/>
            <w:vAlign w:val="center"/>
            <w:hideMark/>
          </w:tcPr>
          <w:p w14:paraId="5A1EDF83"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30,509</w:t>
            </w:r>
          </w:p>
        </w:tc>
        <w:tc>
          <w:tcPr>
            <w:tcW w:w="1288" w:type="dxa"/>
            <w:tcBorders>
              <w:top w:val="single" w:sz="4" w:space="0" w:color="ADD6EA"/>
              <w:left w:val="nil"/>
              <w:bottom w:val="nil"/>
              <w:right w:val="nil"/>
            </w:tcBorders>
            <w:shd w:val="clear" w:color="auto" w:fill="auto"/>
            <w:noWrap/>
            <w:vAlign w:val="center"/>
            <w:hideMark/>
          </w:tcPr>
          <w:p w14:paraId="6D719C79"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2,920</w:t>
            </w:r>
          </w:p>
        </w:tc>
        <w:tc>
          <w:tcPr>
            <w:tcW w:w="1135" w:type="dxa"/>
            <w:tcBorders>
              <w:top w:val="single" w:sz="4" w:space="0" w:color="ADD6EA"/>
              <w:left w:val="nil"/>
              <w:bottom w:val="nil"/>
              <w:right w:val="nil"/>
            </w:tcBorders>
            <w:shd w:val="clear" w:color="auto" w:fill="auto"/>
            <w:noWrap/>
            <w:vAlign w:val="center"/>
            <w:hideMark/>
          </w:tcPr>
          <w:p w14:paraId="3A8CBFC6"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64.4</w:t>
            </w:r>
          </w:p>
        </w:tc>
        <w:tc>
          <w:tcPr>
            <w:tcW w:w="1135" w:type="dxa"/>
            <w:tcBorders>
              <w:top w:val="single" w:sz="4" w:space="0" w:color="ADD6EA"/>
              <w:left w:val="nil"/>
              <w:bottom w:val="nil"/>
              <w:right w:val="nil"/>
            </w:tcBorders>
            <w:shd w:val="clear" w:color="auto" w:fill="auto"/>
            <w:noWrap/>
            <w:vAlign w:val="center"/>
            <w:hideMark/>
          </w:tcPr>
          <w:p w14:paraId="44A5E579"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64.4</w:t>
            </w:r>
          </w:p>
        </w:tc>
        <w:tc>
          <w:tcPr>
            <w:tcW w:w="1283" w:type="dxa"/>
            <w:tcBorders>
              <w:top w:val="single" w:sz="4" w:space="0" w:color="ADD6EA"/>
              <w:left w:val="nil"/>
              <w:bottom w:val="nil"/>
              <w:right w:val="nil"/>
            </w:tcBorders>
            <w:shd w:val="clear" w:color="auto" w:fill="auto"/>
            <w:noWrap/>
            <w:vAlign w:val="center"/>
            <w:hideMark/>
          </w:tcPr>
          <w:p w14:paraId="2B6124EE"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64.2</w:t>
            </w:r>
          </w:p>
        </w:tc>
      </w:tr>
      <w:tr w:rsidR="003E6EEF" w:rsidRPr="003E6EEF" w14:paraId="4BC7765E"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5085E686"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Housing</w:t>
            </w:r>
          </w:p>
        </w:tc>
        <w:tc>
          <w:tcPr>
            <w:tcW w:w="757" w:type="dxa"/>
            <w:tcBorders>
              <w:top w:val="single" w:sz="4" w:space="0" w:color="ADD6EA"/>
              <w:left w:val="nil"/>
              <w:bottom w:val="nil"/>
              <w:right w:val="nil"/>
            </w:tcBorders>
            <w:shd w:val="clear" w:color="auto" w:fill="auto"/>
            <w:noWrap/>
            <w:vAlign w:val="center"/>
            <w:hideMark/>
          </w:tcPr>
          <w:p w14:paraId="3BE9964B"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628</w:t>
            </w:r>
          </w:p>
        </w:tc>
        <w:tc>
          <w:tcPr>
            <w:tcW w:w="1051" w:type="dxa"/>
            <w:tcBorders>
              <w:top w:val="single" w:sz="4" w:space="0" w:color="ADD6EA"/>
              <w:left w:val="nil"/>
              <w:bottom w:val="nil"/>
              <w:right w:val="nil"/>
            </w:tcBorders>
            <w:shd w:val="clear" w:color="auto" w:fill="auto"/>
            <w:noWrap/>
            <w:vAlign w:val="center"/>
            <w:hideMark/>
          </w:tcPr>
          <w:p w14:paraId="0B379F81"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1,144</w:t>
            </w:r>
          </w:p>
        </w:tc>
        <w:tc>
          <w:tcPr>
            <w:tcW w:w="1288" w:type="dxa"/>
            <w:tcBorders>
              <w:top w:val="single" w:sz="4" w:space="0" w:color="ADD6EA"/>
              <w:left w:val="nil"/>
              <w:bottom w:val="nil"/>
              <w:right w:val="nil"/>
            </w:tcBorders>
            <w:shd w:val="clear" w:color="auto" w:fill="auto"/>
            <w:noWrap/>
            <w:vAlign w:val="center"/>
            <w:hideMark/>
          </w:tcPr>
          <w:p w14:paraId="6FEECCAF"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3,203</w:t>
            </w:r>
          </w:p>
        </w:tc>
        <w:tc>
          <w:tcPr>
            <w:tcW w:w="1135" w:type="dxa"/>
            <w:tcBorders>
              <w:top w:val="single" w:sz="4" w:space="0" w:color="ADD6EA"/>
              <w:left w:val="nil"/>
              <w:bottom w:val="nil"/>
              <w:right w:val="nil"/>
            </w:tcBorders>
            <w:shd w:val="clear" w:color="auto" w:fill="auto"/>
            <w:noWrap/>
            <w:vAlign w:val="center"/>
            <w:hideMark/>
          </w:tcPr>
          <w:p w14:paraId="372F57F3"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35.4</w:t>
            </w:r>
          </w:p>
        </w:tc>
        <w:tc>
          <w:tcPr>
            <w:tcW w:w="1135" w:type="dxa"/>
            <w:tcBorders>
              <w:top w:val="single" w:sz="4" w:space="0" w:color="ADD6EA"/>
              <w:left w:val="nil"/>
              <w:bottom w:val="nil"/>
              <w:right w:val="nil"/>
            </w:tcBorders>
            <w:shd w:val="clear" w:color="auto" w:fill="auto"/>
            <w:noWrap/>
            <w:vAlign w:val="center"/>
            <w:hideMark/>
          </w:tcPr>
          <w:p w14:paraId="2E4DE137"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62.5</w:t>
            </w:r>
          </w:p>
        </w:tc>
        <w:tc>
          <w:tcPr>
            <w:tcW w:w="1283" w:type="dxa"/>
            <w:tcBorders>
              <w:top w:val="single" w:sz="4" w:space="0" w:color="ADD6EA"/>
              <w:left w:val="nil"/>
              <w:bottom w:val="nil"/>
              <w:right w:val="nil"/>
            </w:tcBorders>
            <w:shd w:val="clear" w:color="auto" w:fill="auto"/>
            <w:noWrap/>
            <w:vAlign w:val="center"/>
            <w:hideMark/>
          </w:tcPr>
          <w:p w14:paraId="7CC5CFF2"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50.7</w:t>
            </w:r>
          </w:p>
        </w:tc>
      </w:tr>
      <w:tr w:rsidR="003E6EEF" w:rsidRPr="003E6EEF" w14:paraId="45DAB13C"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3E14CCF0"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Welfare</w:t>
            </w:r>
          </w:p>
        </w:tc>
        <w:tc>
          <w:tcPr>
            <w:tcW w:w="757" w:type="dxa"/>
            <w:tcBorders>
              <w:top w:val="single" w:sz="4" w:space="0" w:color="ADD6EA"/>
              <w:left w:val="nil"/>
              <w:bottom w:val="nil"/>
              <w:right w:val="nil"/>
            </w:tcBorders>
            <w:shd w:val="clear" w:color="auto" w:fill="auto"/>
            <w:noWrap/>
            <w:vAlign w:val="center"/>
            <w:hideMark/>
          </w:tcPr>
          <w:p w14:paraId="3F06F665"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3,947</w:t>
            </w:r>
          </w:p>
        </w:tc>
        <w:tc>
          <w:tcPr>
            <w:tcW w:w="1051" w:type="dxa"/>
            <w:tcBorders>
              <w:top w:val="single" w:sz="4" w:space="0" w:color="ADD6EA"/>
              <w:left w:val="nil"/>
              <w:bottom w:val="nil"/>
              <w:right w:val="nil"/>
            </w:tcBorders>
            <w:shd w:val="clear" w:color="auto" w:fill="auto"/>
            <w:noWrap/>
            <w:vAlign w:val="center"/>
            <w:hideMark/>
          </w:tcPr>
          <w:p w14:paraId="0927470E"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6,939</w:t>
            </w:r>
          </w:p>
        </w:tc>
        <w:tc>
          <w:tcPr>
            <w:tcW w:w="1288" w:type="dxa"/>
            <w:tcBorders>
              <w:top w:val="single" w:sz="4" w:space="0" w:color="ADD6EA"/>
              <w:left w:val="nil"/>
              <w:bottom w:val="nil"/>
              <w:right w:val="nil"/>
            </w:tcBorders>
            <w:shd w:val="clear" w:color="auto" w:fill="auto"/>
            <w:noWrap/>
            <w:vAlign w:val="center"/>
            <w:hideMark/>
          </w:tcPr>
          <w:p w14:paraId="42DD86B4"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12,191</w:t>
            </w:r>
          </w:p>
        </w:tc>
        <w:tc>
          <w:tcPr>
            <w:tcW w:w="1135" w:type="dxa"/>
            <w:tcBorders>
              <w:top w:val="single" w:sz="4" w:space="0" w:color="ADD6EA"/>
              <w:left w:val="nil"/>
              <w:bottom w:val="nil"/>
              <w:right w:val="nil"/>
            </w:tcBorders>
            <w:shd w:val="clear" w:color="auto" w:fill="auto"/>
            <w:noWrap/>
            <w:vAlign w:val="center"/>
            <w:hideMark/>
          </w:tcPr>
          <w:p w14:paraId="47857E15"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36.3</w:t>
            </w:r>
          </w:p>
        </w:tc>
        <w:tc>
          <w:tcPr>
            <w:tcW w:w="1135" w:type="dxa"/>
            <w:tcBorders>
              <w:top w:val="single" w:sz="4" w:space="0" w:color="ADD6EA"/>
              <w:left w:val="nil"/>
              <w:bottom w:val="nil"/>
              <w:right w:val="nil"/>
            </w:tcBorders>
            <w:shd w:val="clear" w:color="auto" w:fill="auto"/>
            <w:noWrap/>
            <w:vAlign w:val="center"/>
            <w:hideMark/>
          </w:tcPr>
          <w:p w14:paraId="6742CB89"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36.3</w:t>
            </w:r>
          </w:p>
        </w:tc>
        <w:tc>
          <w:tcPr>
            <w:tcW w:w="1283" w:type="dxa"/>
            <w:tcBorders>
              <w:top w:val="single" w:sz="4" w:space="0" w:color="ADD6EA"/>
              <w:left w:val="nil"/>
              <w:bottom w:val="nil"/>
              <w:right w:val="nil"/>
            </w:tcBorders>
            <w:shd w:val="clear" w:color="auto" w:fill="auto"/>
            <w:noWrap/>
            <w:vAlign w:val="center"/>
            <w:hideMark/>
          </w:tcPr>
          <w:p w14:paraId="088733CB"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48.4</w:t>
            </w:r>
          </w:p>
        </w:tc>
      </w:tr>
      <w:tr w:rsidR="003E6EEF" w:rsidRPr="003E6EEF" w14:paraId="06F65A8E"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71CE375E"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Services to communities</w:t>
            </w:r>
          </w:p>
        </w:tc>
        <w:tc>
          <w:tcPr>
            <w:tcW w:w="757" w:type="dxa"/>
            <w:tcBorders>
              <w:top w:val="single" w:sz="4" w:space="0" w:color="ADD6EA"/>
              <w:left w:val="nil"/>
              <w:bottom w:val="nil"/>
              <w:right w:val="nil"/>
            </w:tcBorders>
            <w:shd w:val="clear" w:color="auto" w:fill="auto"/>
            <w:vAlign w:val="center"/>
            <w:hideMark/>
          </w:tcPr>
          <w:p w14:paraId="0F2EF28F"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3,331</w:t>
            </w:r>
          </w:p>
        </w:tc>
        <w:tc>
          <w:tcPr>
            <w:tcW w:w="1051" w:type="dxa"/>
            <w:tcBorders>
              <w:top w:val="single" w:sz="4" w:space="0" w:color="ADD6EA"/>
              <w:left w:val="nil"/>
              <w:bottom w:val="nil"/>
              <w:right w:val="nil"/>
            </w:tcBorders>
            <w:shd w:val="clear" w:color="auto" w:fill="auto"/>
            <w:vAlign w:val="center"/>
            <w:hideMark/>
          </w:tcPr>
          <w:p w14:paraId="171C1086"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4,511</w:t>
            </w:r>
          </w:p>
        </w:tc>
        <w:tc>
          <w:tcPr>
            <w:tcW w:w="1288" w:type="dxa"/>
            <w:tcBorders>
              <w:top w:val="single" w:sz="4" w:space="0" w:color="ADD6EA"/>
              <w:left w:val="nil"/>
              <w:bottom w:val="nil"/>
              <w:right w:val="nil"/>
            </w:tcBorders>
            <w:shd w:val="clear" w:color="auto" w:fill="auto"/>
            <w:vAlign w:val="center"/>
            <w:hideMark/>
          </w:tcPr>
          <w:p w14:paraId="2AB29D7A"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4,394</w:t>
            </w:r>
          </w:p>
        </w:tc>
        <w:tc>
          <w:tcPr>
            <w:tcW w:w="1135" w:type="dxa"/>
            <w:tcBorders>
              <w:top w:val="single" w:sz="4" w:space="0" w:color="ADD6EA"/>
              <w:left w:val="nil"/>
              <w:bottom w:val="nil"/>
              <w:right w:val="nil"/>
            </w:tcBorders>
            <w:shd w:val="clear" w:color="auto" w:fill="auto"/>
            <w:vAlign w:val="center"/>
            <w:hideMark/>
          </w:tcPr>
          <w:p w14:paraId="21501F06"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42.5</w:t>
            </w:r>
          </w:p>
        </w:tc>
        <w:tc>
          <w:tcPr>
            <w:tcW w:w="1135" w:type="dxa"/>
            <w:tcBorders>
              <w:top w:val="single" w:sz="4" w:space="0" w:color="ADD6EA"/>
              <w:left w:val="nil"/>
              <w:bottom w:val="nil"/>
              <w:right w:val="nil"/>
            </w:tcBorders>
            <w:shd w:val="clear" w:color="auto" w:fill="auto"/>
            <w:vAlign w:val="center"/>
            <w:hideMark/>
          </w:tcPr>
          <w:p w14:paraId="19C2EA85"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42.5</w:t>
            </w:r>
          </w:p>
        </w:tc>
        <w:tc>
          <w:tcPr>
            <w:tcW w:w="1283" w:type="dxa"/>
            <w:tcBorders>
              <w:top w:val="single" w:sz="4" w:space="0" w:color="ADD6EA"/>
              <w:left w:val="nil"/>
              <w:bottom w:val="nil"/>
              <w:right w:val="nil"/>
            </w:tcBorders>
            <w:shd w:val="clear" w:color="auto" w:fill="auto"/>
            <w:vAlign w:val="center"/>
            <w:hideMark/>
          </w:tcPr>
          <w:p w14:paraId="65ABB2C7"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48.5</w:t>
            </w:r>
          </w:p>
        </w:tc>
      </w:tr>
      <w:tr w:rsidR="003E6EEF" w:rsidRPr="003E6EEF" w14:paraId="4962C421"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33FCC065"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Justice</w:t>
            </w:r>
          </w:p>
        </w:tc>
        <w:tc>
          <w:tcPr>
            <w:tcW w:w="757" w:type="dxa"/>
            <w:tcBorders>
              <w:top w:val="single" w:sz="4" w:space="0" w:color="ADD6EA"/>
              <w:left w:val="nil"/>
              <w:bottom w:val="nil"/>
              <w:right w:val="nil"/>
            </w:tcBorders>
            <w:shd w:val="clear" w:color="auto" w:fill="auto"/>
            <w:noWrap/>
            <w:vAlign w:val="center"/>
            <w:hideMark/>
          </w:tcPr>
          <w:p w14:paraId="026DAF1F"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17,143</w:t>
            </w:r>
          </w:p>
        </w:tc>
        <w:tc>
          <w:tcPr>
            <w:tcW w:w="1051" w:type="dxa"/>
            <w:tcBorders>
              <w:top w:val="single" w:sz="4" w:space="0" w:color="ADD6EA"/>
              <w:left w:val="nil"/>
              <w:bottom w:val="nil"/>
              <w:right w:val="nil"/>
            </w:tcBorders>
            <w:shd w:val="clear" w:color="auto" w:fill="auto"/>
            <w:noWrap/>
            <w:vAlign w:val="center"/>
            <w:hideMark/>
          </w:tcPr>
          <w:p w14:paraId="44E3F63A"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7,137</w:t>
            </w:r>
          </w:p>
        </w:tc>
        <w:tc>
          <w:tcPr>
            <w:tcW w:w="1288" w:type="dxa"/>
            <w:tcBorders>
              <w:top w:val="single" w:sz="4" w:space="0" w:color="ADD6EA"/>
              <w:left w:val="nil"/>
              <w:bottom w:val="nil"/>
              <w:right w:val="nil"/>
            </w:tcBorders>
            <w:shd w:val="clear" w:color="auto" w:fill="auto"/>
            <w:noWrap/>
            <w:vAlign w:val="center"/>
            <w:hideMark/>
          </w:tcPr>
          <w:p w14:paraId="7869F13A"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529</w:t>
            </w:r>
          </w:p>
        </w:tc>
        <w:tc>
          <w:tcPr>
            <w:tcW w:w="1135" w:type="dxa"/>
            <w:tcBorders>
              <w:top w:val="single" w:sz="4" w:space="0" w:color="ADD6EA"/>
              <w:left w:val="nil"/>
              <w:bottom w:val="nil"/>
              <w:right w:val="nil"/>
            </w:tcBorders>
            <w:shd w:val="clear" w:color="auto" w:fill="auto"/>
            <w:noWrap/>
            <w:vAlign w:val="center"/>
            <w:hideMark/>
          </w:tcPr>
          <w:p w14:paraId="13582CF8"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70.6</w:t>
            </w:r>
          </w:p>
        </w:tc>
        <w:tc>
          <w:tcPr>
            <w:tcW w:w="1135" w:type="dxa"/>
            <w:tcBorders>
              <w:top w:val="single" w:sz="4" w:space="0" w:color="ADD6EA"/>
              <w:left w:val="nil"/>
              <w:bottom w:val="nil"/>
              <w:right w:val="nil"/>
            </w:tcBorders>
            <w:shd w:val="clear" w:color="auto" w:fill="auto"/>
            <w:noWrap/>
            <w:vAlign w:val="center"/>
            <w:hideMark/>
          </w:tcPr>
          <w:p w14:paraId="38C1D2FA"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70.6</w:t>
            </w:r>
          </w:p>
        </w:tc>
        <w:tc>
          <w:tcPr>
            <w:tcW w:w="1283" w:type="dxa"/>
            <w:tcBorders>
              <w:top w:val="single" w:sz="4" w:space="0" w:color="ADD6EA"/>
              <w:left w:val="nil"/>
              <w:bottom w:val="nil"/>
              <w:right w:val="nil"/>
            </w:tcBorders>
            <w:shd w:val="clear" w:color="auto" w:fill="auto"/>
            <w:noWrap/>
            <w:vAlign w:val="center"/>
            <w:hideMark/>
          </w:tcPr>
          <w:p w14:paraId="7EC79317"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70.4</w:t>
            </w:r>
          </w:p>
        </w:tc>
      </w:tr>
      <w:tr w:rsidR="003E6EEF" w:rsidRPr="003E6EEF" w14:paraId="03C4321B"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6D0AF9AE"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Roads</w:t>
            </w:r>
          </w:p>
        </w:tc>
        <w:tc>
          <w:tcPr>
            <w:tcW w:w="757" w:type="dxa"/>
            <w:tcBorders>
              <w:top w:val="single" w:sz="4" w:space="0" w:color="ADD6EA"/>
              <w:left w:val="nil"/>
              <w:bottom w:val="nil"/>
              <w:right w:val="nil"/>
            </w:tcBorders>
            <w:shd w:val="clear" w:color="auto" w:fill="auto"/>
            <w:noWrap/>
            <w:vAlign w:val="center"/>
            <w:hideMark/>
          </w:tcPr>
          <w:p w14:paraId="5919844A"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1,874</w:t>
            </w:r>
          </w:p>
        </w:tc>
        <w:tc>
          <w:tcPr>
            <w:tcW w:w="1051" w:type="dxa"/>
            <w:tcBorders>
              <w:top w:val="single" w:sz="4" w:space="0" w:color="ADD6EA"/>
              <w:left w:val="nil"/>
              <w:bottom w:val="nil"/>
              <w:right w:val="nil"/>
            </w:tcBorders>
            <w:shd w:val="clear" w:color="auto" w:fill="auto"/>
            <w:noWrap/>
            <w:vAlign w:val="center"/>
            <w:hideMark/>
          </w:tcPr>
          <w:p w14:paraId="42F5034B"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5,009</w:t>
            </w:r>
          </w:p>
        </w:tc>
        <w:tc>
          <w:tcPr>
            <w:tcW w:w="1288" w:type="dxa"/>
            <w:tcBorders>
              <w:top w:val="single" w:sz="4" w:space="0" w:color="ADD6EA"/>
              <w:left w:val="nil"/>
              <w:bottom w:val="nil"/>
              <w:right w:val="nil"/>
            </w:tcBorders>
            <w:shd w:val="clear" w:color="auto" w:fill="auto"/>
            <w:noWrap/>
            <w:vAlign w:val="center"/>
            <w:hideMark/>
          </w:tcPr>
          <w:p w14:paraId="4C8C2A1D"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3,053</w:t>
            </w:r>
          </w:p>
        </w:tc>
        <w:tc>
          <w:tcPr>
            <w:tcW w:w="1135" w:type="dxa"/>
            <w:tcBorders>
              <w:top w:val="single" w:sz="4" w:space="0" w:color="ADD6EA"/>
              <w:left w:val="nil"/>
              <w:bottom w:val="nil"/>
              <w:right w:val="nil"/>
            </w:tcBorders>
            <w:shd w:val="clear" w:color="auto" w:fill="auto"/>
            <w:noWrap/>
            <w:vAlign w:val="center"/>
            <w:hideMark/>
          </w:tcPr>
          <w:p w14:paraId="38387A85"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27.2</w:t>
            </w:r>
          </w:p>
        </w:tc>
        <w:tc>
          <w:tcPr>
            <w:tcW w:w="1135" w:type="dxa"/>
            <w:tcBorders>
              <w:top w:val="single" w:sz="4" w:space="0" w:color="ADD6EA"/>
              <w:left w:val="nil"/>
              <w:bottom w:val="nil"/>
              <w:right w:val="nil"/>
            </w:tcBorders>
            <w:shd w:val="clear" w:color="auto" w:fill="auto"/>
            <w:noWrap/>
            <w:vAlign w:val="center"/>
            <w:hideMark/>
          </w:tcPr>
          <w:p w14:paraId="69C10DF1"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62.5</w:t>
            </w:r>
          </w:p>
        </w:tc>
        <w:tc>
          <w:tcPr>
            <w:tcW w:w="1283" w:type="dxa"/>
            <w:tcBorders>
              <w:top w:val="single" w:sz="4" w:space="0" w:color="ADD6EA"/>
              <w:left w:val="nil"/>
              <w:bottom w:val="nil"/>
              <w:right w:val="nil"/>
            </w:tcBorders>
            <w:shd w:val="clear" w:color="auto" w:fill="auto"/>
            <w:noWrap/>
            <w:vAlign w:val="center"/>
            <w:hideMark/>
          </w:tcPr>
          <w:p w14:paraId="2E40B749"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37.1</w:t>
            </w:r>
          </w:p>
        </w:tc>
      </w:tr>
      <w:tr w:rsidR="003E6EEF" w:rsidRPr="003E6EEF" w14:paraId="20FFBB22"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18C2ED55"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Transport</w:t>
            </w:r>
          </w:p>
        </w:tc>
        <w:tc>
          <w:tcPr>
            <w:tcW w:w="757" w:type="dxa"/>
            <w:tcBorders>
              <w:top w:val="single" w:sz="4" w:space="0" w:color="ADD6EA"/>
              <w:left w:val="nil"/>
              <w:bottom w:val="nil"/>
              <w:right w:val="nil"/>
            </w:tcBorders>
            <w:shd w:val="clear" w:color="auto" w:fill="auto"/>
            <w:noWrap/>
            <w:vAlign w:val="center"/>
            <w:hideMark/>
          </w:tcPr>
          <w:p w14:paraId="0917A036"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1,196</w:t>
            </w:r>
          </w:p>
        </w:tc>
        <w:tc>
          <w:tcPr>
            <w:tcW w:w="1051" w:type="dxa"/>
            <w:tcBorders>
              <w:top w:val="single" w:sz="4" w:space="0" w:color="ADD6EA"/>
              <w:left w:val="nil"/>
              <w:bottom w:val="nil"/>
              <w:right w:val="nil"/>
            </w:tcBorders>
            <w:shd w:val="clear" w:color="auto" w:fill="auto"/>
            <w:noWrap/>
            <w:vAlign w:val="center"/>
            <w:hideMark/>
          </w:tcPr>
          <w:p w14:paraId="6A69F249"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8,028</w:t>
            </w:r>
          </w:p>
        </w:tc>
        <w:tc>
          <w:tcPr>
            <w:tcW w:w="1288" w:type="dxa"/>
            <w:tcBorders>
              <w:top w:val="single" w:sz="4" w:space="0" w:color="ADD6EA"/>
              <w:left w:val="nil"/>
              <w:bottom w:val="nil"/>
              <w:right w:val="nil"/>
            </w:tcBorders>
            <w:shd w:val="clear" w:color="auto" w:fill="auto"/>
            <w:noWrap/>
            <w:vAlign w:val="center"/>
            <w:hideMark/>
          </w:tcPr>
          <w:p w14:paraId="7D80BCF9"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6,323</w:t>
            </w:r>
          </w:p>
        </w:tc>
        <w:tc>
          <w:tcPr>
            <w:tcW w:w="1135" w:type="dxa"/>
            <w:tcBorders>
              <w:top w:val="single" w:sz="4" w:space="0" w:color="ADD6EA"/>
              <w:left w:val="nil"/>
              <w:bottom w:val="nil"/>
              <w:right w:val="nil"/>
            </w:tcBorders>
            <w:shd w:val="clear" w:color="auto" w:fill="auto"/>
            <w:noWrap/>
            <w:vAlign w:val="center"/>
            <w:hideMark/>
          </w:tcPr>
          <w:p w14:paraId="4EDE9038"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13.0</w:t>
            </w:r>
          </w:p>
        </w:tc>
        <w:tc>
          <w:tcPr>
            <w:tcW w:w="1135" w:type="dxa"/>
            <w:tcBorders>
              <w:top w:val="single" w:sz="4" w:space="0" w:color="ADD6EA"/>
              <w:left w:val="nil"/>
              <w:bottom w:val="nil"/>
              <w:right w:val="nil"/>
            </w:tcBorders>
            <w:shd w:val="clear" w:color="auto" w:fill="auto"/>
            <w:noWrap/>
            <w:vAlign w:val="center"/>
            <w:hideMark/>
          </w:tcPr>
          <w:p w14:paraId="4B4FA69C"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62.5</w:t>
            </w:r>
          </w:p>
        </w:tc>
        <w:tc>
          <w:tcPr>
            <w:tcW w:w="1283" w:type="dxa"/>
            <w:tcBorders>
              <w:top w:val="single" w:sz="4" w:space="0" w:color="ADD6EA"/>
              <w:left w:val="nil"/>
              <w:bottom w:val="nil"/>
              <w:right w:val="nil"/>
            </w:tcBorders>
            <w:shd w:val="clear" w:color="auto" w:fill="auto"/>
            <w:noWrap/>
            <w:vAlign w:val="center"/>
            <w:hideMark/>
          </w:tcPr>
          <w:p w14:paraId="49B78896"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31.8</w:t>
            </w:r>
          </w:p>
        </w:tc>
      </w:tr>
      <w:tr w:rsidR="003E6EEF" w:rsidRPr="003E6EEF" w14:paraId="3486911E" w14:textId="77777777" w:rsidTr="006D4BE9">
        <w:trPr>
          <w:trHeight w:val="315"/>
        </w:trPr>
        <w:tc>
          <w:tcPr>
            <w:tcW w:w="2293" w:type="dxa"/>
            <w:tcBorders>
              <w:top w:val="single" w:sz="4" w:space="0" w:color="ADD6EA"/>
              <w:left w:val="nil"/>
              <w:bottom w:val="nil"/>
              <w:right w:val="nil"/>
            </w:tcBorders>
            <w:shd w:val="clear" w:color="auto" w:fill="auto"/>
            <w:vAlign w:val="center"/>
            <w:hideMark/>
          </w:tcPr>
          <w:p w14:paraId="0DBADCA0"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Services to industry</w:t>
            </w:r>
          </w:p>
        </w:tc>
        <w:tc>
          <w:tcPr>
            <w:tcW w:w="757" w:type="dxa"/>
            <w:tcBorders>
              <w:top w:val="single" w:sz="4" w:space="0" w:color="ADD6EA"/>
              <w:left w:val="nil"/>
              <w:bottom w:val="nil"/>
              <w:right w:val="nil"/>
            </w:tcBorders>
            <w:shd w:val="clear" w:color="auto" w:fill="auto"/>
            <w:vAlign w:val="center"/>
            <w:hideMark/>
          </w:tcPr>
          <w:p w14:paraId="54AE8E5C"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3,087</w:t>
            </w:r>
          </w:p>
        </w:tc>
        <w:tc>
          <w:tcPr>
            <w:tcW w:w="1051" w:type="dxa"/>
            <w:tcBorders>
              <w:top w:val="single" w:sz="4" w:space="0" w:color="ADD6EA"/>
              <w:left w:val="nil"/>
              <w:bottom w:val="nil"/>
              <w:right w:val="nil"/>
            </w:tcBorders>
            <w:shd w:val="clear" w:color="auto" w:fill="auto"/>
            <w:vAlign w:val="center"/>
            <w:hideMark/>
          </w:tcPr>
          <w:p w14:paraId="47984E04"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3,448</w:t>
            </w:r>
          </w:p>
        </w:tc>
        <w:tc>
          <w:tcPr>
            <w:tcW w:w="1288" w:type="dxa"/>
            <w:tcBorders>
              <w:top w:val="single" w:sz="4" w:space="0" w:color="ADD6EA"/>
              <w:left w:val="nil"/>
              <w:bottom w:val="nil"/>
              <w:right w:val="nil"/>
            </w:tcBorders>
            <w:shd w:val="clear" w:color="auto" w:fill="auto"/>
            <w:vAlign w:val="center"/>
            <w:hideMark/>
          </w:tcPr>
          <w:p w14:paraId="38F5CD30"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9,376</w:t>
            </w:r>
          </w:p>
        </w:tc>
        <w:tc>
          <w:tcPr>
            <w:tcW w:w="1135" w:type="dxa"/>
            <w:tcBorders>
              <w:top w:val="single" w:sz="4" w:space="0" w:color="ADD6EA"/>
              <w:left w:val="nil"/>
              <w:bottom w:val="nil"/>
              <w:right w:val="nil"/>
            </w:tcBorders>
            <w:shd w:val="clear" w:color="auto" w:fill="auto"/>
            <w:vAlign w:val="center"/>
            <w:hideMark/>
          </w:tcPr>
          <w:p w14:paraId="48CD8D31"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47.2</w:t>
            </w:r>
          </w:p>
        </w:tc>
        <w:tc>
          <w:tcPr>
            <w:tcW w:w="1135" w:type="dxa"/>
            <w:tcBorders>
              <w:top w:val="single" w:sz="4" w:space="0" w:color="ADD6EA"/>
              <w:left w:val="nil"/>
              <w:bottom w:val="nil"/>
              <w:right w:val="nil"/>
            </w:tcBorders>
            <w:shd w:val="clear" w:color="auto" w:fill="auto"/>
            <w:vAlign w:val="center"/>
            <w:hideMark/>
          </w:tcPr>
          <w:p w14:paraId="10AE7A14"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47.2</w:t>
            </w:r>
          </w:p>
        </w:tc>
        <w:tc>
          <w:tcPr>
            <w:tcW w:w="1283" w:type="dxa"/>
            <w:tcBorders>
              <w:top w:val="single" w:sz="4" w:space="0" w:color="ADD6EA"/>
              <w:left w:val="nil"/>
              <w:bottom w:val="nil"/>
              <w:right w:val="nil"/>
            </w:tcBorders>
            <w:shd w:val="clear" w:color="auto" w:fill="auto"/>
            <w:vAlign w:val="center"/>
            <w:hideMark/>
          </w:tcPr>
          <w:p w14:paraId="108E0C9D"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54.3</w:t>
            </w:r>
          </w:p>
        </w:tc>
      </w:tr>
      <w:tr w:rsidR="003E6EEF" w:rsidRPr="003E6EEF" w14:paraId="5C18535E" w14:textId="77777777" w:rsidTr="006D4BE9">
        <w:trPr>
          <w:trHeight w:val="315"/>
        </w:trPr>
        <w:tc>
          <w:tcPr>
            <w:tcW w:w="2293" w:type="dxa"/>
            <w:tcBorders>
              <w:top w:val="single" w:sz="4" w:space="0" w:color="ADD6EA"/>
              <w:left w:val="nil"/>
              <w:bottom w:val="single" w:sz="4" w:space="0" w:color="ADD6EA"/>
              <w:right w:val="nil"/>
            </w:tcBorders>
            <w:shd w:val="clear" w:color="auto" w:fill="auto"/>
            <w:vAlign w:val="center"/>
            <w:hideMark/>
          </w:tcPr>
          <w:p w14:paraId="2979FA93" w14:textId="77777777" w:rsidR="003E6EEF" w:rsidRPr="003E6EEF" w:rsidRDefault="003E6EEF" w:rsidP="006D4BE9">
            <w:pPr>
              <w:tabs>
                <w:tab w:val="clear" w:pos="567"/>
              </w:tabs>
              <w:spacing w:before="0" w:line="240" w:lineRule="auto"/>
              <w:rPr>
                <w:rFonts w:eastAsia="Times New Roman" w:cs="Open Sans Light"/>
                <w:color w:val="000000"/>
                <w:sz w:val="16"/>
                <w:szCs w:val="16"/>
                <w:lang w:eastAsia="en-AU"/>
              </w:rPr>
            </w:pPr>
            <w:r w:rsidRPr="003E6EEF">
              <w:rPr>
                <w:rFonts w:eastAsia="Times New Roman" w:cs="Open Sans Light"/>
                <w:color w:val="000000"/>
                <w:sz w:val="16"/>
                <w:szCs w:val="16"/>
                <w:lang w:eastAsia="en-AU"/>
              </w:rPr>
              <w:t xml:space="preserve"> Other expenses</w:t>
            </w:r>
          </w:p>
        </w:tc>
        <w:tc>
          <w:tcPr>
            <w:tcW w:w="757" w:type="dxa"/>
            <w:tcBorders>
              <w:top w:val="single" w:sz="4" w:space="0" w:color="ADD6EA"/>
              <w:left w:val="nil"/>
              <w:bottom w:val="single" w:sz="4" w:space="0" w:color="ADD6EA"/>
              <w:right w:val="nil"/>
            </w:tcBorders>
            <w:shd w:val="clear" w:color="auto" w:fill="auto"/>
            <w:vAlign w:val="center"/>
            <w:hideMark/>
          </w:tcPr>
          <w:p w14:paraId="478EA89A"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10,536</w:t>
            </w:r>
          </w:p>
        </w:tc>
        <w:tc>
          <w:tcPr>
            <w:tcW w:w="1051" w:type="dxa"/>
            <w:tcBorders>
              <w:top w:val="single" w:sz="4" w:space="0" w:color="ADD6EA"/>
              <w:left w:val="nil"/>
              <w:bottom w:val="single" w:sz="4" w:space="0" w:color="ADD6EA"/>
              <w:right w:val="nil"/>
            </w:tcBorders>
            <w:shd w:val="clear" w:color="auto" w:fill="auto"/>
            <w:vAlign w:val="center"/>
            <w:hideMark/>
          </w:tcPr>
          <w:p w14:paraId="46E6F58F"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10,955</w:t>
            </w:r>
          </w:p>
        </w:tc>
        <w:tc>
          <w:tcPr>
            <w:tcW w:w="1288" w:type="dxa"/>
            <w:tcBorders>
              <w:top w:val="single" w:sz="4" w:space="0" w:color="ADD6EA"/>
              <w:left w:val="nil"/>
              <w:bottom w:val="single" w:sz="4" w:space="0" w:color="ADD6EA"/>
              <w:right w:val="nil"/>
            </w:tcBorders>
            <w:shd w:val="clear" w:color="auto" w:fill="auto"/>
            <w:vAlign w:val="center"/>
            <w:hideMark/>
          </w:tcPr>
          <w:p w14:paraId="25675215"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6,931</w:t>
            </w:r>
          </w:p>
        </w:tc>
        <w:tc>
          <w:tcPr>
            <w:tcW w:w="1135" w:type="dxa"/>
            <w:tcBorders>
              <w:top w:val="single" w:sz="4" w:space="0" w:color="ADD6EA"/>
              <w:left w:val="nil"/>
              <w:bottom w:val="single" w:sz="4" w:space="0" w:color="ADD6EA"/>
              <w:right w:val="nil"/>
            </w:tcBorders>
            <w:shd w:val="clear" w:color="auto" w:fill="auto"/>
            <w:vAlign w:val="center"/>
            <w:hideMark/>
          </w:tcPr>
          <w:p w14:paraId="07C4AF06"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49.0</w:t>
            </w:r>
          </w:p>
        </w:tc>
        <w:tc>
          <w:tcPr>
            <w:tcW w:w="1135" w:type="dxa"/>
            <w:tcBorders>
              <w:top w:val="single" w:sz="4" w:space="0" w:color="ADD6EA"/>
              <w:left w:val="nil"/>
              <w:bottom w:val="single" w:sz="4" w:space="0" w:color="ADD6EA"/>
              <w:right w:val="nil"/>
            </w:tcBorders>
            <w:shd w:val="clear" w:color="auto" w:fill="auto"/>
            <w:vAlign w:val="center"/>
            <w:hideMark/>
          </w:tcPr>
          <w:p w14:paraId="1F7B1FEC"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49.0</w:t>
            </w:r>
          </w:p>
        </w:tc>
        <w:tc>
          <w:tcPr>
            <w:tcW w:w="1283" w:type="dxa"/>
            <w:tcBorders>
              <w:top w:val="single" w:sz="4" w:space="0" w:color="ADD6EA"/>
              <w:left w:val="nil"/>
              <w:bottom w:val="single" w:sz="4" w:space="0" w:color="ADD6EA"/>
              <w:right w:val="nil"/>
            </w:tcBorders>
            <w:shd w:val="clear" w:color="auto" w:fill="auto"/>
            <w:vAlign w:val="center"/>
            <w:hideMark/>
          </w:tcPr>
          <w:p w14:paraId="518450B0" w14:textId="77777777" w:rsidR="003E6EEF" w:rsidRPr="003E6EEF" w:rsidRDefault="003E6EEF" w:rsidP="006D4BE9">
            <w:pPr>
              <w:tabs>
                <w:tab w:val="clear" w:pos="567"/>
              </w:tabs>
              <w:spacing w:before="0" w:line="240" w:lineRule="auto"/>
              <w:jc w:val="right"/>
              <w:rPr>
                <w:rFonts w:eastAsia="Times New Roman" w:cs="Open Sans Light"/>
                <w:color w:val="000000"/>
                <w:sz w:val="16"/>
                <w:szCs w:val="16"/>
                <w:lang w:eastAsia="en-AU"/>
              </w:rPr>
            </w:pPr>
            <w:r w:rsidRPr="003E6EEF">
              <w:rPr>
                <w:rFonts w:eastAsia="Times New Roman" w:cs="Open Sans Light"/>
                <w:color w:val="000000"/>
                <w:sz w:val="16"/>
                <w:szCs w:val="16"/>
                <w:lang w:eastAsia="en-AU"/>
              </w:rPr>
              <w:t>51.5</w:t>
            </w:r>
          </w:p>
        </w:tc>
      </w:tr>
    </w:tbl>
    <w:p w14:paraId="540AC13F" w14:textId="77777777" w:rsidR="0062347D" w:rsidRPr="00C5305E" w:rsidRDefault="0062347D" w:rsidP="0062347D">
      <w:pPr>
        <w:pStyle w:val="CGC2025TableNote"/>
      </w:pPr>
      <w:r w:rsidRPr="00C5305E">
        <w:t>Source: Commission calculations using ABS Government Financial statistics data.</w:t>
      </w:r>
    </w:p>
    <w:p w14:paraId="3BA460AF" w14:textId="77777777" w:rsidR="0062347D" w:rsidRPr="00C5305E" w:rsidRDefault="0062347D" w:rsidP="00CA1374">
      <w:pPr>
        <w:pStyle w:val="Heading4"/>
      </w:pPr>
      <w:r w:rsidRPr="00C5305E">
        <w:t xml:space="preserve">Commission draft position </w:t>
      </w:r>
    </w:p>
    <w:p w14:paraId="2C1DE866" w14:textId="77777777" w:rsidR="0062347D" w:rsidRPr="00C5305E" w:rsidRDefault="0062347D" w:rsidP="00CA1374">
      <w:pPr>
        <w:pStyle w:val="CGC2025ParaNumbers"/>
      </w:pPr>
      <w:r w:rsidRPr="00C5305E">
        <w:t>The Commission proposes to treat all categories in the same manner, and to estimate wage costs by applying the ratio of overall total wage to non-wage expenses to the other expenses in every category.</w:t>
      </w:r>
    </w:p>
    <w:p w14:paraId="736B7EA3" w14:textId="77777777" w:rsidR="00CC6D04" w:rsidRDefault="00CC6D04">
      <w:pPr>
        <w:tabs>
          <w:tab w:val="clear" w:pos="567"/>
        </w:tabs>
        <w:spacing w:before="0" w:after="200" w:line="276" w:lineRule="auto"/>
        <w:rPr>
          <w:rFonts w:ascii="Work Sans" w:eastAsia="Times New Roman" w:hAnsi="Work Sans" w:cs="Open Sans"/>
          <w:b/>
          <w:bCs/>
          <w:color w:val="006991"/>
          <w:sz w:val="36"/>
          <w:szCs w:val="36"/>
        </w:rPr>
      </w:pPr>
      <w:r>
        <w:br w:type="page"/>
      </w:r>
    </w:p>
    <w:p w14:paraId="71B51F2C" w14:textId="0D6B1300" w:rsidR="0062347D" w:rsidRPr="00C5305E" w:rsidRDefault="00046E60" w:rsidP="00E75B04">
      <w:pPr>
        <w:pStyle w:val="Heading2"/>
      </w:pPr>
      <w:r>
        <w:t>I</w:t>
      </w:r>
      <w:r w:rsidR="0062347D" w:rsidRPr="00C5305E">
        <w:t>ndicative distribution impacts</w:t>
      </w:r>
    </w:p>
    <w:p w14:paraId="4C79BEDD" w14:textId="695F98AE" w:rsidR="0062347D" w:rsidRPr="00C5305E" w:rsidRDefault="0062347D" w:rsidP="00405A81">
      <w:pPr>
        <w:pStyle w:val="CGC2025ParaNumbers"/>
      </w:pPr>
      <w:r w:rsidRPr="00C5305E">
        <w:t xml:space="preserve">The impact on the GST distribution in 2024–25 from the proposed method changes is shown in </w:t>
      </w:r>
      <w:r w:rsidR="00D949A0">
        <w:t>Table 5</w:t>
      </w:r>
      <w:r w:rsidRPr="00C5305E">
        <w:t>. This includes the effects of the amended regression model, the smoothing of annual estimates and the change to the way the wage/non</w:t>
      </w:r>
      <w:r w:rsidR="00777932">
        <w:noBreakHyphen/>
      </w:r>
      <w:r w:rsidRPr="00C5305E">
        <w:t xml:space="preserve">wage split is calculated from the GFS data. </w:t>
      </w:r>
    </w:p>
    <w:p w14:paraId="759C0311" w14:textId="77777777" w:rsidR="0062347D" w:rsidRPr="00C5305E" w:rsidRDefault="0062347D" w:rsidP="00405A81">
      <w:pPr>
        <w:pStyle w:val="CGC2025ParaNumbers"/>
      </w:pPr>
      <w:r w:rsidRPr="00C5305E">
        <w:t xml:space="preserve">To avoid double counting of method changes in the analysis in this report, changes to the wage costs assessment have not been included in the changes shown in the category specific chapters. </w:t>
      </w:r>
    </w:p>
    <w:p w14:paraId="341A9F7F" w14:textId="3E4D4489" w:rsidR="003E6EEF" w:rsidRDefault="0062347D" w:rsidP="00734349">
      <w:pPr>
        <w:pStyle w:val="CGC2025Caption"/>
        <w:tabs>
          <w:tab w:val="left" w:pos="1134"/>
        </w:tabs>
        <w:ind w:left="1134" w:hanging="1134"/>
      </w:pPr>
      <w:r w:rsidRPr="00C5305E">
        <w:t xml:space="preserve">Table </w:t>
      </w:r>
      <w:r w:rsidR="000268BC">
        <w:fldChar w:fldCharType="begin"/>
      </w:r>
      <w:r w:rsidR="000268BC">
        <w:instrText xml:space="preserve"> SEQ Table \* ARABIC </w:instrText>
      </w:r>
      <w:r w:rsidR="000268BC">
        <w:fldChar w:fldCharType="separate"/>
      </w:r>
      <w:r w:rsidRPr="00C5305E">
        <w:t>5</w:t>
      </w:r>
      <w:r w:rsidR="000268BC">
        <w:fldChar w:fldCharType="end"/>
      </w:r>
      <w:r w:rsidRPr="00C5305E">
        <w:tab/>
        <w:t>Indicative impact on GST distribution</w:t>
      </w:r>
      <w:r w:rsidR="007A50A2">
        <w:t xml:space="preserve"> (difference </w:t>
      </w:r>
      <w:r w:rsidR="00B14095">
        <w:t>from an equal per capita distribution)</w:t>
      </w:r>
      <w:r w:rsidR="00444395">
        <w:t>, 2024–25</w:t>
      </w:r>
    </w:p>
    <w:tbl>
      <w:tblPr>
        <w:tblW w:w="8960" w:type="dxa"/>
        <w:tblLook w:val="04A0" w:firstRow="1" w:lastRow="0" w:firstColumn="1" w:lastColumn="0" w:noHBand="0" w:noVBand="1"/>
      </w:tblPr>
      <w:tblGrid>
        <w:gridCol w:w="2920"/>
        <w:gridCol w:w="660"/>
        <w:gridCol w:w="660"/>
        <w:gridCol w:w="660"/>
        <w:gridCol w:w="660"/>
        <w:gridCol w:w="660"/>
        <w:gridCol w:w="660"/>
        <w:gridCol w:w="660"/>
        <w:gridCol w:w="660"/>
        <w:gridCol w:w="760"/>
      </w:tblGrid>
      <w:tr w:rsidR="003132A0" w:rsidRPr="003132A0" w14:paraId="121D9FF0" w14:textId="77777777" w:rsidTr="0068024B">
        <w:trPr>
          <w:trHeight w:val="552"/>
        </w:trPr>
        <w:tc>
          <w:tcPr>
            <w:tcW w:w="2920" w:type="dxa"/>
            <w:tcBorders>
              <w:top w:val="nil"/>
              <w:left w:val="nil"/>
              <w:bottom w:val="nil"/>
              <w:right w:val="nil"/>
            </w:tcBorders>
            <w:shd w:val="clear" w:color="000000" w:fill="006991"/>
            <w:vAlign w:val="center"/>
            <w:hideMark/>
          </w:tcPr>
          <w:p w14:paraId="54ED61D0" w14:textId="77777777" w:rsidR="003132A0" w:rsidRPr="003132A0" w:rsidRDefault="003132A0" w:rsidP="003132A0">
            <w:pPr>
              <w:tabs>
                <w:tab w:val="clear" w:pos="567"/>
              </w:tabs>
              <w:spacing w:before="0" w:line="240" w:lineRule="auto"/>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 </w:t>
            </w:r>
          </w:p>
        </w:tc>
        <w:tc>
          <w:tcPr>
            <w:tcW w:w="660" w:type="dxa"/>
            <w:tcBorders>
              <w:top w:val="nil"/>
              <w:left w:val="nil"/>
              <w:bottom w:val="nil"/>
              <w:right w:val="nil"/>
            </w:tcBorders>
            <w:shd w:val="clear" w:color="000000" w:fill="006991"/>
            <w:vAlign w:val="center"/>
            <w:hideMark/>
          </w:tcPr>
          <w:p w14:paraId="31CE5343"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NSW</w:t>
            </w:r>
          </w:p>
        </w:tc>
        <w:tc>
          <w:tcPr>
            <w:tcW w:w="660" w:type="dxa"/>
            <w:tcBorders>
              <w:top w:val="nil"/>
              <w:left w:val="nil"/>
              <w:bottom w:val="nil"/>
              <w:right w:val="nil"/>
            </w:tcBorders>
            <w:shd w:val="clear" w:color="000000" w:fill="006991"/>
            <w:vAlign w:val="center"/>
            <w:hideMark/>
          </w:tcPr>
          <w:p w14:paraId="535CFDFE"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Vic</w:t>
            </w:r>
          </w:p>
        </w:tc>
        <w:tc>
          <w:tcPr>
            <w:tcW w:w="660" w:type="dxa"/>
            <w:tcBorders>
              <w:top w:val="nil"/>
              <w:left w:val="nil"/>
              <w:bottom w:val="nil"/>
              <w:right w:val="nil"/>
            </w:tcBorders>
            <w:shd w:val="clear" w:color="000000" w:fill="006991"/>
            <w:vAlign w:val="center"/>
            <w:hideMark/>
          </w:tcPr>
          <w:p w14:paraId="3188CC25"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Qld</w:t>
            </w:r>
          </w:p>
        </w:tc>
        <w:tc>
          <w:tcPr>
            <w:tcW w:w="660" w:type="dxa"/>
            <w:tcBorders>
              <w:top w:val="nil"/>
              <w:left w:val="nil"/>
              <w:bottom w:val="nil"/>
              <w:right w:val="nil"/>
            </w:tcBorders>
            <w:shd w:val="clear" w:color="000000" w:fill="006991"/>
            <w:vAlign w:val="center"/>
            <w:hideMark/>
          </w:tcPr>
          <w:p w14:paraId="680C7D3B"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WA</w:t>
            </w:r>
          </w:p>
        </w:tc>
        <w:tc>
          <w:tcPr>
            <w:tcW w:w="660" w:type="dxa"/>
            <w:tcBorders>
              <w:top w:val="nil"/>
              <w:left w:val="nil"/>
              <w:bottom w:val="nil"/>
              <w:right w:val="nil"/>
            </w:tcBorders>
            <w:shd w:val="clear" w:color="000000" w:fill="006991"/>
            <w:vAlign w:val="center"/>
            <w:hideMark/>
          </w:tcPr>
          <w:p w14:paraId="422D3FD0"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SA</w:t>
            </w:r>
          </w:p>
        </w:tc>
        <w:tc>
          <w:tcPr>
            <w:tcW w:w="660" w:type="dxa"/>
            <w:tcBorders>
              <w:top w:val="nil"/>
              <w:left w:val="nil"/>
              <w:bottom w:val="nil"/>
              <w:right w:val="nil"/>
            </w:tcBorders>
            <w:shd w:val="clear" w:color="000000" w:fill="006991"/>
            <w:vAlign w:val="center"/>
            <w:hideMark/>
          </w:tcPr>
          <w:p w14:paraId="5CF5E04F"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Tas</w:t>
            </w:r>
          </w:p>
        </w:tc>
        <w:tc>
          <w:tcPr>
            <w:tcW w:w="660" w:type="dxa"/>
            <w:tcBorders>
              <w:top w:val="nil"/>
              <w:left w:val="nil"/>
              <w:bottom w:val="nil"/>
              <w:right w:val="nil"/>
            </w:tcBorders>
            <w:shd w:val="clear" w:color="000000" w:fill="006991"/>
            <w:vAlign w:val="center"/>
            <w:hideMark/>
          </w:tcPr>
          <w:p w14:paraId="5FAB170E"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ACT</w:t>
            </w:r>
          </w:p>
        </w:tc>
        <w:tc>
          <w:tcPr>
            <w:tcW w:w="660" w:type="dxa"/>
            <w:tcBorders>
              <w:top w:val="nil"/>
              <w:left w:val="nil"/>
              <w:bottom w:val="nil"/>
              <w:right w:val="nil"/>
            </w:tcBorders>
            <w:shd w:val="clear" w:color="000000" w:fill="006991"/>
            <w:vAlign w:val="center"/>
            <w:hideMark/>
          </w:tcPr>
          <w:p w14:paraId="41A0648E"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NT</w:t>
            </w:r>
          </w:p>
        </w:tc>
        <w:tc>
          <w:tcPr>
            <w:tcW w:w="760" w:type="dxa"/>
            <w:tcBorders>
              <w:top w:val="nil"/>
              <w:left w:val="nil"/>
              <w:bottom w:val="nil"/>
              <w:right w:val="nil"/>
            </w:tcBorders>
            <w:shd w:val="clear" w:color="000000" w:fill="006991"/>
            <w:vAlign w:val="center"/>
            <w:hideMark/>
          </w:tcPr>
          <w:p w14:paraId="413E67B7"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3132A0">
              <w:rPr>
                <w:rFonts w:ascii="Open Sans Semibold" w:eastAsia="Times New Roman" w:hAnsi="Open Sans Semibold" w:cs="Open Sans Semibold"/>
                <w:color w:val="FFFFFF"/>
                <w:sz w:val="16"/>
                <w:szCs w:val="16"/>
                <w:lang w:eastAsia="en-AU"/>
              </w:rPr>
              <w:t>Total Effect</w:t>
            </w:r>
          </w:p>
        </w:tc>
      </w:tr>
      <w:tr w:rsidR="003132A0" w:rsidRPr="003132A0" w14:paraId="4511B899" w14:textId="77777777" w:rsidTr="0068024B">
        <w:trPr>
          <w:trHeight w:val="259"/>
        </w:trPr>
        <w:tc>
          <w:tcPr>
            <w:tcW w:w="2920" w:type="dxa"/>
            <w:tcBorders>
              <w:top w:val="single" w:sz="4" w:space="0" w:color="ADD6EA"/>
              <w:left w:val="nil"/>
              <w:bottom w:val="nil"/>
              <w:right w:val="nil"/>
            </w:tcBorders>
            <w:shd w:val="clear" w:color="000000" w:fill="B6D5E4"/>
            <w:vAlign w:val="bottom"/>
            <w:hideMark/>
          </w:tcPr>
          <w:p w14:paraId="158D8678" w14:textId="77777777" w:rsidR="003132A0" w:rsidRPr="003132A0" w:rsidRDefault="003132A0" w:rsidP="003132A0">
            <w:pPr>
              <w:tabs>
                <w:tab w:val="clear" w:pos="567"/>
              </w:tabs>
              <w:spacing w:before="0" w:line="240" w:lineRule="auto"/>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 </w:t>
            </w:r>
          </w:p>
        </w:tc>
        <w:tc>
          <w:tcPr>
            <w:tcW w:w="660" w:type="dxa"/>
            <w:tcBorders>
              <w:top w:val="single" w:sz="4" w:space="0" w:color="ADD6EA"/>
              <w:left w:val="nil"/>
              <w:bottom w:val="nil"/>
              <w:right w:val="nil"/>
            </w:tcBorders>
            <w:shd w:val="clear" w:color="000000" w:fill="B6D5E4"/>
            <w:vAlign w:val="center"/>
            <w:hideMark/>
          </w:tcPr>
          <w:p w14:paraId="716C599F"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64B71328"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5E66E309"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2C20B3A0"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7D97D56A"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44E350F9"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5FA637E6"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c>
          <w:tcPr>
            <w:tcW w:w="660" w:type="dxa"/>
            <w:tcBorders>
              <w:top w:val="single" w:sz="4" w:space="0" w:color="ADD6EA"/>
              <w:left w:val="nil"/>
              <w:bottom w:val="nil"/>
              <w:right w:val="nil"/>
            </w:tcBorders>
            <w:shd w:val="clear" w:color="000000" w:fill="B6D5E4"/>
            <w:vAlign w:val="center"/>
            <w:hideMark/>
          </w:tcPr>
          <w:p w14:paraId="06BB4B6C"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c>
          <w:tcPr>
            <w:tcW w:w="760" w:type="dxa"/>
            <w:tcBorders>
              <w:top w:val="single" w:sz="4" w:space="0" w:color="ADD6EA"/>
              <w:left w:val="nil"/>
              <w:bottom w:val="nil"/>
              <w:right w:val="nil"/>
            </w:tcBorders>
            <w:shd w:val="clear" w:color="000000" w:fill="B6D5E4"/>
            <w:vAlign w:val="center"/>
            <w:hideMark/>
          </w:tcPr>
          <w:p w14:paraId="5A49320B"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$m</w:t>
            </w:r>
          </w:p>
        </w:tc>
      </w:tr>
      <w:tr w:rsidR="003132A0" w:rsidRPr="003132A0" w14:paraId="37FF6195" w14:textId="77777777" w:rsidTr="0068024B">
        <w:trPr>
          <w:trHeight w:val="319"/>
        </w:trPr>
        <w:tc>
          <w:tcPr>
            <w:tcW w:w="2920" w:type="dxa"/>
            <w:tcBorders>
              <w:top w:val="single" w:sz="4" w:space="0" w:color="ADD6EA"/>
              <w:left w:val="nil"/>
              <w:bottom w:val="nil"/>
              <w:right w:val="nil"/>
            </w:tcBorders>
            <w:shd w:val="clear" w:color="000000" w:fill="FFFFFF"/>
            <w:vAlign w:val="center"/>
            <w:hideMark/>
          </w:tcPr>
          <w:p w14:paraId="53E38EF0" w14:textId="64FA25A2" w:rsidR="003132A0" w:rsidRPr="003132A0" w:rsidRDefault="003132A0" w:rsidP="0068024B">
            <w:pPr>
              <w:tabs>
                <w:tab w:val="clear" w:pos="567"/>
              </w:tabs>
              <w:spacing w:before="0" w:line="240" w:lineRule="auto"/>
              <w:rPr>
                <w:rFonts w:eastAsia="Times New Roman" w:cs="Open Sans Light"/>
                <w:color w:val="000000"/>
                <w:sz w:val="16"/>
                <w:szCs w:val="16"/>
                <w:lang w:eastAsia="en-AU"/>
              </w:rPr>
            </w:pPr>
            <w:r w:rsidRPr="003132A0">
              <w:rPr>
                <w:rFonts w:eastAsia="Times New Roman" w:cs="Open Sans Light"/>
                <w:color w:val="000000"/>
                <w:sz w:val="16"/>
                <w:szCs w:val="16"/>
                <w:lang w:eastAsia="en-AU"/>
              </w:rPr>
              <w:t>U2024 using R2020 methods</w:t>
            </w:r>
          </w:p>
        </w:tc>
        <w:tc>
          <w:tcPr>
            <w:tcW w:w="660" w:type="dxa"/>
            <w:tcBorders>
              <w:top w:val="single" w:sz="4" w:space="0" w:color="ADD6EA"/>
              <w:left w:val="nil"/>
              <w:bottom w:val="nil"/>
              <w:right w:val="nil"/>
            </w:tcBorders>
            <w:shd w:val="clear" w:color="000000" w:fill="FFFFFF"/>
            <w:vAlign w:val="center"/>
            <w:hideMark/>
          </w:tcPr>
          <w:p w14:paraId="5BEF605B"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807</w:t>
            </w:r>
          </w:p>
        </w:tc>
        <w:tc>
          <w:tcPr>
            <w:tcW w:w="660" w:type="dxa"/>
            <w:tcBorders>
              <w:top w:val="single" w:sz="4" w:space="0" w:color="ADD6EA"/>
              <w:left w:val="nil"/>
              <w:bottom w:val="nil"/>
              <w:right w:val="nil"/>
            </w:tcBorders>
            <w:shd w:val="clear" w:color="000000" w:fill="FFFFFF"/>
            <w:vAlign w:val="center"/>
            <w:hideMark/>
          </w:tcPr>
          <w:p w14:paraId="095074BA"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-217</w:t>
            </w:r>
          </w:p>
        </w:tc>
        <w:tc>
          <w:tcPr>
            <w:tcW w:w="660" w:type="dxa"/>
            <w:tcBorders>
              <w:top w:val="single" w:sz="4" w:space="0" w:color="ADD6EA"/>
              <w:left w:val="nil"/>
              <w:bottom w:val="nil"/>
              <w:right w:val="nil"/>
            </w:tcBorders>
            <w:shd w:val="clear" w:color="000000" w:fill="FFFFFF"/>
            <w:vAlign w:val="center"/>
            <w:hideMark/>
          </w:tcPr>
          <w:p w14:paraId="6E9ACC19"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-736</w:t>
            </w:r>
          </w:p>
        </w:tc>
        <w:tc>
          <w:tcPr>
            <w:tcW w:w="660" w:type="dxa"/>
            <w:tcBorders>
              <w:top w:val="single" w:sz="4" w:space="0" w:color="ADD6EA"/>
              <w:left w:val="nil"/>
              <w:bottom w:val="nil"/>
              <w:right w:val="nil"/>
            </w:tcBorders>
            <w:shd w:val="clear" w:color="000000" w:fill="FFFFFF"/>
            <w:vAlign w:val="center"/>
            <w:hideMark/>
          </w:tcPr>
          <w:p w14:paraId="4394D4B1"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813</w:t>
            </w:r>
          </w:p>
        </w:tc>
        <w:tc>
          <w:tcPr>
            <w:tcW w:w="660" w:type="dxa"/>
            <w:tcBorders>
              <w:top w:val="single" w:sz="4" w:space="0" w:color="ADD6EA"/>
              <w:left w:val="nil"/>
              <w:bottom w:val="nil"/>
              <w:right w:val="nil"/>
            </w:tcBorders>
            <w:shd w:val="clear" w:color="000000" w:fill="FFFFFF"/>
            <w:vAlign w:val="center"/>
            <w:hideMark/>
          </w:tcPr>
          <w:p w14:paraId="3FB05CA6"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-639</w:t>
            </w:r>
          </w:p>
        </w:tc>
        <w:tc>
          <w:tcPr>
            <w:tcW w:w="660" w:type="dxa"/>
            <w:tcBorders>
              <w:top w:val="single" w:sz="4" w:space="0" w:color="ADD6EA"/>
              <w:left w:val="nil"/>
              <w:bottom w:val="nil"/>
              <w:right w:val="nil"/>
            </w:tcBorders>
            <w:shd w:val="clear" w:color="000000" w:fill="FFFFFF"/>
            <w:vAlign w:val="center"/>
            <w:hideMark/>
          </w:tcPr>
          <w:p w14:paraId="6BDF17AE"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-322</w:t>
            </w:r>
          </w:p>
        </w:tc>
        <w:tc>
          <w:tcPr>
            <w:tcW w:w="660" w:type="dxa"/>
            <w:tcBorders>
              <w:top w:val="single" w:sz="4" w:space="0" w:color="ADD6EA"/>
              <w:left w:val="nil"/>
              <w:bottom w:val="nil"/>
              <w:right w:val="nil"/>
            </w:tcBorders>
            <w:shd w:val="clear" w:color="000000" w:fill="FFFFFF"/>
            <w:vAlign w:val="center"/>
            <w:hideMark/>
          </w:tcPr>
          <w:p w14:paraId="689C6412"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176</w:t>
            </w:r>
          </w:p>
        </w:tc>
        <w:tc>
          <w:tcPr>
            <w:tcW w:w="660" w:type="dxa"/>
            <w:tcBorders>
              <w:top w:val="single" w:sz="4" w:space="0" w:color="ADD6EA"/>
              <w:left w:val="nil"/>
              <w:bottom w:val="nil"/>
              <w:right w:val="nil"/>
            </w:tcBorders>
            <w:shd w:val="clear" w:color="000000" w:fill="FFFFFF"/>
            <w:vAlign w:val="center"/>
            <w:hideMark/>
          </w:tcPr>
          <w:p w14:paraId="52B7FC1A"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118</w:t>
            </w:r>
          </w:p>
        </w:tc>
        <w:tc>
          <w:tcPr>
            <w:tcW w:w="760" w:type="dxa"/>
            <w:tcBorders>
              <w:top w:val="single" w:sz="4" w:space="0" w:color="ADD6EA"/>
              <w:left w:val="nil"/>
              <w:bottom w:val="nil"/>
              <w:right w:val="nil"/>
            </w:tcBorders>
            <w:shd w:val="clear" w:color="000000" w:fill="FFFFFF"/>
            <w:vAlign w:val="center"/>
            <w:hideMark/>
          </w:tcPr>
          <w:p w14:paraId="774F4B0E"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1,914</w:t>
            </w:r>
          </w:p>
        </w:tc>
      </w:tr>
      <w:tr w:rsidR="003132A0" w:rsidRPr="003132A0" w14:paraId="5FCB734C" w14:textId="77777777" w:rsidTr="0068024B">
        <w:trPr>
          <w:trHeight w:val="319"/>
        </w:trPr>
        <w:tc>
          <w:tcPr>
            <w:tcW w:w="2920" w:type="dxa"/>
            <w:tcBorders>
              <w:top w:val="single" w:sz="4" w:space="0" w:color="ADD6EA"/>
              <w:left w:val="nil"/>
              <w:bottom w:val="nil"/>
              <w:right w:val="nil"/>
            </w:tcBorders>
            <w:shd w:val="clear" w:color="000000" w:fill="FFFFFF"/>
            <w:vAlign w:val="center"/>
            <w:hideMark/>
          </w:tcPr>
          <w:p w14:paraId="5B4F5098" w14:textId="77777777" w:rsidR="003132A0" w:rsidRPr="003132A0" w:rsidRDefault="003132A0" w:rsidP="0068024B">
            <w:pPr>
              <w:tabs>
                <w:tab w:val="clear" w:pos="567"/>
              </w:tabs>
              <w:spacing w:before="0" w:line="240" w:lineRule="auto"/>
              <w:rPr>
                <w:rFonts w:eastAsia="Times New Roman" w:cs="Open Sans Light"/>
                <w:color w:val="000000"/>
                <w:sz w:val="16"/>
                <w:szCs w:val="16"/>
                <w:lang w:eastAsia="en-AU"/>
              </w:rPr>
            </w:pPr>
            <w:r w:rsidRPr="003132A0">
              <w:rPr>
                <w:rFonts w:eastAsia="Times New Roman" w:cs="Open Sans Light"/>
                <w:color w:val="000000"/>
                <w:sz w:val="16"/>
                <w:szCs w:val="16"/>
                <w:lang w:eastAsia="en-AU"/>
              </w:rPr>
              <w:t>U2024 using draft R2025 methods</w:t>
            </w:r>
          </w:p>
        </w:tc>
        <w:tc>
          <w:tcPr>
            <w:tcW w:w="660" w:type="dxa"/>
            <w:tcBorders>
              <w:top w:val="single" w:sz="4" w:space="0" w:color="ADD6EA"/>
              <w:left w:val="nil"/>
              <w:bottom w:val="nil"/>
              <w:right w:val="nil"/>
            </w:tcBorders>
            <w:shd w:val="clear" w:color="000000" w:fill="FFFFFF"/>
            <w:vAlign w:val="center"/>
            <w:hideMark/>
          </w:tcPr>
          <w:p w14:paraId="0CD3AB4B"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678</w:t>
            </w:r>
          </w:p>
        </w:tc>
        <w:tc>
          <w:tcPr>
            <w:tcW w:w="660" w:type="dxa"/>
            <w:tcBorders>
              <w:top w:val="single" w:sz="4" w:space="0" w:color="ADD6EA"/>
              <w:left w:val="nil"/>
              <w:bottom w:val="nil"/>
              <w:right w:val="nil"/>
            </w:tcBorders>
            <w:shd w:val="clear" w:color="000000" w:fill="FFFFFF"/>
            <w:vAlign w:val="center"/>
            <w:hideMark/>
          </w:tcPr>
          <w:p w14:paraId="2F5F0815"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21</w:t>
            </w:r>
          </w:p>
        </w:tc>
        <w:tc>
          <w:tcPr>
            <w:tcW w:w="660" w:type="dxa"/>
            <w:tcBorders>
              <w:top w:val="single" w:sz="4" w:space="0" w:color="ADD6EA"/>
              <w:left w:val="nil"/>
              <w:bottom w:val="nil"/>
              <w:right w:val="nil"/>
            </w:tcBorders>
            <w:shd w:val="clear" w:color="000000" w:fill="FFFFFF"/>
            <w:vAlign w:val="center"/>
            <w:hideMark/>
          </w:tcPr>
          <w:p w14:paraId="6BC5CB11"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-719</w:t>
            </w:r>
          </w:p>
        </w:tc>
        <w:tc>
          <w:tcPr>
            <w:tcW w:w="660" w:type="dxa"/>
            <w:tcBorders>
              <w:top w:val="single" w:sz="4" w:space="0" w:color="ADD6EA"/>
              <w:left w:val="nil"/>
              <w:bottom w:val="nil"/>
              <w:right w:val="nil"/>
            </w:tcBorders>
            <w:shd w:val="clear" w:color="000000" w:fill="FFFFFF"/>
            <w:vAlign w:val="center"/>
            <w:hideMark/>
          </w:tcPr>
          <w:p w14:paraId="1E0C4948"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466</w:t>
            </w:r>
          </w:p>
        </w:tc>
        <w:tc>
          <w:tcPr>
            <w:tcW w:w="660" w:type="dxa"/>
            <w:tcBorders>
              <w:top w:val="single" w:sz="4" w:space="0" w:color="ADD6EA"/>
              <w:left w:val="nil"/>
              <w:bottom w:val="nil"/>
              <w:right w:val="nil"/>
            </w:tcBorders>
            <w:shd w:val="clear" w:color="000000" w:fill="FFFFFF"/>
            <w:vAlign w:val="center"/>
            <w:hideMark/>
          </w:tcPr>
          <w:p w14:paraId="58641D9B"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-517</w:t>
            </w:r>
          </w:p>
        </w:tc>
        <w:tc>
          <w:tcPr>
            <w:tcW w:w="660" w:type="dxa"/>
            <w:tcBorders>
              <w:top w:val="single" w:sz="4" w:space="0" w:color="ADD6EA"/>
              <w:left w:val="nil"/>
              <w:bottom w:val="nil"/>
              <w:right w:val="nil"/>
            </w:tcBorders>
            <w:shd w:val="clear" w:color="000000" w:fill="FFFFFF"/>
            <w:vAlign w:val="center"/>
            <w:hideMark/>
          </w:tcPr>
          <w:p w14:paraId="13D0A3F8"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-215</w:t>
            </w:r>
          </w:p>
        </w:tc>
        <w:tc>
          <w:tcPr>
            <w:tcW w:w="660" w:type="dxa"/>
            <w:tcBorders>
              <w:top w:val="single" w:sz="4" w:space="0" w:color="ADD6EA"/>
              <w:left w:val="nil"/>
              <w:bottom w:val="nil"/>
              <w:right w:val="nil"/>
            </w:tcBorders>
            <w:shd w:val="clear" w:color="000000" w:fill="FFFFFF"/>
            <w:vAlign w:val="center"/>
            <w:hideMark/>
          </w:tcPr>
          <w:p w14:paraId="462F20B5"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202</w:t>
            </w:r>
          </w:p>
        </w:tc>
        <w:tc>
          <w:tcPr>
            <w:tcW w:w="660" w:type="dxa"/>
            <w:tcBorders>
              <w:top w:val="single" w:sz="4" w:space="0" w:color="ADD6EA"/>
              <w:left w:val="nil"/>
              <w:bottom w:val="nil"/>
              <w:right w:val="nil"/>
            </w:tcBorders>
            <w:shd w:val="clear" w:color="000000" w:fill="FFFFFF"/>
            <w:vAlign w:val="center"/>
            <w:hideMark/>
          </w:tcPr>
          <w:p w14:paraId="1906A1C3"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85</w:t>
            </w:r>
          </w:p>
        </w:tc>
        <w:tc>
          <w:tcPr>
            <w:tcW w:w="760" w:type="dxa"/>
            <w:tcBorders>
              <w:top w:val="single" w:sz="4" w:space="0" w:color="ADD6EA"/>
              <w:left w:val="nil"/>
              <w:bottom w:val="nil"/>
              <w:right w:val="nil"/>
            </w:tcBorders>
            <w:shd w:val="clear" w:color="000000" w:fill="FFFFFF"/>
            <w:vAlign w:val="center"/>
            <w:hideMark/>
          </w:tcPr>
          <w:p w14:paraId="2E787FCC"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1,452</w:t>
            </w:r>
          </w:p>
        </w:tc>
      </w:tr>
      <w:tr w:rsidR="003132A0" w:rsidRPr="003132A0" w14:paraId="162DBF46" w14:textId="77777777" w:rsidTr="0068024B">
        <w:trPr>
          <w:trHeight w:val="319"/>
        </w:trPr>
        <w:tc>
          <w:tcPr>
            <w:tcW w:w="2920" w:type="dxa"/>
            <w:tcBorders>
              <w:top w:val="single" w:sz="4" w:space="0" w:color="ADD6EA"/>
              <w:left w:val="nil"/>
              <w:bottom w:val="nil"/>
              <w:right w:val="nil"/>
            </w:tcBorders>
            <w:shd w:val="clear" w:color="000000" w:fill="FFFFFF"/>
            <w:vAlign w:val="center"/>
            <w:hideMark/>
          </w:tcPr>
          <w:p w14:paraId="1B1321AC" w14:textId="77777777" w:rsidR="003132A0" w:rsidRPr="003132A0" w:rsidRDefault="003132A0" w:rsidP="0068024B">
            <w:pPr>
              <w:tabs>
                <w:tab w:val="clear" w:pos="567"/>
              </w:tabs>
              <w:spacing w:before="0" w:line="240" w:lineRule="auto"/>
              <w:rPr>
                <w:rFonts w:eastAsia="Times New Roman" w:cs="Open Sans Light"/>
                <w:color w:val="000000"/>
                <w:sz w:val="16"/>
                <w:szCs w:val="16"/>
                <w:lang w:eastAsia="en-AU"/>
              </w:rPr>
            </w:pPr>
            <w:r w:rsidRPr="003132A0">
              <w:rPr>
                <w:rFonts w:eastAsia="Times New Roman" w:cs="Open Sans Light"/>
                <w:color w:val="000000"/>
                <w:sz w:val="16"/>
                <w:szCs w:val="16"/>
                <w:lang w:eastAsia="en-AU"/>
              </w:rPr>
              <w:t>Effect of draft method changes</w:t>
            </w:r>
          </w:p>
        </w:tc>
        <w:tc>
          <w:tcPr>
            <w:tcW w:w="660" w:type="dxa"/>
            <w:tcBorders>
              <w:top w:val="single" w:sz="4" w:space="0" w:color="ADD6EA"/>
              <w:left w:val="nil"/>
              <w:bottom w:val="nil"/>
              <w:right w:val="nil"/>
            </w:tcBorders>
            <w:shd w:val="clear" w:color="000000" w:fill="FFFFFF"/>
            <w:vAlign w:val="center"/>
            <w:hideMark/>
          </w:tcPr>
          <w:p w14:paraId="47FF8F03"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-129</w:t>
            </w:r>
          </w:p>
        </w:tc>
        <w:tc>
          <w:tcPr>
            <w:tcW w:w="660" w:type="dxa"/>
            <w:tcBorders>
              <w:top w:val="single" w:sz="4" w:space="0" w:color="ADD6EA"/>
              <w:left w:val="nil"/>
              <w:bottom w:val="nil"/>
              <w:right w:val="nil"/>
            </w:tcBorders>
            <w:shd w:val="clear" w:color="000000" w:fill="FFFFFF"/>
            <w:vAlign w:val="center"/>
            <w:hideMark/>
          </w:tcPr>
          <w:p w14:paraId="321E4387"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238</w:t>
            </w:r>
          </w:p>
        </w:tc>
        <w:tc>
          <w:tcPr>
            <w:tcW w:w="660" w:type="dxa"/>
            <w:tcBorders>
              <w:top w:val="single" w:sz="4" w:space="0" w:color="ADD6EA"/>
              <w:left w:val="nil"/>
              <w:bottom w:val="nil"/>
              <w:right w:val="nil"/>
            </w:tcBorders>
            <w:shd w:val="clear" w:color="000000" w:fill="FFFFFF"/>
            <w:vAlign w:val="center"/>
            <w:hideMark/>
          </w:tcPr>
          <w:p w14:paraId="4E1158ED"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17</w:t>
            </w:r>
          </w:p>
        </w:tc>
        <w:tc>
          <w:tcPr>
            <w:tcW w:w="660" w:type="dxa"/>
            <w:tcBorders>
              <w:top w:val="single" w:sz="4" w:space="0" w:color="ADD6EA"/>
              <w:left w:val="nil"/>
              <w:bottom w:val="nil"/>
              <w:right w:val="nil"/>
            </w:tcBorders>
            <w:shd w:val="clear" w:color="000000" w:fill="FFFFFF"/>
            <w:vAlign w:val="center"/>
            <w:hideMark/>
          </w:tcPr>
          <w:p w14:paraId="0A8D4F7F"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-348</w:t>
            </w:r>
          </w:p>
        </w:tc>
        <w:tc>
          <w:tcPr>
            <w:tcW w:w="660" w:type="dxa"/>
            <w:tcBorders>
              <w:top w:val="single" w:sz="4" w:space="0" w:color="ADD6EA"/>
              <w:left w:val="nil"/>
              <w:bottom w:val="nil"/>
              <w:right w:val="nil"/>
            </w:tcBorders>
            <w:shd w:val="clear" w:color="000000" w:fill="FFFFFF"/>
            <w:vAlign w:val="center"/>
            <w:hideMark/>
          </w:tcPr>
          <w:p w14:paraId="6A2F74FB"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122</w:t>
            </w:r>
          </w:p>
        </w:tc>
        <w:tc>
          <w:tcPr>
            <w:tcW w:w="660" w:type="dxa"/>
            <w:tcBorders>
              <w:top w:val="single" w:sz="4" w:space="0" w:color="ADD6EA"/>
              <w:left w:val="nil"/>
              <w:bottom w:val="nil"/>
              <w:right w:val="nil"/>
            </w:tcBorders>
            <w:shd w:val="clear" w:color="000000" w:fill="FFFFFF"/>
            <w:vAlign w:val="center"/>
            <w:hideMark/>
          </w:tcPr>
          <w:p w14:paraId="39A7A3B7"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107</w:t>
            </w:r>
          </w:p>
        </w:tc>
        <w:tc>
          <w:tcPr>
            <w:tcW w:w="660" w:type="dxa"/>
            <w:tcBorders>
              <w:top w:val="single" w:sz="4" w:space="0" w:color="ADD6EA"/>
              <w:left w:val="nil"/>
              <w:bottom w:val="nil"/>
              <w:right w:val="nil"/>
            </w:tcBorders>
            <w:shd w:val="clear" w:color="000000" w:fill="FFFFFF"/>
            <w:vAlign w:val="center"/>
            <w:hideMark/>
          </w:tcPr>
          <w:p w14:paraId="6F4077D9"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26</w:t>
            </w:r>
          </w:p>
        </w:tc>
        <w:tc>
          <w:tcPr>
            <w:tcW w:w="660" w:type="dxa"/>
            <w:tcBorders>
              <w:top w:val="single" w:sz="4" w:space="0" w:color="ADD6EA"/>
              <w:left w:val="nil"/>
              <w:bottom w:val="nil"/>
              <w:right w:val="nil"/>
            </w:tcBorders>
            <w:shd w:val="clear" w:color="000000" w:fill="FFFFFF"/>
            <w:vAlign w:val="center"/>
            <w:hideMark/>
          </w:tcPr>
          <w:p w14:paraId="1742ADE8"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-33</w:t>
            </w:r>
          </w:p>
        </w:tc>
        <w:tc>
          <w:tcPr>
            <w:tcW w:w="760" w:type="dxa"/>
            <w:tcBorders>
              <w:top w:val="single" w:sz="4" w:space="0" w:color="ADD6EA"/>
              <w:left w:val="nil"/>
              <w:bottom w:val="nil"/>
              <w:right w:val="nil"/>
            </w:tcBorders>
            <w:shd w:val="clear" w:color="000000" w:fill="FFFFFF"/>
            <w:vAlign w:val="center"/>
            <w:hideMark/>
          </w:tcPr>
          <w:p w14:paraId="74164A4F"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510</w:t>
            </w:r>
          </w:p>
        </w:tc>
      </w:tr>
      <w:tr w:rsidR="003132A0" w:rsidRPr="003132A0" w14:paraId="5E2A4D4D" w14:textId="77777777" w:rsidTr="0068024B">
        <w:trPr>
          <w:trHeight w:val="259"/>
        </w:trPr>
        <w:tc>
          <w:tcPr>
            <w:tcW w:w="2920" w:type="dxa"/>
            <w:tcBorders>
              <w:top w:val="single" w:sz="4" w:space="0" w:color="ADD6EA"/>
              <w:left w:val="nil"/>
              <w:bottom w:val="nil"/>
              <w:right w:val="nil"/>
            </w:tcBorders>
            <w:shd w:val="clear" w:color="000000" w:fill="B6D5E4"/>
            <w:vAlign w:val="center"/>
            <w:hideMark/>
          </w:tcPr>
          <w:p w14:paraId="740F9C98" w14:textId="77777777" w:rsidR="003132A0" w:rsidRPr="003132A0" w:rsidRDefault="003132A0" w:rsidP="0068024B">
            <w:pPr>
              <w:tabs>
                <w:tab w:val="clear" w:pos="567"/>
              </w:tabs>
              <w:spacing w:before="0" w:line="240" w:lineRule="auto"/>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 </w:t>
            </w:r>
          </w:p>
        </w:tc>
        <w:tc>
          <w:tcPr>
            <w:tcW w:w="660" w:type="dxa"/>
            <w:tcBorders>
              <w:top w:val="single" w:sz="4" w:space="0" w:color="ADD6EA"/>
              <w:left w:val="nil"/>
              <w:bottom w:val="nil"/>
              <w:right w:val="nil"/>
            </w:tcBorders>
            <w:shd w:val="clear" w:color="000000" w:fill="B6D5E4"/>
            <w:vAlign w:val="center"/>
            <w:hideMark/>
          </w:tcPr>
          <w:p w14:paraId="15F76DF4"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5041F17F"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0CDA7666"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33FCD1B1"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05053458"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33B5BA8F"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5DC2C854"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c>
          <w:tcPr>
            <w:tcW w:w="660" w:type="dxa"/>
            <w:tcBorders>
              <w:top w:val="single" w:sz="4" w:space="0" w:color="ADD6EA"/>
              <w:left w:val="nil"/>
              <w:bottom w:val="nil"/>
              <w:right w:val="nil"/>
            </w:tcBorders>
            <w:shd w:val="clear" w:color="000000" w:fill="B6D5E4"/>
            <w:vAlign w:val="center"/>
            <w:hideMark/>
          </w:tcPr>
          <w:p w14:paraId="148C2A31"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c>
          <w:tcPr>
            <w:tcW w:w="760" w:type="dxa"/>
            <w:tcBorders>
              <w:top w:val="single" w:sz="4" w:space="0" w:color="ADD6EA"/>
              <w:left w:val="nil"/>
              <w:bottom w:val="nil"/>
              <w:right w:val="nil"/>
            </w:tcBorders>
            <w:shd w:val="clear" w:color="000000" w:fill="B6D5E4"/>
            <w:vAlign w:val="center"/>
            <w:hideMark/>
          </w:tcPr>
          <w:p w14:paraId="603B4DF3" w14:textId="77777777" w:rsidR="003132A0" w:rsidRPr="003132A0" w:rsidRDefault="003132A0" w:rsidP="0068024B">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3132A0">
              <w:rPr>
                <w:rFonts w:ascii="Open Sans Semibold" w:eastAsia="Times New Roman" w:hAnsi="Open Sans Semibold" w:cs="Open Sans Semibold"/>
                <w:color w:val="000000"/>
                <w:sz w:val="16"/>
                <w:szCs w:val="16"/>
                <w:lang w:eastAsia="en-AU"/>
              </w:rPr>
              <w:t>$pc</w:t>
            </w:r>
          </w:p>
        </w:tc>
      </w:tr>
      <w:tr w:rsidR="003132A0" w:rsidRPr="003132A0" w14:paraId="681B9F37" w14:textId="77777777" w:rsidTr="0068024B">
        <w:trPr>
          <w:trHeight w:val="319"/>
        </w:trPr>
        <w:tc>
          <w:tcPr>
            <w:tcW w:w="2920" w:type="dxa"/>
            <w:tcBorders>
              <w:top w:val="single" w:sz="4" w:space="0" w:color="ADD6EA"/>
              <w:left w:val="nil"/>
              <w:bottom w:val="nil"/>
              <w:right w:val="nil"/>
            </w:tcBorders>
            <w:shd w:val="clear" w:color="000000" w:fill="FFFFFF"/>
            <w:vAlign w:val="center"/>
            <w:hideMark/>
          </w:tcPr>
          <w:p w14:paraId="17E45DA3" w14:textId="77777777" w:rsidR="003132A0" w:rsidRPr="003132A0" w:rsidRDefault="003132A0" w:rsidP="0068024B">
            <w:pPr>
              <w:tabs>
                <w:tab w:val="clear" w:pos="567"/>
              </w:tabs>
              <w:spacing w:before="0" w:line="240" w:lineRule="auto"/>
              <w:rPr>
                <w:rFonts w:eastAsia="Times New Roman" w:cs="Open Sans Light"/>
                <w:color w:val="000000"/>
                <w:sz w:val="16"/>
                <w:szCs w:val="16"/>
                <w:lang w:eastAsia="en-AU"/>
              </w:rPr>
            </w:pPr>
            <w:r w:rsidRPr="003132A0">
              <w:rPr>
                <w:rFonts w:eastAsia="Times New Roman" w:cs="Open Sans Light"/>
                <w:color w:val="000000"/>
                <w:sz w:val="16"/>
                <w:szCs w:val="16"/>
                <w:lang w:eastAsia="en-AU"/>
              </w:rPr>
              <w:t>U2024 using R2020 methods</w:t>
            </w:r>
          </w:p>
        </w:tc>
        <w:tc>
          <w:tcPr>
            <w:tcW w:w="660" w:type="dxa"/>
            <w:tcBorders>
              <w:top w:val="single" w:sz="4" w:space="0" w:color="ADD6EA"/>
              <w:left w:val="nil"/>
              <w:bottom w:val="nil"/>
              <w:right w:val="nil"/>
            </w:tcBorders>
            <w:shd w:val="clear" w:color="000000" w:fill="FFFFFF"/>
            <w:vAlign w:val="center"/>
            <w:hideMark/>
          </w:tcPr>
          <w:p w14:paraId="2EE907D0"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95</w:t>
            </w:r>
          </w:p>
        </w:tc>
        <w:tc>
          <w:tcPr>
            <w:tcW w:w="660" w:type="dxa"/>
            <w:tcBorders>
              <w:top w:val="single" w:sz="4" w:space="0" w:color="ADD6EA"/>
              <w:left w:val="nil"/>
              <w:bottom w:val="nil"/>
              <w:right w:val="nil"/>
            </w:tcBorders>
            <w:shd w:val="clear" w:color="000000" w:fill="FFFFFF"/>
            <w:vAlign w:val="center"/>
            <w:hideMark/>
          </w:tcPr>
          <w:p w14:paraId="3CDD88FC"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-31</w:t>
            </w:r>
          </w:p>
        </w:tc>
        <w:tc>
          <w:tcPr>
            <w:tcW w:w="660" w:type="dxa"/>
            <w:tcBorders>
              <w:top w:val="single" w:sz="4" w:space="0" w:color="ADD6EA"/>
              <w:left w:val="nil"/>
              <w:bottom w:val="nil"/>
              <w:right w:val="nil"/>
            </w:tcBorders>
            <w:shd w:val="clear" w:color="000000" w:fill="FFFFFF"/>
            <w:vAlign w:val="center"/>
            <w:hideMark/>
          </w:tcPr>
          <w:p w14:paraId="19DCFDE5"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-131</w:t>
            </w:r>
          </w:p>
        </w:tc>
        <w:tc>
          <w:tcPr>
            <w:tcW w:w="660" w:type="dxa"/>
            <w:tcBorders>
              <w:top w:val="single" w:sz="4" w:space="0" w:color="ADD6EA"/>
              <w:left w:val="nil"/>
              <w:bottom w:val="nil"/>
              <w:right w:val="nil"/>
            </w:tcBorders>
            <w:shd w:val="clear" w:color="000000" w:fill="FFFFFF"/>
            <w:vAlign w:val="center"/>
            <w:hideMark/>
          </w:tcPr>
          <w:p w14:paraId="4E050592"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275</w:t>
            </w:r>
          </w:p>
        </w:tc>
        <w:tc>
          <w:tcPr>
            <w:tcW w:w="660" w:type="dxa"/>
            <w:tcBorders>
              <w:top w:val="single" w:sz="4" w:space="0" w:color="ADD6EA"/>
              <w:left w:val="nil"/>
              <w:bottom w:val="nil"/>
              <w:right w:val="nil"/>
            </w:tcBorders>
            <w:shd w:val="clear" w:color="000000" w:fill="FFFFFF"/>
            <w:vAlign w:val="center"/>
            <w:hideMark/>
          </w:tcPr>
          <w:p w14:paraId="31B3818A"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-338</w:t>
            </w:r>
          </w:p>
        </w:tc>
        <w:tc>
          <w:tcPr>
            <w:tcW w:w="660" w:type="dxa"/>
            <w:tcBorders>
              <w:top w:val="single" w:sz="4" w:space="0" w:color="ADD6EA"/>
              <w:left w:val="nil"/>
              <w:bottom w:val="nil"/>
              <w:right w:val="nil"/>
            </w:tcBorders>
            <w:shd w:val="clear" w:color="000000" w:fill="FFFFFF"/>
            <w:vAlign w:val="center"/>
            <w:hideMark/>
          </w:tcPr>
          <w:p w14:paraId="4E7D5A42"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-555</w:t>
            </w:r>
          </w:p>
        </w:tc>
        <w:tc>
          <w:tcPr>
            <w:tcW w:w="660" w:type="dxa"/>
            <w:tcBorders>
              <w:top w:val="single" w:sz="4" w:space="0" w:color="ADD6EA"/>
              <w:left w:val="nil"/>
              <w:bottom w:val="nil"/>
              <w:right w:val="nil"/>
            </w:tcBorders>
            <w:shd w:val="clear" w:color="000000" w:fill="FFFFFF"/>
            <w:vAlign w:val="center"/>
            <w:hideMark/>
          </w:tcPr>
          <w:p w14:paraId="39FC68A0"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366</w:t>
            </w:r>
          </w:p>
        </w:tc>
        <w:tc>
          <w:tcPr>
            <w:tcW w:w="660" w:type="dxa"/>
            <w:tcBorders>
              <w:top w:val="single" w:sz="4" w:space="0" w:color="ADD6EA"/>
              <w:left w:val="nil"/>
              <w:bottom w:val="nil"/>
              <w:right w:val="nil"/>
            </w:tcBorders>
            <w:shd w:val="clear" w:color="000000" w:fill="FFFFFF"/>
            <w:vAlign w:val="center"/>
            <w:hideMark/>
          </w:tcPr>
          <w:p w14:paraId="23468304"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459</w:t>
            </w:r>
          </w:p>
        </w:tc>
        <w:tc>
          <w:tcPr>
            <w:tcW w:w="760" w:type="dxa"/>
            <w:tcBorders>
              <w:top w:val="single" w:sz="4" w:space="0" w:color="ADD6EA"/>
              <w:left w:val="nil"/>
              <w:bottom w:val="nil"/>
              <w:right w:val="nil"/>
            </w:tcBorders>
            <w:shd w:val="clear" w:color="000000" w:fill="FFFFFF"/>
            <w:vAlign w:val="center"/>
            <w:hideMark/>
          </w:tcPr>
          <w:p w14:paraId="631CEF77"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70</w:t>
            </w:r>
          </w:p>
        </w:tc>
      </w:tr>
      <w:tr w:rsidR="003132A0" w:rsidRPr="003132A0" w14:paraId="246E551C" w14:textId="77777777" w:rsidTr="0068024B">
        <w:trPr>
          <w:trHeight w:val="319"/>
        </w:trPr>
        <w:tc>
          <w:tcPr>
            <w:tcW w:w="2920" w:type="dxa"/>
            <w:tcBorders>
              <w:top w:val="single" w:sz="4" w:space="0" w:color="ADD6EA"/>
              <w:left w:val="nil"/>
              <w:bottom w:val="nil"/>
              <w:right w:val="nil"/>
            </w:tcBorders>
            <w:shd w:val="clear" w:color="000000" w:fill="FFFFFF"/>
            <w:vAlign w:val="center"/>
            <w:hideMark/>
          </w:tcPr>
          <w:p w14:paraId="06B7EBE8" w14:textId="77777777" w:rsidR="003132A0" w:rsidRPr="003132A0" w:rsidRDefault="003132A0" w:rsidP="0068024B">
            <w:pPr>
              <w:tabs>
                <w:tab w:val="clear" w:pos="567"/>
              </w:tabs>
              <w:spacing w:before="0" w:line="240" w:lineRule="auto"/>
              <w:rPr>
                <w:rFonts w:eastAsia="Times New Roman" w:cs="Open Sans Light"/>
                <w:color w:val="000000"/>
                <w:sz w:val="16"/>
                <w:szCs w:val="16"/>
                <w:lang w:eastAsia="en-AU"/>
              </w:rPr>
            </w:pPr>
            <w:r w:rsidRPr="003132A0">
              <w:rPr>
                <w:rFonts w:eastAsia="Times New Roman" w:cs="Open Sans Light"/>
                <w:color w:val="000000"/>
                <w:sz w:val="16"/>
                <w:szCs w:val="16"/>
                <w:lang w:eastAsia="en-AU"/>
              </w:rPr>
              <w:t>U2024 using draft R2025 methods</w:t>
            </w:r>
          </w:p>
        </w:tc>
        <w:tc>
          <w:tcPr>
            <w:tcW w:w="660" w:type="dxa"/>
            <w:tcBorders>
              <w:top w:val="single" w:sz="4" w:space="0" w:color="ADD6EA"/>
              <w:left w:val="nil"/>
              <w:bottom w:val="nil"/>
              <w:right w:val="nil"/>
            </w:tcBorders>
            <w:shd w:val="clear" w:color="000000" w:fill="FFFFFF"/>
            <w:vAlign w:val="center"/>
            <w:hideMark/>
          </w:tcPr>
          <w:p w14:paraId="58E1DE79"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79</w:t>
            </w:r>
          </w:p>
        </w:tc>
        <w:tc>
          <w:tcPr>
            <w:tcW w:w="660" w:type="dxa"/>
            <w:tcBorders>
              <w:top w:val="single" w:sz="4" w:space="0" w:color="ADD6EA"/>
              <w:left w:val="nil"/>
              <w:bottom w:val="nil"/>
              <w:right w:val="nil"/>
            </w:tcBorders>
            <w:shd w:val="clear" w:color="000000" w:fill="FFFFFF"/>
            <w:vAlign w:val="center"/>
            <w:hideMark/>
          </w:tcPr>
          <w:p w14:paraId="6C20B4D3"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w:t>
            </w:r>
          </w:p>
        </w:tc>
        <w:tc>
          <w:tcPr>
            <w:tcW w:w="660" w:type="dxa"/>
            <w:tcBorders>
              <w:top w:val="single" w:sz="4" w:space="0" w:color="ADD6EA"/>
              <w:left w:val="nil"/>
              <w:bottom w:val="nil"/>
              <w:right w:val="nil"/>
            </w:tcBorders>
            <w:shd w:val="clear" w:color="000000" w:fill="FFFFFF"/>
            <w:vAlign w:val="center"/>
            <w:hideMark/>
          </w:tcPr>
          <w:p w14:paraId="3DC5FFEF"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-128</w:t>
            </w:r>
          </w:p>
        </w:tc>
        <w:tc>
          <w:tcPr>
            <w:tcW w:w="660" w:type="dxa"/>
            <w:tcBorders>
              <w:top w:val="single" w:sz="4" w:space="0" w:color="ADD6EA"/>
              <w:left w:val="nil"/>
              <w:bottom w:val="nil"/>
              <w:right w:val="nil"/>
            </w:tcBorders>
            <w:shd w:val="clear" w:color="000000" w:fill="FFFFFF"/>
            <w:vAlign w:val="center"/>
            <w:hideMark/>
          </w:tcPr>
          <w:p w14:paraId="6FF84246"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157</w:t>
            </w:r>
          </w:p>
        </w:tc>
        <w:tc>
          <w:tcPr>
            <w:tcW w:w="660" w:type="dxa"/>
            <w:tcBorders>
              <w:top w:val="single" w:sz="4" w:space="0" w:color="ADD6EA"/>
              <w:left w:val="nil"/>
              <w:bottom w:val="nil"/>
              <w:right w:val="nil"/>
            </w:tcBorders>
            <w:shd w:val="clear" w:color="000000" w:fill="FFFFFF"/>
            <w:vAlign w:val="center"/>
            <w:hideMark/>
          </w:tcPr>
          <w:p w14:paraId="22135817"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-274</w:t>
            </w:r>
          </w:p>
        </w:tc>
        <w:tc>
          <w:tcPr>
            <w:tcW w:w="660" w:type="dxa"/>
            <w:tcBorders>
              <w:top w:val="single" w:sz="4" w:space="0" w:color="ADD6EA"/>
              <w:left w:val="nil"/>
              <w:bottom w:val="nil"/>
              <w:right w:val="nil"/>
            </w:tcBorders>
            <w:shd w:val="clear" w:color="000000" w:fill="FFFFFF"/>
            <w:vAlign w:val="center"/>
            <w:hideMark/>
          </w:tcPr>
          <w:p w14:paraId="5B272A1E"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-371</w:t>
            </w:r>
          </w:p>
        </w:tc>
        <w:tc>
          <w:tcPr>
            <w:tcW w:w="660" w:type="dxa"/>
            <w:tcBorders>
              <w:top w:val="single" w:sz="4" w:space="0" w:color="ADD6EA"/>
              <w:left w:val="nil"/>
              <w:bottom w:val="nil"/>
              <w:right w:val="nil"/>
            </w:tcBorders>
            <w:shd w:val="clear" w:color="000000" w:fill="FFFFFF"/>
            <w:vAlign w:val="center"/>
            <w:hideMark/>
          </w:tcPr>
          <w:p w14:paraId="0887B0D8"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420</w:t>
            </w:r>
          </w:p>
        </w:tc>
        <w:tc>
          <w:tcPr>
            <w:tcW w:w="660" w:type="dxa"/>
            <w:tcBorders>
              <w:top w:val="single" w:sz="4" w:space="0" w:color="ADD6EA"/>
              <w:left w:val="nil"/>
              <w:bottom w:val="nil"/>
              <w:right w:val="nil"/>
            </w:tcBorders>
            <w:shd w:val="clear" w:color="000000" w:fill="FFFFFF"/>
            <w:vAlign w:val="center"/>
            <w:hideMark/>
          </w:tcPr>
          <w:p w14:paraId="5898102E"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331</w:t>
            </w:r>
          </w:p>
        </w:tc>
        <w:tc>
          <w:tcPr>
            <w:tcW w:w="760" w:type="dxa"/>
            <w:tcBorders>
              <w:top w:val="single" w:sz="4" w:space="0" w:color="ADD6EA"/>
              <w:left w:val="nil"/>
              <w:bottom w:val="nil"/>
              <w:right w:val="nil"/>
            </w:tcBorders>
            <w:shd w:val="clear" w:color="000000" w:fill="FFFFFF"/>
            <w:vAlign w:val="center"/>
            <w:hideMark/>
          </w:tcPr>
          <w:p w14:paraId="5CB19A03"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53</w:t>
            </w:r>
          </w:p>
        </w:tc>
      </w:tr>
      <w:tr w:rsidR="003132A0" w:rsidRPr="003132A0" w14:paraId="0DBFE33C" w14:textId="77777777" w:rsidTr="0068024B">
        <w:trPr>
          <w:trHeight w:val="319"/>
        </w:trPr>
        <w:tc>
          <w:tcPr>
            <w:tcW w:w="2920" w:type="dxa"/>
            <w:tcBorders>
              <w:top w:val="single" w:sz="4" w:space="0" w:color="ADD6EA"/>
              <w:left w:val="nil"/>
              <w:bottom w:val="single" w:sz="4" w:space="0" w:color="ADD6EA"/>
              <w:right w:val="nil"/>
            </w:tcBorders>
            <w:shd w:val="clear" w:color="000000" w:fill="FFFFFF"/>
            <w:vAlign w:val="center"/>
            <w:hideMark/>
          </w:tcPr>
          <w:p w14:paraId="37C3DBDA" w14:textId="77777777" w:rsidR="003132A0" w:rsidRPr="003132A0" w:rsidRDefault="003132A0" w:rsidP="0068024B">
            <w:pPr>
              <w:tabs>
                <w:tab w:val="clear" w:pos="567"/>
              </w:tabs>
              <w:spacing w:before="0" w:line="240" w:lineRule="auto"/>
              <w:rPr>
                <w:rFonts w:eastAsia="Times New Roman" w:cs="Open Sans Light"/>
                <w:color w:val="000000"/>
                <w:sz w:val="16"/>
                <w:szCs w:val="16"/>
                <w:lang w:eastAsia="en-AU"/>
              </w:rPr>
            </w:pPr>
            <w:r w:rsidRPr="003132A0">
              <w:rPr>
                <w:rFonts w:eastAsia="Times New Roman" w:cs="Open Sans Light"/>
                <w:color w:val="000000"/>
                <w:sz w:val="16"/>
                <w:szCs w:val="16"/>
                <w:lang w:eastAsia="en-AU"/>
              </w:rPr>
              <w:t>Effect of draft method changes</w:t>
            </w:r>
          </w:p>
        </w:tc>
        <w:tc>
          <w:tcPr>
            <w:tcW w:w="660" w:type="dxa"/>
            <w:tcBorders>
              <w:top w:val="single" w:sz="4" w:space="0" w:color="ADD6EA"/>
              <w:left w:val="nil"/>
              <w:bottom w:val="single" w:sz="4" w:space="0" w:color="ADD6EA"/>
              <w:right w:val="nil"/>
            </w:tcBorders>
            <w:shd w:val="clear" w:color="000000" w:fill="FFFFFF"/>
            <w:vAlign w:val="center"/>
            <w:hideMark/>
          </w:tcPr>
          <w:p w14:paraId="6FD61B60"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-15</w:t>
            </w:r>
          </w:p>
        </w:tc>
        <w:tc>
          <w:tcPr>
            <w:tcW w:w="660" w:type="dxa"/>
            <w:tcBorders>
              <w:top w:val="single" w:sz="4" w:space="0" w:color="ADD6EA"/>
              <w:left w:val="nil"/>
              <w:bottom w:val="single" w:sz="4" w:space="0" w:color="ADD6EA"/>
              <w:right w:val="nil"/>
            </w:tcBorders>
            <w:shd w:val="clear" w:color="000000" w:fill="FFFFFF"/>
            <w:vAlign w:val="center"/>
            <w:hideMark/>
          </w:tcPr>
          <w:p w14:paraId="03E52245"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34</w:t>
            </w:r>
          </w:p>
        </w:tc>
        <w:tc>
          <w:tcPr>
            <w:tcW w:w="660" w:type="dxa"/>
            <w:tcBorders>
              <w:top w:val="single" w:sz="4" w:space="0" w:color="ADD6EA"/>
              <w:left w:val="nil"/>
              <w:bottom w:val="single" w:sz="4" w:space="0" w:color="ADD6EA"/>
              <w:right w:val="nil"/>
            </w:tcBorders>
            <w:shd w:val="clear" w:color="000000" w:fill="FFFFFF"/>
            <w:vAlign w:val="center"/>
            <w:hideMark/>
          </w:tcPr>
          <w:p w14:paraId="0860763B"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3</w:t>
            </w:r>
          </w:p>
        </w:tc>
        <w:tc>
          <w:tcPr>
            <w:tcW w:w="660" w:type="dxa"/>
            <w:tcBorders>
              <w:top w:val="single" w:sz="4" w:space="0" w:color="ADD6EA"/>
              <w:left w:val="nil"/>
              <w:bottom w:val="single" w:sz="4" w:space="0" w:color="ADD6EA"/>
              <w:right w:val="nil"/>
            </w:tcBorders>
            <w:shd w:val="clear" w:color="000000" w:fill="FFFFFF"/>
            <w:vAlign w:val="center"/>
            <w:hideMark/>
          </w:tcPr>
          <w:p w14:paraId="77A45BA5"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-118</w:t>
            </w:r>
          </w:p>
        </w:tc>
        <w:tc>
          <w:tcPr>
            <w:tcW w:w="660" w:type="dxa"/>
            <w:tcBorders>
              <w:top w:val="single" w:sz="4" w:space="0" w:color="ADD6EA"/>
              <w:left w:val="nil"/>
              <w:bottom w:val="single" w:sz="4" w:space="0" w:color="ADD6EA"/>
              <w:right w:val="nil"/>
            </w:tcBorders>
            <w:shd w:val="clear" w:color="000000" w:fill="FFFFFF"/>
            <w:vAlign w:val="center"/>
            <w:hideMark/>
          </w:tcPr>
          <w:p w14:paraId="775CBB34"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64</w:t>
            </w:r>
          </w:p>
        </w:tc>
        <w:tc>
          <w:tcPr>
            <w:tcW w:w="660" w:type="dxa"/>
            <w:tcBorders>
              <w:top w:val="single" w:sz="4" w:space="0" w:color="ADD6EA"/>
              <w:left w:val="nil"/>
              <w:bottom w:val="single" w:sz="4" w:space="0" w:color="ADD6EA"/>
              <w:right w:val="nil"/>
            </w:tcBorders>
            <w:shd w:val="clear" w:color="000000" w:fill="FFFFFF"/>
            <w:vAlign w:val="center"/>
            <w:hideMark/>
          </w:tcPr>
          <w:p w14:paraId="3B86BA3E"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184</w:t>
            </w:r>
          </w:p>
        </w:tc>
        <w:tc>
          <w:tcPr>
            <w:tcW w:w="660" w:type="dxa"/>
            <w:tcBorders>
              <w:top w:val="single" w:sz="4" w:space="0" w:color="ADD6EA"/>
              <w:left w:val="nil"/>
              <w:bottom w:val="single" w:sz="4" w:space="0" w:color="ADD6EA"/>
              <w:right w:val="nil"/>
            </w:tcBorders>
            <w:shd w:val="clear" w:color="000000" w:fill="FFFFFF"/>
            <w:vAlign w:val="center"/>
            <w:hideMark/>
          </w:tcPr>
          <w:p w14:paraId="3AA3BC35"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54</w:t>
            </w:r>
          </w:p>
        </w:tc>
        <w:tc>
          <w:tcPr>
            <w:tcW w:w="660" w:type="dxa"/>
            <w:tcBorders>
              <w:top w:val="single" w:sz="4" w:space="0" w:color="ADD6EA"/>
              <w:left w:val="nil"/>
              <w:bottom w:val="single" w:sz="4" w:space="0" w:color="ADD6EA"/>
              <w:right w:val="nil"/>
            </w:tcBorders>
            <w:shd w:val="clear" w:color="000000" w:fill="FFFFFF"/>
            <w:vAlign w:val="center"/>
            <w:hideMark/>
          </w:tcPr>
          <w:p w14:paraId="3678155F"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-129</w:t>
            </w:r>
          </w:p>
        </w:tc>
        <w:tc>
          <w:tcPr>
            <w:tcW w:w="760" w:type="dxa"/>
            <w:tcBorders>
              <w:top w:val="single" w:sz="4" w:space="0" w:color="ADD6EA"/>
              <w:left w:val="nil"/>
              <w:bottom w:val="single" w:sz="4" w:space="0" w:color="ADD6EA"/>
              <w:right w:val="nil"/>
            </w:tcBorders>
            <w:shd w:val="clear" w:color="000000" w:fill="FFFFFF"/>
            <w:vAlign w:val="center"/>
            <w:hideMark/>
          </w:tcPr>
          <w:p w14:paraId="37D8A85E" w14:textId="77777777" w:rsidR="003132A0" w:rsidRPr="003132A0" w:rsidRDefault="003132A0" w:rsidP="0068024B">
            <w:pPr>
              <w:tabs>
                <w:tab w:val="clear" w:pos="567"/>
              </w:tabs>
              <w:spacing w:before="0" w:line="240" w:lineRule="auto"/>
              <w:jc w:val="right"/>
              <w:rPr>
                <w:rFonts w:eastAsia="Times New Roman" w:cs="Open Sans Light"/>
                <w:color w:val="000000"/>
                <w:sz w:val="16"/>
                <w:szCs w:val="16"/>
                <w:lang w:eastAsia="en-AU"/>
              </w:rPr>
            </w:pPr>
            <w:r w:rsidRPr="003132A0">
              <w:rPr>
                <w:rFonts w:eastAsia="Times New Roman" w:cs="Open Sans Light"/>
                <w:color w:val="000000"/>
                <w:sz w:val="16"/>
                <w:szCs w:val="16"/>
                <w:lang w:eastAsia="en-AU"/>
              </w:rPr>
              <w:t>19</w:t>
            </w:r>
          </w:p>
        </w:tc>
      </w:tr>
    </w:tbl>
    <w:p w14:paraId="61C22E38" w14:textId="2A3978C8" w:rsidR="00B52EE1" w:rsidRPr="00846070" w:rsidRDefault="00B52EE1" w:rsidP="0011236A">
      <w:pPr>
        <w:pStyle w:val="CGC2025TableNote"/>
        <w:tabs>
          <w:tab w:val="clear" w:pos="567"/>
          <w:tab w:val="clear" w:pos="680"/>
          <w:tab w:val="left" w:pos="709"/>
        </w:tabs>
        <w:ind w:left="709" w:hanging="596"/>
      </w:pPr>
      <w:r w:rsidRPr="00846070">
        <w:t xml:space="preserve">Note: </w:t>
      </w:r>
      <w:r w:rsidR="0011236A">
        <w:tab/>
      </w:r>
      <w:r w:rsidR="0011236A">
        <w:tab/>
      </w:r>
      <w:r w:rsidRPr="00846070">
        <w:t>This includes the effects of applying the new wage assessment methods to all expense categories, after other method changes have been applied within each category.</w:t>
      </w:r>
    </w:p>
    <w:p w14:paraId="7173FDEC" w14:textId="68E376D1" w:rsidR="00B52EE1" w:rsidRPr="00846070" w:rsidRDefault="00E06573" w:rsidP="0011236A">
      <w:pPr>
        <w:pStyle w:val="CGC2025TableNote"/>
        <w:tabs>
          <w:tab w:val="clear" w:pos="567"/>
          <w:tab w:val="clear" w:pos="680"/>
          <w:tab w:val="left" w:pos="709"/>
          <w:tab w:val="left" w:pos="1134"/>
        </w:tabs>
        <w:ind w:left="709" w:firstLine="0"/>
      </w:pPr>
      <w:r w:rsidRPr="00DC11A5">
        <w:t>The GST pool and population estimates are equivalent to those used in the 2024 Update</w:t>
      </w:r>
      <w:r w:rsidR="00B52EE1" w:rsidRPr="00846070">
        <w:t>.</w:t>
      </w:r>
    </w:p>
    <w:p w14:paraId="09E12FF0" w14:textId="77777777" w:rsidR="00B52EE1" w:rsidRPr="00846070" w:rsidRDefault="00B52EE1" w:rsidP="0011236A">
      <w:pPr>
        <w:pStyle w:val="CGC2025TableNote"/>
        <w:tabs>
          <w:tab w:val="clear" w:pos="567"/>
          <w:tab w:val="clear" w:pos="680"/>
          <w:tab w:val="left" w:pos="709"/>
        </w:tabs>
        <w:ind w:left="709" w:firstLine="0"/>
      </w:pPr>
      <w:r w:rsidRPr="00846070">
        <w:t>The data included in the table have not been subject to full quality assurance processes and as such, should be treated as indicative only.</w:t>
      </w:r>
    </w:p>
    <w:p w14:paraId="1EF8BE91" w14:textId="77777777" w:rsidR="00B52EE1" w:rsidRPr="00846070" w:rsidRDefault="00B52EE1" w:rsidP="0011236A">
      <w:pPr>
        <w:pStyle w:val="CGC2025TableNote"/>
        <w:tabs>
          <w:tab w:val="clear" w:pos="567"/>
          <w:tab w:val="clear" w:pos="680"/>
          <w:tab w:val="left" w:pos="709"/>
        </w:tabs>
        <w:ind w:left="709" w:firstLine="0"/>
      </w:pPr>
      <w:r w:rsidRPr="00846070">
        <w:t>Indicative GST impacts are provided for illustrative purposes only and should not be used to predict impacts on GST distribution for 2025-26.</w:t>
      </w:r>
    </w:p>
    <w:p w14:paraId="47B372E1" w14:textId="6A07F24C" w:rsidR="00B52EE1" w:rsidRPr="00846070" w:rsidRDefault="00B52EE1" w:rsidP="0011236A">
      <w:pPr>
        <w:pStyle w:val="CGC2025TableNote"/>
        <w:tabs>
          <w:tab w:val="clear" w:pos="567"/>
          <w:tab w:val="clear" w:pos="680"/>
          <w:tab w:val="left" w:pos="709"/>
        </w:tabs>
        <w:ind w:left="709" w:firstLine="0"/>
      </w:pPr>
      <w:r w:rsidRPr="00846070">
        <w:t xml:space="preserve">The </w:t>
      </w:r>
      <w:r w:rsidR="0059304D">
        <w:t xml:space="preserve">impact </w:t>
      </w:r>
      <w:r w:rsidR="00514ED6">
        <w:t xml:space="preserve">of </w:t>
      </w:r>
      <w:r w:rsidR="00B31BF1">
        <w:t xml:space="preserve">the </w:t>
      </w:r>
      <w:r w:rsidRPr="00846070">
        <w:t xml:space="preserve">U2024 </w:t>
      </w:r>
      <w:r w:rsidR="00514ED6">
        <w:t xml:space="preserve">using R2020 methods </w:t>
      </w:r>
      <w:r w:rsidR="00B31BF1">
        <w:t xml:space="preserve">line </w:t>
      </w:r>
      <w:r w:rsidRPr="00846070">
        <w:t>do</w:t>
      </w:r>
      <w:r w:rsidR="00514ED6">
        <w:t>es</w:t>
      </w:r>
      <w:r w:rsidRPr="00846070">
        <w:t xml:space="preserve"> not match </w:t>
      </w:r>
      <w:r w:rsidR="00B31BF1">
        <w:t xml:space="preserve">the comparable line </w:t>
      </w:r>
      <w:r w:rsidRPr="00846070">
        <w:t>included in Table 2-10 from the 2024 Update</w:t>
      </w:r>
      <w:r w:rsidR="00B31BF1">
        <w:t xml:space="preserve">. </w:t>
      </w:r>
      <w:r w:rsidR="000A5207">
        <w:t>This is</w:t>
      </w:r>
      <w:r w:rsidR="005D542E">
        <w:t xml:space="preserve"> for </w:t>
      </w:r>
      <w:r w:rsidR="00175957">
        <w:t>2</w:t>
      </w:r>
      <w:r w:rsidR="005D542E">
        <w:t xml:space="preserve"> reasons</w:t>
      </w:r>
      <w:r w:rsidRPr="00846070">
        <w:t>.</w:t>
      </w:r>
      <w:r w:rsidR="006B0D78">
        <w:t xml:space="preserve"> </w:t>
      </w:r>
      <w:r w:rsidR="008564D5">
        <w:t>Firstly, t</w:t>
      </w:r>
      <w:r w:rsidRPr="00846070">
        <w:t xml:space="preserve">he wage costs assessment also feeds into the cost of construction line under investment in Table 2-10. Both these effects are included here. </w:t>
      </w:r>
      <w:r w:rsidR="007F550B">
        <w:t>Secondly, t</w:t>
      </w:r>
      <w:r w:rsidRPr="00846070">
        <w:t xml:space="preserve">hese are the effects of U2024 wage methods after applying other </w:t>
      </w:r>
      <w:r w:rsidR="007F550B">
        <w:t xml:space="preserve">R2025 </w:t>
      </w:r>
      <w:r w:rsidRPr="00846070">
        <w:t xml:space="preserve">method changes. </w:t>
      </w:r>
    </w:p>
    <w:p w14:paraId="4A4AF00A" w14:textId="40E02C82" w:rsidR="00B52EE1" w:rsidRPr="00846070" w:rsidRDefault="00B52EE1" w:rsidP="008578CB">
      <w:pPr>
        <w:pStyle w:val="CGC2025ParaNumbers"/>
      </w:pPr>
      <w:r w:rsidRPr="00846070">
        <w:t>The proposed smoothing approach replaces an annual estimate with the long-term trend estimate. States with assessment year wage cost estimates below their long</w:t>
      </w:r>
      <w:r w:rsidR="00177129">
        <w:noBreakHyphen/>
      </w:r>
      <w:r w:rsidRPr="00846070">
        <w:t xml:space="preserve">term trend levels had their estimates increased, increasing their GST </w:t>
      </w:r>
      <w:r w:rsidR="00E102DF">
        <w:t>distribution</w:t>
      </w:r>
      <w:r w:rsidRPr="00846070">
        <w:t xml:space="preserve"> and vice versa. In the long-term, the average impact of this method change should be negligible for all states.</w:t>
      </w:r>
    </w:p>
    <w:p w14:paraId="37E7825B" w14:textId="77777777" w:rsidR="00B52EE1" w:rsidRPr="00846070" w:rsidRDefault="00B52EE1" w:rsidP="008578CB">
      <w:pPr>
        <w:pStyle w:val="CGC2025ParaNumbers"/>
      </w:pPr>
      <w:r w:rsidRPr="00846070">
        <w:t>Changes to the regression model included moving from weekly to hourly pay, reducing the level of detail in the industry classification and removing the interaction terms between gender and every other variable. For the years under consideration, the combined effect of these changes was to increase the GST distribution for Victoria, South Australia, Tasmania and the ACT, and to reduce it for the other states.</w:t>
      </w:r>
    </w:p>
    <w:p w14:paraId="4780A4EA" w14:textId="5AE76E5A" w:rsidR="00B52EE1" w:rsidRPr="00846070" w:rsidRDefault="00B52EE1" w:rsidP="008578CB">
      <w:pPr>
        <w:pStyle w:val="CGC2025ParaNumbers"/>
      </w:pPr>
      <w:r w:rsidRPr="00846070">
        <w:t>There has been a reduction in the estimated labour share of total costs in housing, transport and roads, and an increase in welfare, services to communities and services to industry. These changes have affected the impact of wages costs on states, depending on their relative need for spending in different areas, and their relative wage levels. For example, Western Australia has above average wage costs and the net effect of changes to estimated labour share increases the total labour share of Western Australia’s assessed expense needs, increasing their GST</w:t>
      </w:r>
      <w:r w:rsidR="00296D9D">
        <w:t> </w:t>
      </w:r>
      <w:r w:rsidRPr="00846070">
        <w:t xml:space="preserve">distribution. </w:t>
      </w:r>
    </w:p>
    <w:p w14:paraId="2D438644" w14:textId="7D3FB8C8" w:rsidR="00B52EE1" w:rsidRDefault="00B52EE1" w:rsidP="009B6FD0">
      <w:pPr>
        <w:pStyle w:val="CGC2025Caption"/>
        <w:tabs>
          <w:tab w:val="left" w:pos="1134"/>
        </w:tabs>
        <w:ind w:left="1134" w:hanging="1134"/>
      </w:pPr>
      <w:r w:rsidRPr="00846070">
        <w:t xml:space="preserve">Table </w:t>
      </w:r>
      <w:r w:rsidR="000268BC">
        <w:fldChar w:fldCharType="begin"/>
      </w:r>
      <w:r w:rsidR="000268BC">
        <w:instrText xml:space="preserve"> SEQ Table \* ARABIC </w:instrText>
      </w:r>
      <w:r w:rsidR="000268BC">
        <w:fldChar w:fldCharType="separate"/>
      </w:r>
      <w:r w:rsidRPr="00846070">
        <w:t>6</w:t>
      </w:r>
      <w:r w:rsidR="000268BC">
        <w:fldChar w:fldCharType="end"/>
      </w:r>
      <w:r w:rsidRPr="00846070">
        <w:tab/>
      </w:r>
      <w:r w:rsidR="009308B9" w:rsidRPr="00C816F1">
        <w:rPr>
          <w:rFonts w:eastAsia="Times New Roman" w:cs="Segoe UI"/>
          <w:bCs/>
          <w:szCs w:val="20"/>
          <w:lang w:eastAsia="en-AU"/>
        </w:rPr>
        <w:t xml:space="preserve">Indicative impact on GST </w:t>
      </w:r>
      <w:r w:rsidR="009308B9" w:rsidRPr="006C0216">
        <w:t>distribution</w:t>
      </w:r>
      <w:r w:rsidR="006C0216">
        <w:t xml:space="preserve"> of proposed method changes</w:t>
      </w:r>
      <w:r w:rsidR="009308B9" w:rsidRPr="006C0216">
        <w:t xml:space="preserve"> (disaggregated)</w:t>
      </w:r>
      <w:r w:rsidR="0073181C" w:rsidRPr="009308B9">
        <w:t>, 2024</w:t>
      </w:r>
      <w:r w:rsidR="0073181C">
        <w:t>–25</w:t>
      </w:r>
    </w:p>
    <w:tbl>
      <w:tblPr>
        <w:tblW w:w="8942" w:type="dxa"/>
        <w:tblLook w:val="04A0" w:firstRow="1" w:lastRow="0" w:firstColumn="1" w:lastColumn="0" w:noHBand="0" w:noVBand="1"/>
      </w:tblPr>
      <w:tblGrid>
        <w:gridCol w:w="3524"/>
        <w:gridCol w:w="601"/>
        <w:gridCol w:w="601"/>
        <w:gridCol w:w="601"/>
        <w:gridCol w:w="601"/>
        <w:gridCol w:w="601"/>
        <w:gridCol w:w="601"/>
        <w:gridCol w:w="601"/>
        <w:gridCol w:w="601"/>
        <w:gridCol w:w="610"/>
      </w:tblGrid>
      <w:tr w:rsidR="009E15CC" w:rsidRPr="009E15CC" w14:paraId="3FAB2FAE" w14:textId="77777777" w:rsidTr="00FC2965">
        <w:trPr>
          <w:trHeight w:val="379"/>
        </w:trPr>
        <w:tc>
          <w:tcPr>
            <w:tcW w:w="3520" w:type="dxa"/>
            <w:tcBorders>
              <w:top w:val="nil"/>
              <w:left w:val="nil"/>
              <w:bottom w:val="nil"/>
              <w:right w:val="nil"/>
            </w:tcBorders>
            <w:shd w:val="clear" w:color="000000" w:fill="006991"/>
            <w:vAlign w:val="center"/>
            <w:hideMark/>
          </w:tcPr>
          <w:p w14:paraId="4EBE47CD" w14:textId="77777777" w:rsidR="009E15CC" w:rsidRPr="009E15CC" w:rsidRDefault="009E15CC" w:rsidP="009E15CC">
            <w:pPr>
              <w:tabs>
                <w:tab w:val="clear" w:pos="567"/>
              </w:tabs>
              <w:spacing w:before="0" w:line="240" w:lineRule="auto"/>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 </w:t>
            </w:r>
          </w:p>
        </w:tc>
        <w:tc>
          <w:tcPr>
            <w:tcW w:w="600" w:type="dxa"/>
            <w:tcBorders>
              <w:top w:val="nil"/>
              <w:left w:val="nil"/>
              <w:bottom w:val="nil"/>
              <w:right w:val="nil"/>
            </w:tcBorders>
            <w:shd w:val="clear" w:color="000000" w:fill="006991"/>
            <w:vAlign w:val="center"/>
            <w:hideMark/>
          </w:tcPr>
          <w:p w14:paraId="74D56E05"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NSW</w:t>
            </w:r>
          </w:p>
        </w:tc>
        <w:tc>
          <w:tcPr>
            <w:tcW w:w="600" w:type="dxa"/>
            <w:tcBorders>
              <w:top w:val="nil"/>
              <w:left w:val="nil"/>
              <w:bottom w:val="nil"/>
              <w:right w:val="nil"/>
            </w:tcBorders>
            <w:shd w:val="clear" w:color="000000" w:fill="006991"/>
            <w:vAlign w:val="center"/>
            <w:hideMark/>
          </w:tcPr>
          <w:p w14:paraId="3AEA9AE5"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Vic</w:t>
            </w:r>
          </w:p>
        </w:tc>
        <w:tc>
          <w:tcPr>
            <w:tcW w:w="600" w:type="dxa"/>
            <w:tcBorders>
              <w:top w:val="nil"/>
              <w:left w:val="nil"/>
              <w:bottom w:val="nil"/>
              <w:right w:val="nil"/>
            </w:tcBorders>
            <w:shd w:val="clear" w:color="000000" w:fill="006991"/>
            <w:vAlign w:val="center"/>
            <w:hideMark/>
          </w:tcPr>
          <w:p w14:paraId="55451E61"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Qld</w:t>
            </w:r>
          </w:p>
        </w:tc>
        <w:tc>
          <w:tcPr>
            <w:tcW w:w="600" w:type="dxa"/>
            <w:tcBorders>
              <w:top w:val="nil"/>
              <w:left w:val="nil"/>
              <w:bottom w:val="nil"/>
              <w:right w:val="nil"/>
            </w:tcBorders>
            <w:shd w:val="clear" w:color="000000" w:fill="006991"/>
            <w:vAlign w:val="center"/>
            <w:hideMark/>
          </w:tcPr>
          <w:p w14:paraId="57AB4B40"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WA</w:t>
            </w:r>
          </w:p>
        </w:tc>
        <w:tc>
          <w:tcPr>
            <w:tcW w:w="600" w:type="dxa"/>
            <w:tcBorders>
              <w:top w:val="nil"/>
              <w:left w:val="nil"/>
              <w:bottom w:val="nil"/>
              <w:right w:val="nil"/>
            </w:tcBorders>
            <w:shd w:val="clear" w:color="000000" w:fill="006991"/>
            <w:vAlign w:val="center"/>
            <w:hideMark/>
          </w:tcPr>
          <w:p w14:paraId="6172B22F"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SA</w:t>
            </w:r>
          </w:p>
        </w:tc>
        <w:tc>
          <w:tcPr>
            <w:tcW w:w="600" w:type="dxa"/>
            <w:tcBorders>
              <w:top w:val="nil"/>
              <w:left w:val="nil"/>
              <w:bottom w:val="nil"/>
              <w:right w:val="nil"/>
            </w:tcBorders>
            <w:shd w:val="clear" w:color="000000" w:fill="006991"/>
            <w:vAlign w:val="center"/>
            <w:hideMark/>
          </w:tcPr>
          <w:p w14:paraId="082AB069"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Tas</w:t>
            </w:r>
          </w:p>
        </w:tc>
        <w:tc>
          <w:tcPr>
            <w:tcW w:w="600" w:type="dxa"/>
            <w:tcBorders>
              <w:top w:val="nil"/>
              <w:left w:val="nil"/>
              <w:bottom w:val="nil"/>
              <w:right w:val="nil"/>
            </w:tcBorders>
            <w:shd w:val="clear" w:color="000000" w:fill="006991"/>
            <w:vAlign w:val="center"/>
            <w:hideMark/>
          </w:tcPr>
          <w:p w14:paraId="68BE5EDE"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ACT</w:t>
            </w:r>
          </w:p>
        </w:tc>
        <w:tc>
          <w:tcPr>
            <w:tcW w:w="600" w:type="dxa"/>
            <w:tcBorders>
              <w:top w:val="nil"/>
              <w:left w:val="nil"/>
              <w:bottom w:val="nil"/>
              <w:right w:val="nil"/>
            </w:tcBorders>
            <w:shd w:val="clear" w:color="000000" w:fill="006991"/>
            <w:vAlign w:val="center"/>
            <w:hideMark/>
          </w:tcPr>
          <w:p w14:paraId="6A4A69B9"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NT</w:t>
            </w:r>
          </w:p>
        </w:tc>
        <w:tc>
          <w:tcPr>
            <w:tcW w:w="600" w:type="dxa"/>
            <w:tcBorders>
              <w:top w:val="nil"/>
              <w:left w:val="nil"/>
              <w:bottom w:val="nil"/>
              <w:right w:val="nil"/>
            </w:tcBorders>
            <w:shd w:val="clear" w:color="000000" w:fill="006991"/>
            <w:vAlign w:val="center"/>
            <w:hideMark/>
          </w:tcPr>
          <w:p w14:paraId="43C6E0CF"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FFFFFF"/>
                <w:sz w:val="16"/>
                <w:szCs w:val="16"/>
                <w:lang w:eastAsia="en-AU"/>
              </w:rPr>
            </w:pPr>
            <w:r w:rsidRPr="009E15CC">
              <w:rPr>
                <w:rFonts w:ascii="Open Sans Semibold" w:eastAsia="Times New Roman" w:hAnsi="Open Sans Semibold" w:cs="Open Sans Semibold"/>
                <w:color w:val="FFFFFF"/>
                <w:sz w:val="16"/>
                <w:szCs w:val="16"/>
                <w:lang w:eastAsia="en-AU"/>
              </w:rPr>
              <w:t>Total Effect</w:t>
            </w:r>
          </w:p>
        </w:tc>
      </w:tr>
      <w:tr w:rsidR="009E15CC" w:rsidRPr="009E15CC" w14:paraId="050B83B1" w14:textId="77777777" w:rsidTr="00FC2965">
        <w:trPr>
          <w:trHeight w:val="259"/>
        </w:trPr>
        <w:tc>
          <w:tcPr>
            <w:tcW w:w="3520" w:type="dxa"/>
            <w:tcBorders>
              <w:top w:val="single" w:sz="4" w:space="0" w:color="ADD6EA"/>
              <w:left w:val="nil"/>
              <w:bottom w:val="nil"/>
              <w:right w:val="nil"/>
            </w:tcBorders>
            <w:shd w:val="clear" w:color="000000" w:fill="B6D5E4"/>
            <w:vAlign w:val="bottom"/>
            <w:hideMark/>
          </w:tcPr>
          <w:p w14:paraId="2550EED2" w14:textId="77777777" w:rsidR="009E15CC" w:rsidRPr="009E15CC" w:rsidRDefault="009E15CC" w:rsidP="009E15CC">
            <w:pPr>
              <w:tabs>
                <w:tab w:val="clear" w:pos="567"/>
              </w:tabs>
              <w:spacing w:before="0" w:line="240" w:lineRule="auto"/>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 </w:t>
            </w:r>
          </w:p>
        </w:tc>
        <w:tc>
          <w:tcPr>
            <w:tcW w:w="600" w:type="dxa"/>
            <w:tcBorders>
              <w:top w:val="single" w:sz="4" w:space="0" w:color="ADD6EA"/>
              <w:left w:val="nil"/>
              <w:bottom w:val="nil"/>
              <w:right w:val="nil"/>
            </w:tcBorders>
            <w:shd w:val="clear" w:color="000000" w:fill="B6D5E4"/>
            <w:vAlign w:val="center"/>
            <w:hideMark/>
          </w:tcPr>
          <w:p w14:paraId="2CE6A224"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vAlign w:val="center"/>
            <w:hideMark/>
          </w:tcPr>
          <w:p w14:paraId="26E70D3B"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vAlign w:val="center"/>
            <w:hideMark/>
          </w:tcPr>
          <w:p w14:paraId="08F35539"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vAlign w:val="center"/>
            <w:hideMark/>
          </w:tcPr>
          <w:p w14:paraId="7A191570"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vAlign w:val="center"/>
            <w:hideMark/>
          </w:tcPr>
          <w:p w14:paraId="2F58708F"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vAlign w:val="center"/>
            <w:hideMark/>
          </w:tcPr>
          <w:p w14:paraId="6EE2F5FD"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vAlign w:val="center"/>
            <w:hideMark/>
          </w:tcPr>
          <w:p w14:paraId="1403D529"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vAlign w:val="center"/>
            <w:hideMark/>
          </w:tcPr>
          <w:p w14:paraId="72154F3F"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c>
          <w:tcPr>
            <w:tcW w:w="600" w:type="dxa"/>
            <w:tcBorders>
              <w:top w:val="single" w:sz="4" w:space="0" w:color="ADD6EA"/>
              <w:left w:val="nil"/>
              <w:bottom w:val="nil"/>
              <w:right w:val="nil"/>
            </w:tcBorders>
            <w:shd w:val="clear" w:color="000000" w:fill="B6D5E4"/>
            <w:vAlign w:val="center"/>
            <w:hideMark/>
          </w:tcPr>
          <w:p w14:paraId="368E1D6C"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$m</w:t>
            </w:r>
          </w:p>
        </w:tc>
      </w:tr>
      <w:tr w:rsidR="009E15CC" w:rsidRPr="009E15CC" w14:paraId="4CC87276" w14:textId="77777777" w:rsidTr="00FC2965">
        <w:trPr>
          <w:trHeight w:val="319"/>
        </w:trPr>
        <w:tc>
          <w:tcPr>
            <w:tcW w:w="3520" w:type="dxa"/>
            <w:tcBorders>
              <w:top w:val="single" w:sz="4" w:space="0" w:color="ADD6EA"/>
              <w:left w:val="nil"/>
              <w:bottom w:val="nil"/>
              <w:right w:val="nil"/>
            </w:tcBorders>
            <w:shd w:val="clear" w:color="000000" w:fill="FFFFFF"/>
            <w:vAlign w:val="center"/>
            <w:hideMark/>
          </w:tcPr>
          <w:p w14:paraId="25C7CD68" w14:textId="77777777" w:rsidR="009E15CC" w:rsidRPr="009E15CC" w:rsidRDefault="009E15CC" w:rsidP="00FC2965">
            <w:pPr>
              <w:tabs>
                <w:tab w:val="clear" w:pos="567"/>
              </w:tabs>
              <w:spacing w:before="0" w:line="240" w:lineRule="auto"/>
              <w:rPr>
                <w:rFonts w:eastAsia="Times New Roman" w:cs="Open Sans Light"/>
                <w:color w:val="000000"/>
                <w:sz w:val="16"/>
                <w:szCs w:val="16"/>
                <w:lang w:eastAsia="en-AU"/>
              </w:rPr>
            </w:pPr>
            <w:r w:rsidRPr="009E15CC">
              <w:rPr>
                <w:rFonts w:eastAsia="Times New Roman" w:cs="Open Sans Light"/>
                <w:color w:val="000000"/>
                <w:sz w:val="16"/>
                <w:szCs w:val="16"/>
                <w:lang w:eastAsia="en-AU"/>
              </w:rPr>
              <w:t>Smoothing</w:t>
            </w:r>
          </w:p>
        </w:tc>
        <w:tc>
          <w:tcPr>
            <w:tcW w:w="600" w:type="dxa"/>
            <w:tcBorders>
              <w:top w:val="single" w:sz="4" w:space="0" w:color="ADD6EA"/>
              <w:left w:val="nil"/>
              <w:bottom w:val="nil"/>
              <w:right w:val="nil"/>
            </w:tcBorders>
            <w:shd w:val="clear" w:color="000000" w:fill="FFFFFF"/>
            <w:vAlign w:val="center"/>
            <w:hideMark/>
          </w:tcPr>
          <w:p w14:paraId="7D1FD9C8"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-151</w:t>
            </w:r>
          </w:p>
        </w:tc>
        <w:tc>
          <w:tcPr>
            <w:tcW w:w="600" w:type="dxa"/>
            <w:tcBorders>
              <w:top w:val="single" w:sz="4" w:space="0" w:color="ADD6EA"/>
              <w:left w:val="nil"/>
              <w:bottom w:val="nil"/>
              <w:right w:val="nil"/>
            </w:tcBorders>
            <w:shd w:val="clear" w:color="000000" w:fill="FFFFFF"/>
            <w:vAlign w:val="center"/>
            <w:hideMark/>
          </w:tcPr>
          <w:p w14:paraId="49F2C70A"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57</w:t>
            </w:r>
          </w:p>
        </w:tc>
        <w:tc>
          <w:tcPr>
            <w:tcW w:w="600" w:type="dxa"/>
            <w:tcBorders>
              <w:top w:val="single" w:sz="4" w:space="0" w:color="ADD6EA"/>
              <w:left w:val="nil"/>
              <w:bottom w:val="nil"/>
              <w:right w:val="nil"/>
            </w:tcBorders>
            <w:shd w:val="clear" w:color="000000" w:fill="FFFFFF"/>
            <w:vAlign w:val="center"/>
            <w:hideMark/>
          </w:tcPr>
          <w:p w14:paraId="01CAAE5E"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151</w:t>
            </w:r>
          </w:p>
        </w:tc>
        <w:tc>
          <w:tcPr>
            <w:tcW w:w="600" w:type="dxa"/>
            <w:tcBorders>
              <w:top w:val="single" w:sz="4" w:space="0" w:color="ADD6EA"/>
              <w:left w:val="nil"/>
              <w:bottom w:val="nil"/>
              <w:right w:val="nil"/>
            </w:tcBorders>
            <w:shd w:val="clear" w:color="000000" w:fill="FFFFFF"/>
            <w:vAlign w:val="center"/>
            <w:hideMark/>
          </w:tcPr>
          <w:p w14:paraId="578FF68F"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-177</w:t>
            </w:r>
          </w:p>
        </w:tc>
        <w:tc>
          <w:tcPr>
            <w:tcW w:w="600" w:type="dxa"/>
            <w:tcBorders>
              <w:top w:val="single" w:sz="4" w:space="0" w:color="ADD6EA"/>
              <w:left w:val="nil"/>
              <w:bottom w:val="nil"/>
              <w:right w:val="nil"/>
            </w:tcBorders>
            <w:shd w:val="clear" w:color="000000" w:fill="FFFFFF"/>
            <w:vAlign w:val="center"/>
            <w:hideMark/>
          </w:tcPr>
          <w:p w14:paraId="48F29E73"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60</w:t>
            </w:r>
          </w:p>
        </w:tc>
        <w:tc>
          <w:tcPr>
            <w:tcW w:w="600" w:type="dxa"/>
            <w:tcBorders>
              <w:top w:val="single" w:sz="4" w:space="0" w:color="ADD6EA"/>
              <w:left w:val="nil"/>
              <w:bottom w:val="nil"/>
              <w:right w:val="nil"/>
            </w:tcBorders>
            <w:shd w:val="clear" w:color="000000" w:fill="FFFFFF"/>
            <w:vAlign w:val="center"/>
            <w:hideMark/>
          </w:tcPr>
          <w:p w14:paraId="1EB56BBC"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80</w:t>
            </w:r>
          </w:p>
        </w:tc>
        <w:tc>
          <w:tcPr>
            <w:tcW w:w="600" w:type="dxa"/>
            <w:tcBorders>
              <w:top w:val="single" w:sz="4" w:space="0" w:color="ADD6EA"/>
              <w:left w:val="nil"/>
              <w:bottom w:val="nil"/>
              <w:right w:val="nil"/>
            </w:tcBorders>
            <w:shd w:val="clear" w:color="000000" w:fill="FFFFFF"/>
            <w:vAlign w:val="center"/>
            <w:hideMark/>
          </w:tcPr>
          <w:p w14:paraId="30F2C97D"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-27</w:t>
            </w:r>
          </w:p>
        </w:tc>
        <w:tc>
          <w:tcPr>
            <w:tcW w:w="600" w:type="dxa"/>
            <w:tcBorders>
              <w:top w:val="single" w:sz="4" w:space="0" w:color="ADD6EA"/>
              <w:left w:val="nil"/>
              <w:bottom w:val="nil"/>
              <w:right w:val="nil"/>
            </w:tcBorders>
            <w:shd w:val="clear" w:color="000000" w:fill="FFFFFF"/>
            <w:vAlign w:val="center"/>
            <w:hideMark/>
          </w:tcPr>
          <w:p w14:paraId="6D28911B"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7</w:t>
            </w:r>
          </w:p>
        </w:tc>
        <w:tc>
          <w:tcPr>
            <w:tcW w:w="600" w:type="dxa"/>
            <w:tcBorders>
              <w:top w:val="single" w:sz="4" w:space="0" w:color="ADD6EA"/>
              <w:left w:val="nil"/>
              <w:bottom w:val="nil"/>
              <w:right w:val="nil"/>
            </w:tcBorders>
            <w:shd w:val="clear" w:color="000000" w:fill="FFFFFF"/>
            <w:vAlign w:val="center"/>
            <w:hideMark/>
          </w:tcPr>
          <w:p w14:paraId="4853AAB3"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355</w:t>
            </w:r>
          </w:p>
        </w:tc>
      </w:tr>
      <w:tr w:rsidR="009E15CC" w:rsidRPr="009E15CC" w14:paraId="6C478A08" w14:textId="77777777" w:rsidTr="00FC2965">
        <w:trPr>
          <w:trHeight w:val="319"/>
        </w:trPr>
        <w:tc>
          <w:tcPr>
            <w:tcW w:w="3520" w:type="dxa"/>
            <w:tcBorders>
              <w:top w:val="single" w:sz="4" w:space="0" w:color="ADD6EA"/>
              <w:left w:val="nil"/>
              <w:bottom w:val="nil"/>
              <w:right w:val="nil"/>
            </w:tcBorders>
            <w:shd w:val="clear" w:color="000000" w:fill="FFFFFF"/>
            <w:vAlign w:val="center"/>
            <w:hideMark/>
          </w:tcPr>
          <w:p w14:paraId="40DC061D" w14:textId="77777777" w:rsidR="009E15CC" w:rsidRPr="009E15CC" w:rsidRDefault="009E15CC" w:rsidP="00FC2965">
            <w:pPr>
              <w:tabs>
                <w:tab w:val="clear" w:pos="567"/>
              </w:tabs>
              <w:spacing w:before="0" w:line="240" w:lineRule="auto"/>
              <w:rPr>
                <w:rFonts w:eastAsia="Times New Roman" w:cs="Open Sans Light"/>
                <w:color w:val="000000"/>
                <w:sz w:val="16"/>
                <w:szCs w:val="16"/>
                <w:lang w:eastAsia="en-AU"/>
              </w:rPr>
            </w:pPr>
            <w:r w:rsidRPr="009E15CC">
              <w:rPr>
                <w:rFonts w:eastAsia="Times New Roman" w:cs="Open Sans Light"/>
                <w:color w:val="000000"/>
                <w:sz w:val="16"/>
                <w:szCs w:val="16"/>
                <w:lang w:eastAsia="en-AU"/>
              </w:rPr>
              <w:t>New model</w:t>
            </w:r>
          </w:p>
        </w:tc>
        <w:tc>
          <w:tcPr>
            <w:tcW w:w="600" w:type="dxa"/>
            <w:tcBorders>
              <w:top w:val="single" w:sz="4" w:space="0" w:color="ADD6EA"/>
              <w:left w:val="nil"/>
              <w:bottom w:val="nil"/>
              <w:right w:val="nil"/>
            </w:tcBorders>
            <w:shd w:val="clear" w:color="000000" w:fill="FFFFFF"/>
            <w:vAlign w:val="center"/>
            <w:hideMark/>
          </w:tcPr>
          <w:p w14:paraId="53E359EE"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w:t>
            </w:r>
          </w:p>
        </w:tc>
        <w:tc>
          <w:tcPr>
            <w:tcW w:w="600" w:type="dxa"/>
            <w:tcBorders>
              <w:top w:val="single" w:sz="4" w:space="0" w:color="ADD6EA"/>
              <w:left w:val="nil"/>
              <w:bottom w:val="nil"/>
              <w:right w:val="nil"/>
            </w:tcBorders>
            <w:shd w:val="clear" w:color="000000" w:fill="FFFFFF"/>
            <w:vAlign w:val="center"/>
            <w:hideMark/>
          </w:tcPr>
          <w:p w14:paraId="53FDDFAB"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296</w:t>
            </w:r>
          </w:p>
        </w:tc>
        <w:tc>
          <w:tcPr>
            <w:tcW w:w="600" w:type="dxa"/>
            <w:tcBorders>
              <w:top w:val="single" w:sz="4" w:space="0" w:color="ADD6EA"/>
              <w:left w:val="nil"/>
              <w:bottom w:val="nil"/>
              <w:right w:val="nil"/>
            </w:tcBorders>
            <w:shd w:val="clear" w:color="000000" w:fill="FFFFFF"/>
            <w:vAlign w:val="center"/>
            <w:hideMark/>
          </w:tcPr>
          <w:p w14:paraId="4D7A85A7"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-177</w:t>
            </w:r>
          </w:p>
        </w:tc>
        <w:tc>
          <w:tcPr>
            <w:tcW w:w="600" w:type="dxa"/>
            <w:tcBorders>
              <w:top w:val="single" w:sz="4" w:space="0" w:color="ADD6EA"/>
              <w:left w:val="nil"/>
              <w:bottom w:val="nil"/>
              <w:right w:val="nil"/>
            </w:tcBorders>
            <w:shd w:val="clear" w:color="000000" w:fill="FFFFFF"/>
            <w:vAlign w:val="center"/>
            <w:hideMark/>
          </w:tcPr>
          <w:p w14:paraId="70662C09"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-308</w:t>
            </w:r>
          </w:p>
        </w:tc>
        <w:tc>
          <w:tcPr>
            <w:tcW w:w="600" w:type="dxa"/>
            <w:tcBorders>
              <w:top w:val="single" w:sz="4" w:space="0" w:color="ADD6EA"/>
              <w:left w:val="nil"/>
              <w:bottom w:val="nil"/>
              <w:right w:val="nil"/>
            </w:tcBorders>
            <w:shd w:val="clear" w:color="000000" w:fill="FFFFFF"/>
            <w:vAlign w:val="center"/>
            <w:hideMark/>
          </w:tcPr>
          <w:p w14:paraId="1AB44358"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89</w:t>
            </w:r>
          </w:p>
        </w:tc>
        <w:tc>
          <w:tcPr>
            <w:tcW w:w="600" w:type="dxa"/>
            <w:tcBorders>
              <w:top w:val="single" w:sz="4" w:space="0" w:color="ADD6EA"/>
              <w:left w:val="nil"/>
              <w:bottom w:val="nil"/>
              <w:right w:val="nil"/>
            </w:tcBorders>
            <w:shd w:val="clear" w:color="000000" w:fill="FFFFFF"/>
            <w:vAlign w:val="center"/>
            <w:hideMark/>
          </w:tcPr>
          <w:p w14:paraId="10883401"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76</w:t>
            </w:r>
          </w:p>
        </w:tc>
        <w:tc>
          <w:tcPr>
            <w:tcW w:w="600" w:type="dxa"/>
            <w:tcBorders>
              <w:top w:val="single" w:sz="4" w:space="0" w:color="ADD6EA"/>
              <w:left w:val="nil"/>
              <w:bottom w:val="nil"/>
              <w:right w:val="nil"/>
            </w:tcBorders>
            <w:shd w:val="clear" w:color="000000" w:fill="FFFFFF"/>
            <w:vAlign w:val="center"/>
            <w:hideMark/>
          </w:tcPr>
          <w:p w14:paraId="543FC435"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77</w:t>
            </w:r>
          </w:p>
        </w:tc>
        <w:tc>
          <w:tcPr>
            <w:tcW w:w="600" w:type="dxa"/>
            <w:tcBorders>
              <w:top w:val="single" w:sz="4" w:space="0" w:color="ADD6EA"/>
              <w:left w:val="nil"/>
              <w:bottom w:val="nil"/>
              <w:right w:val="nil"/>
            </w:tcBorders>
            <w:shd w:val="clear" w:color="000000" w:fill="FFFFFF"/>
            <w:vAlign w:val="center"/>
            <w:hideMark/>
          </w:tcPr>
          <w:p w14:paraId="2D5707C9"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-52</w:t>
            </w:r>
          </w:p>
        </w:tc>
        <w:tc>
          <w:tcPr>
            <w:tcW w:w="600" w:type="dxa"/>
            <w:tcBorders>
              <w:top w:val="single" w:sz="4" w:space="0" w:color="ADD6EA"/>
              <w:left w:val="nil"/>
              <w:bottom w:val="nil"/>
              <w:right w:val="nil"/>
            </w:tcBorders>
            <w:shd w:val="clear" w:color="000000" w:fill="FFFFFF"/>
            <w:vAlign w:val="center"/>
            <w:hideMark/>
          </w:tcPr>
          <w:p w14:paraId="7ED27E63"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538</w:t>
            </w:r>
          </w:p>
        </w:tc>
      </w:tr>
      <w:tr w:rsidR="009E15CC" w:rsidRPr="009E15CC" w14:paraId="313F6D93" w14:textId="77777777" w:rsidTr="00FC2965">
        <w:trPr>
          <w:trHeight w:val="319"/>
        </w:trPr>
        <w:tc>
          <w:tcPr>
            <w:tcW w:w="3520" w:type="dxa"/>
            <w:tcBorders>
              <w:top w:val="single" w:sz="4" w:space="0" w:color="ADD6EA"/>
              <w:left w:val="nil"/>
              <w:bottom w:val="nil"/>
              <w:right w:val="nil"/>
            </w:tcBorders>
            <w:shd w:val="clear" w:color="000000" w:fill="FFFFFF"/>
            <w:vAlign w:val="center"/>
            <w:hideMark/>
          </w:tcPr>
          <w:p w14:paraId="0F874EAB" w14:textId="77777777" w:rsidR="009E15CC" w:rsidRPr="009E15CC" w:rsidRDefault="009E15CC" w:rsidP="00FC2965">
            <w:pPr>
              <w:tabs>
                <w:tab w:val="clear" w:pos="567"/>
              </w:tabs>
              <w:spacing w:before="0" w:line="240" w:lineRule="auto"/>
              <w:rPr>
                <w:rFonts w:eastAsia="Times New Roman" w:cs="Open Sans Light"/>
                <w:color w:val="000000"/>
                <w:sz w:val="16"/>
                <w:szCs w:val="16"/>
                <w:lang w:eastAsia="en-AU"/>
              </w:rPr>
            </w:pPr>
            <w:r w:rsidRPr="009E15CC">
              <w:rPr>
                <w:rFonts w:eastAsia="Times New Roman" w:cs="Open Sans Light"/>
                <w:color w:val="000000"/>
                <w:sz w:val="16"/>
                <w:szCs w:val="16"/>
                <w:lang w:eastAsia="en-AU"/>
              </w:rPr>
              <w:t>New wage/non-wage split</w:t>
            </w:r>
          </w:p>
        </w:tc>
        <w:tc>
          <w:tcPr>
            <w:tcW w:w="600" w:type="dxa"/>
            <w:tcBorders>
              <w:top w:val="single" w:sz="4" w:space="0" w:color="ADD6EA"/>
              <w:left w:val="nil"/>
              <w:bottom w:val="nil"/>
              <w:right w:val="nil"/>
            </w:tcBorders>
            <w:shd w:val="clear" w:color="000000" w:fill="FFFFFF"/>
            <w:vAlign w:val="center"/>
            <w:hideMark/>
          </w:tcPr>
          <w:p w14:paraId="54E1B00A"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22</w:t>
            </w:r>
          </w:p>
        </w:tc>
        <w:tc>
          <w:tcPr>
            <w:tcW w:w="600" w:type="dxa"/>
            <w:tcBorders>
              <w:top w:val="single" w:sz="4" w:space="0" w:color="ADD6EA"/>
              <w:left w:val="nil"/>
              <w:bottom w:val="nil"/>
              <w:right w:val="nil"/>
            </w:tcBorders>
            <w:shd w:val="clear" w:color="000000" w:fill="FFFFFF"/>
            <w:vAlign w:val="center"/>
            <w:hideMark/>
          </w:tcPr>
          <w:p w14:paraId="712B5921"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-114</w:t>
            </w:r>
          </w:p>
        </w:tc>
        <w:tc>
          <w:tcPr>
            <w:tcW w:w="600" w:type="dxa"/>
            <w:tcBorders>
              <w:top w:val="single" w:sz="4" w:space="0" w:color="ADD6EA"/>
              <w:left w:val="nil"/>
              <w:bottom w:val="nil"/>
              <w:right w:val="nil"/>
            </w:tcBorders>
            <w:shd w:val="clear" w:color="000000" w:fill="FFFFFF"/>
            <w:vAlign w:val="center"/>
            <w:hideMark/>
          </w:tcPr>
          <w:p w14:paraId="27073D9A"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43</w:t>
            </w:r>
          </w:p>
        </w:tc>
        <w:tc>
          <w:tcPr>
            <w:tcW w:w="600" w:type="dxa"/>
            <w:tcBorders>
              <w:top w:val="single" w:sz="4" w:space="0" w:color="ADD6EA"/>
              <w:left w:val="nil"/>
              <w:bottom w:val="nil"/>
              <w:right w:val="nil"/>
            </w:tcBorders>
            <w:shd w:val="clear" w:color="000000" w:fill="FFFFFF"/>
            <w:vAlign w:val="center"/>
            <w:hideMark/>
          </w:tcPr>
          <w:p w14:paraId="5BD3051A"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137</w:t>
            </w:r>
          </w:p>
        </w:tc>
        <w:tc>
          <w:tcPr>
            <w:tcW w:w="600" w:type="dxa"/>
            <w:tcBorders>
              <w:top w:val="single" w:sz="4" w:space="0" w:color="ADD6EA"/>
              <w:left w:val="nil"/>
              <w:bottom w:val="nil"/>
              <w:right w:val="nil"/>
            </w:tcBorders>
            <w:shd w:val="clear" w:color="000000" w:fill="FFFFFF"/>
            <w:vAlign w:val="center"/>
            <w:hideMark/>
          </w:tcPr>
          <w:p w14:paraId="49778D36"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-27</w:t>
            </w:r>
          </w:p>
        </w:tc>
        <w:tc>
          <w:tcPr>
            <w:tcW w:w="600" w:type="dxa"/>
            <w:tcBorders>
              <w:top w:val="single" w:sz="4" w:space="0" w:color="ADD6EA"/>
              <w:left w:val="nil"/>
              <w:bottom w:val="nil"/>
              <w:right w:val="nil"/>
            </w:tcBorders>
            <w:shd w:val="clear" w:color="000000" w:fill="FFFFFF"/>
            <w:vAlign w:val="center"/>
            <w:hideMark/>
          </w:tcPr>
          <w:p w14:paraId="0A71377F"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-49</w:t>
            </w:r>
          </w:p>
        </w:tc>
        <w:tc>
          <w:tcPr>
            <w:tcW w:w="600" w:type="dxa"/>
            <w:tcBorders>
              <w:top w:val="single" w:sz="4" w:space="0" w:color="ADD6EA"/>
              <w:left w:val="nil"/>
              <w:bottom w:val="nil"/>
              <w:right w:val="nil"/>
            </w:tcBorders>
            <w:shd w:val="clear" w:color="000000" w:fill="FFFFFF"/>
            <w:vAlign w:val="center"/>
            <w:hideMark/>
          </w:tcPr>
          <w:p w14:paraId="346AC5AD"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-24</w:t>
            </w:r>
          </w:p>
        </w:tc>
        <w:tc>
          <w:tcPr>
            <w:tcW w:w="600" w:type="dxa"/>
            <w:tcBorders>
              <w:top w:val="single" w:sz="4" w:space="0" w:color="ADD6EA"/>
              <w:left w:val="nil"/>
              <w:bottom w:val="nil"/>
              <w:right w:val="nil"/>
            </w:tcBorders>
            <w:shd w:val="clear" w:color="000000" w:fill="FFFFFF"/>
            <w:vAlign w:val="center"/>
            <w:hideMark/>
          </w:tcPr>
          <w:p w14:paraId="7F2E3CB5"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11</w:t>
            </w:r>
          </w:p>
        </w:tc>
        <w:tc>
          <w:tcPr>
            <w:tcW w:w="600" w:type="dxa"/>
            <w:tcBorders>
              <w:top w:val="single" w:sz="4" w:space="0" w:color="ADD6EA"/>
              <w:left w:val="nil"/>
              <w:bottom w:val="nil"/>
              <w:right w:val="nil"/>
            </w:tcBorders>
            <w:shd w:val="clear" w:color="000000" w:fill="FFFFFF"/>
            <w:vAlign w:val="center"/>
            <w:hideMark/>
          </w:tcPr>
          <w:p w14:paraId="2BDBFB2B"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214</w:t>
            </w:r>
          </w:p>
        </w:tc>
      </w:tr>
      <w:tr w:rsidR="009E15CC" w:rsidRPr="009E15CC" w14:paraId="214B0594" w14:textId="77777777" w:rsidTr="00FC2965">
        <w:trPr>
          <w:trHeight w:val="319"/>
        </w:trPr>
        <w:tc>
          <w:tcPr>
            <w:tcW w:w="3520" w:type="dxa"/>
            <w:tcBorders>
              <w:top w:val="single" w:sz="4" w:space="0" w:color="ADD6EA"/>
              <w:left w:val="nil"/>
              <w:bottom w:val="nil"/>
              <w:right w:val="nil"/>
            </w:tcBorders>
            <w:shd w:val="clear" w:color="000000" w:fill="D6E7F0"/>
            <w:vAlign w:val="center"/>
            <w:hideMark/>
          </w:tcPr>
          <w:p w14:paraId="695B68C8" w14:textId="77777777" w:rsidR="009E15CC" w:rsidRPr="009E15CC" w:rsidRDefault="009E15CC" w:rsidP="00FC2965">
            <w:pPr>
              <w:tabs>
                <w:tab w:val="clear" w:pos="567"/>
              </w:tabs>
              <w:spacing w:before="0" w:line="240" w:lineRule="auto"/>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Total</w:t>
            </w:r>
          </w:p>
        </w:tc>
        <w:tc>
          <w:tcPr>
            <w:tcW w:w="600" w:type="dxa"/>
            <w:tcBorders>
              <w:top w:val="single" w:sz="4" w:space="0" w:color="ADD6EA"/>
              <w:left w:val="nil"/>
              <w:bottom w:val="nil"/>
              <w:right w:val="nil"/>
            </w:tcBorders>
            <w:shd w:val="clear" w:color="000000" w:fill="D6E7F0"/>
            <w:vAlign w:val="center"/>
            <w:hideMark/>
          </w:tcPr>
          <w:p w14:paraId="72CFAC53"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-129</w:t>
            </w:r>
          </w:p>
        </w:tc>
        <w:tc>
          <w:tcPr>
            <w:tcW w:w="600" w:type="dxa"/>
            <w:tcBorders>
              <w:top w:val="single" w:sz="4" w:space="0" w:color="ADD6EA"/>
              <w:left w:val="nil"/>
              <w:bottom w:val="nil"/>
              <w:right w:val="nil"/>
            </w:tcBorders>
            <w:shd w:val="clear" w:color="000000" w:fill="D6E7F0"/>
            <w:vAlign w:val="center"/>
            <w:hideMark/>
          </w:tcPr>
          <w:p w14:paraId="2412ED08"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238</w:t>
            </w:r>
          </w:p>
        </w:tc>
        <w:tc>
          <w:tcPr>
            <w:tcW w:w="600" w:type="dxa"/>
            <w:tcBorders>
              <w:top w:val="single" w:sz="4" w:space="0" w:color="ADD6EA"/>
              <w:left w:val="nil"/>
              <w:bottom w:val="nil"/>
              <w:right w:val="nil"/>
            </w:tcBorders>
            <w:shd w:val="clear" w:color="000000" w:fill="D6E7F0"/>
            <w:vAlign w:val="center"/>
            <w:hideMark/>
          </w:tcPr>
          <w:p w14:paraId="051C0F92"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17</w:t>
            </w:r>
          </w:p>
        </w:tc>
        <w:tc>
          <w:tcPr>
            <w:tcW w:w="600" w:type="dxa"/>
            <w:tcBorders>
              <w:top w:val="single" w:sz="4" w:space="0" w:color="ADD6EA"/>
              <w:left w:val="nil"/>
              <w:bottom w:val="nil"/>
              <w:right w:val="nil"/>
            </w:tcBorders>
            <w:shd w:val="clear" w:color="000000" w:fill="D6E7F0"/>
            <w:vAlign w:val="center"/>
            <w:hideMark/>
          </w:tcPr>
          <w:p w14:paraId="208E0857"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-348</w:t>
            </w:r>
          </w:p>
        </w:tc>
        <w:tc>
          <w:tcPr>
            <w:tcW w:w="600" w:type="dxa"/>
            <w:tcBorders>
              <w:top w:val="single" w:sz="4" w:space="0" w:color="ADD6EA"/>
              <w:left w:val="nil"/>
              <w:bottom w:val="nil"/>
              <w:right w:val="nil"/>
            </w:tcBorders>
            <w:shd w:val="clear" w:color="000000" w:fill="D6E7F0"/>
            <w:vAlign w:val="center"/>
            <w:hideMark/>
          </w:tcPr>
          <w:p w14:paraId="03E2C335"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122</w:t>
            </w:r>
          </w:p>
        </w:tc>
        <w:tc>
          <w:tcPr>
            <w:tcW w:w="600" w:type="dxa"/>
            <w:tcBorders>
              <w:top w:val="single" w:sz="4" w:space="0" w:color="ADD6EA"/>
              <w:left w:val="nil"/>
              <w:bottom w:val="nil"/>
              <w:right w:val="nil"/>
            </w:tcBorders>
            <w:shd w:val="clear" w:color="000000" w:fill="D6E7F0"/>
            <w:vAlign w:val="center"/>
            <w:hideMark/>
          </w:tcPr>
          <w:p w14:paraId="2D677450"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107</w:t>
            </w:r>
          </w:p>
        </w:tc>
        <w:tc>
          <w:tcPr>
            <w:tcW w:w="600" w:type="dxa"/>
            <w:tcBorders>
              <w:top w:val="single" w:sz="4" w:space="0" w:color="ADD6EA"/>
              <w:left w:val="nil"/>
              <w:bottom w:val="nil"/>
              <w:right w:val="nil"/>
            </w:tcBorders>
            <w:shd w:val="clear" w:color="000000" w:fill="D6E7F0"/>
            <w:vAlign w:val="center"/>
            <w:hideMark/>
          </w:tcPr>
          <w:p w14:paraId="74E5F368"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26</w:t>
            </w:r>
          </w:p>
        </w:tc>
        <w:tc>
          <w:tcPr>
            <w:tcW w:w="600" w:type="dxa"/>
            <w:tcBorders>
              <w:top w:val="single" w:sz="4" w:space="0" w:color="ADD6EA"/>
              <w:left w:val="nil"/>
              <w:bottom w:val="nil"/>
              <w:right w:val="nil"/>
            </w:tcBorders>
            <w:shd w:val="clear" w:color="000000" w:fill="D6E7F0"/>
            <w:vAlign w:val="center"/>
            <w:hideMark/>
          </w:tcPr>
          <w:p w14:paraId="34B7CE86"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-33</w:t>
            </w:r>
          </w:p>
        </w:tc>
        <w:tc>
          <w:tcPr>
            <w:tcW w:w="600" w:type="dxa"/>
            <w:tcBorders>
              <w:top w:val="single" w:sz="4" w:space="0" w:color="ADD6EA"/>
              <w:left w:val="nil"/>
              <w:bottom w:val="nil"/>
              <w:right w:val="nil"/>
            </w:tcBorders>
            <w:shd w:val="clear" w:color="000000" w:fill="D6E7F0"/>
            <w:vAlign w:val="center"/>
            <w:hideMark/>
          </w:tcPr>
          <w:p w14:paraId="0A7ABA55"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510</w:t>
            </w:r>
          </w:p>
        </w:tc>
      </w:tr>
      <w:tr w:rsidR="009E15CC" w:rsidRPr="009E15CC" w14:paraId="2ED6A426" w14:textId="77777777" w:rsidTr="00FC2965">
        <w:trPr>
          <w:trHeight w:val="259"/>
        </w:trPr>
        <w:tc>
          <w:tcPr>
            <w:tcW w:w="3520" w:type="dxa"/>
            <w:tcBorders>
              <w:top w:val="single" w:sz="4" w:space="0" w:color="ADD6EA"/>
              <w:left w:val="nil"/>
              <w:bottom w:val="nil"/>
              <w:right w:val="nil"/>
            </w:tcBorders>
            <w:shd w:val="clear" w:color="000000" w:fill="B6D5E4"/>
            <w:vAlign w:val="center"/>
            <w:hideMark/>
          </w:tcPr>
          <w:p w14:paraId="5621C92B" w14:textId="77777777" w:rsidR="009E15CC" w:rsidRPr="009E15CC" w:rsidRDefault="009E15CC" w:rsidP="00FC2965">
            <w:pPr>
              <w:tabs>
                <w:tab w:val="clear" w:pos="567"/>
              </w:tabs>
              <w:spacing w:before="0" w:line="240" w:lineRule="auto"/>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 </w:t>
            </w:r>
          </w:p>
        </w:tc>
        <w:tc>
          <w:tcPr>
            <w:tcW w:w="600" w:type="dxa"/>
            <w:tcBorders>
              <w:top w:val="single" w:sz="4" w:space="0" w:color="ADD6EA"/>
              <w:left w:val="nil"/>
              <w:bottom w:val="nil"/>
              <w:right w:val="nil"/>
            </w:tcBorders>
            <w:shd w:val="clear" w:color="000000" w:fill="B6D5E4"/>
            <w:vAlign w:val="center"/>
            <w:hideMark/>
          </w:tcPr>
          <w:p w14:paraId="692F5E9F"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c>
          <w:tcPr>
            <w:tcW w:w="600" w:type="dxa"/>
            <w:tcBorders>
              <w:top w:val="single" w:sz="4" w:space="0" w:color="ADD6EA"/>
              <w:left w:val="nil"/>
              <w:bottom w:val="nil"/>
              <w:right w:val="nil"/>
            </w:tcBorders>
            <w:shd w:val="clear" w:color="000000" w:fill="B6D5E4"/>
            <w:vAlign w:val="center"/>
            <w:hideMark/>
          </w:tcPr>
          <w:p w14:paraId="594DD818"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c>
          <w:tcPr>
            <w:tcW w:w="600" w:type="dxa"/>
            <w:tcBorders>
              <w:top w:val="single" w:sz="4" w:space="0" w:color="ADD6EA"/>
              <w:left w:val="nil"/>
              <w:bottom w:val="nil"/>
              <w:right w:val="nil"/>
            </w:tcBorders>
            <w:shd w:val="clear" w:color="000000" w:fill="B6D5E4"/>
            <w:vAlign w:val="center"/>
            <w:hideMark/>
          </w:tcPr>
          <w:p w14:paraId="1A6804DC"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c>
          <w:tcPr>
            <w:tcW w:w="600" w:type="dxa"/>
            <w:tcBorders>
              <w:top w:val="single" w:sz="4" w:space="0" w:color="ADD6EA"/>
              <w:left w:val="nil"/>
              <w:bottom w:val="nil"/>
              <w:right w:val="nil"/>
            </w:tcBorders>
            <w:shd w:val="clear" w:color="000000" w:fill="B6D5E4"/>
            <w:vAlign w:val="center"/>
            <w:hideMark/>
          </w:tcPr>
          <w:p w14:paraId="238F343B"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c>
          <w:tcPr>
            <w:tcW w:w="600" w:type="dxa"/>
            <w:tcBorders>
              <w:top w:val="single" w:sz="4" w:space="0" w:color="ADD6EA"/>
              <w:left w:val="nil"/>
              <w:bottom w:val="nil"/>
              <w:right w:val="nil"/>
            </w:tcBorders>
            <w:shd w:val="clear" w:color="000000" w:fill="B6D5E4"/>
            <w:vAlign w:val="center"/>
            <w:hideMark/>
          </w:tcPr>
          <w:p w14:paraId="47D379C6"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c>
          <w:tcPr>
            <w:tcW w:w="600" w:type="dxa"/>
            <w:tcBorders>
              <w:top w:val="single" w:sz="4" w:space="0" w:color="ADD6EA"/>
              <w:left w:val="nil"/>
              <w:bottom w:val="nil"/>
              <w:right w:val="nil"/>
            </w:tcBorders>
            <w:shd w:val="clear" w:color="000000" w:fill="B6D5E4"/>
            <w:vAlign w:val="center"/>
            <w:hideMark/>
          </w:tcPr>
          <w:p w14:paraId="16F37F91"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c>
          <w:tcPr>
            <w:tcW w:w="600" w:type="dxa"/>
            <w:tcBorders>
              <w:top w:val="single" w:sz="4" w:space="0" w:color="ADD6EA"/>
              <w:left w:val="nil"/>
              <w:bottom w:val="nil"/>
              <w:right w:val="nil"/>
            </w:tcBorders>
            <w:shd w:val="clear" w:color="000000" w:fill="B6D5E4"/>
            <w:vAlign w:val="center"/>
            <w:hideMark/>
          </w:tcPr>
          <w:p w14:paraId="1671A0F7"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c>
          <w:tcPr>
            <w:tcW w:w="600" w:type="dxa"/>
            <w:tcBorders>
              <w:top w:val="single" w:sz="4" w:space="0" w:color="ADD6EA"/>
              <w:left w:val="nil"/>
              <w:bottom w:val="nil"/>
              <w:right w:val="nil"/>
            </w:tcBorders>
            <w:shd w:val="clear" w:color="000000" w:fill="B6D5E4"/>
            <w:vAlign w:val="center"/>
            <w:hideMark/>
          </w:tcPr>
          <w:p w14:paraId="2038DB8E"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c>
          <w:tcPr>
            <w:tcW w:w="600" w:type="dxa"/>
            <w:tcBorders>
              <w:top w:val="single" w:sz="4" w:space="0" w:color="ADD6EA"/>
              <w:left w:val="nil"/>
              <w:bottom w:val="nil"/>
              <w:right w:val="nil"/>
            </w:tcBorders>
            <w:shd w:val="clear" w:color="000000" w:fill="B6D5E4"/>
            <w:vAlign w:val="center"/>
            <w:hideMark/>
          </w:tcPr>
          <w:p w14:paraId="404B966D"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$pc</w:t>
            </w:r>
          </w:p>
        </w:tc>
      </w:tr>
      <w:tr w:rsidR="009E15CC" w:rsidRPr="009E15CC" w14:paraId="6C739A4E" w14:textId="77777777" w:rsidTr="00FC2965">
        <w:trPr>
          <w:trHeight w:val="319"/>
        </w:trPr>
        <w:tc>
          <w:tcPr>
            <w:tcW w:w="3520" w:type="dxa"/>
            <w:tcBorders>
              <w:top w:val="single" w:sz="4" w:space="0" w:color="ADD6EA"/>
              <w:left w:val="nil"/>
              <w:bottom w:val="nil"/>
              <w:right w:val="nil"/>
            </w:tcBorders>
            <w:shd w:val="clear" w:color="000000" w:fill="FFFFFF"/>
            <w:vAlign w:val="center"/>
            <w:hideMark/>
          </w:tcPr>
          <w:p w14:paraId="7B640364" w14:textId="77777777" w:rsidR="009E15CC" w:rsidRPr="009E15CC" w:rsidRDefault="009E15CC" w:rsidP="00FC2965">
            <w:pPr>
              <w:tabs>
                <w:tab w:val="clear" w:pos="567"/>
              </w:tabs>
              <w:spacing w:before="0" w:line="240" w:lineRule="auto"/>
              <w:rPr>
                <w:rFonts w:eastAsia="Times New Roman" w:cs="Open Sans Light"/>
                <w:color w:val="000000"/>
                <w:sz w:val="16"/>
                <w:szCs w:val="16"/>
                <w:lang w:eastAsia="en-AU"/>
              </w:rPr>
            </w:pPr>
            <w:r w:rsidRPr="009E15CC">
              <w:rPr>
                <w:rFonts w:eastAsia="Times New Roman" w:cs="Open Sans Light"/>
                <w:color w:val="000000"/>
                <w:sz w:val="16"/>
                <w:szCs w:val="16"/>
                <w:lang w:eastAsia="en-AU"/>
              </w:rPr>
              <w:t>Smoothing</w:t>
            </w:r>
          </w:p>
        </w:tc>
        <w:tc>
          <w:tcPr>
            <w:tcW w:w="600" w:type="dxa"/>
            <w:tcBorders>
              <w:top w:val="single" w:sz="4" w:space="0" w:color="ADD6EA"/>
              <w:left w:val="nil"/>
              <w:bottom w:val="nil"/>
              <w:right w:val="nil"/>
            </w:tcBorders>
            <w:shd w:val="clear" w:color="000000" w:fill="FFFFFF"/>
            <w:vAlign w:val="center"/>
            <w:hideMark/>
          </w:tcPr>
          <w:p w14:paraId="46E31F5E"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-18</w:t>
            </w:r>
          </w:p>
        </w:tc>
        <w:tc>
          <w:tcPr>
            <w:tcW w:w="600" w:type="dxa"/>
            <w:tcBorders>
              <w:top w:val="single" w:sz="4" w:space="0" w:color="ADD6EA"/>
              <w:left w:val="nil"/>
              <w:bottom w:val="nil"/>
              <w:right w:val="nil"/>
            </w:tcBorders>
            <w:shd w:val="clear" w:color="000000" w:fill="FFFFFF"/>
            <w:vAlign w:val="center"/>
            <w:hideMark/>
          </w:tcPr>
          <w:p w14:paraId="123745B9"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8</w:t>
            </w:r>
          </w:p>
        </w:tc>
        <w:tc>
          <w:tcPr>
            <w:tcW w:w="600" w:type="dxa"/>
            <w:tcBorders>
              <w:top w:val="single" w:sz="4" w:space="0" w:color="ADD6EA"/>
              <w:left w:val="nil"/>
              <w:bottom w:val="nil"/>
              <w:right w:val="nil"/>
            </w:tcBorders>
            <w:shd w:val="clear" w:color="000000" w:fill="FFFFFF"/>
            <w:vAlign w:val="center"/>
            <w:hideMark/>
          </w:tcPr>
          <w:p w14:paraId="6D7A8540"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27</w:t>
            </w:r>
          </w:p>
        </w:tc>
        <w:tc>
          <w:tcPr>
            <w:tcW w:w="600" w:type="dxa"/>
            <w:tcBorders>
              <w:top w:val="single" w:sz="4" w:space="0" w:color="ADD6EA"/>
              <w:left w:val="nil"/>
              <w:bottom w:val="nil"/>
              <w:right w:val="nil"/>
            </w:tcBorders>
            <w:shd w:val="clear" w:color="000000" w:fill="FFFFFF"/>
            <w:vAlign w:val="center"/>
            <w:hideMark/>
          </w:tcPr>
          <w:p w14:paraId="1056C730"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-60</w:t>
            </w:r>
          </w:p>
        </w:tc>
        <w:tc>
          <w:tcPr>
            <w:tcW w:w="600" w:type="dxa"/>
            <w:tcBorders>
              <w:top w:val="single" w:sz="4" w:space="0" w:color="ADD6EA"/>
              <w:left w:val="nil"/>
              <w:bottom w:val="nil"/>
              <w:right w:val="nil"/>
            </w:tcBorders>
            <w:shd w:val="clear" w:color="000000" w:fill="FFFFFF"/>
            <w:vAlign w:val="center"/>
            <w:hideMark/>
          </w:tcPr>
          <w:p w14:paraId="6C24354E"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32</w:t>
            </w:r>
          </w:p>
        </w:tc>
        <w:tc>
          <w:tcPr>
            <w:tcW w:w="600" w:type="dxa"/>
            <w:tcBorders>
              <w:top w:val="single" w:sz="4" w:space="0" w:color="ADD6EA"/>
              <w:left w:val="nil"/>
              <w:bottom w:val="nil"/>
              <w:right w:val="nil"/>
            </w:tcBorders>
            <w:shd w:val="clear" w:color="000000" w:fill="FFFFFF"/>
            <w:vAlign w:val="center"/>
            <w:hideMark/>
          </w:tcPr>
          <w:p w14:paraId="441DEC5E"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137</w:t>
            </w:r>
          </w:p>
        </w:tc>
        <w:tc>
          <w:tcPr>
            <w:tcW w:w="600" w:type="dxa"/>
            <w:tcBorders>
              <w:top w:val="single" w:sz="4" w:space="0" w:color="ADD6EA"/>
              <w:left w:val="nil"/>
              <w:bottom w:val="nil"/>
              <w:right w:val="nil"/>
            </w:tcBorders>
            <w:shd w:val="clear" w:color="000000" w:fill="FFFFFF"/>
            <w:vAlign w:val="center"/>
            <w:hideMark/>
          </w:tcPr>
          <w:p w14:paraId="4B01B5E1"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-56</w:t>
            </w:r>
          </w:p>
        </w:tc>
        <w:tc>
          <w:tcPr>
            <w:tcW w:w="600" w:type="dxa"/>
            <w:tcBorders>
              <w:top w:val="single" w:sz="4" w:space="0" w:color="ADD6EA"/>
              <w:left w:val="nil"/>
              <w:bottom w:val="nil"/>
              <w:right w:val="nil"/>
            </w:tcBorders>
            <w:shd w:val="clear" w:color="000000" w:fill="FFFFFF"/>
            <w:vAlign w:val="center"/>
            <w:hideMark/>
          </w:tcPr>
          <w:p w14:paraId="1BAB4983"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28</w:t>
            </w:r>
          </w:p>
        </w:tc>
        <w:tc>
          <w:tcPr>
            <w:tcW w:w="600" w:type="dxa"/>
            <w:tcBorders>
              <w:top w:val="single" w:sz="4" w:space="0" w:color="ADD6EA"/>
              <w:left w:val="nil"/>
              <w:bottom w:val="nil"/>
              <w:right w:val="nil"/>
            </w:tcBorders>
            <w:shd w:val="clear" w:color="000000" w:fill="FFFFFF"/>
            <w:vAlign w:val="center"/>
            <w:hideMark/>
          </w:tcPr>
          <w:p w14:paraId="152FF917"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13</w:t>
            </w:r>
          </w:p>
        </w:tc>
      </w:tr>
      <w:tr w:rsidR="009E15CC" w:rsidRPr="009E15CC" w14:paraId="3D06E03D" w14:textId="77777777" w:rsidTr="00FC2965">
        <w:trPr>
          <w:trHeight w:val="319"/>
        </w:trPr>
        <w:tc>
          <w:tcPr>
            <w:tcW w:w="3520" w:type="dxa"/>
            <w:tcBorders>
              <w:top w:val="single" w:sz="4" w:space="0" w:color="ADD6EA"/>
              <w:left w:val="nil"/>
              <w:bottom w:val="nil"/>
              <w:right w:val="nil"/>
            </w:tcBorders>
            <w:shd w:val="clear" w:color="000000" w:fill="FFFFFF"/>
            <w:vAlign w:val="center"/>
            <w:hideMark/>
          </w:tcPr>
          <w:p w14:paraId="29F38FF5" w14:textId="77777777" w:rsidR="009E15CC" w:rsidRPr="009E15CC" w:rsidRDefault="009E15CC" w:rsidP="00FC2965">
            <w:pPr>
              <w:tabs>
                <w:tab w:val="clear" w:pos="567"/>
              </w:tabs>
              <w:spacing w:before="0" w:line="240" w:lineRule="auto"/>
              <w:rPr>
                <w:rFonts w:eastAsia="Times New Roman" w:cs="Open Sans Light"/>
                <w:color w:val="000000"/>
                <w:sz w:val="16"/>
                <w:szCs w:val="16"/>
                <w:lang w:eastAsia="en-AU"/>
              </w:rPr>
            </w:pPr>
            <w:r w:rsidRPr="009E15CC">
              <w:rPr>
                <w:rFonts w:eastAsia="Times New Roman" w:cs="Open Sans Light"/>
                <w:color w:val="000000"/>
                <w:sz w:val="16"/>
                <w:szCs w:val="16"/>
                <w:lang w:eastAsia="en-AU"/>
              </w:rPr>
              <w:t>New model</w:t>
            </w:r>
          </w:p>
        </w:tc>
        <w:tc>
          <w:tcPr>
            <w:tcW w:w="600" w:type="dxa"/>
            <w:tcBorders>
              <w:top w:val="single" w:sz="4" w:space="0" w:color="ADD6EA"/>
              <w:left w:val="nil"/>
              <w:bottom w:val="nil"/>
              <w:right w:val="nil"/>
            </w:tcBorders>
            <w:shd w:val="clear" w:color="000000" w:fill="FFFFFF"/>
            <w:vAlign w:val="center"/>
            <w:hideMark/>
          </w:tcPr>
          <w:p w14:paraId="7FE679F3"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0</w:t>
            </w:r>
          </w:p>
        </w:tc>
        <w:tc>
          <w:tcPr>
            <w:tcW w:w="600" w:type="dxa"/>
            <w:tcBorders>
              <w:top w:val="single" w:sz="4" w:space="0" w:color="ADD6EA"/>
              <w:left w:val="nil"/>
              <w:bottom w:val="nil"/>
              <w:right w:val="nil"/>
            </w:tcBorders>
            <w:shd w:val="clear" w:color="000000" w:fill="FFFFFF"/>
            <w:vAlign w:val="center"/>
            <w:hideMark/>
          </w:tcPr>
          <w:p w14:paraId="47E15836"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42</w:t>
            </w:r>
          </w:p>
        </w:tc>
        <w:tc>
          <w:tcPr>
            <w:tcW w:w="600" w:type="dxa"/>
            <w:tcBorders>
              <w:top w:val="single" w:sz="4" w:space="0" w:color="ADD6EA"/>
              <w:left w:val="nil"/>
              <w:bottom w:val="nil"/>
              <w:right w:val="nil"/>
            </w:tcBorders>
            <w:shd w:val="clear" w:color="000000" w:fill="FFFFFF"/>
            <w:vAlign w:val="center"/>
            <w:hideMark/>
          </w:tcPr>
          <w:p w14:paraId="2B01F00D"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-32</w:t>
            </w:r>
          </w:p>
        </w:tc>
        <w:tc>
          <w:tcPr>
            <w:tcW w:w="600" w:type="dxa"/>
            <w:tcBorders>
              <w:top w:val="single" w:sz="4" w:space="0" w:color="ADD6EA"/>
              <w:left w:val="nil"/>
              <w:bottom w:val="nil"/>
              <w:right w:val="nil"/>
            </w:tcBorders>
            <w:shd w:val="clear" w:color="000000" w:fill="FFFFFF"/>
            <w:vAlign w:val="center"/>
            <w:hideMark/>
          </w:tcPr>
          <w:p w14:paraId="0462F3CD"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-104</w:t>
            </w:r>
          </w:p>
        </w:tc>
        <w:tc>
          <w:tcPr>
            <w:tcW w:w="600" w:type="dxa"/>
            <w:tcBorders>
              <w:top w:val="single" w:sz="4" w:space="0" w:color="ADD6EA"/>
              <w:left w:val="nil"/>
              <w:bottom w:val="nil"/>
              <w:right w:val="nil"/>
            </w:tcBorders>
            <w:shd w:val="clear" w:color="000000" w:fill="FFFFFF"/>
            <w:vAlign w:val="center"/>
            <w:hideMark/>
          </w:tcPr>
          <w:p w14:paraId="632FA11D"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47</w:t>
            </w:r>
          </w:p>
        </w:tc>
        <w:tc>
          <w:tcPr>
            <w:tcW w:w="600" w:type="dxa"/>
            <w:tcBorders>
              <w:top w:val="single" w:sz="4" w:space="0" w:color="ADD6EA"/>
              <w:left w:val="nil"/>
              <w:bottom w:val="nil"/>
              <w:right w:val="nil"/>
            </w:tcBorders>
            <w:shd w:val="clear" w:color="000000" w:fill="FFFFFF"/>
            <w:vAlign w:val="center"/>
            <w:hideMark/>
          </w:tcPr>
          <w:p w14:paraId="3544C4BB"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130</w:t>
            </w:r>
          </w:p>
        </w:tc>
        <w:tc>
          <w:tcPr>
            <w:tcW w:w="600" w:type="dxa"/>
            <w:tcBorders>
              <w:top w:val="single" w:sz="4" w:space="0" w:color="ADD6EA"/>
              <w:left w:val="nil"/>
              <w:bottom w:val="nil"/>
              <w:right w:val="nil"/>
            </w:tcBorders>
            <w:shd w:val="clear" w:color="000000" w:fill="FFFFFF"/>
            <w:vAlign w:val="center"/>
            <w:hideMark/>
          </w:tcPr>
          <w:p w14:paraId="2A3C02B1"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161</w:t>
            </w:r>
          </w:p>
        </w:tc>
        <w:tc>
          <w:tcPr>
            <w:tcW w:w="600" w:type="dxa"/>
            <w:tcBorders>
              <w:top w:val="single" w:sz="4" w:space="0" w:color="ADD6EA"/>
              <w:left w:val="nil"/>
              <w:bottom w:val="nil"/>
              <w:right w:val="nil"/>
            </w:tcBorders>
            <w:shd w:val="clear" w:color="000000" w:fill="FFFFFF"/>
            <w:vAlign w:val="center"/>
            <w:hideMark/>
          </w:tcPr>
          <w:p w14:paraId="5B400216"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-201</w:t>
            </w:r>
          </w:p>
        </w:tc>
        <w:tc>
          <w:tcPr>
            <w:tcW w:w="600" w:type="dxa"/>
            <w:tcBorders>
              <w:top w:val="single" w:sz="4" w:space="0" w:color="ADD6EA"/>
              <w:left w:val="nil"/>
              <w:bottom w:val="nil"/>
              <w:right w:val="nil"/>
            </w:tcBorders>
            <w:shd w:val="clear" w:color="000000" w:fill="FFFFFF"/>
            <w:vAlign w:val="center"/>
            <w:hideMark/>
          </w:tcPr>
          <w:p w14:paraId="419CF244"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20</w:t>
            </w:r>
          </w:p>
        </w:tc>
      </w:tr>
      <w:tr w:rsidR="009E15CC" w:rsidRPr="009E15CC" w14:paraId="0272F778" w14:textId="77777777" w:rsidTr="00FC2965">
        <w:trPr>
          <w:trHeight w:val="319"/>
        </w:trPr>
        <w:tc>
          <w:tcPr>
            <w:tcW w:w="3520" w:type="dxa"/>
            <w:tcBorders>
              <w:top w:val="single" w:sz="4" w:space="0" w:color="ADD6EA"/>
              <w:left w:val="nil"/>
              <w:bottom w:val="nil"/>
              <w:right w:val="nil"/>
            </w:tcBorders>
            <w:shd w:val="clear" w:color="000000" w:fill="FFFFFF"/>
            <w:vAlign w:val="center"/>
            <w:hideMark/>
          </w:tcPr>
          <w:p w14:paraId="4BD54D37" w14:textId="77777777" w:rsidR="009E15CC" w:rsidRPr="009E15CC" w:rsidRDefault="009E15CC" w:rsidP="00FC2965">
            <w:pPr>
              <w:tabs>
                <w:tab w:val="clear" w:pos="567"/>
              </w:tabs>
              <w:spacing w:before="0" w:line="240" w:lineRule="auto"/>
              <w:rPr>
                <w:rFonts w:eastAsia="Times New Roman" w:cs="Open Sans Light"/>
                <w:color w:val="000000"/>
                <w:sz w:val="16"/>
                <w:szCs w:val="16"/>
                <w:lang w:eastAsia="en-AU"/>
              </w:rPr>
            </w:pPr>
            <w:r w:rsidRPr="009E15CC">
              <w:rPr>
                <w:rFonts w:eastAsia="Times New Roman" w:cs="Open Sans Light"/>
                <w:color w:val="000000"/>
                <w:sz w:val="16"/>
                <w:szCs w:val="16"/>
                <w:lang w:eastAsia="en-AU"/>
              </w:rPr>
              <w:t>New wage/non-wage split</w:t>
            </w:r>
          </w:p>
        </w:tc>
        <w:tc>
          <w:tcPr>
            <w:tcW w:w="600" w:type="dxa"/>
            <w:tcBorders>
              <w:top w:val="single" w:sz="4" w:space="0" w:color="ADD6EA"/>
              <w:left w:val="nil"/>
              <w:bottom w:val="nil"/>
              <w:right w:val="nil"/>
            </w:tcBorders>
            <w:shd w:val="clear" w:color="000000" w:fill="FFFFFF"/>
            <w:vAlign w:val="center"/>
            <w:hideMark/>
          </w:tcPr>
          <w:p w14:paraId="510014A4"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3</w:t>
            </w:r>
          </w:p>
        </w:tc>
        <w:tc>
          <w:tcPr>
            <w:tcW w:w="600" w:type="dxa"/>
            <w:tcBorders>
              <w:top w:val="single" w:sz="4" w:space="0" w:color="ADD6EA"/>
              <w:left w:val="nil"/>
              <w:bottom w:val="nil"/>
              <w:right w:val="nil"/>
            </w:tcBorders>
            <w:shd w:val="clear" w:color="000000" w:fill="FFFFFF"/>
            <w:vAlign w:val="center"/>
            <w:hideMark/>
          </w:tcPr>
          <w:p w14:paraId="0B24B35E"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-16</w:t>
            </w:r>
          </w:p>
        </w:tc>
        <w:tc>
          <w:tcPr>
            <w:tcW w:w="600" w:type="dxa"/>
            <w:tcBorders>
              <w:top w:val="single" w:sz="4" w:space="0" w:color="ADD6EA"/>
              <w:left w:val="nil"/>
              <w:bottom w:val="nil"/>
              <w:right w:val="nil"/>
            </w:tcBorders>
            <w:shd w:val="clear" w:color="000000" w:fill="FFFFFF"/>
            <w:vAlign w:val="center"/>
            <w:hideMark/>
          </w:tcPr>
          <w:p w14:paraId="1A01E42F"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8</w:t>
            </w:r>
          </w:p>
        </w:tc>
        <w:tc>
          <w:tcPr>
            <w:tcW w:w="600" w:type="dxa"/>
            <w:tcBorders>
              <w:top w:val="single" w:sz="4" w:space="0" w:color="ADD6EA"/>
              <w:left w:val="nil"/>
              <w:bottom w:val="nil"/>
              <w:right w:val="nil"/>
            </w:tcBorders>
            <w:shd w:val="clear" w:color="000000" w:fill="FFFFFF"/>
            <w:vAlign w:val="center"/>
            <w:hideMark/>
          </w:tcPr>
          <w:p w14:paraId="559B9A0B"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46</w:t>
            </w:r>
          </w:p>
        </w:tc>
        <w:tc>
          <w:tcPr>
            <w:tcW w:w="600" w:type="dxa"/>
            <w:tcBorders>
              <w:top w:val="single" w:sz="4" w:space="0" w:color="ADD6EA"/>
              <w:left w:val="nil"/>
              <w:bottom w:val="nil"/>
              <w:right w:val="nil"/>
            </w:tcBorders>
            <w:shd w:val="clear" w:color="000000" w:fill="FFFFFF"/>
            <w:vAlign w:val="center"/>
            <w:hideMark/>
          </w:tcPr>
          <w:p w14:paraId="4D716FF6"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-14</w:t>
            </w:r>
          </w:p>
        </w:tc>
        <w:tc>
          <w:tcPr>
            <w:tcW w:w="600" w:type="dxa"/>
            <w:tcBorders>
              <w:top w:val="single" w:sz="4" w:space="0" w:color="ADD6EA"/>
              <w:left w:val="nil"/>
              <w:bottom w:val="nil"/>
              <w:right w:val="nil"/>
            </w:tcBorders>
            <w:shd w:val="clear" w:color="000000" w:fill="FFFFFF"/>
            <w:vAlign w:val="center"/>
            <w:hideMark/>
          </w:tcPr>
          <w:p w14:paraId="13E113A6"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-84</w:t>
            </w:r>
          </w:p>
        </w:tc>
        <w:tc>
          <w:tcPr>
            <w:tcW w:w="600" w:type="dxa"/>
            <w:tcBorders>
              <w:top w:val="single" w:sz="4" w:space="0" w:color="ADD6EA"/>
              <w:left w:val="nil"/>
              <w:bottom w:val="nil"/>
              <w:right w:val="nil"/>
            </w:tcBorders>
            <w:shd w:val="clear" w:color="000000" w:fill="FFFFFF"/>
            <w:vAlign w:val="center"/>
            <w:hideMark/>
          </w:tcPr>
          <w:p w14:paraId="3CBB94A2"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-50</w:t>
            </w:r>
          </w:p>
        </w:tc>
        <w:tc>
          <w:tcPr>
            <w:tcW w:w="600" w:type="dxa"/>
            <w:tcBorders>
              <w:top w:val="single" w:sz="4" w:space="0" w:color="ADD6EA"/>
              <w:left w:val="nil"/>
              <w:bottom w:val="nil"/>
              <w:right w:val="nil"/>
            </w:tcBorders>
            <w:shd w:val="clear" w:color="000000" w:fill="FFFFFF"/>
            <w:vAlign w:val="center"/>
            <w:hideMark/>
          </w:tcPr>
          <w:p w14:paraId="0341CFB7"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45</w:t>
            </w:r>
          </w:p>
        </w:tc>
        <w:tc>
          <w:tcPr>
            <w:tcW w:w="600" w:type="dxa"/>
            <w:tcBorders>
              <w:top w:val="single" w:sz="4" w:space="0" w:color="ADD6EA"/>
              <w:left w:val="nil"/>
              <w:bottom w:val="nil"/>
              <w:right w:val="nil"/>
            </w:tcBorders>
            <w:shd w:val="clear" w:color="000000" w:fill="FFFFFF"/>
            <w:vAlign w:val="center"/>
            <w:hideMark/>
          </w:tcPr>
          <w:p w14:paraId="0ECA5030" w14:textId="77777777" w:rsidR="009E15CC" w:rsidRPr="009E15CC" w:rsidRDefault="009E15CC" w:rsidP="00FC2965">
            <w:pPr>
              <w:tabs>
                <w:tab w:val="clear" w:pos="567"/>
              </w:tabs>
              <w:spacing w:before="0" w:line="240" w:lineRule="auto"/>
              <w:jc w:val="right"/>
              <w:rPr>
                <w:rFonts w:eastAsia="Times New Roman" w:cs="Open Sans Light"/>
                <w:color w:val="000000"/>
                <w:sz w:val="16"/>
                <w:szCs w:val="16"/>
                <w:lang w:eastAsia="en-AU"/>
              </w:rPr>
            </w:pPr>
            <w:r w:rsidRPr="009E15CC">
              <w:rPr>
                <w:rFonts w:eastAsia="Times New Roman" w:cs="Open Sans Light"/>
                <w:color w:val="000000"/>
                <w:sz w:val="16"/>
                <w:szCs w:val="16"/>
                <w:lang w:eastAsia="en-AU"/>
              </w:rPr>
              <w:t>8</w:t>
            </w:r>
          </w:p>
        </w:tc>
      </w:tr>
      <w:tr w:rsidR="009E15CC" w:rsidRPr="009E15CC" w14:paraId="3759FEAB" w14:textId="77777777" w:rsidTr="00FC2965">
        <w:trPr>
          <w:trHeight w:val="319"/>
        </w:trPr>
        <w:tc>
          <w:tcPr>
            <w:tcW w:w="3520" w:type="dxa"/>
            <w:tcBorders>
              <w:top w:val="single" w:sz="4" w:space="0" w:color="ADD6EA"/>
              <w:left w:val="nil"/>
              <w:bottom w:val="single" w:sz="4" w:space="0" w:color="ADD6EA"/>
              <w:right w:val="nil"/>
            </w:tcBorders>
            <w:shd w:val="clear" w:color="000000" w:fill="D6E7F0"/>
            <w:vAlign w:val="bottom"/>
            <w:hideMark/>
          </w:tcPr>
          <w:p w14:paraId="0F8C594A" w14:textId="77777777" w:rsidR="009E15CC" w:rsidRPr="009E15CC" w:rsidRDefault="009E15CC" w:rsidP="009E15CC">
            <w:pPr>
              <w:tabs>
                <w:tab w:val="clear" w:pos="567"/>
              </w:tabs>
              <w:spacing w:before="0" w:line="240" w:lineRule="auto"/>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Total</w:t>
            </w:r>
          </w:p>
        </w:tc>
        <w:tc>
          <w:tcPr>
            <w:tcW w:w="600" w:type="dxa"/>
            <w:tcBorders>
              <w:top w:val="single" w:sz="4" w:space="0" w:color="ADD6EA"/>
              <w:left w:val="nil"/>
              <w:bottom w:val="single" w:sz="4" w:space="0" w:color="ADD6EA"/>
              <w:right w:val="nil"/>
            </w:tcBorders>
            <w:shd w:val="clear" w:color="000000" w:fill="D6E7F0"/>
            <w:vAlign w:val="center"/>
            <w:hideMark/>
          </w:tcPr>
          <w:p w14:paraId="164A232F"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-15</w:t>
            </w:r>
          </w:p>
        </w:tc>
        <w:tc>
          <w:tcPr>
            <w:tcW w:w="600" w:type="dxa"/>
            <w:tcBorders>
              <w:top w:val="single" w:sz="4" w:space="0" w:color="ADD6EA"/>
              <w:left w:val="nil"/>
              <w:bottom w:val="single" w:sz="4" w:space="0" w:color="ADD6EA"/>
              <w:right w:val="nil"/>
            </w:tcBorders>
            <w:shd w:val="clear" w:color="000000" w:fill="D6E7F0"/>
            <w:vAlign w:val="center"/>
            <w:hideMark/>
          </w:tcPr>
          <w:p w14:paraId="35348E81"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34</w:t>
            </w:r>
          </w:p>
        </w:tc>
        <w:tc>
          <w:tcPr>
            <w:tcW w:w="600" w:type="dxa"/>
            <w:tcBorders>
              <w:top w:val="single" w:sz="4" w:space="0" w:color="ADD6EA"/>
              <w:left w:val="nil"/>
              <w:bottom w:val="single" w:sz="4" w:space="0" w:color="ADD6EA"/>
              <w:right w:val="nil"/>
            </w:tcBorders>
            <w:shd w:val="clear" w:color="000000" w:fill="D6E7F0"/>
            <w:vAlign w:val="center"/>
            <w:hideMark/>
          </w:tcPr>
          <w:p w14:paraId="3C4BA8D4"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3</w:t>
            </w:r>
          </w:p>
        </w:tc>
        <w:tc>
          <w:tcPr>
            <w:tcW w:w="600" w:type="dxa"/>
            <w:tcBorders>
              <w:top w:val="single" w:sz="4" w:space="0" w:color="ADD6EA"/>
              <w:left w:val="nil"/>
              <w:bottom w:val="single" w:sz="4" w:space="0" w:color="ADD6EA"/>
              <w:right w:val="nil"/>
            </w:tcBorders>
            <w:shd w:val="clear" w:color="000000" w:fill="D6E7F0"/>
            <w:vAlign w:val="center"/>
            <w:hideMark/>
          </w:tcPr>
          <w:p w14:paraId="3D98AF2C"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-118</w:t>
            </w:r>
          </w:p>
        </w:tc>
        <w:tc>
          <w:tcPr>
            <w:tcW w:w="600" w:type="dxa"/>
            <w:tcBorders>
              <w:top w:val="single" w:sz="4" w:space="0" w:color="ADD6EA"/>
              <w:left w:val="nil"/>
              <w:bottom w:val="single" w:sz="4" w:space="0" w:color="ADD6EA"/>
              <w:right w:val="nil"/>
            </w:tcBorders>
            <w:shd w:val="clear" w:color="000000" w:fill="D6E7F0"/>
            <w:vAlign w:val="center"/>
            <w:hideMark/>
          </w:tcPr>
          <w:p w14:paraId="258502E1"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64</w:t>
            </w:r>
          </w:p>
        </w:tc>
        <w:tc>
          <w:tcPr>
            <w:tcW w:w="600" w:type="dxa"/>
            <w:tcBorders>
              <w:top w:val="single" w:sz="4" w:space="0" w:color="ADD6EA"/>
              <w:left w:val="nil"/>
              <w:bottom w:val="single" w:sz="4" w:space="0" w:color="ADD6EA"/>
              <w:right w:val="nil"/>
            </w:tcBorders>
            <w:shd w:val="clear" w:color="000000" w:fill="D6E7F0"/>
            <w:vAlign w:val="center"/>
            <w:hideMark/>
          </w:tcPr>
          <w:p w14:paraId="7ACC27AF"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184</w:t>
            </w:r>
          </w:p>
        </w:tc>
        <w:tc>
          <w:tcPr>
            <w:tcW w:w="600" w:type="dxa"/>
            <w:tcBorders>
              <w:top w:val="single" w:sz="4" w:space="0" w:color="ADD6EA"/>
              <w:left w:val="nil"/>
              <w:bottom w:val="single" w:sz="4" w:space="0" w:color="ADD6EA"/>
              <w:right w:val="nil"/>
            </w:tcBorders>
            <w:shd w:val="clear" w:color="000000" w:fill="D6E7F0"/>
            <w:vAlign w:val="center"/>
            <w:hideMark/>
          </w:tcPr>
          <w:p w14:paraId="051B5C63"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54</w:t>
            </w:r>
          </w:p>
        </w:tc>
        <w:tc>
          <w:tcPr>
            <w:tcW w:w="600" w:type="dxa"/>
            <w:tcBorders>
              <w:top w:val="single" w:sz="4" w:space="0" w:color="ADD6EA"/>
              <w:left w:val="nil"/>
              <w:bottom w:val="single" w:sz="4" w:space="0" w:color="ADD6EA"/>
              <w:right w:val="nil"/>
            </w:tcBorders>
            <w:shd w:val="clear" w:color="000000" w:fill="D6E7F0"/>
            <w:vAlign w:val="center"/>
            <w:hideMark/>
          </w:tcPr>
          <w:p w14:paraId="05B40687"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-129</w:t>
            </w:r>
          </w:p>
        </w:tc>
        <w:tc>
          <w:tcPr>
            <w:tcW w:w="600" w:type="dxa"/>
            <w:tcBorders>
              <w:top w:val="single" w:sz="4" w:space="0" w:color="ADD6EA"/>
              <w:left w:val="nil"/>
              <w:bottom w:val="single" w:sz="4" w:space="0" w:color="ADD6EA"/>
              <w:right w:val="nil"/>
            </w:tcBorders>
            <w:shd w:val="clear" w:color="000000" w:fill="D6E7F0"/>
            <w:vAlign w:val="center"/>
            <w:hideMark/>
          </w:tcPr>
          <w:p w14:paraId="666B243C" w14:textId="77777777" w:rsidR="009E15CC" w:rsidRPr="009E15CC" w:rsidRDefault="009E15CC" w:rsidP="00FC2965">
            <w:pPr>
              <w:tabs>
                <w:tab w:val="clear" w:pos="567"/>
              </w:tabs>
              <w:spacing w:before="0" w:line="240" w:lineRule="auto"/>
              <w:jc w:val="right"/>
              <w:rPr>
                <w:rFonts w:ascii="Open Sans Semibold" w:eastAsia="Times New Roman" w:hAnsi="Open Sans Semibold" w:cs="Open Sans Semibold"/>
                <w:color w:val="000000"/>
                <w:sz w:val="16"/>
                <w:szCs w:val="16"/>
                <w:lang w:eastAsia="en-AU"/>
              </w:rPr>
            </w:pPr>
            <w:r w:rsidRPr="009E15CC">
              <w:rPr>
                <w:rFonts w:ascii="Open Sans Semibold" w:eastAsia="Times New Roman" w:hAnsi="Open Sans Semibold" w:cs="Open Sans Semibold"/>
                <w:color w:val="000000"/>
                <w:sz w:val="16"/>
                <w:szCs w:val="16"/>
                <w:lang w:eastAsia="en-AU"/>
              </w:rPr>
              <w:t>19</w:t>
            </w:r>
          </w:p>
        </w:tc>
      </w:tr>
    </w:tbl>
    <w:p w14:paraId="03F78524" w14:textId="75211D32" w:rsidR="005E731E" w:rsidRPr="00A86A22" w:rsidRDefault="005E731E" w:rsidP="0011236A">
      <w:pPr>
        <w:pStyle w:val="CGC2025TableNote"/>
        <w:tabs>
          <w:tab w:val="clear" w:pos="567"/>
          <w:tab w:val="left" w:pos="709"/>
        </w:tabs>
        <w:ind w:left="709" w:hanging="596"/>
      </w:pPr>
      <w:r w:rsidRPr="00A86A22">
        <w:t xml:space="preserve">Note: </w:t>
      </w:r>
      <w:r w:rsidR="0011236A">
        <w:tab/>
      </w:r>
      <w:r w:rsidR="0011236A">
        <w:tab/>
      </w:r>
      <w:r w:rsidRPr="00A86A22">
        <w:t>This includes the effects of applying the new wage assessment methods to all expense categories, after other method changes have been applied within each category.</w:t>
      </w:r>
    </w:p>
    <w:p w14:paraId="49BB6CDA" w14:textId="3AC505B4" w:rsidR="005E731E" w:rsidRPr="00A86A22" w:rsidRDefault="00E06573" w:rsidP="0011236A">
      <w:pPr>
        <w:pStyle w:val="CGC2025TableNote"/>
        <w:tabs>
          <w:tab w:val="clear" w:pos="567"/>
          <w:tab w:val="left" w:pos="851"/>
        </w:tabs>
        <w:ind w:left="709" w:firstLine="0"/>
      </w:pPr>
      <w:r w:rsidRPr="00DC11A5">
        <w:t>The GST pool and population estimates are equivalent to those used in the 2024 Update</w:t>
      </w:r>
      <w:r w:rsidR="005E731E" w:rsidRPr="00A86A22">
        <w:t>.</w:t>
      </w:r>
    </w:p>
    <w:p w14:paraId="364BB891" w14:textId="341F40F6" w:rsidR="005E731E" w:rsidRPr="00A86A22" w:rsidRDefault="005E731E" w:rsidP="0011236A">
      <w:pPr>
        <w:pStyle w:val="CGC2025TableNote"/>
        <w:tabs>
          <w:tab w:val="clear" w:pos="567"/>
          <w:tab w:val="left" w:pos="851"/>
        </w:tabs>
        <w:ind w:left="709" w:firstLine="0"/>
      </w:pPr>
      <w:r w:rsidRPr="00A86A22">
        <w:t>The data included in the table have not been subject to full quality assurance processes and as such, should be treated as indicative only.</w:t>
      </w:r>
    </w:p>
    <w:p w14:paraId="11F4768F" w14:textId="77777777" w:rsidR="005E731E" w:rsidRPr="00A86A22" w:rsidRDefault="005E731E" w:rsidP="0011236A">
      <w:pPr>
        <w:pStyle w:val="CGC2025TableNote"/>
        <w:tabs>
          <w:tab w:val="clear" w:pos="567"/>
          <w:tab w:val="left" w:pos="851"/>
        </w:tabs>
        <w:ind w:left="709" w:firstLine="0"/>
      </w:pPr>
      <w:r w:rsidRPr="00A86A22">
        <w:t>Indicative GST impacts are provided for illustrative purposes only and should not be used to predict impacts on GST distribution for 2025-26.</w:t>
      </w:r>
    </w:p>
    <w:p w14:paraId="115EDD74" w14:textId="77777777" w:rsidR="00B52EE1" w:rsidRPr="005B1C75" w:rsidRDefault="00B52EE1" w:rsidP="0062347D">
      <w:pPr>
        <w:pStyle w:val="CGC2025Caption"/>
      </w:pPr>
    </w:p>
    <w:sectPr w:rsidR="00B52EE1" w:rsidRPr="005B1C75" w:rsidSect="00BD21E6">
      <w:footerReference w:type="default" r:id="rId20"/>
      <w:pgSz w:w="11906" w:h="16838" w:code="9"/>
      <w:pgMar w:top="1440" w:right="1440" w:bottom="1440" w:left="1440"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00321" w14:textId="77777777" w:rsidR="00DB36F8" w:rsidRDefault="00DB36F8">
      <w:r>
        <w:separator/>
      </w:r>
    </w:p>
    <w:p w14:paraId="17250898" w14:textId="77777777" w:rsidR="00DB36F8" w:rsidRDefault="00DB36F8"/>
  </w:endnote>
  <w:endnote w:type="continuationSeparator" w:id="0">
    <w:p w14:paraId="38108218" w14:textId="77777777" w:rsidR="00DB36F8" w:rsidRDefault="00DB36F8">
      <w:r>
        <w:continuationSeparator/>
      </w:r>
    </w:p>
    <w:p w14:paraId="6C5B99D3" w14:textId="77777777" w:rsidR="00DB36F8" w:rsidRDefault="00DB36F8"/>
  </w:endnote>
  <w:endnote w:type="continuationNotice" w:id="1">
    <w:p w14:paraId="7494ABDB" w14:textId="77777777" w:rsidR="00DB36F8" w:rsidRDefault="00DB36F8">
      <w:pPr>
        <w:spacing w:before="0" w:line="240" w:lineRule="auto"/>
      </w:pPr>
    </w:p>
    <w:p w14:paraId="0691DC02" w14:textId="77777777" w:rsidR="00DB36F8" w:rsidRDefault="00DB3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swiss"/>
    <w:pitch w:val="variable"/>
    <w:sig w:usb0="E00002EF" w:usb1="4000205B" w:usb2="00000028" w:usb3="00000000" w:csb0="0000019F" w:csb1="00000000"/>
  </w:font>
  <w:font w:name="Work Sans">
    <w:altName w:val="Calibri"/>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 Bold">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ontserrat Ultra Light">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684187"/>
      <w:docPartObj>
        <w:docPartGallery w:val="Page Numbers (Bottom of Page)"/>
        <w:docPartUnique/>
      </w:docPartObj>
    </w:sdtPr>
    <w:sdtEndPr>
      <w:rPr>
        <w:noProof/>
      </w:rPr>
    </w:sdtEndPr>
    <w:sdtContent>
      <w:sdt>
        <w:sdtPr>
          <w:id w:val="-2088140063"/>
          <w:docPartObj>
            <w:docPartGallery w:val="Page Numbers (Bottom of Page)"/>
            <w:docPartUnique/>
          </w:docPartObj>
        </w:sdtPr>
        <w:sdtEndPr>
          <w:rPr>
            <w:rFonts w:ascii="Open Sans" w:hAnsi="Open Sans" w:cs="Open Sans"/>
            <w:color w:val="auto"/>
            <w:sz w:val="14"/>
            <w:szCs w:val="14"/>
          </w:rPr>
        </w:sdtEndPr>
        <w:sdtContent>
          <w:p w14:paraId="2DE7AEB2" w14:textId="77777777" w:rsidR="005E348B" w:rsidRPr="00E862C1" w:rsidRDefault="005E348B" w:rsidP="005E348B">
            <w:pPr>
              <w:pStyle w:val="Footer"/>
              <w:jc w:val="left"/>
              <w:rPr>
                <w:rFonts w:ascii="Open Sans" w:hAnsi="Open Sans" w:cs="Open Sans"/>
                <w:color w:val="auto"/>
                <w:sz w:val="14"/>
                <w:szCs w:val="14"/>
              </w:rPr>
            </w:pPr>
            <w:r w:rsidRPr="009272FF">
              <w:rPr>
                <w:rFonts w:ascii="Open Sans Semibold" w:hAnsi="Open Sans Semibold" w:cs="Open Sans Semibold"/>
                <w:b w:val="0"/>
                <w:bCs/>
                <w:color w:val="006991"/>
                <w:sz w:val="14"/>
                <w:szCs w:val="14"/>
              </w:rPr>
              <w:t>Commonwealth Grants Commission</w:t>
            </w:r>
            <w:r w:rsidRPr="00F7581A">
              <w:rPr>
                <w:rFonts w:ascii="Work Sans" w:hAnsi="Work Sans"/>
                <w:color w:val="006991"/>
                <w:sz w:val="14"/>
                <w:szCs w:val="14"/>
              </w:rPr>
              <w:t xml:space="preserve"> </w:t>
            </w:r>
            <w:r w:rsidRPr="009272FF">
              <w:rPr>
                <w:rFonts w:ascii="Open Sans" w:hAnsi="Open Sans" w:cs="Open Sans"/>
                <w:b w:val="0"/>
                <w:bCs/>
                <w:color w:val="auto"/>
                <w:sz w:val="14"/>
                <w:szCs w:val="14"/>
              </w:rPr>
              <w:t xml:space="preserve">2025 Methodology Review - Draft Report </w:t>
            </w:r>
            <w:r>
              <w:rPr>
                <w:rFonts w:ascii="Open Sans" w:hAnsi="Open Sans" w:cs="Open Sans"/>
                <w:b w:val="0"/>
                <w:bCs/>
                <w:color w:val="auto"/>
                <w:sz w:val="14"/>
                <w:szCs w:val="14"/>
              </w:rPr>
              <w:tab/>
            </w:r>
            <w:r w:rsidRPr="00E862C1">
              <w:rPr>
                <w:rFonts w:ascii="Open Sans" w:hAnsi="Open Sans" w:cs="Open Sans"/>
                <w:b w:val="0"/>
                <w:color w:val="auto"/>
                <w:sz w:val="14"/>
                <w:szCs w:val="14"/>
              </w:rPr>
              <w:fldChar w:fldCharType="begin"/>
            </w:r>
            <w:r w:rsidRPr="00C246AB">
              <w:rPr>
                <w:b w:val="0"/>
                <w:color w:val="auto"/>
              </w:rPr>
              <w:instrText xml:space="preserve"> PAGE   \* MERGEFORMAT </w:instrText>
            </w:r>
            <w:r w:rsidRPr="00E862C1">
              <w:rPr>
                <w:rFonts w:ascii="Open Sans" w:hAnsi="Open Sans" w:cs="Open Sans"/>
                <w:b w:val="0"/>
                <w:color w:val="auto"/>
                <w:sz w:val="14"/>
                <w:szCs w:val="14"/>
              </w:rPr>
              <w:fldChar w:fldCharType="separate"/>
            </w:r>
            <w:r w:rsidRPr="00C246AB">
              <w:rPr>
                <w:rFonts w:ascii="Open Sans" w:hAnsi="Open Sans" w:cs="Open Sans"/>
                <w:b w:val="0"/>
                <w:color w:val="auto"/>
                <w:sz w:val="14"/>
                <w:szCs w:val="14"/>
              </w:rPr>
              <w:t>3</w:t>
            </w:r>
            <w:r w:rsidRPr="00E862C1">
              <w:rPr>
                <w:rFonts w:ascii="Open Sans" w:hAnsi="Open Sans" w:cs="Open Sans"/>
                <w:b w:val="0"/>
                <w:color w:val="auto"/>
                <w:sz w:val="14"/>
                <w:szCs w:val="14"/>
              </w:rPr>
              <w:fldChar w:fldCharType="end"/>
            </w:r>
          </w:p>
        </w:sdtContent>
      </w:sdt>
      <w:p w14:paraId="30722D57" w14:textId="3F5B8493" w:rsidR="005B6B61" w:rsidRDefault="000268BC" w:rsidP="00D22166">
        <w:pPr>
          <w:pStyle w:val="Footer"/>
        </w:pPr>
      </w:p>
    </w:sdtContent>
  </w:sdt>
  <w:p w14:paraId="2742424A" w14:textId="77777777" w:rsidR="00C66676" w:rsidRDefault="00C666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76F753" w14:textId="77777777" w:rsidR="00DB36F8" w:rsidRPr="001C1AC5" w:rsidRDefault="00DB36F8">
      <w:pPr>
        <w:rPr>
          <w:color w:val="ADD6EA"/>
        </w:rPr>
      </w:pPr>
      <w:r w:rsidRPr="001C1AC5">
        <w:rPr>
          <w:color w:val="ADD6EA"/>
        </w:rPr>
        <w:separator/>
      </w:r>
    </w:p>
    <w:p w14:paraId="61FAE751" w14:textId="77777777" w:rsidR="00DB36F8" w:rsidRDefault="00DB36F8"/>
  </w:footnote>
  <w:footnote w:type="continuationSeparator" w:id="0">
    <w:p w14:paraId="3131319A" w14:textId="77777777" w:rsidR="00DB36F8" w:rsidRDefault="00DB36F8">
      <w:r>
        <w:continuationSeparator/>
      </w:r>
    </w:p>
    <w:p w14:paraId="4748B457" w14:textId="77777777" w:rsidR="00DB36F8" w:rsidRDefault="00DB36F8"/>
  </w:footnote>
  <w:footnote w:type="continuationNotice" w:id="1">
    <w:p w14:paraId="3D250718" w14:textId="77777777" w:rsidR="00DB36F8" w:rsidRDefault="00DB36F8">
      <w:pPr>
        <w:spacing w:before="0" w:line="240" w:lineRule="auto"/>
      </w:pPr>
    </w:p>
    <w:p w14:paraId="508DF816" w14:textId="77777777" w:rsidR="00DB36F8" w:rsidRDefault="00DB36F8"/>
  </w:footnote>
  <w:footnote w:id="2">
    <w:p w14:paraId="30D61CDD" w14:textId="449EF399" w:rsidR="00CE2773" w:rsidRPr="00E55B46" w:rsidRDefault="00CE2773" w:rsidP="00CE2773">
      <w:pPr>
        <w:pStyle w:val="FootnoteText"/>
      </w:pPr>
      <w:r w:rsidRPr="00AD47F1">
        <w:rPr>
          <w:rStyle w:val="FootnoteReference"/>
          <w:sz w:val="14"/>
          <w:szCs w:val="16"/>
        </w:rPr>
        <w:footnoteRef/>
      </w:r>
      <w:r>
        <w:t xml:space="preserve"> </w:t>
      </w:r>
      <w:r w:rsidRPr="00E55B46">
        <w:t>RBA</w:t>
      </w:r>
      <w:r w:rsidR="00C37DDC">
        <w:t xml:space="preserve"> </w:t>
      </w:r>
      <w:r w:rsidRPr="00E55B46">
        <w:t xml:space="preserve">(Reserve Bank of Australia), </w:t>
      </w:r>
      <w:hyperlink r:id="rId1" w:history="1">
        <w:r w:rsidRPr="003F018C">
          <w:rPr>
            <w:rStyle w:val="Hyperlink"/>
            <w:color w:val="auto"/>
            <w:u w:val="none"/>
          </w:rPr>
          <w:t>Labour Market Turnover and Mobility</w:t>
        </w:r>
      </w:hyperlink>
      <w:r w:rsidRPr="00E55B46">
        <w:t>, RBA, 2012, accessed 14 February 2024.</w:t>
      </w:r>
    </w:p>
  </w:footnote>
  <w:footnote w:id="3">
    <w:p w14:paraId="211E1F55" w14:textId="77777777" w:rsidR="00CE2773" w:rsidRDefault="00CE2773" w:rsidP="00CE2773">
      <w:pPr>
        <w:pStyle w:val="FootnoteText"/>
      </w:pPr>
      <w:r w:rsidRPr="00E55B46">
        <w:rPr>
          <w:rStyle w:val="FootnoteReference"/>
        </w:rPr>
        <w:footnoteRef/>
      </w:r>
      <w:r w:rsidRPr="00E55B46">
        <w:t xml:space="preserve"> </w:t>
      </w:r>
      <w:r w:rsidRPr="003F018C">
        <w:rPr>
          <w:rFonts w:cs="Open Sans"/>
          <w:color w:val="222222"/>
          <w:shd w:val="clear" w:color="auto" w:fill="FFFFFF"/>
        </w:rPr>
        <w:t>Australian Bureau of Statistics (ABS), </w:t>
      </w:r>
      <w:hyperlink r:id="rId2" w:history="1">
        <w:r w:rsidRPr="00E55B46">
          <w:rPr>
            <w:rStyle w:val="Hyperlink"/>
          </w:rPr>
          <w:t>Australian Census Longitudinal Dataset (ACLD)</w:t>
        </w:r>
        <w:r w:rsidRPr="003F018C">
          <w:rPr>
            <w:rStyle w:val="Hyperlink"/>
            <w:rFonts w:cs="Open Sans"/>
            <w:shd w:val="clear" w:color="auto" w:fill="FFFFFF"/>
          </w:rPr>
          <w:t> </w:t>
        </w:r>
      </w:hyperlink>
      <w:r w:rsidRPr="003F018C">
        <w:rPr>
          <w:rFonts w:cs="Open Sans"/>
          <w:color w:val="222222"/>
          <w:shd w:val="clear" w:color="auto" w:fill="FFFFFF"/>
        </w:rPr>
        <w:t>[</w:t>
      </w:r>
      <w:proofErr w:type="spellStart"/>
      <w:r w:rsidRPr="003F018C">
        <w:rPr>
          <w:rFonts w:cs="Open Sans"/>
          <w:color w:val="222222"/>
          <w:shd w:val="clear" w:color="auto" w:fill="FFFFFF"/>
        </w:rPr>
        <w:t>TableBuilder</w:t>
      </w:r>
      <w:proofErr w:type="spellEnd"/>
      <w:r w:rsidRPr="003F018C">
        <w:rPr>
          <w:rFonts w:cs="Open Sans"/>
          <w:color w:val="222222"/>
          <w:shd w:val="clear" w:color="auto" w:fill="FFFFFF"/>
        </w:rPr>
        <w:t>], ABS website, 2016, accessed 5 March 2024.</w:t>
      </w:r>
    </w:p>
  </w:footnote>
  <w:footnote w:id="4">
    <w:p w14:paraId="1BA4B994" w14:textId="77777777" w:rsidR="00CE2773" w:rsidRDefault="00CE2773" w:rsidP="00CE2773">
      <w:pPr>
        <w:pStyle w:val="FootnoteText"/>
      </w:pPr>
      <w:r>
        <w:rPr>
          <w:rStyle w:val="FootnoteReference"/>
        </w:rPr>
        <w:footnoteRef/>
      </w:r>
      <w:r>
        <w:t xml:space="preserve"> The 2016 to 2021 longitudinal census is not yet available. </w:t>
      </w:r>
    </w:p>
  </w:footnote>
  <w:footnote w:id="5">
    <w:p w14:paraId="07DC262D" w14:textId="77777777" w:rsidR="009D1087" w:rsidRDefault="009D1087" w:rsidP="009D1087">
      <w:pPr>
        <w:pStyle w:val="FootnoteText"/>
      </w:pPr>
      <w:r>
        <w:rPr>
          <w:rStyle w:val="FootnoteReference"/>
        </w:rPr>
        <w:footnoteRef/>
      </w:r>
      <w:r>
        <w:t xml:space="preserve"> Formerly known as the Multi-Agency Data Integration Project (MADIP).</w:t>
      </w:r>
    </w:p>
  </w:footnote>
  <w:footnote w:id="6">
    <w:p w14:paraId="23B14DFD" w14:textId="77777777" w:rsidR="009D1087" w:rsidRDefault="009D1087" w:rsidP="009D1087">
      <w:pPr>
        <w:pStyle w:val="FootnoteText"/>
      </w:pPr>
      <w:r>
        <w:rPr>
          <w:rStyle w:val="FootnoteReference"/>
        </w:rPr>
        <w:footnoteRef/>
      </w:r>
      <w:r>
        <w:t xml:space="preserve"> W. OI and T. </w:t>
      </w:r>
      <w:proofErr w:type="spellStart"/>
      <w:r>
        <w:t>Idson</w:t>
      </w:r>
      <w:proofErr w:type="spellEnd"/>
      <w:r>
        <w:t>, ‘Chapter 33, Firm Size and Wages’, Handbook of Labor Economics Volume 3, Elsevier, 1999.</w:t>
      </w:r>
    </w:p>
  </w:footnote>
  <w:footnote w:id="7">
    <w:p w14:paraId="64099AE1" w14:textId="77777777" w:rsidR="009D1087" w:rsidRDefault="009D1087" w:rsidP="009D1087">
      <w:pPr>
        <w:pStyle w:val="FootnoteText"/>
      </w:pPr>
      <w:r w:rsidRPr="003E46D2">
        <w:rPr>
          <w:rStyle w:val="FootnoteReference"/>
        </w:rPr>
        <w:footnoteRef/>
      </w:r>
      <w:r w:rsidRPr="003E46D2">
        <w:t xml:space="preserve"> Chapter 27, paragraph 75, 2020 </w:t>
      </w:r>
      <w:r>
        <w:t xml:space="preserve">Review </w:t>
      </w:r>
      <w:r w:rsidRPr="003E46D2">
        <w:t>Report</w:t>
      </w:r>
      <w:r>
        <w:t>.</w:t>
      </w:r>
    </w:p>
  </w:footnote>
  <w:footnote w:id="8">
    <w:p w14:paraId="35252BF1" w14:textId="77777777" w:rsidR="004F1238" w:rsidRDefault="004F1238" w:rsidP="004F1238">
      <w:pPr>
        <w:pStyle w:val="FootnoteText"/>
      </w:pPr>
      <w:r>
        <w:rPr>
          <w:rStyle w:val="FootnoteReference"/>
        </w:rPr>
        <w:footnoteRef/>
      </w:r>
      <w:r>
        <w:t xml:space="preserve"> C. Rose, L. Yu and A. </w:t>
      </w:r>
      <w:proofErr w:type="spellStart"/>
      <w:r>
        <w:t>Rambaldi</w:t>
      </w:r>
      <w:proofErr w:type="spellEnd"/>
      <w:r>
        <w:t>, ‘Modelling Public Wages Expenses Across States and Time Using Survey data’, University of Queensland, 2023.</w:t>
      </w:r>
    </w:p>
  </w:footnote>
  <w:footnote w:id="9">
    <w:p w14:paraId="6E138DB2" w14:textId="77777777" w:rsidR="004F1238" w:rsidRDefault="004F1238" w:rsidP="004F1238">
      <w:pPr>
        <w:pStyle w:val="FootnoteText"/>
      </w:pPr>
      <w:r>
        <w:rPr>
          <w:rStyle w:val="FootnoteReference"/>
        </w:rPr>
        <w:footnoteRef/>
      </w:r>
      <w:r>
        <w:t xml:space="preserve"> A. Preston, Wage Costs Consultant Report, Commonwealth Grants Commission, 2023.</w:t>
      </w:r>
      <w:r w:rsidRPr="003E46D2">
        <w:t xml:space="preserve"> </w:t>
      </w:r>
    </w:p>
  </w:footnote>
  <w:footnote w:id="10">
    <w:p w14:paraId="7F2FDB00" w14:textId="77777777" w:rsidR="004F1238" w:rsidRDefault="004F1238" w:rsidP="004F1238">
      <w:pPr>
        <w:pStyle w:val="FootnoteText"/>
      </w:pPr>
      <w:r>
        <w:rPr>
          <w:rStyle w:val="FootnoteReference"/>
        </w:rPr>
        <w:footnoteRef/>
      </w:r>
      <w:r>
        <w:t xml:space="preserve"> R.A. </w:t>
      </w:r>
      <w:proofErr w:type="spellStart"/>
      <w:r>
        <w:t>Kronmal</w:t>
      </w:r>
      <w:proofErr w:type="spellEnd"/>
      <w:r>
        <w:t xml:space="preserve">, ‘Spurious Correlation and the Fallacy of the Ratio Standard’, </w:t>
      </w:r>
      <w:r w:rsidRPr="003F018C">
        <w:rPr>
          <w:i/>
          <w:iCs/>
        </w:rPr>
        <w:t>Journal of the Royal Society Series A</w:t>
      </w:r>
      <w:r>
        <w:t>, 1993, 156(3):379-392.</w:t>
      </w:r>
    </w:p>
  </w:footnote>
  <w:footnote w:id="11">
    <w:p w14:paraId="69F17A38" w14:textId="77777777" w:rsidR="004F1238" w:rsidRDefault="004F1238" w:rsidP="004F1238">
      <w:pPr>
        <w:pStyle w:val="FootnoteText"/>
      </w:pPr>
      <w:r>
        <w:rPr>
          <w:rStyle w:val="FootnoteReference"/>
        </w:rPr>
        <w:footnoteRef/>
      </w:r>
      <w:r>
        <w:t xml:space="preserve"> A. Bick, A. </w:t>
      </w:r>
      <w:proofErr w:type="spellStart"/>
      <w:r>
        <w:t>Blandin</w:t>
      </w:r>
      <w:proofErr w:type="spellEnd"/>
      <w:r>
        <w:t xml:space="preserve"> and R Rogerson, ‘Hours and Wages’, </w:t>
      </w:r>
      <w:r w:rsidRPr="003F018C">
        <w:rPr>
          <w:i/>
          <w:iCs/>
        </w:rPr>
        <w:t>The Quarterly Journal of Economics</w:t>
      </w:r>
      <w:r>
        <w:t>, 2022, 137(3):1901-1962.</w:t>
      </w:r>
    </w:p>
  </w:footnote>
  <w:footnote w:id="12">
    <w:p w14:paraId="54010CED" w14:textId="77777777" w:rsidR="005F0143" w:rsidRPr="00065076" w:rsidRDefault="005F0143" w:rsidP="005F0143">
      <w:pPr>
        <w:pStyle w:val="FootnoteText"/>
      </w:pPr>
      <w:r>
        <w:rPr>
          <w:rStyle w:val="FootnoteReference"/>
        </w:rPr>
        <w:footnoteRef/>
      </w:r>
      <w:r>
        <w:t xml:space="preserve"> J. Morley, ‘Report on CGC Estimates of State-Specific Wage Costs’, </w:t>
      </w:r>
      <w:r>
        <w:rPr>
          <w:i/>
          <w:iCs/>
        </w:rPr>
        <w:t xml:space="preserve">The University of Sydney, </w:t>
      </w:r>
      <w:r>
        <w:t>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61D"/>
    <w:multiLevelType w:val="hybridMultilevel"/>
    <w:tmpl w:val="D9CAB28C"/>
    <w:lvl w:ilvl="0" w:tplc="2B7CBD9E">
      <w:start w:val="1"/>
      <w:numFmt w:val="lowerRoman"/>
      <w:pStyle w:val="CGCBulle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3D7BB4"/>
    <w:multiLevelType w:val="multilevel"/>
    <w:tmpl w:val="9F66B9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5BF05D3"/>
    <w:multiLevelType w:val="hybridMultilevel"/>
    <w:tmpl w:val="970C0F1A"/>
    <w:lvl w:ilvl="0" w:tplc="034498D4">
      <w:start w:val="1"/>
      <w:numFmt w:val="bullet"/>
      <w:pStyle w:val="CGCBullet2"/>
      <w:lvlText w:val=""/>
      <w:lvlJc w:val="left"/>
      <w:pPr>
        <w:ind w:left="1211" w:hanging="360"/>
      </w:pPr>
      <w:rPr>
        <w:rFonts w:ascii="Symbol" w:hAnsi="Symbol" w:hint="default"/>
        <w:b/>
        <w:color w:val="63646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E71B9C"/>
    <w:multiLevelType w:val="hybridMultilevel"/>
    <w:tmpl w:val="7110E312"/>
    <w:lvl w:ilvl="0" w:tplc="DB96A0AC">
      <w:start w:val="1"/>
      <w:numFmt w:val="bullet"/>
      <w:pStyle w:val="CGC2025Bullet1"/>
      <w:lvlText w:val=""/>
      <w:lvlJc w:val="left"/>
      <w:pPr>
        <w:ind w:left="927" w:hanging="360"/>
      </w:pPr>
      <w:rPr>
        <w:rFonts w:ascii="Symbol" w:hAnsi="Symbol" w:hint="default"/>
        <w:color w:val="63646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F43500"/>
    <w:multiLevelType w:val="hybridMultilevel"/>
    <w:tmpl w:val="DAEC2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AF3A2E"/>
    <w:multiLevelType w:val="multilevel"/>
    <w:tmpl w:val="CA8C0118"/>
    <w:lvl w:ilvl="0">
      <w:start w:val="1"/>
      <w:numFmt w:val="none"/>
      <w:lvlText w:val="%1."/>
      <w:lvlJc w:val="left"/>
      <w:pPr>
        <w:tabs>
          <w:tab w:val="num" w:pos="0"/>
        </w:tabs>
        <w:ind w:left="0" w:firstLine="0"/>
      </w:pPr>
      <w:rPr>
        <w:rFonts w:hint="default"/>
      </w:rPr>
    </w:lvl>
    <w:lvl w:ilvl="1">
      <w:start w:val="1"/>
      <w:numFmt w:val="none"/>
      <w:lvlText w:val="%2"/>
      <w:lvlJc w:val="left"/>
      <w:pPr>
        <w:tabs>
          <w:tab w:val="num" w:pos="720"/>
        </w:tabs>
        <w:ind w:left="720" w:firstLine="0"/>
      </w:pPr>
      <w:rPr>
        <w:rFonts w:hint="default"/>
      </w:rPr>
    </w:lvl>
    <w:lvl w:ilvl="2">
      <w:start w:val="1"/>
      <w:numFmt w:val="none"/>
      <w:lvlText w:val="%3"/>
      <w:lvlJc w:val="left"/>
      <w:pPr>
        <w:tabs>
          <w:tab w:val="num" w:pos="0"/>
        </w:tabs>
        <w:ind w:left="0" w:firstLine="0"/>
      </w:pPr>
      <w:rPr>
        <w:rFonts w:hint="default"/>
      </w:rPr>
    </w:lvl>
    <w:lvl w:ilvl="3">
      <w:start w:val="1"/>
      <w:numFmt w:val="none"/>
      <w:lvlText w:val="%4)"/>
      <w:lvlJc w:val="left"/>
      <w:pPr>
        <w:tabs>
          <w:tab w:val="num" w:pos="2160"/>
        </w:tabs>
        <w:ind w:left="2160" w:firstLine="0"/>
      </w:pPr>
      <w:rPr>
        <w:rFonts w:hint="default"/>
      </w:rPr>
    </w:lvl>
    <w:lvl w:ilvl="4">
      <w:start w:val="1"/>
      <w:numFmt w:val="none"/>
      <w:lvlText w:val="(%5)"/>
      <w:lvlJc w:val="left"/>
      <w:pPr>
        <w:tabs>
          <w:tab w:val="num" w:pos="288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15:restartNumberingAfterBreak="0">
    <w:nsid w:val="2C8A637F"/>
    <w:multiLevelType w:val="hybridMultilevel"/>
    <w:tmpl w:val="87809C66"/>
    <w:lvl w:ilvl="0" w:tplc="612A049C">
      <w:start w:val="1"/>
      <w:numFmt w:val="decimal"/>
      <w:pStyle w:val="CGC2025Questionsnumbers2"/>
      <w:lvlText w:val="Q%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5A2F29"/>
    <w:multiLevelType w:val="hybridMultilevel"/>
    <w:tmpl w:val="720489BA"/>
    <w:lvl w:ilvl="0" w:tplc="A61AAA14">
      <w:start w:val="1"/>
      <w:numFmt w:val="decimal"/>
      <w:pStyle w:val="CGCParaNumber"/>
      <w:lvlText w:val="%1"/>
      <w:lvlJc w:val="left"/>
      <w:pPr>
        <w:ind w:left="720" w:hanging="360"/>
      </w:pPr>
      <w:rPr>
        <w:rFonts w:ascii="Open Sans Light" w:hAnsi="Open Sans Light" w:hint="default"/>
        <w:b w:val="0"/>
        <w:i w:val="0"/>
        <w:caps w:val="0"/>
        <w:strike w:val="0"/>
        <w:dstrike w:val="0"/>
        <w:vanish w:val="0"/>
        <w:color w:val="000000" w:themeColor="text1"/>
        <w:sz w:val="20"/>
        <w:vertAlign w:val="baseline"/>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B52DA0"/>
    <w:multiLevelType w:val="multilevel"/>
    <w:tmpl w:val="A310237C"/>
    <w:styleLink w:val="CGCConsultQuestion"/>
    <w:lvl w:ilvl="0">
      <w:start w:val="1"/>
      <w:numFmt w:val="decimal"/>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E1E2A55"/>
    <w:multiLevelType w:val="multilevel"/>
    <w:tmpl w:val="DCA09BBC"/>
    <w:lvl w:ilvl="0">
      <w:start w:val="1"/>
      <w:numFmt w:val="decimal"/>
      <w:pStyle w:val="CGC2025QuestionNumbers"/>
      <w:lvlText w:val="Q%1."/>
      <w:lvlJc w:val="left"/>
      <w:pPr>
        <w:ind w:left="454" w:hanging="454"/>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486156"/>
    <w:multiLevelType w:val="hybridMultilevel"/>
    <w:tmpl w:val="B4B4E18C"/>
    <w:lvl w:ilvl="0" w:tplc="04E8AA5A">
      <w:start w:val="1"/>
      <w:numFmt w:val="bullet"/>
      <w:pStyle w:val="CGCBullet1"/>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B4825A6"/>
    <w:multiLevelType w:val="hybridMultilevel"/>
    <w:tmpl w:val="2D822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7C6A46"/>
    <w:multiLevelType w:val="multilevel"/>
    <w:tmpl w:val="27206854"/>
    <w:lvl w:ilvl="0">
      <w:start w:val="1"/>
      <w:numFmt w:val="decimal"/>
      <w:pStyle w:val="BodyCopyWorkSans10"/>
      <w:lvlText w:val="Q%1."/>
      <w:lvlJc w:val="left"/>
      <w:pPr>
        <w:ind w:left="454" w:hanging="454"/>
      </w:pPr>
      <w:rPr>
        <w:rFonts w:ascii="Work Sans" w:hAnsi="Work San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B56961"/>
    <w:multiLevelType w:val="hybridMultilevel"/>
    <w:tmpl w:val="4BB6122E"/>
    <w:lvl w:ilvl="0" w:tplc="8A0205E8">
      <w:start w:val="1"/>
      <w:numFmt w:val="bullet"/>
      <w:pStyle w:val="CGCQuoteBullet"/>
      <w:lvlText w:val=""/>
      <w:lvlJc w:val="left"/>
      <w:pPr>
        <w:ind w:left="1741" w:hanging="360"/>
      </w:pPr>
      <w:rPr>
        <w:rFonts w:ascii="Symbol" w:hAnsi="Symbol" w:hint="default"/>
        <w:color w:val="5CA5C2"/>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14"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rPr>
        <w:rFonts w:hint="default"/>
      </w:rPr>
    </w:lvl>
    <w:lvl w:ilvl="2">
      <w:start w:val="1"/>
      <w:numFmt w:val="lowerRoman"/>
      <w:lvlText w:val="%3)"/>
      <w:lvlJc w:val="left"/>
      <w:pPr>
        <w:tabs>
          <w:tab w:val="num" w:pos="1953"/>
        </w:tabs>
        <w:ind w:left="1953" w:hanging="360"/>
      </w:pPr>
      <w:rPr>
        <w:rFonts w:hint="default"/>
      </w:rPr>
    </w:lvl>
    <w:lvl w:ilvl="3">
      <w:start w:val="1"/>
      <w:numFmt w:val="decimal"/>
      <w:lvlText w:val="(%4)"/>
      <w:lvlJc w:val="left"/>
      <w:pPr>
        <w:tabs>
          <w:tab w:val="num" w:pos="2313"/>
        </w:tabs>
        <w:ind w:left="2313" w:hanging="360"/>
      </w:pPr>
      <w:rPr>
        <w:rFonts w:hint="default"/>
      </w:rPr>
    </w:lvl>
    <w:lvl w:ilvl="4">
      <w:start w:val="1"/>
      <w:numFmt w:val="lowerLetter"/>
      <w:lvlText w:val="(%5)"/>
      <w:lvlJc w:val="left"/>
      <w:pPr>
        <w:tabs>
          <w:tab w:val="num" w:pos="2673"/>
        </w:tabs>
        <w:ind w:left="2673" w:hanging="360"/>
      </w:pPr>
      <w:rPr>
        <w:rFonts w:hint="default"/>
      </w:rPr>
    </w:lvl>
    <w:lvl w:ilvl="5">
      <w:start w:val="1"/>
      <w:numFmt w:val="lowerRoman"/>
      <w:lvlText w:val="(%6)"/>
      <w:lvlJc w:val="left"/>
      <w:pPr>
        <w:tabs>
          <w:tab w:val="num" w:pos="3033"/>
        </w:tabs>
        <w:ind w:left="3033" w:hanging="360"/>
      </w:pPr>
      <w:rPr>
        <w:rFonts w:hint="default"/>
      </w:rPr>
    </w:lvl>
    <w:lvl w:ilvl="6">
      <w:start w:val="1"/>
      <w:numFmt w:val="decimal"/>
      <w:lvlText w:val="%7."/>
      <w:lvlJc w:val="left"/>
      <w:pPr>
        <w:tabs>
          <w:tab w:val="num" w:pos="3393"/>
        </w:tabs>
        <w:ind w:left="3393" w:hanging="360"/>
      </w:pPr>
      <w:rPr>
        <w:rFonts w:hint="default"/>
      </w:rPr>
    </w:lvl>
    <w:lvl w:ilvl="7">
      <w:start w:val="1"/>
      <w:numFmt w:val="lowerLetter"/>
      <w:lvlText w:val="%8."/>
      <w:lvlJc w:val="left"/>
      <w:pPr>
        <w:tabs>
          <w:tab w:val="num" w:pos="3753"/>
        </w:tabs>
        <w:ind w:left="3753" w:hanging="360"/>
      </w:pPr>
      <w:rPr>
        <w:rFonts w:hint="default"/>
      </w:rPr>
    </w:lvl>
    <w:lvl w:ilvl="8">
      <w:start w:val="1"/>
      <w:numFmt w:val="lowerRoman"/>
      <w:lvlText w:val="%9."/>
      <w:lvlJc w:val="left"/>
      <w:pPr>
        <w:tabs>
          <w:tab w:val="num" w:pos="4113"/>
        </w:tabs>
        <w:ind w:left="4113" w:hanging="360"/>
      </w:pPr>
      <w:rPr>
        <w:rFonts w:hint="default"/>
      </w:rPr>
    </w:lvl>
  </w:abstractNum>
  <w:abstractNum w:abstractNumId="15" w15:restartNumberingAfterBreak="0">
    <w:nsid w:val="77D62F87"/>
    <w:multiLevelType w:val="hybridMultilevel"/>
    <w:tmpl w:val="E332B1EE"/>
    <w:lvl w:ilvl="0" w:tplc="7898E74C">
      <w:start w:val="1"/>
      <w:numFmt w:val="bullet"/>
      <w:pStyle w:val="CGCSubbulletlist"/>
      <w:lvlText w:val=""/>
      <w:lvlJc w:val="left"/>
      <w:pPr>
        <w:tabs>
          <w:tab w:val="num" w:pos="927"/>
        </w:tabs>
        <w:ind w:left="1134" w:firstLine="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49357354">
    <w:abstractNumId w:val="5"/>
  </w:num>
  <w:num w:numId="2" w16cid:durableId="1003897054">
    <w:abstractNumId w:val="15"/>
  </w:num>
  <w:num w:numId="3" w16cid:durableId="1334529044">
    <w:abstractNumId w:val="3"/>
  </w:num>
  <w:num w:numId="4" w16cid:durableId="1514761234">
    <w:abstractNumId w:val="2"/>
  </w:num>
  <w:num w:numId="5" w16cid:durableId="920797300">
    <w:abstractNumId w:val="0"/>
  </w:num>
  <w:num w:numId="6" w16cid:durableId="1807814447">
    <w:abstractNumId w:val="13"/>
  </w:num>
  <w:num w:numId="7" w16cid:durableId="801770153">
    <w:abstractNumId w:val="7"/>
  </w:num>
  <w:num w:numId="8" w16cid:durableId="1737627722">
    <w:abstractNumId w:val="14"/>
  </w:num>
  <w:num w:numId="9" w16cid:durableId="176697617">
    <w:abstractNumId w:val="1"/>
  </w:num>
  <w:num w:numId="10" w16cid:durableId="1408111535">
    <w:abstractNumId w:val="8"/>
  </w:num>
  <w:num w:numId="11" w16cid:durableId="2080126907">
    <w:abstractNumId w:val="9"/>
  </w:num>
  <w:num w:numId="12" w16cid:durableId="58332428">
    <w:abstractNumId w:val="6"/>
  </w:num>
  <w:num w:numId="13" w16cid:durableId="522092457">
    <w:abstractNumId w:val="12"/>
  </w:num>
  <w:num w:numId="14" w16cid:durableId="1594438827">
    <w:abstractNumId w:val="10"/>
  </w:num>
  <w:num w:numId="15" w16cid:durableId="1200583849">
    <w:abstractNumId w:val="11"/>
  </w:num>
  <w:num w:numId="16" w16cid:durableId="5285428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57"/>
  <w:drawingGridVerticalSpacing w:val="57"/>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980"/>
    <w:rsid w:val="00000AB2"/>
    <w:rsid w:val="00000C9F"/>
    <w:rsid w:val="00001078"/>
    <w:rsid w:val="000014F2"/>
    <w:rsid w:val="00001882"/>
    <w:rsid w:val="000019C0"/>
    <w:rsid w:val="00001D6F"/>
    <w:rsid w:val="00001DA2"/>
    <w:rsid w:val="00001E8B"/>
    <w:rsid w:val="00002144"/>
    <w:rsid w:val="00002356"/>
    <w:rsid w:val="0000249B"/>
    <w:rsid w:val="000025E6"/>
    <w:rsid w:val="00002923"/>
    <w:rsid w:val="00002F86"/>
    <w:rsid w:val="000032B9"/>
    <w:rsid w:val="000036D8"/>
    <w:rsid w:val="000042F1"/>
    <w:rsid w:val="000043F9"/>
    <w:rsid w:val="00004598"/>
    <w:rsid w:val="000046FB"/>
    <w:rsid w:val="00004719"/>
    <w:rsid w:val="0000485A"/>
    <w:rsid w:val="00004C67"/>
    <w:rsid w:val="000053F8"/>
    <w:rsid w:val="00005831"/>
    <w:rsid w:val="00005EEE"/>
    <w:rsid w:val="0000618C"/>
    <w:rsid w:val="0000648D"/>
    <w:rsid w:val="00006934"/>
    <w:rsid w:val="00006C9A"/>
    <w:rsid w:val="00006E30"/>
    <w:rsid w:val="00006F3D"/>
    <w:rsid w:val="00007899"/>
    <w:rsid w:val="00007AB8"/>
    <w:rsid w:val="00007FD5"/>
    <w:rsid w:val="000105A1"/>
    <w:rsid w:val="00010711"/>
    <w:rsid w:val="00010794"/>
    <w:rsid w:val="00010B75"/>
    <w:rsid w:val="00010CEC"/>
    <w:rsid w:val="00010F5B"/>
    <w:rsid w:val="00011BB3"/>
    <w:rsid w:val="00011C73"/>
    <w:rsid w:val="00011D1A"/>
    <w:rsid w:val="00011DA8"/>
    <w:rsid w:val="00011F7D"/>
    <w:rsid w:val="000120A6"/>
    <w:rsid w:val="0001218F"/>
    <w:rsid w:val="00012AC0"/>
    <w:rsid w:val="00012B67"/>
    <w:rsid w:val="00012C74"/>
    <w:rsid w:val="00013B63"/>
    <w:rsid w:val="000141E3"/>
    <w:rsid w:val="00014864"/>
    <w:rsid w:val="000148C5"/>
    <w:rsid w:val="0001491F"/>
    <w:rsid w:val="000149EF"/>
    <w:rsid w:val="00014A8F"/>
    <w:rsid w:val="00014CB0"/>
    <w:rsid w:val="000150BF"/>
    <w:rsid w:val="00015283"/>
    <w:rsid w:val="00015500"/>
    <w:rsid w:val="000156B2"/>
    <w:rsid w:val="00015818"/>
    <w:rsid w:val="00015A97"/>
    <w:rsid w:val="00015C57"/>
    <w:rsid w:val="00015D0B"/>
    <w:rsid w:val="000162E7"/>
    <w:rsid w:val="0001698B"/>
    <w:rsid w:val="00016C62"/>
    <w:rsid w:val="00016FE0"/>
    <w:rsid w:val="00016FE9"/>
    <w:rsid w:val="00017640"/>
    <w:rsid w:val="000176D7"/>
    <w:rsid w:val="0001770B"/>
    <w:rsid w:val="000178EF"/>
    <w:rsid w:val="00017E5B"/>
    <w:rsid w:val="00017EB6"/>
    <w:rsid w:val="0002041C"/>
    <w:rsid w:val="000204C9"/>
    <w:rsid w:val="00020799"/>
    <w:rsid w:val="00020D21"/>
    <w:rsid w:val="00020EA3"/>
    <w:rsid w:val="00021727"/>
    <w:rsid w:val="00021827"/>
    <w:rsid w:val="00021C7A"/>
    <w:rsid w:val="00021E88"/>
    <w:rsid w:val="000220C9"/>
    <w:rsid w:val="00022C1B"/>
    <w:rsid w:val="00022CE0"/>
    <w:rsid w:val="00022EA9"/>
    <w:rsid w:val="00023068"/>
    <w:rsid w:val="00023137"/>
    <w:rsid w:val="00023B03"/>
    <w:rsid w:val="00023BDB"/>
    <w:rsid w:val="00024069"/>
    <w:rsid w:val="000246BA"/>
    <w:rsid w:val="000246EB"/>
    <w:rsid w:val="00024745"/>
    <w:rsid w:val="00024A4B"/>
    <w:rsid w:val="00024CD0"/>
    <w:rsid w:val="00024D5F"/>
    <w:rsid w:val="000251CC"/>
    <w:rsid w:val="00025242"/>
    <w:rsid w:val="00025B1F"/>
    <w:rsid w:val="00025CB3"/>
    <w:rsid w:val="00025E94"/>
    <w:rsid w:val="000265A4"/>
    <w:rsid w:val="00026896"/>
    <w:rsid w:val="000268E0"/>
    <w:rsid w:val="00026A1A"/>
    <w:rsid w:val="00026AD6"/>
    <w:rsid w:val="00026E43"/>
    <w:rsid w:val="00026E62"/>
    <w:rsid w:val="00026E7B"/>
    <w:rsid w:val="000273C6"/>
    <w:rsid w:val="000274F7"/>
    <w:rsid w:val="00027557"/>
    <w:rsid w:val="000279D7"/>
    <w:rsid w:val="00027ABE"/>
    <w:rsid w:val="00027D6A"/>
    <w:rsid w:val="00030097"/>
    <w:rsid w:val="000301A6"/>
    <w:rsid w:val="00030205"/>
    <w:rsid w:val="00030516"/>
    <w:rsid w:val="00030595"/>
    <w:rsid w:val="00030629"/>
    <w:rsid w:val="00030E66"/>
    <w:rsid w:val="00031648"/>
    <w:rsid w:val="00031AFE"/>
    <w:rsid w:val="00031B76"/>
    <w:rsid w:val="00031CF4"/>
    <w:rsid w:val="00032318"/>
    <w:rsid w:val="00032544"/>
    <w:rsid w:val="000326F5"/>
    <w:rsid w:val="000327F7"/>
    <w:rsid w:val="00032856"/>
    <w:rsid w:val="000328A8"/>
    <w:rsid w:val="00032F41"/>
    <w:rsid w:val="00033347"/>
    <w:rsid w:val="000335BE"/>
    <w:rsid w:val="000338C9"/>
    <w:rsid w:val="00033A71"/>
    <w:rsid w:val="00033C0D"/>
    <w:rsid w:val="0003409C"/>
    <w:rsid w:val="00034622"/>
    <w:rsid w:val="00034916"/>
    <w:rsid w:val="00034DBB"/>
    <w:rsid w:val="00034F08"/>
    <w:rsid w:val="000355D9"/>
    <w:rsid w:val="000363C5"/>
    <w:rsid w:val="000364E9"/>
    <w:rsid w:val="00036C51"/>
    <w:rsid w:val="00036F1C"/>
    <w:rsid w:val="000370C8"/>
    <w:rsid w:val="000372BA"/>
    <w:rsid w:val="000375E1"/>
    <w:rsid w:val="00040135"/>
    <w:rsid w:val="00040571"/>
    <w:rsid w:val="000405CD"/>
    <w:rsid w:val="00040601"/>
    <w:rsid w:val="00040CCA"/>
    <w:rsid w:val="00040D48"/>
    <w:rsid w:val="000410C8"/>
    <w:rsid w:val="0004123E"/>
    <w:rsid w:val="00041299"/>
    <w:rsid w:val="00041748"/>
    <w:rsid w:val="00041E1B"/>
    <w:rsid w:val="00041E84"/>
    <w:rsid w:val="000424EA"/>
    <w:rsid w:val="0004258C"/>
    <w:rsid w:val="0004330B"/>
    <w:rsid w:val="00043B5D"/>
    <w:rsid w:val="00043CFE"/>
    <w:rsid w:val="000442AA"/>
    <w:rsid w:val="00044479"/>
    <w:rsid w:val="0004456B"/>
    <w:rsid w:val="00044B94"/>
    <w:rsid w:val="000451DA"/>
    <w:rsid w:val="0004569D"/>
    <w:rsid w:val="00045C11"/>
    <w:rsid w:val="00045F82"/>
    <w:rsid w:val="00046397"/>
    <w:rsid w:val="000465BD"/>
    <w:rsid w:val="0004679A"/>
    <w:rsid w:val="00046859"/>
    <w:rsid w:val="00046B06"/>
    <w:rsid w:val="00046E60"/>
    <w:rsid w:val="000470A2"/>
    <w:rsid w:val="00047690"/>
    <w:rsid w:val="00047856"/>
    <w:rsid w:val="00047951"/>
    <w:rsid w:val="00047AB0"/>
    <w:rsid w:val="00047DF1"/>
    <w:rsid w:val="00047E5A"/>
    <w:rsid w:val="0005017B"/>
    <w:rsid w:val="000508D3"/>
    <w:rsid w:val="00051114"/>
    <w:rsid w:val="00051B92"/>
    <w:rsid w:val="00051F3C"/>
    <w:rsid w:val="000525F5"/>
    <w:rsid w:val="00052DA0"/>
    <w:rsid w:val="00053480"/>
    <w:rsid w:val="00053512"/>
    <w:rsid w:val="00053581"/>
    <w:rsid w:val="0005377C"/>
    <w:rsid w:val="0005381C"/>
    <w:rsid w:val="00053C36"/>
    <w:rsid w:val="00053F80"/>
    <w:rsid w:val="000540CC"/>
    <w:rsid w:val="0005410D"/>
    <w:rsid w:val="00054309"/>
    <w:rsid w:val="00054311"/>
    <w:rsid w:val="0005450F"/>
    <w:rsid w:val="0005451C"/>
    <w:rsid w:val="000554BF"/>
    <w:rsid w:val="000555DB"/>
    <w:rsid w:val="00055A2D"/>
    <w:rsid w:val="00056371"/>
    <w:rsid w:val="00056373"/>
    <w:rsid w:val="000569CD"/>
    <w:rsid w:val="00056E89"/>
    <w:rsid w:val="00057762"/>
    <w:rsid w:val="00057A7A"/>
    <w:rsid w:val="00057A9B"/>
    <w:rsid w:val="00057AED"/>
    <w:rsid w:val="00057D13"/>
    <w:rsid w:val="000604C7"/>
    <w:rsid w:val="0006050F"/>
    <w:rsid w:val="000607C2"/>
    <w:rsid w:val="00060A59"/>
    <w:rsid w:val="00060CA5"/>
    <w:rsid w:val="0006104A"/>
    <w:rsid w:val="00061111"/>
    <w:rsid w:val="00061233"/>
    <w:rsid w:val="00061535"/>
    <w:rsid w:val="0006177C"/>
    <w:rsid w:val="00061933"/>
    <w:rsid w:val="00061993"/>
    <w:rsid w:val="00061B8C"/>
    <w:rsid w:val="00062330"/>
    <w:rsid w:val="000624BB"/>
    <w:rsid w:val="00062C57"/>
    <w:rsid w:val="00062D47"/>
    <w:rsid w:val="00062EE9"/>
    <w:rsid w:val="000633E8"/>
    <w:rsid w:val="00063437"/>
    <w:rsid w:val="0006366E"/>
    <w:rsid w:val="000641EB"/>
    <w:rsid w:val="00064557"/>
    <w:rsid w:val="000648E8"/>
    <w:rsid w:val="00064CE5"/>
    <w:rsid w:val="0006519E"/>
    <w:rsid w:val="000651D2"/>
    <w:rsid w:val="000653F5"/>
    <w:rsid w:val="000656EC"/>
    <w:rsid w:val="000657A7"/>
    <w:rsid w:val="00065BF3"/>
    <w:rsid w:val="000665AB"/>
    <w:rsid w:val="00066C63"/>
    <w:rsid w:val="00066D82"/>
    <w:rsid w:val="00066E63"/>
    <w:rsid w:val="00066F8C"/>
    <w:rsid w:val="00066FC9"/>
    <w:rsid w:val="000679BC"/>
    <w:rsid w:val="000702C3"/>
    <w:rsid w:val="00070B45"/>
    <w:rsid w:val="00070EA5"/>
    <w:rsid w:val="0007102B"/>
    <w:rsid w:val="0007176E"/>
    <w:rsid w:val="0007185D"/>
    <w:rsid w:val="00071EF7"/>
    <w:rsid w:val="00071F1E"/>
    <w:rsid w:val="00072373"/>
    <w:rsid w:val="00072CBE"/>
    <w:rsid w:val="0007310A"/>
    <w:rsid w:val="000731C5"/>
    <w:rsid w:val="0007335C"/>
    <w:rsid w:val="000733D6"/>
    <w:rsid w:val="00073475"/>
    <w:rsid w:val="0007360C"/>
    <w:rsid w:val="000738EB"/>
    <w:rsid w:val="00073944"/>
    <w:rsid w:val="00073BF5"/>
    <w:rsid w:val="00073D9D"/>
    <w:rsid w:val="00073E21"/>
    <w:rsid w:val="00073E7F"/>
    <w:rsid w:val="00073E85"/>
    <w:rsid w:val="00073E92"/>
    <w:rsid w:val="00075051"/>
    <w:rsid w:val="00075593"/>
    <w:rsid w:val="0007582F"/>
    <w:rsid w:val="00076434"/>
    <w:rsid w:val="00076DA5"/>
    <w:rsid w:val="000772B1"/>
    <w:rsid w:val="000773FA"/>
    <w:rsid w:val="000779DC"/>
    <w:rsid w:val="00077AAF"/>
    <w:rsid w:val="00077ADE"/>
    <w:rsid w:val="00080439"/>
    <w:rsid w:val="00080895"/>
    <w:rsid w:val="000812ED"/>
    <w:rsid w:val="00081636"/>
    <w:rsid w:val="00081696"/>
    <w:rsid w:val="000816E0"/>
    <w:rsid w:val="00081905"/>
    <w:rsid w:val="000819A8"/>
    <w:rsid w:val="00081E45"/>
    <w:rsid w:val="00081F57"/>
    <w:rsid w:val="00081FAD"/>
    <w:rsid w:val="0008208B"/>
    <w:rsid w:val="00082090"/>
    <w:rsid w:val="00082971"/>
    <w:rsid w:val="00082DEF"/>
    <w:rsid w:val="00083022"/>
    <w:rsid w:val="00083837"/>
    <w:rsid w:val="00083842"/>
    <w:rsid w:val="00083858"/>
    <w:rsid w:val="00083B06"/>
    <w:rsid w:val="000840C3"/>
    <w:rsid w:val="00084494"/>
    <w:rsid w:val="0008456B"/>
    <w:rsid w:val="000847BF"/>
    <w:rsid w:val="00084E18"/>
    <w:rsid w:val="00084EE0"/>
    <w:rsid w:val="000855F4"/>
    <w:rsid w:val="00085729"/>
    <w:rsid w:val="00085D0E"/>
    <w:rsid w:val="00085EA1"/>
    <w:rsid w:val="00086045"/>
    <w:rsid w:val="000861D9"/>
    <w:rsid w:val="0008677E"/>
    <w:rsid w:val="000867DC"/>
    <w:rsid w:val="0008694B"/>
    <w:rsid w:val="000869E1"/>
    <w:rsid w:val="000869F6"/>
    <w:rsid w:val="00086A5C"/>
    <w:rsid w:val="00086B04"/>
    <w:rsid w:val="00086C42"/>
    <w:rsid w:val="00086E69"/>
    <w:rsid w:val="00086EBC"/>
    <w:rsid w:val="00086F44"/>
    <w:rsid w:val="0008779D"/>
    <w:rsid w:val="00087F7D"/>
    <w:rsid w:val="00087FC4"/>
    <w:rsid w:val="00090362"/>
    <w:rsid w:val="00090C39"/>
    <w:rsid w:val="00090DBA"/>
    <w:rsid w:val="000910DA"/>
    <w:rsid w:val="00091AD2"/>
    <w:rsid w:val="00091C4F"/>
    <w:rsid w:val="00091D6E"/>
    <w:rsid w:val="000928AF"/>
    <w:rsid w:val="00093188"/>
    <w:rsid w:val="00093603"/>
    <w:rsid w:val="00093796"/>
    <w:rsid w:val="00093910"/>
    <w:rsid w:val="000939CA"/>
    <w:rsid w:val="00094010"/>
    <w:rsid w:val="000943A8"/>
    <w:rsid w:val="00094531"/>
    <w:rsid w:val="00094676"/>
    <w:rsid w:val="000950A8"/>
    <w:rsid w:val="000952B1"/>
    <w:rsid w:val="0009567D"/>
    <w:rsid w:val="0009569E"/>
    <w:rsid w:val="0009650F"/>
    <w:rsid w:val="00096616"/>
    <w:rsid w:val="000967CA"/>
    <w:rsid w:val="00096896"/>
    <w:rsid w:val="00096A17"/>
    <w:rsid w:val="00096B82"/>
    <w:rsid w:val="00096C06"/>
    <w:rsid w:val="00096C31"/>
    <w:rsid w:val="00096E12"/>
    <w:rsid w:val="00096E4E"/>
    <w:rsid w:val="000970BA"/>
    <w:rsid w:val="00097192"/>
    <w:rsid w:val="00097626"/>
    <w:rsid w:val="00097790"/>
    <w:rsid w:val="00097C01"/>
    <w:rsid w:val="00097CF0"/>
    <w:rsid w:val="00097D78"/>
    <w:rsid w:val="00097F09"/>
    <w:rsid w:val="000A011D"/>
    <w:rsid w:val="000A0205"/>
    <w:rsid w:val="000A07C9"/>
    <w:rsid w:val="000A09ED"/>
    <w:rsid w:val="000A0C33"/>
    <w:rsid w:val="000A0D9F"/>
    <w:rsid w:val="000A17C5"/>
    <w:rsid w:val="000A17F1"/>
    <w:rsid w:val="000A1B09"/>
    <w:rsid w:val="000A1DED"/>
    <w:rsid w:val="000A2395"/>
    <w:rsid w:val="000A2E24"/>
    <w:rsid w:val="000A3130"/>
    <w:rsid w:val="000A336C"/>
    <w:rsid w:val="000A346F"/>
    <w:rsid w:val="000A3898"/>
    <w:rsid w:val="000A3C2F"/>
    <w:rsid w:val="000A487A"/>
    <w:rsid w:val="000A5207"/>
    <w:rsid w:val="000A52A1"/>
    <w:rsid w:val="000A5824"/>
    <w:rsid w:val="000A5DB9"/>
    <w:rsid w:val="000A633D"/>
    <w:rsid w:val="000A6389"/>
    <w:rsid w:val="000A6392"/>
    <w:rsid w:val="000A646A"/>
    <w:rsid w:val="000A6922"/>
    <w:rsid w:val="000A6F23"/>
    <w:rsid w:val="000A74C3"/>
    <w:rsid w:val="000A756F"/>
    <w:rsid w:val="000A7AA9"/>
    <w:rsid w:val="000A7C5E"/>
    <w:rsid w:val="000A7E55"/>
    <w:rsid w:val="000A7E96"/>
    <w:rsid w:val="000B0145"/>
    <w:rsid w:val="000B08F0"/>
    <w:rsid w:val="000B0A33"/>
    <w:rsid w:val="000B0D24"/>
    <w:rsid w:val="000B0DE2"/>
    <w:rsid w:val="000B1440"/>
    <w:rsid w:val="000B16CB"/>
    <w:rsid w:val="000B1905"/>
    <w:rsid w:val="000B2042"/>
    <w:rsid w:val="000B2490"/>
    <w:rsid w:val="000B286B"/>
    <w:rsid w:val="000B2942"/>
    <w:rsid w:val="000B2944"/>
    <w:rsid w:val="000B2AF2"/>
    <w:rsid w:val="000B2CFB"/>
    <w:rsid w:val="000B2DCD"/>
    <w:rsid w:val="000B2E2A"/>
    <w:rsid w:val="000B2F0F"/>
    <w:rsid w:val="000B3097"/>
    <w:rsid w:val="000B3557"/>
    <w:rsid w:val="000B3623"/>
    <w:rsid w:val="000B3BB2"/>
    <w:rsid w:val="000B3DC4"/>
    <w:rsid w:val="000B3F0A"/>
    <w:rsid w:val="000B3F3E"/>
    <w:rsid w:val="000B4179"/>
    <w:rsid w:val="000B442C"/>
    <w:rsid w:val="000B4935"/>
    <w:rsid w:val="000B4FDE"/>
    <w:rsid w:val="000B5042"/>
    <w:rsid w:val="000B5227"/>
    <w:rsid w:val="000B53C0"/>
    <w:rsid w:val="000B53FD"/>
    <w:rsid w:val="000B56FE"/>
    <w:rsid w:val="000B5744"/>
    <w:rsid w:val="000B5B36"/>
    <w:rsid w:val="000B5C2F"/>
    <w:rsid w:val="000B61DE"/>
    <w:rsid w:val="000B64E3"/>
    <w:rsid w:val="000B689B"/>
    <w:rsid w:val="000B73C6"/>
    <w:rsid w:val="000B7685"/>
    <w:rsid w:val="000B7CB8"/>
    <w:rsid w:val="000B7DC3"/>
    <w:rsid w:val="000B7F93"/>
    <w:rsid w:val="000C06A4"/>
    <w:rsid w:val="000C0BBD"/>
    <w:rsid w:val="000C0F3A"/>
    <w:rsid w:val="000C0FAC"/>
    <w:rsid w:val="000C1231"/>
    <w:rsid w:val="000C1575"/>
    <w:rsid w:val="000C1F18"/>
    <w:rsid w:val="000C2987"/>
    <w:rsid w:val="000C2EA9"/>
    <w:rsid w:val="000C32BB"/>
    <w:rsid w:val="000C354C"/>
    <w:rsid w:val="000C3927"/>
    <w:rsid w:val="000C3B22"/>
    <w:rsid w:val="000C4063"/>
    <w:rsid w:val="000C4BB7"/>
    <w:rsid w:val="000C4DFC"/>
    <w:rsid w:val="000C50B3"/>
    <w:rsid w:val="000C53E9"/>
    <w:rsid w:val="000C5486"/>
    <w:rsid w:val="000C604F"/>
    <w:rsid w:val="000C65AA"/>
    <w:rsid w:val="000C6936"/>
    <w:rsid w:val="000C6BC8"/>
    <w:rsid w:val="000C6E9F"/>
    <w:rsid w:val="000C76F8"/>
    <w:rsid w:val="000C776D"/>
    <w:rsid w:val="000C782D"/>
    <w:rsid w:val="000C7AE7"/>
    <w:rsid w:val="000C7F62"/>
    <w:rsid w:val="000D01AA"/>
    <w:rsid w:val="000D03E4"/>
    <w:rsid w:val="000D0A89"/>
    <w:rsid w:val="000D0ACF"/>
    <w:rsid w:val="000D0B77"/>
    <w:rsid w:val="000D0BB6"/>
    <w:rsid w:val="000D0C8D"/>
    <w:rsid w:val="000D1354"/>
    <w:rsid w:val="000D149C"/>
    <w:rsid w:val="000D15A0"/>
    <w:rsid w:val="000D1DEA"/>
    <w:rsid w:val="000D1EA8"/>
    <w:rsid w:val="000D2088"/>
    <w:rsid w:val="000D224A"/>
    <w:rsid w:val="000D2311"/>
    <w:rsid w:val="000D27F5"/>
    <w:rsid w:val="000D2879"/>
    <w:rsid w:val="000D2A5E"/>
    <w:rsid w:val="000D2D5C"/>
    <w:rsid w:val="000D3378"/>
    <w:rsid w:val="000D3531"/>
    <w:rsid w:val="000D355C"/>
    <w:rsid w:val="000D366D"/>
    <w:rsid w:val="000D375A"/>
    <w:rsid w:val="000D37C2"/>
    <w:rsid w:val="000D3BC1"/>
    <w:rsid w:val="000D3CC1"/>
    <w:rsid w:val="000D3ECB"/>
    <w:rsid w:val="000D4063"/>
    <w:rsid w:val="000D4101"/>
    <w:rsid w:val="000D41CA"/>
    <w:rsid w:val="000D42BA"/>
    <w:rsid w:val="000D4342"/>
    <w:rsid w:val="000D43B8"/>
    <w:rsid w:val="000D4457"/>
    <w:rsid w:val="000D48FF"/>
    <w:rsid w:val="000D533D"/>
    <w:rsid w:val="000D535B"/>
    <w:rsid w:val="000D5667"/>
    <w:rsid w:val="000D571F"/>
    <w:rsid w:val="000D57A8"/>
    <w:rsid w:val="000D5C58"/>
    <w:rsid w:val="000D65F5"/>
    <w:rsid w:val="000D6C93"/>
    <w:rsid w:val="000D70AE"/>
    <w:rsid w:val="000D70D7"/>
    <w:rsid w:val="000D763B"/>
    <w:rsid w:val="000D772C"/>
    <w:rsid w:val="000D784B"/>
    <w:rsid w:val="000D7C54"/>
    <w:rsid w:val="000D7E36"/>
    <w:rsid w:val="000E0210"/>
    <w:rsid w:val="000E1007"/>
    <w:rsid w:val="000E14D3"/>
    <w:rsid w:val="000E1757"/>
    <w:rsid w:val="000E1767"/>
    <w:rsid w:val="000E17A7"/>
    <w:rsid w:val="000E1940"/>
    <w:rsid w:val="000E1979"/>
    <w:rsid w:val="000E1A53"/>
    <w:rsid w:val="000E1B78"/>
    <w:rsid w:val="000E20EE"/>
    <w:rsid w:val="000E26C1"/>
    <w:rsid w:val="000E2CF8"/>
    <w:rsid w:val="000E3109"/>
    <w:rsid w:val="000E311B"/>
    <w:rsid w:val="000E3592"/>
    <w:rsid w:val="000E35A0"/>
    <w:rsid w:val="000E3868"/>
    <w:rsid w:val="000E38BA"/>
    <w:rsid w:val="000E3BE1"/>
    <w:rsid w:val="000E3D68"/>
    <w:rsid w:val="000E3E15"/>
    <w:rsid w:val="000E41D5"/>
    <w:rsid w:val="000E423E"/>
    <w:rsid w:val="000E47B0"/>
    <w:rsid w:val="000E4EBC"/>
    <w:rsid w:val="000E4FF4"/>
    <w:rsid w:val="000E5031"/>
    <w:rsid w:val="000E5404"/>
    <w:rsid w:val="000E5972"/>
    <w:rsid w:val="000E5C21"/>
    <w:rsid w:val="000E6391"/>
    <w:rsid w:val="000E63B0"/>
    <w:rsid w:val="000E6774"/>
    <w:rsid w:val="000E6AA5"/>
    <w:rsid w:val="000E7041"/>
    <w:rsid w:val="000E798E"/>
    <w:rsid w:val="000E7BAB"/>
    <w:rsid w:val="000E7F56"/>
    <w:rsid w:val="000F0293"/>
    <w:rsid w:val="000F03DA"/>
    <w:rsid w:val="000F0674"/>
    <w:rsid w:val="000F0879"/>
    <w:rsid w:val="000F097D"/>
    <w:rsid w:val="000F0AC1"/>
    <w:rsid w:val="000F0B55"/>
    <w:rsid w:val="000F1981"/>
    <w:rsid w:val="000F19C5"/>
    <w:rsid w:val="000F1CDA"/>
    <w:rsid w:val="000F1EE5"/>
    <w:rsid w:val="000F232B"/>
    <w:rsid w:val="000F28B5"/>
    <w:rsid w:val="000F29FF"/>
    <w:rsid w:val="000F2F0E"/>
    <w:rsid w:val="000F2F8D"/>
    <w:rsid w:val="000F3314"/>
    <w:rsid w:val="000F3632"/>
    <w:rsid w:val="000F38A4"/>
    <w:rsid w:val="000F3CBF"/>
    <w:rsid w:val="000F414B"/>
    <w:rsid w:val="000F44AD"/>
    <w:rsid w:val="000F4B28"/>
    <w:rsid w:val="000F4F75"/>
    <w:rsid w:val="000F58BC"/>
    <w:rsid w:val="000F594C"/>
    <w:rsid w:val="000F5E36"/>
    <w:rsid w:val="000F5F7F"/>
    <w:rsid w:val="000F649F"/>
    <w:rsid w:val="000F6700"/>
    <w:rsid w:val="000F7631"/>
    <w:rsid w:val="000F7694"/>
    <w:rsid w:val="000F7787"/>
    <w:rsid w:val="000F7F5B"/>
    <w:rsid w:val="001002D2"/>
    <w:rsid w:val="00100409"/>
    <w:rsid w:val="00100583"/>
    <w:rsid w:val="0010076D"/>
    <w:rsid w:val="00100E6F"/>
    <w:rsid w:val="001013EE"/>
    <w:rsid w:val="0010173F"/>
    <w:rsid w:val="001017B7"/>
    <w:rsid w:val="001017E3"/>
    <w:rsid w:val="00101BE0"/>
    <w:rsid w:val="00101C90"/>
    <w:rsid w:val="00101F87"/>
    <w:rsid w:val="00102132"/>
    <w:rsid w:val="00102135"/>
    <w:rsid w:val="001021D7"/>
    <w:rsid w:val="00102779"/>
    <w:rsid w:val="00102AFD"/>
    <w:rsid w:val="00102B29"/>
    <w:rsid w:val="00102BE0"/>
    <w:rsid w:val="00102F76"/>
    <w:rsid w:val="00102FEB"/>
    <w:rsid w:val="00103339"/>
    <w:rsid w:val="001033A9"/>
    <w:rsid w:val="001034E3"/>
    <w:rsid w:val="001039C2"/>
    <w:rsid w:val="00103B00"/>
    <w:rsid w:val="00103C7F"/>
    <w:rsid w:val="00103CBC"/>
    <w:rsid w:val="00103DFF"/>
    <w:rsid w:val="00103F1C"/>
    <w:rsid w:val="001040AD"/>
    <w:rsid w:val="0010422B"/>
    <w:rsid w:val="00104960"/>
    <w:rsid w:val="00104EDD"/>
    <w:rsid w:val="001053D9"/>
    <w:rsid w:val="0010567A"/>
    <w:rsid w:val="00105A17"/>
    <w:rsid w:val="00105C56"/>
    <w:rsid w:val="001060B0"/>
    <w:rsid w:val="001064A4"/>
    <w:rsid w:val="00106826"/>
    <w:rsid w:val="00106CB2"/>
    <w:rsid w:val="00106CEE"/>
    <w:rsid w:val="0010739F"/>
    <w:rsid w:val="00107B24"/>
    <w:rsid w:val="00107B43"/>
    <w:rsid w:val="00107E52"/>
    <w:rsid w:val="001103B6"/>
    <w:rsid w:val="00110417"/>
    <w:rsid w:val="001107F1"/>
    <w:rsid w:val="00110996"/>
    <w:rsid w:val="00110C5E"/>
    <w:rsid w:val="00110DC5"/>
    <w:rsid w:val="0011178C"/>
    <w:rsid w:val="00111ABA"/>
    <w:rsid w:val="00111AE7"/>
    <w:rsid w:val="00111EC2"/>
    <w:rsid w:val="001120B0"/>
    <w:rsid w:val="001121D0"/>
    <w:rsid w:val="0011236A"/>
    <w:rsid w:val="0011243C"/>
    <w:rsid w:val="001125AB"/>
    <w:rsid w:val="001125E7"/>
    <w:rsid w:val="00112988"/>
    <w:rsid w:val="00112A57"/>
    <w:rsid w:val="00112CD6"/>
    <w:rsid w:val="00112CF0"/>
    <w:rsid w:val="00112E1E"/>
    <w:rsid w:val="00113339"/>
    <w:rsid w:val="001136C6"/>
    <w:rsid w:val="0011408D"/>
    <w:rsid w:val="0011428D"/>
    <w:rsid w:val="001146E5"/>
    <w:rsid w:val="00114D9B"/>
    <w:rsid w:val="00114DA1"/>
    <w:rsid w:val="00114EA0"/>
    <w:rsid w:val="00114F65"/>
    <w:rsid w:val="0011519F"/>
    <w:rsid w:val="00115672"/>
    <w:rsid w:val="001157AB"/>
    <w:rsid w:val="0011585E"/>
    <w:rsid w:val="00115ADE"/>
    <w:rsid w:val="00115C9E"/>
    <w:rsid w:val="00116062"/>
    <w:rsid w:val="00116702"/>
    <w:rsid w:val="0011699D"/>
    <w:rsid w:val="00116D3E"/>
    <w:rsid w:val="00116EE4"/>
    <w:rsid w:val="0011713A"/>
    <w:rsid w:val="0011729F"/>
    <w:rsid w:val="001172BD"/>
    <w:rsid w:val="001178E4"/>
    <w:rsid w:val="00117AA2"/>
    <w:rsid w:val="00117CFD"/>
    <w:rsid w:val="0012020C"/>
    <w:rsid w:val="00120B1E"/>
    <w:rsid w:val="001211AB"/>
    <w:rsid w:val="001214BE"/>
    <w:rsid w:val="001218B8"/>
    <w:rsid w:val="00121A72"/>
    <w:rsid w:val="00121F79"/>
    <w:rsid w:val="001220B7"/>
    <w:rsid w:val="00122457"/>
    <w:rsid w:val="00122774"/>
    <w:rsid w:val="00123325"/>
    <w:rsid w:val="00123BC6"/>
    <w:rsid w:val="00123DA3"/>
    <w:rsid w:val="00124730"/>
    <w:rsid w:val="00124826"/>
    <w:rsid w:val="00124B73"/>
    <w:rsid w:val="00124ED1"/>
    <w:rsid w:val="0012542D"/>
    <w:rsid w:val="0012561A"/>
    <w:rsid w:val="00125806"/>
    <w:rsid w:val="001258EF"/>
    <w:rsid w:val="00125AB5"/>
    <w:rsid w:val="00125B33"/>
    <w:rsid w:val="001260B6"/>
    <w:rsid w:val="001260E3"/>
    <w:rsid w:val="00126201"/>
    <w:rsid w:val="00126239"/>
    <w:rsid w:val="001266EE"/>
    <w:rsid w:val="0012692E"/>
    <w:rsid w:val="00126AD1"/>
    <w:rsid w:val="00126C58"/>
    <w:rsid w:val="00126FB4"/>
    <w:rsid w:val="001272E6"/>
    <w:rsid w:val="0012739C"/>
    <w:rsid w:val="00127687"/>
    <w:rsid w:val="00127780"/>
    <w:rsid w:val="001277C7"/>
    <w:rsid w:val="00127C8B"/>
    <w:rsid w:val="00127E95"/>
    <w:rsid w:val="00130303"/>
    <w:rsid w:val="001307A8"/>
    <w:rsid w:val="00130DCA"/>
    <w:rsid w:val="001312CB"/>
    <w:rsid w:val="00131A29"/>
    <w:rsid w:val="00131BAD"/>
    <w:rsid w:val="00131D5F"/>
    <w:rsid w:val="001322D2"/>
    <w:rsid w:val="00132503"/>
    <w:rsid w:val="00132E0B"/>
    <w:rsid w:val="001333F9"/>
    <w:rsid w:val="0013355A"/>
    <w:rsid w:val="00133C48"/>
    <w:rsid w:val="00133C81"/>
    <w:rsid w:val="00133F08"/>
    <w:rsid w:val="00134146"/>
    <w:rsid w:val="00134222"/>
    <w:rsid w:val="001346A2"/>
    <w:rsid w:val="0013474C"/>
    <w:rsid w:val="001347D3"/>
    <w:rsid w:val="00134847"/>
    <w:rsid w:val="0013497E"/>
    <w:rsid w:val="00134FA3"/>
    <w:rsid w:val="00135080"/>
    <w:rsid w:val="0013515E"/>
    <w:rsid w:val="001351C6"/>
    <w:rsid w:val="001356C7"/>
    <w:rsid w:val="00135F2C"/>
    <w:rsid w:val="0013601E"/>
    <w:rsid w:val="0013623B"/>
    <w:rsid w:val="001363A1"/>
    <w:rsid w:val="00136497"/>
    <w:rsid w:val="001369BF"/>
    <w:rsid w:val="00136F29"/>
    <w:rsid w:val="00136F6F"/>
    <w:rsid w:val="00137D90"/>
    <w:rsid w:val="00140509"/>
    <w:rsid w:val="00140D09"/>
    <w:rsid w:val="001414E0"/>
    <w:rsid w:val="00141BD1"/>
    <w:rsid w:val="001423B0"/>
    <w:rsid w:val="00142B21"/>
    <w:rsid w:val="00142B86"/>
    <w:rsid w:val="00143228"/>
    <w:rsid w:val="001438E0"/>
    <w:rsid w:val="00143A06"/>
    <w:rsid w:val="00143B25"/>
    <w:rsid w:val="00143D52"/>
    <w:rsid w:val="00143F85"/>
    <w:rsid w:val="001441DA"/>
    <w:rsid w:val="00144A22"/>
    <w:rsid w:val="00144A92"/>
    <w:rsid w:val="00144C8A"/>
    <w:rsid w:val="001455CC"/>
    <w:rsid w:val="00145604"/>
    <w:rsid w:val="0014616B"/>
    <w:rsid w:val="00147115"/>
    <w:rsid w:val="001471DD"/>
    <w:rsid w:val="0014740D"/>
    <w:rsid w:val="00147461"/>
    <w:rsid w:val="001477CE"/>
    <w:rsid w:val="0014784F"/>
    <w:rsid w:val="001478AD"/>
    <w:rsid w:val="00147BCC"/>
    <w:rsid w:val="00147DFA"/>
    <w:rsid w:val="00147F4D"/>
    <w:rsid w:val="0015000A"/>
    <w:rsid w:val="0015040C"/>
    <w:rsid w:val="00150B89"/>
    <w:rsid w:val="00150C35"/>
    <w:rsid w:val="00150E42"/>
    <w:rsid w:val="00150ECB"/>
    <w:rsid w:val="00151316"/>
    <w:rsid w:val="0015167D"/>
    <w:rsid w:val="001517E0"/>
    <w:rsid w:val="001519C7"/>
    <w:rsid w:val="00151DFB"/>
    <w:rsid w:val="00152123"/>
    <w:rsid w:val="0015233A"/>
    <w:rsid w:val="00152611"/>
    <w:rsid w:val="00152807"/>
    <w:rsid w:val="00152BE0"/>
    <w:rsid w:val="00152C3D"/>
    <w:rsid w:val="00152DCF"/>
    <w:rsid w:val="00152ED6"/>
    <w:rsid w:val="00152FED"/>
    <w:rsid w:val="00153AA7"/>
    <w:rsid w:val="00153CA7"/>
    <w:rsid w:val="00153D48"/>
    <w:rsid w:val="00154A35"/>
    <w:rsid w:val="00154A9A"/>
    <w:rsid w:val="001550A3"/>
    <w:rsid w:val="0015510B"/>
    <w:rsid w:val="00155469"/>
    <w:rsid w:val="00155746"/>
    <w:rsid w:val="00155EAF"/>
    <w:rsid w:val="00156419"/>
    <w:rsid w:val="0015686A"/>
    <w:rsid w:val="00156C80"/>
    <w:rsid w:val="0015742B"/>
    <w:rsid w:val="001574A7"/>
    <w:rsid w:val="0015776C"/>
    <w:rsid w:val="001579DC"/>
    <w:rsid w:val="00157AD5"/>
    <w:rsid w:val="00157BA5"/>
    <w:rsid w:val="00157CEB"/>
    <w:rsid w:val="00157F02"/>
    <w:rsid w:val="00160015"/>
    <w:rsid w:val="00160229"/>
    <w:rsid w:val="00160346"/>
    <w:rsid w:val="001604D5"/>
    <w:rsid w:val="001605EB"/>
    <w:rsid w:val="00160877"/>
    <w:rsid w:val="00160EA4"/>
    <w:rsid w:val="0016108C"/>
    <w:rsid w:val="001610AC"/>
    <w:rsid w:val="00161391"/>
    <w:rsid w:val="00161616"/>
    <w:rsid w:val="00161DCE"/>
    <w:rsid w:val="001620CB"/>
    <w:rsid w:val="001625EC"/>
    <w:rsid w:val="00162780"/>
    <w:rsid w:val="00162999"/>
    <w:rsid w:val="00163983"/>
    <w:rsid w:val="00163E35"/>
    <w:rsid w:val="00164202"/>
    <w:rsid w:val="00164B4B"/>
    <w:rsid w:val="00164ECE"/>
    <w:rsid w:val="00164F2C"/>
    <w:rsid w:val="001652C2"/>
    <w:rsid w:val="0016534B"/>
    <w:rsid w:val="001654B0"/>
    <w:rsid w:val="001657CF"/>
    <w:rsid w:val="00165907"/>
    <w:rsid w:val="00165DC0"/>
    <w:rsid w:val="00165FF0"/>
    <w:rsid w:val="00166098"/>
    <w:rsid w:val="001660AA"/>
    <w:rsid w:val="0016688E"/>
    <w:rsid w:val="0016689D"/>
    <w:rsid w:val="00166BE5"/>
    <w:rsid w:val="00166E24"/>
    <w:rsid w:val="00166F83"/>
    <w:rsid w:val="00167169"/>
    <w:rsid w:val="0016723A"/>
    <w:rsid w:val="001672D1"/>
    <w:rsid w:val="00167335"/>
    <w:rsid w:val="001674FA"/>
    <w:rsid w:val="0016782C"/>
    <w:rsid w:val="00167AA3"/>
    <w:rsid w:val="00167CB3"/>
    <w:rsid w:val="00170100"/>
    <w:rsid w:val="0017034B"/>
    <w:rsid w:val="001704CF"/>
    <w:rsid w:val="00170DC9"/>
    <w:rsid w:val="00171335"/>
    <w:rsid w:val="0017181D"/>
    <w:rsid w:val="00171A05"/>
    <w:rsid w:val="00171D48"/>
    <w:rsid w:val="001725BB"/>
    <w:rsid w:val="00172E17"/>
    <w:rsid w:val="00172E28"/>
    <w:rsid w:val="00172EC4"/>
    <w:rsid w:val="00172F3A"/>
    <w:rsid w:val="001730A3"/>
    <w:rsid w:val="001730FD"/>
    <w:rsid w:val="0017311D"/>
    <w:rsid w:val="001735B1"/>
    <w:rsid w:val="00173798"/>
    <w:rsid w:val="00173BE6"/>
    <w:rsid w:val="00173DA5"/>
    <w:rsid w:val="00173E72"/>
    <w:rsid w:val="00173E9E"/>
    <w:rsid w:val="00174762"/>
    <w:rsid w:val="00175209"/>
    <w:rsid w:val="0017572D"/>
    <w:rsid w:val="00175957"/>
    <w:rsid w:val="00175AA2"/>
    <w:rsid w:val="00175ACB"/>
    <w:rsid w:val="00175C98"/>
    <w:rsid w:val="00175F9B"/>
    <w:rsid w:val="001760FF"/>
    <w:rsid w:val="0017645D"/>
    <w:rsid w:val="00176738"/>
    <w:rsid w:val="00176E42"/>
    <w:rsid w:val="00176E9A"/>
    <w:rsid w:val="00176F37"/>
    <w:rsid w:val="00177129"/>
    <w:rsid w:val="001775AD"/>
    <w:rsid w:val="0017771D"/>
    <w:rsid w:val="001777D5"/>
    <w:rsid w:val="001777E9"/>
    <w:rsid w:val="001778D0"/>
    <w:rsid w:val="00177B6B"/>
    <w:rsid w:val="00177D12"/>
    <w:rsid w:val="00180001"/>
    <w:rsid w:val="001807C0"/>
    <w:rsid w:val="00180935"/>
    <w:rsid w:val="00180A23"/>
    <w:rsid w:val="00180B76"/>
    <w:rsid w:val="00180BE8"/>
    <w:rsid w:val="001811DE"/>
    <w:rsid w:val="001818CC"/>
    <w:rsid w:val="00181B43"/>
    <w:rsid w:val="00182487"/>
    <w:rsid w:val="001826CB"/>
    <w:rsid w:val="001827AC"/>
    <w:rsid w:val="00182899"/>
    <w:rsid w:val="001831E8"/>
    <w:rsid w:val="001832B0"/>
    <w:rsid w:val="0018349C"/>
    <w:rsid w:val="00183562"/>
    <w:rsid w:val="00183649"/>
    <w:rsid w:val="00183970"/>
    <w:rsid w:val="00183C19"/>
    <w:rsid w:val="001843C4"/>
    <w:rsid w:val="00184519"/>
    <w:rsid w:val="001845F7"/>
    <w:rsid w:val="00184A83"/>
    <w:rsid w:val="00184DA4"/>
    <w:rsid w:val="00185037"/>
    <w:rsid w:val="0018537D"/>
    <w:rsid w:val="001853A5"/>
    <w:rsid w:val="00185A8A"/>
    <w:rsid w:val="001862DA"/>
    <w:rsid w:val="001866D1"/>
    <w:rsid w:val="001868A3"/>
    <w:rsid w:val="00186A8A"/>
    <w:rsid w:val="00186EB8"/>
    <w:rsid w:val="00187145"/>
    <w:rsid w:val="001874F4"/>
    <w:rsid w:val="00187613"/>
    <w:rsid w:val="00187B79"/>
    <w:rsid w:val="00187DA4"/>
    <w:rsid w:val="001904D5"/>
    <w:rsid w:val="0019104D"/>
    <w:rsid w:val="00191778"/>
    <w:rsid w:val="00191A77"/>
    <w:rsid w:val="00191DB3"/>
    <w:rsid w:val="00191FD5"/>
    <w:rsid w:val="00192214"/>
    <w:rsid w:val="001923ED"/>
    <w:rsid w:val="00192B90"/>
    <w:rsid w:val="00192BFE"/>
    <w:rsid w:val="00192D0D"/>
    <w:rsid w:val="00193260"/>
    <w:rsid w:val="0019374B"/>
    <w:rsid w:val="00193A90"/>
    <w:rsid w:val="00193B10"/>
    <w:rsid w:val="00193EE3"/>
    <w:rsid w:val="00194098"/>
    <w:rsid w:val="00194995"/>
    <w:rsid w:val="00194FCC"/>
    <w:rsid w:val="00195476"/>
    <w:rsid w:val="0019593F"/>
    <w:rsid w:val="00195CD2"/>
    <w:rsid w:val="00196167"/>
    <w:rsid w:val="0019620C"/>
    <w:rsid w:val="00196526"/>
    <w:rsid w:val="00196594"/>
    <w:rsid w:val="00196963"/>
    <w:rsid w:val="00196B93"/>
    <w:rsid w:val="00196BA3"/>
    <w:rsid w:val="001970F9"/>
    <w:rsid w:val="00197350"/>
    <w:rsid w:val="00197BC3"/>
    <w:rsid w:val="00197DCD"/>
    <w:rsid w:val="001A06A6"/>
    <w:rsid w:val="001A0968"/>
    <w:rsid w:val="001A0F0C"/>
    <w:rsid w:val="001A1720"/>
    <w:rsid w:val="001A192B"/>
    <w:rsid w:val="001A2109"/>
    <w:rsid w:val="001A2466"/>
    <w:rsid w:val="001A267A"/>
    <w:rsid w:val="001A26F5"/>
    <w:rsid w:val="001A27E6"/>
    <w:rsid w:val="001A2DDC"/>
    <w:rsid w:val="001A2F36"/>
    <w:rsid w:val="001A3229"/>
    <w:rsid w:val="001A372B"/>
    <w:rsid w:val="001A3771"/>
    <w:rsid w:val="001A3991"/>
    <w:rsid w:val="001A4336"/>
    <w:rsid w:val="001A4780"/>
    <w:rsid w:val="001A4CCB"/>
    <w:rsid w:val="001A4EB6"/>
    <w:rsid w:val="001A4F99"/>
    <w:rsid w:val="001A5419"/>
    <w:rsid w:val="001A5705"/>
    <w:rsid w:val="001A585E"/>
    <w:rsid w:val="001A592C"/>
    <w:rsid w:val="001A5D64"/>
    <w:rsid w:val="001A620B"/>
    <w:rsid w:val="001A63F2"/>
    <w:rsid w:val="001A6496"/>
    <w:rsid w:val="001A6575"/>
    <w:rsid w:val="001A6A59"/>
    <w:rsid w:val="001A6E6B"/>
    <w:rsid w:val="001A6F1C"/>
    <w:rsid w:val="001A7346"/>
    <w:rsid w:val="001A7386"/>
    <w:rsid w:val="001A751B"/>
    <w:rsid w:val="001A7591"/>
    <w:rsid w:val="001A7971"/>
    <w:rsid w:val="001A7B28"/>
    <w:rsid w:val="001A7BFE"/>
    <w:rsid w:val="001A7E01"/>
    <w:rsid w:val="001A7E31"/>
    <w:rsid w:val="001A7F6A"/>
    <w:rsid w:val="001A7FFD"/>
    <w:rsid w:val="001B0110"/>
    <w:rsid w:val="001B0511"/>
    <w:rsid w:val="001B090D"/>
    <w:rsid w:val="001B09E3"/>
    <w:rsid w:val="001B0AC4"/>
    <w:rsid w:val="001B0C0A"/>
    <w:rsid w:val="001B0F33"/>
    <w:rsid w:val="001B105E"/>
    <w:rsid w:val="001B10FE"/>
    <w:rsid w:val="001B1324"/>
    <w:rsid w:val="001B1729"/>
    <w:rsid w:val="001B1FAD"/>
    <w:rsid w:val="001B3048"/>
    <w:rsid w:val="001B3961"/>
    <w:rsid w:val="001B3DBE"/>
    <w:rsid w:val="001B40CB"/>
    <w:rsid w:val="001B40E7"/>
    <w:rsid w:val="001B42E4"/>
    <w:rsid w:val="001B436F"/>
    <w:rsid w:val="001B4BCE"/>
    <w:rsid w:val="001B4E90"/>
    <w:rsid w:val="001B5291"/>
    <w:rsid w:val="001B563F"/>
    <w:rsid w:val="001B571B"/>
    <w:rsid w:val="001B582D"/>
    <w:rsid w:val="001B5890"/>
    <w:rsid w:val="001B59A9"/>
    <w:rsid w:val="001B5C8D"/>
    <w:rsid w:val="001B5D3A"/>
    <w:rsid w:val="001B5D41"/>
    <w:rsid w:val="001B5EB0"/>
    <w:rsid w:val="001B6421"/>
    <w:rsid w:val="001B691A"/>
    <w:rsid w:val="001B696E"/>
    <w:rsid w:val="001B6A56"/>
    <w:rsid w:val="001B7191"/>
    <w:rsid w:val="001B71B9"/>
    <w:rsid w:val="001B7243"/>
    <w:rsid w:val="001B76A8"/>
    <w:rsid w:val="001B782D"/>
    <w:rsid w:val="001B7DC0"/>
    <w:rsid w:val="001C00F2"/>
    <w:rsid w:val="001C0545"/>
    <w:rsid w:val="001C05BE"/>
    <w:rsid w:val="001C0963"/>
    <w:rsid w:val="001C09D9"/>
    <w:rsid w:val="001C1121"/>
    <w:rsid w:val="001C14EA"/>
    <w:rsid w:val="001C15C5"/>
    <w:rsid w:val="001C1A14"/>
    <w:rsid w:val="001C1AC5"/>
    <w:rsid w:val="001C1DE7"/>
    <w:rsid w:val="001C202D"/>
    <w:rsid w:val="001C21A2"/>
    <w:rsid w:val="001C22BD"/>
    <w:rsid w:val="001C22F8"/>
    <w:rsid w:val="001C23C3"/>
    <w:rsid w:val="001C24B2"/>
    <w:rsid w:val="001C24F4"/>
    <w:rsid w:val="001C2A03"/>
    <w:rsid w:val="001C30D2"/>
    <w:rsid w:val="001C39E8"/>
    <w:rsid w:val="001C3A22"/>
    <w:rsid w:val="001C3BC6"/>
    <w:rsid w:val="001C3C62"/>
    <w:rsid w:val="001C3CD8"/>
    <w:rsid w:val="001C3D31"/>
    <w:rsid w:val="001C3F63"/>
    <w:rsid w:val="001C44E0"/>
    <w:rsid w:val="001C4553"/>
    <w:rsid w:val="001C4619"/>
    <w:rsid w:val="001C4623"/>
    <w:rsid w:val="001C4632"/>
    <w:rsid w:val="001C469B"/>
    <w:rsid w:val="001C4A0B"/>
    <w:rsid w:val="001C4B75"/>
    <w:rsid w:val="001C4C45"/>
    <w:rsid w:val="001C4C8C"/>
    <w:rsid w:val="001C4DA4"/>
    <w:rsid w:val="001C504B"/>
    <w:rsid w:val="001C5241"/>
    <w:rsid w:val="001C532B"/>
    <w:rsid w:val="001C54F5"/>
    <w:rsid w:val="001C559E"/>
    <w:rsid w:val="001C55F6"/>
    <w:rsid w:val="001C5D2D"/>
    <w:rsid w:val="001C5D8B"/>
    <w:rsid w:val="001C6086"/>
    <w:rsid w:val="001C6252"/>
    <w:rsid w:val="001C62B4"/>
    <w:rsid w:val="001C6311"/>
    <w:rsid w:val="001C6504"/>
    <w:rsid w:val="001C6726"/>
    <w:rsid w:val="001C6758"/>
    <w:rsid w:val="001C681D"/>
    <w:rsid w:val="001C69B9"/>
    <w:rsid w:val="001C6A71"/>
    <w:rsid w:val="001C6BFC"/>
    <w:rsid w:val="001C71AA"/>
    <w:rsid w:val="001C73F8"/>
    <w:rsid w:val="001C75AB"/>
    <w:rsid w:val="001C75B2"/>
    <w:rsid w:val="001C776C"/>
    <w:rsid w:val="001C77E1"/>
    <w:rsid w:val="001C79DA"/>
    <w:rsid w:val="001C7ABB"/>
    <w:rsid w:val="001C7C88"/>
    <w:rsid w:val="001C7F9B"/>
    <w:rsid w:val="001C7FDF"/>
    <w:rsid w:val="001D0DDE"/>
    <w:rsid w:val="001D112B"/>
    <w:rsid w:val="001D11B3"/>
    <w:rsid w:val="001D1634"/>
    <w:rsid w:val="001D19A8"/>
    <w:rsid w:val="001D240E"/>
    <w:rsid w:val="001D26ED"/>
    <w:rsid w:val="001D28B3"/>
    <w:rsid w:val="001D2B7D"/>
    <w:rsid w:val="001D2D33"/>
    <w:rsid w:val="001D33AD"/>
    <w:rsid w:val="001D39F2"/>
    <w:rsid w:val="001D3D79"/>
    <w:rsid w:val="001D5257"/>
    <w:rsid w:val="001D5280"/>
    <w:rsid w:val="001D5963"/>
    <w:rsid w:val="001D5CAD"/>
    <w:rsid w:val="001D5D71"/>
    <w:rsid w:val="001D62F5"/>
    <w:rsid w:val="001D638B"/>
    <w:rsid w:val="001D6488"/>
    <w:rsid w:val="001D654F"/>
    <w:rsid w:val="001D65B6"/>
    <w:rsid w:val="001D686B"/>
    <w:rsid w:val="001D6CCE"/>
    <w:rsid w:val="001D6DFA"/>
    <w:rsid w:val="001D7159"/>
    <w:rsid w:val="001D7743"/>
    <w:rsid w:val="001D7798"/>
    <w:rsid w:val="001D79EF"/>
    <w:rsid w:val="001E004B"/>
    <w:rsid w:val="001E0741"/>
    <w:rsid w:val="001E0916"/>
    <w:rsid w:val="001E1901"/>
    <w:rsid w:val="001E19D3"/>
    <w:rsid w:val="001E1F97"/>
    <w:rsid w:val="001E23D1"/>
    <w:rsid w:val="001E2428"/>
    <w:rsid w:val="001E252F"/>
    <w:rsid w:val="001E26BD"/>
    <w:rsid w:val="001E2908"/>
    <w:rsid w:val="001E2A8E"/>
    <w:rsid w:val="001E38A8"/>
    <w:rsid w:val="001E3982"/>
    <w:rsid w:val="001E53CD"/>
    <w:rsid w:val="001E580B"/>
    <w:rsid w:val="001E5BBB"/>
    <w:rsid w:val="001E5E5F"/>
    <w:rsid w:val="001E5F64"/>
    <w:rsid w:val="001E6180"/>
    <w:rsid w:val="001E63AE"/>
    <w:rsid w:val="001E674B"/>
    <w:rsid w:val="001E68FC"/>
    <w:rsid w:val="001E6C2D"/>
    <w:rsid w:val="001E6D8E"/>
    <w:rsid w:val="001E714A"/>
    <w:rsid w:val="001E72B6"/>
    <w:rsid w:val="001E7396"/>
    <w:rsid w:val="001E7569"/>
    <w:rsid w:val="001E7F25"/>
    <w:rsid w:val="001F0766"/>
    <w:rsid w:val="001F0C39"/>
    <w:rsid w:val="001F0EE5"/>
    <w:rsid w:val="001F111D"/>
    <w:rsid w:val="001F16FB"/>
    <w:rsid w:val="001F1761"/>
    <w:rsid w:val="001F1844"/>
    <w:rsid w:val="001F1A09"/>
    <w:rsid w:val="001F1BC4"/>
    <w:rsid w:val="001F2178"/>
    <w:rsid w:val="001F22CC"/>
    <w:rsid w:val="001F25E0"/>
    <w:rsid w:val="001F2DF7"/>
    <w:rsid w:val="001F3C5F"/>
    <w:rsid w:val="001F3CD4"/>
    <w:rsid w:val="001F458A"/>
    <w:rsid w:val="001F4B1F"/>
    <w:rsid w:val="001F4F5A"/>
    <w:rsid w:val="001F5D8D"/>
    <w:rsid w:val="001F61FE"/>
    <w:rsid w:val="001F646F"/>
    <w:rsid w:val="001F66DE"/>
    <w:rsid w:val="001F68BC"/>
    <w:rsid w:val="001F6C87"/>
    <w:rsid w:val="001F6EC5"/>
    <w:rsid w:val="001F705D"/>
    <w:rsid w:val="001F7246"/>
    <w:rsid w:val="001F7971"/>
    <w:rsid w:val="001F7ACA"/>
    <w:rsid w:val="001F7D00"/>
    <w:rsid w:val="00200366"/>
    <w:rsid w:val="0020066A"/>
    <w:rsid w:val="00200807"/>
    <w:rsid w:val="00200A6B"/>
    <w:rsid w:val="00200BDE"/>
    <w:rsid w:val="00200CAC"/>
    <w:rsid w:val="00200D92"/>
    <w:rsid w:val="002014E7"/>
    <w:rsid w:val="00202046"/>
    <w:rsid w:val="00202576"/>
    <w:rsid w:val="00202699"/>
    <w:rsid w:val="00202966"/>
    <w:rsid w:val="00202A9E"/>
    <w:rsid w:val="00202AA8"/>
    <w:rsid w:val="00202D81"/>
    <w:rsid w:val="00202DC0"/>
    <w:rsid w:val="00202E80"/>
    <w:rsid w:val="00202EB6"/>
    <w:rsid w:val="00203B02"/>
    <w:rsid w:val="00203BF5"/>
    <w:rsid w:val="00203F82"/>
    <w:rsid w:val="00204026"/>
    <w:rsid w:val="0020487A"/>
    <w:rsid w:val="002048BC"/>
    <w:rsid w:val="00204B43"/>
    <w:rsid w:val="00204BB4"/>
    <w:rsid w:val="002051EE"/>
    <w:rsid w:val="00205483"/>
    <w:rsid w:val="00205507"/>
    <w:rsid w:val="00205642"/>
    <w:rsid w:val="00205644"/>
    <w:rsid w:val="00205A9F"/>
    <w:rsid w:val="00205B0E"/>
    <w:rsid w:val="00205B1F"/>
    <w:rsid w:val="00205FEA"/>
    <w:rsid w:val="002061B1"/>
    <w:rsid w:val="002061CA"/>
    <w:rsid w:val="0020689C"/>
    <w:rsid w:val="00206929"/>
    <w:rsid w:val="002069BC"/>
    <w:rsid w:val="00206E13"/>
    <w:rsid w:val="00206F7F"/>
    <w:rsid w:val="0020718C"/>
    <w:rsid w:val="00207205"/>
    <w:rsid w:val="00207223"/>
    <w:rsid w:val="00207408"/>
    <w:rsid w:val="00207526"/>
    <w:rsid w:val="0020762E"/>
    <w:rsid w:val="0020765F"/>
    <w:rsid w:val="0021000D"/>
    <w:rsid w:val="0021033E"/>
    <w:rsid w:val="00210679"/>
    <w:rsid w:val="00210901"/>
    <w:rsid w:val="00210954"/>
    <w:rsid w:val="00210D6E"/>
    <w:rsid w:val="00210D9C"/>
    <w:rsid w:val="00210DCC"/>
    <w:rsid w:val="00210DCD"/>
    <w:rsid w:val="00211533"/>
    <w:rsid w:val="00211557"/>
    <w:rsid w:val="0021198D"/>
    <w:rsid w:val="002119BF"/>
    <w:rsid w:val="00211C52"/>
    <w:rsid w:val="00211D3D"/>
    <w:rsid w:val="0021225B"/>
    <w:rsid w:val="002126B2"/>
    <w:rsid w:val="00212948"/>
    <w:rsid w:val="00212BFF"/>
    <w:rsid w:val="002134A1"/>
    <w:rsid w:val="00213A9B"/>
    <w:rsid w:val="00213E70"/>
    <w:rsid w:val="00213E74"/>
    <w:rsid w:val="00214036"/>
    <w:rsid w:val="002145B9"/>
    <w:rsid w:val="00214BD4"/>
    <w:rsid w:val="00214FFF"/>
    <w:rsid w:val="0021501A"/>
    <w:rsid w:val="00215101"/>
    <w:rsid w:val="002151CB"/>
    <w:rsid w:val="00215468"/>
    <w:rsid w:val="00215AAF"/>
    <w:rsid w:val="002160BB"/>
    <w:rsid w:val="002161F7"/>
    <w:rsid w:val="00216238"/>
    <w:rsid w:val="002163C8"/>
    <w:rsid w:val="002165D3"/>
    <w:rsid w:val="00216771"/>
    <w:rsid w:val="0021687C"/>
    <w:rsid w:val="0021697C"/>
    <w:rsid w:val="00216AAA"/>
    <w:rsid w:val="00217423"/>
    <w:rsid w:val="00217839"/>
    <w:rsid w:val="002178E8"/>
    <w:rsid w:val="00217BBD"/>
    <w:rsid w:val="0022067E"/>
    <w:rsid w:val="002208DA"/>
    <w:rsid w:val="00220A70"/>
    <w:rsid w:val="00221077"/>
    <w:rsid w:val="00221197"/>
    <w:rsid w:val="0022195B"/>
    <w:rsid w:val="00221B1E"/>
    <w:rsid w:val="00221B3B"/>
    <w:rsid w:val="0022224C"/>
    <w:rsid w:val="00222392"/>
    <w:rsid w:val="002223C1"/>
    <w:rsid w:val="002224C1"/>
    <w:rsid w:val="00222D4A"/>
    <w:rsid w:val="0022389B"/>
    <w:rsid w:val="00223F94"/>
    <w:rsid w:val="002240C5"/>
    <w:rsid w:val="002244A6"/>
    <w:rsid w:val="0022463E"/>
    <w:rsid w:val="002256E4"/>
    <w:rsid w:val="0022583B"/>
    <w:rsid w:val="00225A3B"/>
    <w:rsid w:val="00225A8C"/>
    <w:rsid w:val="00225BD8"/>
    <w:rsid w:val="00225CFE"/>
    <w:rsid w:val="00226081"/>
    <w:rsid w:val="002263A4"/>
    <w:rsid w:val="002264E2"/>
    <w:rsid w:val="00226AF7"/>
    <w:rsid w:val="00226CF3"/>
    <w:rsid w:val="002276A5"/>
    <w:rsid w:val="002277B0"/>
    <w:rsid w:val="00227B4A"/>
    <w:rsid w:val="00227C45"/>
    <w:rsid w:val="00227CDE"/>
    <w:rsid w:val="00227FDC"/>
    <w:rsid w:val="00230817"/>
    <w:rsid w:val="0023081D"/>
    <w:rsid w:val="00230A9B"/>
    <w:rsid w:val="00230DCC"/>
    <w:rsid w:val="00230F31"/>
    <w:rsid w:val="00230FA0"/>
    <w:rsid w:val="00230FE7"/>
    <w:rsid w:val="00231417"/>
    <w:rsid w:val="00231611"/>
    <w:rsid w:val="002317CA"/>
    <w:rsid w:val="00231960"/>
    <w:rsid w:val="00231E84"/>
    <w:rsid w:val="00231F26"/>
    <w:rsid w:val="002324E3"/>
    <w:rsid w:val="002326C4"/>
    <w:rsid w:val="00232917"/>
    <w:rsid w:val="002329E5"/>
    <w:rsid w:val="00232FEC"/>
    <w:rsid w:val="0023329C"/>
    <w:rsid w:val="00233355"/>
    <w:rsid w:val="00233586"/>
    <w:rsid w:val="00233808"/>
    <w:rsid w:val="00233868"/>
    <w:rsid w:val="00233BC0"/>
    <w:rsid w:val="00233D92"/>
    <w:rsid w:val="00233FBB"/>
    <w:rsid w:val="00233FF1"/>
    <w:rsid w:val="002346D1"/>
    <w:rsid w:val="00234B4F"/>
    <w:rsid w:val="0023511A"/>
    <w:rsid w:val="00235412"/>
    <w:rsid w:val="00235F4B"/>
    <w:rsid w:val="00236244"/>
    <w:rsid w:val="00236656"/>
    <w:rsid w:val="0023669A"/>
    <w:rsid w:val="00236DC0"/>
    <w:rsid w:val="00236F4C"/>
    <w:rsid w:val="002373A2"/>
    <w:rsid w:val="00237A0A"/>
    <w:rsid w:val="00237EAC"/>
    <w:rsid w:val="002402F3"/>
    <w:rsid w:val="00240461"/>
    <w:rsid w:val="002407CC"/>
    <w:rsid w:val="002409E3"/>
    <w:rsid w:val="00240BB1"/>
    <w:rsid w:val="00240D3E"/>
    <w:rsid w:val="002410A3"/>
    <w:rsid w:val="002410C2"/>
    <w:rsid w:val="0024113D"/>
    <w:rsid w:val="002411C6"/>
    <w:rsid w:val="00241394"/>
    <w:rsid w:val="0024158C"/>
    <w:rsid w:val="002415CE"/>
    <w:rsid w:val="00241DDA"/>
    <w:rsid w:val="0024232E"/>
    <w:rsid w:val="00242517"/>
    <w:rsid w:val="0024260B"/>
    <w:rsid w:val="002427DD"/>
    <w:rsid w:val="00243446"/>
    <w:rsid w:val="0024386D"/>
    <w:rsid w:val="002439B0"/>
    <w:rsid w:val="00243BD2"/>
    <w:rsid w:val="00243D63"/>
    <w:rsid w:val="0024401F"/>
    <w:rsid w:val="00244685"/>
    <w:rsid w:val="002447E9"/>
    <w:rsid w:val="002447FC"/>
    <w:rsid w:val="00244A56"/>
    <w:rsid w:val="00244EE7"/>
    <w:rsid w:val="002453BE"/>
    <w:rsid w:val="002455C3"/>
    <w:rsid w:val="0024569B"/>
    <w:rsid w:val="00245A3F"/>
    <w:rsid w:val="00245FE1"/>
    <w:rsid w:val="00246686"/>
    <w:rsid w:val="00246967"/>
    <w:rsid w:val="00246A15"/>
    <w:rsid w:val="00247177"/>
    <w:rsid w:val="0024736E"/>
    <w:rsid w:val="0024799C"/>
    <w:rsid w:val="00247B4D"/>
    <w:rsid w:val="00250386"/>
    <w:rsid w:val="00250A38"/>
    <w:rsid w:val="00250BFD"/>
    <w:rsid w:val="00250C60"/>
    <w:rsid w:val="0025106D"/>
    <w:rsid w:val="002513AE"/>
    <w:rsid w:val="00251CAD"/>
    <w:rsid w:val="00251CFF"/>
    <w:rsid w:val="00251FB0"/>
    <w:rsid w:val="002521E1"/>
    <w:rsid w:val="002527A2"/>
    <w:rsid w:val="0025309F"/>
    <w:rsid w:val="002530F3"/>
    <w:rsid w:val="002535CE"/>
    <w:rsid w:val="00253724"/>
    <w:rsid w:val="0025382E"/>
    <w:rsid w:val="00254114"/>
    <w:rsid w:val="00254247"/>
    <w:rsid w:val="002542B2"/>
    <w:rsid w:val="0025447C"/>
    <w:rsid w:val="00254681"/>
    <w:rsid w:val="00254B08"/>
    <w:rsid w:val="00254B81"/>
    <w:rsid w:val="00254C96"/>
    <w:rsid w:val="00255399"/>
    <w:rsid w:val="002559B3"/>
    <w:rsid w:val="00255A05"/>
    <w:rsid w:val="00255A84"/>
    <w:rsid w:val="00255B5A"/>
    <w:rsid w:val="00255F7F"/>
    <w:rsid w:val="00256777"/>
    <w:rsid w:val="00256795"/>
    <w:rsid w:val="0025684E"/>
    <w:rsid w:val="0025698E"/>
    <w:rsid w:val="002574AF"/>
    <w:rsid w:val="00257AAA"/>
    <w:rsid w:val="00257C41"/>
    <w:rsid w:val="00260448"/>
    <w:rsid w:val="00260BA6"/>
    <w:rsid w:val="00260C35"/>
    <w:rsid w:val="0026114B"/>
    <w:rsid w:val="0026115B"/>
    <w:rsid w:val="0026123A"/>
    <w:rsid w:val="00261391"/>
    <w:rsid w:val="0026169D"/>
    <w:rsid w:val="00261972"/>
    <w:rsid w:val="00261CF1"/>
    <w:rsid w:val="00261DA5"/>
    <w:rsid w:val="0026216E"/>
    <w:rsid w:val="00262869"/>
    <w:rsid w:val="002628F6"/>
    <w:rsid w:val="00262DCF"/>
    <w:rsid w:val="002634EA"/>
    <w:rsid w:val="002637CF"/>
    <w:rsid w:val="00263AF8"/>
    <w:rsid w:val="00263CD1"/>
    <w:rsid w:val="00263FF1"/>
    <w:rsid w:val="002645C7"/>
    <w:rsid w:val="002646FE"/>
    <w:rsid w:val="002648EE"/>
    <w:rsid w:val="00264B3D"/>
    <w:rsid w:val="00264C1F"/>
    <w:rsid w:val="00264FD6"/>
    <w:rsid w:val="002656C7"/>
    <w:rsid w:val="00265AC3"/>
    <w:rsid w:val="00265B89"/>
    <w:rsid w:val="00265BFC"/>
    <w:rsid w:val="00265D3C"/>
    <w:rsid w:val="0026680B"/>
    <w:rsid w:val="00266D29"/>
    <w:rsid w:val="00266E9A"/>
    <w:rsid w:val="002671A2"/>
    <w:rsid w:val="0026722A"/>
    <w:rsid w:val="00267496"/>
    <w:rsid w:val="00267A28"/>
    <w:rsid w:val="00267A7C"/>
    <w:rsid w:val="00267B57"/>
    <w:rsid w:val="00267F66"/>
    <w:rsid w:val="00270169"/>
    <w:rsid w:val="002702D2"/>
    <w:rsid w:val="00270370"/>
    <w:rsid w:val="002708A2"/>
    <w:rsid w:val="00270A67"/>
    <w:rsid w:val="00270E19"/>
    <w:rsid w:val="00271266"/>
    <w:rsid w:val="0027170E"/>
    <w:rsid w:val="00271B4D"/>
    <w:rsid w:val="00272164"/>
    <w:rsid w:val="00272499"/>
    <w:rsid w:val="00272623"/>
    <w:rsid w:val="00272960"/>
    <w:rsid w:val="00272A65"/>
    <w:rsid w:val="00272DBE"/>
    <w:rsid w:val="0027304A"/>
    <w:rsid w:val="0027304D"/>
    <w:rsid w:val="00273102"/>
    <w:rsid w:val="0027349A"/>
    <w:rsid w:val="00273CB2"/>
    <w:rsid w:val="002742FE"/>
    <w:rsid w:val="00274C4D"/>
    <w:rsid w:val="00274EFA"/>
    <w:rsid w:val="00275025"/>
    <w:rsid w:val="0027596A"/>
    <w:rsid w:val="002759C0"/>
    <w:rsid w:val="00275B68"/>
    <w:rsid w:val="00275C43"/>
    <w:rsid w:val="00275D7A"/>
    <w:rsid w:val="00275F9E"/>
    <w:rsid w:val="002761BD"/>
    <w:rsid w:val="0027652E"/>
    <w:rsid w:val="00276884"/>
    <w:rsid w:val="002772AF"/>
    <w:rsid w:val="0027780B"/>
    <w:rsid w:val="002779F5"/>
    <w:rsid w:val="00277A86"/>
    <w:rsid w:val="00280B6C"/>
    <w:rsid w:val="00280CB0"/>
    <w:rsid w:val="00280CBA"/>
    <w:rsid w:val="00280D5B"/>
    <w:rsid w:val="00280EA4"/>
    <w:rsid w:val="00281007"/>
    <w:rsid w:val="002811B7"/>
    <w:rsid w:val="00281364"/>
    <w:rsid w:val="00281819"/>
    <w:rsid w:val="00281DA0"/>
    <w:rsid w:val="002822C7"/>
    <w:rsid w:val="00282372"/>
    <w:rsid w:val="002827F9"/>
    <w:rsid w:val="00282BAE"/>
    <w:rsid w:val="00282D05"/>
    <w:rsid w:val="00282DAC"/>
    <w:rsid w:val="00282EE5"/>
    <w:rsid w:val="002834C9"/>
    <w:rsid w:val="002835A6"/>
    <w:rsid w:val="002837C2"/>
    <w:rsid w:val="002838D0"/>
    <w:rsid w:val="0028399A"/>
    <w:rsid w:val="002839FB"/>
    <w:rsid w:val="00283BB4"/>
    <w:rsid w:val="00283D4E"/>
    <w:rsid w:val="00284036"/>
    <w:rsid w:val="00284162"/>
    <w:rsid w:val="002844AC"/>
    <w:rsid w:val="002845EA"/>
    <w:rsid w:val="002848C8"/>
    <w:rsid w:val="00284B22"/>
    <w:rsid w:val="0028523A"/>
    <w:rsid w:val="00285309"/>
    <w:rsid w:val="0028551B"/>
    <w:rsid w:val="00285A8C"/>
    <w:rsid w:val="00285DF6"/>
    <w:rsid w:val="00286154"/>
    <w:rsid w:val="0028670B"/>
    <w:rsid w:val="00286894"/>
    <w:rsid w:val="00286B1C"/>
    <w:rsid w:val="00286B56"/>
    <w:rsid w:val="00286DCB"/>
    <w:rsid w:val="00286EBE"/>
    <w:rsid w:val="00286F0F"/>
    <w:rsid w:val="00286FB0"/>
    <w:rsid w:val="0028718B"/>
    <w:rsid w:val="002874D2"/>
    <w:rsid w:val="00287699"/>
    <w:rsid w:val="0028783E"/>
    <w:rsid w:val="0029008E"/>
    <w:rsid w:val="00290588"/>
    <w:rsid w:val="002907BC"/>
    <w:rsid w:val="00290F8B"/>
    <w:rsid w:val="002919DB"/>
    <w:rsid w:val="00291E21"/>
    <w:rsid w:val="002920C7"/>
    <w:rsid w:val="00292228"/>
    <w:rsid w:val="002929D8"/>
    <w:rsid w:val="00292B9F"/>
    <w:rsid w:val="00293109"/>
    <w:rsid w:val="00293C63"/>
    <w:rsid w:val="00293F3D"/>
    <w:rsid w:val="002948F5"/>
    <w:rsid w:val="00294A58"/>
    <w:rsid w:val="00294B49"/>
    <w:rsid w:val="00294D2F"/>
    <w:rsid w:val="00294EE4"/>
    <w:rsid w:val="00295274"/>
    <w:rsid w:val="002958DE"/>
    <w:rsid w:val="00295B70"/>
    <w:rsid w:val="00295EEF"/>
    <w:rsid w:val="002963DD"/>
    <w:rsid w:val="0029648D"/>
    <w:rsid w:val="00296D9D"/>
    <w:rsid w:val="00296F47"/>
    <w:rsid w:val="00297289"/>
    <w:rsid w:val="00297514"/>
    <w:rsid w:val="0029799C"/>
    <w:rsid w:val="00297D33"/>
    <w:rsid w:val="00297ECD"/>
    <w:rsid w:val="002A04E2"/>
    <w:rsid w:val="002A06E7"/>
    <w:rsid w:val="002A0E02"/>
    <w:rsid w:val="002A0E79"/>
    <w:rsid w:val="002A0E94"/>
    <w:rsid w:val="002A1263"/>
    <w:rsid w:val="002A18FE"/>
    <w:rsid w:val="002A19F7"/>
    <w:rsid w:val="002A1FB9"/>
    <w:rsid w:val="002A2364"/>
    <w:rsid w:val="002A283D"/>
    <w:rsid w:val="002A2A08"/>
    <w:rsid w:val="002A2B37"/>
    <w:rsid w:val="002A2BC4"/>
    <w:rsid w:val="002A2D62"/>
    <w:rsid w:val="002A2D93"/>
    <w:rsid w:val="002A31FA"/>
    <w:rsid w:val="002A32BE"/>
    <w:rsid w:val="002A339E"/>
    <w:rsid w:val="002A33FC"/>
    <w:rsid w:val="002A3418"/>
    <w:rsid w:val="002A35A5"/>
    <w:rsid w:val="002A3FF6"/>
    <w:rsid w:val="002A4113"/>
    <w:rsid w:val="002A4266"/>
    <w:rsid w:val="002A449A"/>
    <w:rsid w:val="002A44A0"/>
    <w:rsid w:val="002A45B1"/>
    <w:rsid w:val="002A46C8"/>
    <w:rsid w:val="002A47DF"/>
    <w:rsid w:val="002A496E"/>
    <w:rsid w:val="002A4E42"/>
    <w:rsid w:val="002A5379"/>
    <w:rsid w:val="002A556F"/>
    <w:rsid w:val="002A598E"/>
    <w:rsid w:val="002A5D61"/>
    <w:rsid w:val="002A61A5"/>
    <w:rsid w:val="002A61B1"/>
    <w:rsid w:val="002A648D"/>
    <w:rsid w:val="002A6700"/>
    <w:rsid w:val="002A6AB3"/>
    <w:rsid w:val="002A7199"/>
    <w:rsid w:val="002A77C3"/>
    <w:rsid w:val="002A79D9"/>
    <w:rsid w:val="002A7BAF"/>
    <w:rsid w:val="002A7BBD"/>
    <w:rsid w:val="002A7D28"/>
    <w:rsid w:val="002B05A8"/>
    <w:rsid w:val="002B0D6E"/>
    <w:rsid w:val="002B10B0"/>
    <w:rsid w:val="002B1225"/>
    <w:rsid w:val="002B1437"/>
    <w:rsid w:val="002B14DB"/>
    <w:rsid w:val="002B169C"/>
    <w:rsid w:val="002B1838"/>
    <w:rsid w:val="002B1B12"/>
    <w:rsid w:val="002B1F89"/>
    <w:rsid w:val="002B21BB"/>
    <w:rsid w:val="002B22F5"/>
    <w:rsid w:val="002B274C"/>
    <w:rsid w:val="002B2868"/>
    <w:rsid w:val="002B2E9F"/>
    <w:rsid w:val="002B2F77"/>
    <w:rsid w:val="002B3529"/>
    <w:rsid w:val="002B3596"/>
    <w:rsid w:val="002B37D3"/>
    <w:rsid w:val="002B3CE8"/>
    <w:rsid w:val="002B43B3"/>
    <w:rsid w:val="002B4FAD"/>
    <w:rsid w:val="002B538D"/>
    <w:rsid w:val="002B5B61"/>
    <w:rsid w:val="002B5CA1"/>
    <w:rsid w:val="002B6031"/>
    <w:rsid w:val="002B6699"/>
    <w:rsid w:val="002B6716"/>
    <w:rsid w:val="002B6D2E"/>
    <w:rsid w:val="002B6EFD"/>
    <w:rsid w:val="002B6F33"/>
    <w:rsid w:val="002B79F0"/>
    <w:rsid w:val="002B7B8A"/>
    <w:rsid w:val="002B7C96"/>
    <w:rsid w:val="002B7F3E"/>
    <w:rsid w:val="002C00F5"/>
    <w:rsid w:val="002C0166"/>
    <w:rsid w:val="002C059A"/>
    <w:rsid w:val="002C05D9"/>
    <w:rsid w:val="002C06B5"/>
    <w:rsid w:val="002C0CCC"/>
    <w:rsid w:val="002C0CD7"/>
    <w:rsid w:val="002C0D7B"/>
    <w:rsid w:val="002C0D99"/>
    <w:rsid w:val="002C11BC"/>
    <w:rsid w:val="002C11D6"/>
    <w:rsid w:val="002C143E"/>
    <w:rsid w:val="002C1443"/>
    <w:rsid w:val="002C1CBF"/>
    <w:rsid w:val="002C1D9C"/>
    <w:rsid w:val="002C1EFA"/>
    <w:rsid w:val="002C22C5"/>
    <w:rsid w:val="002C2806"/>
    <w:rsid w:val="002C28AD"/>
    <w:rsid w:val="002C2BD3"/>
    <w:rsid w:val="002C2BEB"/>
    <w:rsid w:val="002C2DF8"/>
    <w:rsid w:val="002C30A4"/>
    <w:rsid w:val="002C34B2"/>
    <w:rsid w:val="002C366F"/>
    <w:rsid w:val="002C3894"/>
    <w:rsid w:val="002C3C94"/>
    <w:rsid w:val="002C3D9B"/>
    <w:rsid w:val="002C3E6A"/>
    <w:rsid w:val="002C40EF"/>
    <w:rsid w:val="002C488D"/>
    <w:rsid w:val="002C4A81"/>
    <w:rsid w:val="002C4B78"/>
    <w:rsid w:val="002C4B93"/>
    <w:rsid w:val="002C4CA9"/>
    <w:rsid w:val="002C4CB2"/>
    <w:rsid w:val="002C5453"/>
    <w:rsid w:val="002C57BD"/>
    <w:rsid w:val="002C5A5C"/>
    <w:rsid w:val="002C5BFE"/>
    <w:rsid w:val="002C64F8"/>
    <w:rsid w:val="002C6686"/>
    <w:rsid w:val="002C68E5"/>
    <w:rsid w:val="002C7016"/>
    <w:rsid w:val="002C70A3"/>
    <w:rsid w:val="002C7301"/>
    <w:rsid w:val="002C75E6"/>
    <w:rsid w:val="002C7C0A"/>
    <w:rsid w:val="002C7C9C"/>
    <w:rsid w:val="002C7FF4"/>
    <w:rsid w:val="002D006A"/>
    <w:rsid w:val="002D04C5"/>
    <w:rsid w:val="002D059D"/>
    <w:rsid w:val="002D0632"/>
    <w:rsid w:val="002D0727"/>
    <w:rsid w:val="002D100C"/>
    <w:rsid w:val="002D1B36"/>
    <w:rsid w:val="002D1B96"/>
    <w:rsid w:val="002D2270"/>
    <w:rsid w:val="002D2C51"/>
    <w:rsid w:val="002D2E4C"/>
    <w:rsid w:val="002D2EC4"/>
    <w:rsid w:val="002D30EB"/>
    <w:rsid w:val="002D319A"/>
    <w:rsid w:val="002D32AF"/>
    <w:rsid w:val="002D3306"/>
    <w:rsid w:val="002D3568"/>
    <w:rsid w:val="002D37C1"/>
    <w:rsid w:val="002D3E11"/>
    <w:rsid w:val="002D4074"/>
    <w:rsid w:val="002D42F1"/>
    <w:rsid w:val="002D4487"/>
    <w:rsid w:val="002D4830"/>
    <w:rsid w:val="002D4960"/>
    <w:rsid w:val="002D4A0A"/>
    <w:rsid w:val="002D4A43"/>
    <w:rsid w:val="002D5041"/>
    <w:rsid w:val="002D5098"/>
    <w:rsid w:val="002D52BF"/>
    <w:rsid w:val="002D607F"/>
    <w:rsid w:val="002D60C9"/>
    <w:rsid w:val="002D65B4"/>
    <w:rsid w:val="002D68CE"/>
    <w:rsid w:val="002D6D06"/>
    <w:rsid w:val="002E0315"/>
    <w:rsid w:val="002E0403"/>
    <w:rsid w:val="002E0903"/>
    <w:rsid w:val="002E0C71"/>
    <w:rsid w:val="002E0D26"/>
    <w:rsid w:val="002E0D8B"/>
    <w:rsid w:val="002E10FA"/>
    <w:rsid w:val="002E21D1"/>
    <w:rsid w:val="002E229D"/>
    <w:rsid w:val="002E2569"/>
    <w:rsid w:val="002E258B"/>
    <w:rsid w:val="002E25A8"/>
    <w:rsid w:val="002E279A"/>
    <w:rsid w:val="002E2BE7"/>
    <w:rsid w:val="002E2E05"/>
    <w:rsid w:val="002E323E"/>
    <w:rsid w:val="002E34CF"/>
    <w:rsid w:val="002E3832"/>
    <w:rsid w:val="002E399E"/>
    <w:rsid w:val="002E3B08"/>
    <w:rsid w:val="002E3CE5"/>
    <w:rsid w:val="002E4118"/>
    <w:rsid w:val="002E41F3"/>
    <w:rsid w:val="002E4505"/>
    <w:rsid w:val="002E4516"/>
    <w:rsid w:val="002E4519"/>
    <w:rsid w:val="002E4C70"/>
    <w:rsid w:val="002E5038"/>
    <w:rsid w:val="002E533C"/>
    <w:rsid w:val="002E557C"/>
    <w:rsid w:val="002E5BB9"/>
    <w:rsid w:val="002E5BCC"/>
    <w:rsid w:val="002E6116"/>
    <w:rsid w:val="002E67E6"/>
    <w:rsid w:val="002E69B3"/>
    <w:rsid w:val="002E6DBB"/>
    <w:rsid w:val="002E6E7C"/>
    <w:rsid w:val="002E6F72"/>
    <w:rsid w:val="002E7B0D"/>
    <w:rsid w:val="002F04DE"/>
    <w:rsid w:val="002F089E"/>
    <w:rsid w:val="002F0A2B"/>
    <w:rsid w:val="002F0B9F"/>
    <w:rsid w:val="002F0D1B"/>
    <w:rsid w:val="002F0F46"/>
    <w:rsid w:val="002F121E"/>
    <w:rsid w:val="002F14D0"/>
    <w:rsid w:val="002F1524"/>
    <w:rsid w:val="002F190D"/>
    <w:rsid w:val="002F196B"/>
    <w:rsid w:val="002F1A3E"/>
    <w:rsid w:val="002F1CD3"/>
    <w:rsid w:val="002F1D51"/>
    <w:rsid w:val="002F1E10"/>
    <w:rsid w:val="002F1E43"/>
    <w:rsid w:val="002F1EA4"/>
    <w:rsid w:val="002F24B0"/>
    <w:rsid w:val="002F279C"/>
    <w:rsid w:val="002F283F"/>
    <w:rsid w:val="002F2BB2"/>
    <w:rsid w:val="002F3293"/>
    <w:rsid w:val="002F3A93"/>
    <w:rsid w:val="002F3AFA"/>
    <w:rsid w:val="002F4355"/>
    <w:rsid w:val="002F4444"/>
    <w:rsid w:val="002F45F4"/>
    <w:rsid w:val="002F4777"/>
    <w:rsid w:val="002F4A7F"/>
    <w:rsid w:val="002F4BEA"/>
    <w:rsid w:val="002F54B6"/>
    <w:rsid w:val="002F5629"/>
    <w:rsid w:val="002F5674"/>
    <w:rsid w:val="002F65E5"/>
    <w:rsid w:val="002F6A6F"/>
    <w:rsid w:val="002F6AA1"/>
    <w:rsid w:val="002F6B24"/>
    <w:rsid w:val="002F6E28"/>
    <w:rsid w:val="002F6FEA"/>
    <w:rsid w:val="002F70BA"/>
    <w:rsid w:val="002F725F"/>
    <w:rsid w:val="002F7A88"/>
    <w:rsid w:val="002F7A99"/>
    <w:rsid w:val="002F7C08"/>
    <w:rsid w:val="002F7E68"/>
    <w:rsid w:val="002F7F86"/>
    <w:rsid w:val="00300560"/>
    <w:rsid w:val="003007DE"/>
    <w:rsid w:val="00300A82"/>
    <w:rsid w:val="00300A84"/>
    <w:rsid w:val="00300C9E"/>
    <w:rsid w:val="00300E39"/>
    <w:rsid w:val="00300F95"/>
    <w:rsid w:val="0030101C"/>
    <w:rsid w:val="0030107F"/>
    <w:rsid w:val="003011A6"/>
    <w:rsid w:val="003013EF"/>
    <w:rsid w:val="00302128"/>
    <w:rsid w:val="00302306"/>
    <w:rsid w:val="003023C2"/>
    <w:rsid w:val="003024FE"/>
    <w:rsid w:val="0030294F"/>
    <w:rsid w:val="00302E5E"/>
    <w:rsid w:val="00302EA1"/>
    <w:rsid w:val="00303249"/>
    <w:rsid w:val="003038DB"/>
    <w:rsid w:val="00303BC0"/>
    <w:rsid w:val="00303BC3"/>
    <w:rsid w:val="00303D58"/>
    <w:rsid w:val="00303D69"/>
    <w:rsid w:val="00303F5D"/>
    <w:rsid w:val="00303FA3"/>
    <w:rsid w:val="0030415A"/>
    <w:rsid w:val="00304433"/>
    <w:rsid w:val="0030458D"/>
    <w:rsid w:val="003048C9"/>
    <w:rsid w:val="00304C8F"/>
    <w:rsid w:val="00304D19"/>
    <w:rsid w:val="00304D4E"/>
    <w:rsid w:val="00304F3C"/>
    <w:rsid w:val="00304FF8"/>
    <w:rsid w:val="00305098"/>
    <w:rsid w:val="0030511E"/>
    <w:rsid w:val="003053C8"/>
    <w:rsid w:val="00305BCF"/>
    <w:rsid w:val="0030615E"/>
    <w:rsid w:val="003066E9"/>
    <w:rsid w:val="00306A56"/>
    <w:rsid w:val="00306D6D"/>
    <w:rsid w:val="00307448"/>
    <w:rsid w:val="003079B4"/>
    <w:rsid w:val="00307C55"/>
    <w:rsid w:val="00307DEF"/>
    <w:rsid w:val="00310138"/>
    <w:rsid w:val="0031027B"/>
    <w:rsid w:val="003105A3"/>
    <w:rsid w:val="003107E5"/>
    <w:rsid w:val="00310DE6"/>
    <w:rsid w:val="0031115B"/>
    <w:rsid w:val="0031157A"/>
    <w:rsid w:val="003115AC"/>
    <w:rsid w:val="003119A7"/>
    <w:rsid w:val="00311BC8"/>
    <w:rsid w:val="00311D33"/>
    <w:rsid w:val="00311EE1"/>
    <w:rsid w:val="0031200F"/>
    <w:rsid w:val="0031208A"/>
    <w:rsid w:val="003126CA"/>
    <w:rsid w:val="003127C5"/>
    <w:rsid w:val="0031322F"/>
    <w:rsid w:val="003132A0"/>
    <w:rsid w:val="00313664"/>
    <w:rsid w:val="00313754"/>
    <w:rsid w:val="0031380E"/>
    <w:rsid w:val="003138A6"/>
    <w:rsid w:val="00313958"/>
    <w:rsid w:val="00313B78"/>
    <w:rsid w:val="00313C9A"/>
    <w:rsid w:val="00313DD4"/>
    <w:rsid w:val="00314361"/>
    <w:rsid w:val="003143BF"/>
    <w:rsid w:val="00314475"/>
    <w:rsid w:val="0031486F"/>
    <w:rsid w:val="00314A3D"/>
    <w:rsid w:val="00314F90"/>
    <w:rsid w:val="00315238"/>
    <w:rsid w:val="00315247"/>
    <w:rsid w:val="003153B1"/>
    <w:rsid w:val="00315731"/>
    <w:rsid w:val="003159A1"/>
    <w:rsid w:val="00315C6A"/>
    <w:rsid w:val="00315D4B"/>
    <w:rsid w:val="00315F85"/>
    <w:rsid w:val="0031617F"/>
    <w:rsid w:val="003165E6"/>
    <w:rsid w:val="00316769"/>
    <w:rsid w:val="00317101"/>
    <w:rsid w:val="0032006F"/>
    <w:rsid w:val="003201A1"/>
    <w:rsid w:val="00320747"/>
    <w:rsid w:val="00320832"/>
    <w:rsid w:val="00320FD1"/>
    <w:rsid w:val="00321062"/>
    <w:rsid w:val="00321109"/>
    <w:rsid w:val="0032124F"/>
    <w:rsid w:val="00321560"/>
    <w:rsid w:val="00321690"/>
    <w:rsid w:val="00321758"/>
    <w:rsid w:val="00321823"/>
    <w:rsid w:val="00321BDA"/>
    <w:rsid w:val="003226B9"/>
    <w:rsid w:val="00322E12"/>
    <w:rsid w:val="0032358B"/>
    <w:rsid w:val="003238F4"/>
    <w:rsid w:val="00323D94"/>
    <w:rsid w:val="00323FC4"/>
    <w:rsid w:val="003243D1"/>
    <w:rsid w:val="00324D77"/>
    <w:rsid w:val="0032547A"/>
    <w:rsid w:val="00325692"/>
    <w:rsid w:val="003257A7"/>
    <w:rsid w:val="00325820"/>
    <w:rsid w:val="00325841"/>
    <w:rsid w:val="003259D7"/>
    <w:rsid w:val="00326451"/>
    <w:rsid w:val="003268C7"/>
    <w:rsid w:val="00326914"/>
    <w:rsid w:val="00326B3B"/>
    <w:rsid w:val="0032704C"/>
    <w:rsid w:val="0032709A"/>
    <w:rsid w:val="00327426"/>
    <w:rsid w:val="003277AE"/>
    <w:rsid w:val="00327BD3"/>
    <w:rsid w:val="00327CAA"/>
    <w:rsid w:val="00327D2E"/>
    <w:rsid w:val="00327DE9"/>
    <w:rsid w:val="00327EB4"/>
    <w:rsid w:val="00327F5E"/>
    <w:rsid w:val="003301B3"/>
    <w:rsid w:val="0033033D"/>
    <w:rsid w:val="00330372"/>
    <w:rsid w:val="00330385"/>
    <w:rsid w:val="003303CC"/>
    <w:rsid w:val="003308D8"/>
    <w:rsid w:val="00330C56"/>
    <w:rsid w:val="00330F2E"/>
    <w:rsid w:val="0033102E"/>
    <w:rsid w:val="0033137B"/>
    <w:rsid w:val="00331401"/>
    <w:rsid w:val="00331CEE"/>
    <w:rsid w:val="00332344"/>
    <w:rsid w:val="00332372"/>
    <w:rsid w:val="0033289C"/>
    <w:rsid w:val="00332CF5"/>
    <w:rsid w:val="00332F67"/>
    <w:rsid w:val="0033312E"/>
    <w:rsid w:val="00333234"/>
    <w:rsid w:val="00333822"/>
    <w:rsid w:val="00333823"/>
    <w:rsid w:val="003339EC"/>
    <w:rsid w:val="00333B1F"/>
    <w:rsid w:val="00333CC8"/>
    <w:rsid w:val="003340BC"/>
    <w:rsid w:val="0033414E"/>
    <w:rsid w:val="003343B5"/>
    <w:rsid w:val="003345F8"/>
    <w:rsid w:val="00334A9A"/>
    <w:rsid w:val="003351AE"/>
    <w:rsid w:val="00335218"/>
    <w:rsid w:val="00335370"/>
    <w:rsid w:val="003353FE"/>
    <w:rsid w:val="003356B3"/>
    <w:rsid w:val="0033572C"/>
    <w:rsid w:val="0033577C"/>
    <w:rsid w:val="0033583D"/>
    <w:rsid w:val="00335ED1"/>
    <w:rsid w:val="00336C06"/>
    <w:rsid w:val="00336FBD"/>
    <w:rsid w:val="00337808"/>
    <w:rsid w:val="00337905"/>
    <w:rsid w:val="00337EF8"/>
    <w:rsid w:val="003402AB"/>
    <w:rsid w:val="00340727"/>
    <w:rsid w:val="003407E4"/>
    <w:rsid w:val="0034081B"/>
    <w:rsid w:val="00340C0A"/>
    <w:rsid w:val="00341296"/>
    <w:rsid w:val="00341557"/>
    <w:rsid w:val="003416A0"/>
    <w:rsid w:val="00341833"/>
    <w:rsid w:val="0034185E"/>
    <w:rsid w:val="00341A29"/>
    <w:rsid w:val="003423C7"/>
    <w:rsid w:val="003424A0"/>
    <w:rsid w:val="003425DF"/>
    <w:rsid w:val="00342803"/>
    <w:rsid w:val="00342841"/>
    <w:rsid w:val="003428BA"/>
    <w:rsid w:val="003429B2"/>
    <w:rsid w:val="00342A60"/>
    <w:rsid w:val="00342B03"/>
    <w:rsid w:val="00342CBB"/>
    <w:rsid w:val="00342DDC"/>
    <w:rsid w:val="00342FBC"/>
    <w:rsid w:val="0034375A"/>
    <w:rsid w:val="0034379D"/>
    <w:rsid w:val="003439F6"/>
    <w:rsid w:val="00343CB0"/>
    <w:rsid w:val="00343DED"/>
    <w:rsid w:val="00343E5D"/>
    <w:rsid w:val="00343E69"/>
    <w:rsid w:val="0034410F"/>
    <w:rsid w:val="00344182"/>
    <w:rsid w:val="00344359"/>
    <w:rsid w:val="00344774"/>
    <w:rsid w:val="00344983"/>
    <w:rsid w:val="00344A10"/>
    <w:rsid w:val="00344A29"/>
    <w:rsid w:val="00345553"/>
    <w:rsid w:val="00345ED9"/>
    <w:rsid w:val="00346192"/>
    <w:rsid w:val="003463D1"/>
    <w:rsid w:val="003463D8"/>
    <w:rsid w:val="0034646D"/>
    <w:rsid w:val="00346C66"/>
    <w:rsid w:val="0034714F"/>
    <w:rsid w:val="003477AD"/>
    <w:rsid w:val="0034797B"/>
    <w:rsid w:val="00347BE5"/>
    <w:rsid w:val="00347D85"/>
    <w:rsid w:val="003507DD"/>
    <w:rsid w:val="00350B03"/>
    <w:rsid w:val="00350C0E"/>
    <w:rsid w:val="00350C95"/>
    <w:rsid w:val="00351124"/>
    <w:rsid w:val="00351347"/>
    <w:rsid w:val="00351632"/>
    <w:rsid w:val="0035167A"/>
    <w:rsid w:val="003516B1"/>
    <w:rsid w:val="00351831"/>
    <w:rsid w:val="003522E0"/>
    <w:rsid w:val="0035267F"/>
    <w:rsid w:val="0035284A"/>
    <w:rsid w:val="00352B39"/>
    <w:rsid w:val="00352B55"/>
    <w:rsid w:val="003530FE"/>
    <w:rsid w:val="003532EE"/>
    <w:rsid w:val="00354193"/>
    <w:rsid w:val="003542EC"/>
    <w:rsid w:val="003547F2"/>
    <w:rsid w:val="003547FA"/>
    <w:rsid w:val="003548FE"/>
    <w:rsid w:val="003549C4"/>
    <w:rsid w:val="00354F0A"/>
    <w:rsid w:val="003550A4"/>
    <w:rsid w:val="003550BA"/>
    <w:rsid w:val="00355171"/>
    <w:rsid w:val="0035537A"/>
    <w:rsid w:val="003554D2"/>
    <w:rsid w:val="0035580D"/>
    <w:rsid w:val="0035588D"/>
    <w:rsid w:val="00355985"/>
    <w:rsid w:val="00355D0B"/>
    <w:rsid w:val="003565E0"/>
    <w:rsid w:val="00356887"/>
    <w:rsid w:val="00356915"/>
    <w:rsid w:val="00356E75"/>
    <w:rsid w:val="00356F02"/>
    <w:rsid w:val="0035766F"/>
    <w:rsid w:val="0035781A"/>
    <w:rsid w:val="0035797B"/>
    <w:rsid w:val="00357B39"/>
    <w:rsid w:val="00357CB5"/>
    <w:rsid w:val="00357E8C"/>
    <w:rsid w:val="003600B2"/>
    <w:rsid w:val="003602DC"/>
    <w:rsid w:val="0036040E"/>
    <w:rsid w:val="00360517"/>
    <w:rsid w:val="00360532"/>
    <w:rsid w:val="00360B57"/>
    <w:rsid w:val="00360EB5"/>
    <w:rsid w:val="00360F43"/>
    <w:rsid w:val="003612DF"/>
    <w:rsid w:val="00361A0A"/>
    <w:rsid w:val="00361D06"/>
    <w:rsid w:val="00361D3F"/>
    <w:rsid w:val="00361F15"/>
    <w:rsid w:val="0036214E"/>
    <w:rsid w:val="00362660"/>
    <w:rsid w:val="00362BD5"/>
    <w:rsid w:val="00362FD3"/>
    <w:rsid w:val="003639FB"/>
    <w:rsid w:val="00363BF7"/>
    <w:rsid w:val="00364264"/>
    <w:rsid w:val="00364D9D"/>
    <w:rsid w:val="003650F3"/>
    <w:rsid w:val="003652B9"/>
    <w:rsid w:val="0036601F"/>
    <w:rsid w:val="0036633A"/>
    <w:rsid w:val="0036695B"/>
    <w:rsid w:val="003678EB"/>
    <w:rsid w:val="00367B88"/>
    <w:rsid w:val="00370307"/>
    <w:rsid w:val="0037035D"/>
    <w:rsid w:val="00370821"/>
    <w:rsid w:val="003709A2"/>
    <w:rsid w:val="00370A18"/>
    <w:rsid w:val="00370AA1"/>
    <w:rsid w:val="00370B76"/>
    <w:rsid w:val="003710ED"/>
    <w:rsid w:val="003716B7"/>
    <w:rsid w:val="003717D0"/>
    <w:rsid w:val="00371946"/>
    <w:rsid w:val="00371D3A"/>
    <w:rsid w:val="003720EE"/>
    <w:rsid w:val="00372263"/>
    <w:rsid w:val="003725AA"/>
    <w:rsid w:val="003728BF"/>
    <w:rsid w:val="00372A5B"/>
    <w:rsid w:val="00373491"/>
    <w:rsid w:val="00373766"/>
    <w:rsid w:val="003739DD"/>
    <w:rsid w:val="00373A9E"/>
    <w:rsid w:val="003741A2"/>
    <w:rsid w:val="00374419"/>
    <w:rsid w:val="00374452"/>
    <w:rsid w:val="00374AC8"/>
    <w:rsid w:val="00374C44"/>
    <w:rsid w:val="00374D75"/>
    <w:rsid w:val="00374DC6"/>
    <w:rsid w:val="0037526B"/>
    <w:rsid w:val="003752CB"/>
    <w:rsid w:val="003753CE"/>
    <w:rsid w:val="00375A73"/>
    <w:rsid w:val="00375E08"/>
    <w:rsid w:val="00375EA8"/>
    <w:rsid w:val="00376F2E"/>
    <w:rsid w:val="003772AC"/>
    <w:rsid w:val="0037738C"/>
    <w:rsid w:val="00377CAD"/>
    <w:rsid w:val="00377D9A"/>
    <w:rsid w:val="00377E4F"/>
    <w:rsid w:val="00377F68"/>
    <w:rsid w:val="0038016E"/>
    <w:rsid w:val="00380265"/>
    <w:rsid w:val="00380364"/>
    <w:rsid w:val="0038047C"/>
    <w:rsid w:val="00380746"/>
    <w:rsid w:val="00380B0B"/>
    <w:rsid w:val="00380BB9"/>
    <w:rsid w:val="00380D7D"/>
    <w:rsid w:val="00380E94"/>
    <w:rsid w:val="00381256"/>
    <w:rsid w:val="0038126C"/>
    <w:rsid w:val="003813B0"/>
    <w:rsid w:val="0038147F"/>
    <w:rsid w:val="003814BB"/>
    <w:rsid w:val="00381562"/>
    <w:rsid w:val="00381750"/>
    <w:rsid w:val="00381F58"/>
    <w:rsid w:val="00382266"/>
    <w:rsid w:val="0038235E"/>
    <w:rsid w:val="00382A53"/>
    <w:rsid w:val="00382AE5"/>
    <w:rsid w:val="00382B0C"/>
    <w:rsid w:val="00382FE3"/>
    <w:rsid w:val="00383170"/>
    <w:rsid w:val="003833B5"/>
    <w:rsid w:val="0038352D"/>
    <w:rsid w:val="003835FF"/>
    <w:rsid w:val="00383BF4"/>
    <w:rsid w:val="003844A3"/>
    <w:rsid w:val="00384584"/>
    <w:rsid w:val="003847ED"/>
    <w:rsid w:val="00384ADE"/>
    <w:rsid w:val="00384DB9"/>
    <w:rsid w:val="003856BD"/>
    <w:rsid w:val="00386DDB"/>
    <w:rsid w:val="00387553"/>
    <w:rsid w:val="0038792E"/>
    <w:rsid w:val="0038797A"/>
    <w:rsid w:val="00387A4A"/>
    <w:rsid w:val="0039023E"/>
    <w:rsid w:val="00390FB5"/>
    <w:rsid w:val="00391078"/>
    <w:rsid w:val="0039121A"/>
    <w:rsid w:val="003921CD"/>
    <w:rsid w:val="003921DA"/>
    <w:rsid w:val="00392268"/>
    <w:rsid w:val="00392270"/>
    <w:rsid w:val="003929D2"/>
    <w:rsid w:val="00392BC2"/>
    <w:rsid w:val="00392CCA"/>
    <w:rsid w:val="00393029"/>
    <w:rsid w:val="00393AD7"/>
    <w:rsid w:val="00393E3E"/>
    <w:rsid w:val="00393F81"/>
    <w:rsid w:val="00393FA5"/>
    <w:rsid w:val="0039406E"/>
    <w:rsid w:val="0039411F"/>
    <w:rsid w:val="0039413F"/>
    <w:rsid w:val="003946B9"/>
    <w:rsid w:val="00394B51"/>
    <w:rsid w:val="003953BE"/>
    <w:rsid w:val="003957BB"/>
    <w:rsid w:val="003962CD"/>
    <w:rsid w:val="003963FF"/>
    <w:rsid w:val="003965C0"/>
    <w:rsid w:val="00396894"/>
    <w:rsid w:val="00396935"/>
    <w:rsid w:val="00396997"/>
    <w:rsid w:val="00396A4C"/>
    <w:rsid w:val="0039743E"/>
    <w:rsid w:val="00397A8D"/>
    <w:rsid w:val="00397CAC"/>
    <w:rsid w:val="00397D16"/>
    <w:rsid w:val="003A0403"/>
    <w:rsid w:val="003A091A"/>
    <w:rsid w:val="003A0D0B"/>
    <w:rsid w:val="003A1301"/>
    <w:rsid w:val="003A1EE5"/>
    <w:rsid w:val="003A27BB"/>
    <w:rsid w:val="003A280A"/>
    <w:rsid w:val="003A297C"/>
    <w:rsid w:val="003A2FE5"/>
    <w:rsid w:val="003A31F5"/>
    <w:rsid w:val="003A33A5"/>
    <w:rsid w:val="003A35D6"/>
    <w:rsid w:val="003A3FF6"/>
    <w:rsid w:val="003A43CA"/>
    <w:rsid w:val="003A4473"/>
    <w:rsid w:val="003A4780"/>
    <w:rsid w:val="003A47B1"/>
    <w:rsid w:val="003A4E51"/>
    <w:rsid w:val="003A5077"/>
    <w:rsid w:val="003A5614"/>
    <w:rsid w:val="003A56A1"/>
    <w:rsid w:val="003A5BC5"/>
    <w:rsid w:val="003A5C82"/>
    <w:rsid w:val="003A5CF2"/>
    <w:rsid w:val="003A5D19"/>
    <w:rsid w:val="003A5E4A"/>
    <w:rsid w:val="003A5F4E"/>
    <w:rsid w:val="003A68A9"/>
    <w:rsid w:val="003A6A4E"/>
    <w:rsid w:val="003A6DDA"/>
    <w:rsid w:val="003A72FF"/>
    <w:rsid w:val="003A782B"/>
    <w:rsid w:val="003B03BF"/>
    <w:rsid w:val="003B0E9B"/>
    <w:rsid w:val="003B1620"/>
    <w:rsid w:val="003B1661"/>
    <w:rsid w:val="003B1919"/>
    <w:rsid w:val="003B20CA"/>
    <w:rsid w:val="003B2354"/>
    <w:rsid w:val="003B2A09"/>
    <w:rsid w:val="003B2E43"/>
    <w:rsid w:val="003B2FCF"/>
    <w:rsid w:val="003B317B"/>
    <w:rsid w:val="003B34C0"/>
    <w:rsid w:val="003B3EC4"/>
    <w:rsid w:val="003B3FD2"/>
    <w:rsid w:val="003B4059"/>
    <w:rsid w:val="003B4407"/>
    <w:rsid w:val="003B440E"/>
    <w:rsid w:val="003B453B"/>
    <w:rsid w:val="003B46C7"/>
    <w:rsid w:val="003B5049"/>
    <w:rsid w:val="003B51D0"/>
    <w:rsid w:val="003B5254"/>
    <w:rsid w:val="003B533E"/>
    <w:rsid w:val="003B5747"/>
    <w:rsid w:val="003B580F"/>
    <w:rsid w:val="003B5CF5"/>
    <w:rsid w:val="003B6230"/>
    <w:rsid w:val="003B63DD"/>
    <w:rsid w:val="003B642F"/>
    <w:rsid w:val="003B673D"/>
    <w:rsid w:val="003B6914"/>
    <w:rsid w:val="003B6A7F"/>
    <w:rsid w:val="003B730A"/>
    <w:rsid w:val="003B754C"/>
    <w:rsid w:val="003B7840"/>
    <w:rsid w:val="003B7AF0"/>
    <w:rsid w:val="003B7CC3"/>
    <w:rsid w:val="003B7EB5"/>
    <w:rsid w:val="003B7F41"/>
    <w:rsid w:val="003C0183"/>
    <w:rsid w:val="003C0B0E"/>
    <w:rsid w:val="003C1054"/>
    <w:rsid w:val="003C175D"/>
    <w:rsid w:val="003C1CFB"/>
    <w:rsid w:val="003C2577"/>
    <w:rsid w:val="003C2BBD"/>
    <w:rsid w:val="003C2F98"/>
    <w:rsid w:val="003C32A6"/>
    <w:rsid w:val="003C3379"/>
    <w:rsid w:val="003C34BA"/>
    <w:rsid w:val="003C34FE"/>
    <w:rsid w:val="003C3AE8"/>
    <w:rsid w:val="003C3BB5"/>
    <w:rsid w:val="003C3E77"/>
    <w:rsid w:val="003C3E86"/>
    <w:rsid w:val="003C4066"/>
    <w:rsid w:val="003C4264"/>
    <w:rsid w:val="003C43EC"/>
    <w:rsid w:val="003C4448"/>
    <w:rsid w:val="003C46AD"/>
    <w:rsid w:val="003C4D1E"/>
    <w:rsid w:val="003C4E99"/>
    <w:rsid w:val="003C529F"/>
    <w:rsid w:val="003C5FC9"/>
    <w:rsid w:val="003C61C4"/>
    <w:rsid w:val="003C63D3"/>
    <w:rsid w:val="003C7449"/>
    <w:rsid w:val="003C7AF1"/>
    <w:rsid w:val="003C7BE5"/>
    <w:rsid w:val="003D0022"/>
    <w:rsid w:val="003D01F3"/>
    <w:rsid w:val="003D0B52"/>
    <w:rsid w:val="003D1093"/>
    <w:rsid w:val="003D1448"/>
    <w:rsid w:val="003D1621"/>
    <w:rsid w:val="003D1AC3"/>
    <w:rsid w:val="003D1ADC"/>
    <w:rsid w:val="003D1BB5"/>
    <w:rsid w:val="003D1D95"/>
    <w:rsid w:val="003D1EEC"/>
    <w:rsid w:val="003D1EF2"/>
    <w:rsid w:val="003D1F44"/>
    <w:rsid w:val="003D22D2"/>
    <w:rsid w:val="003D33E2"/>
    <w:rsid w:val="003D3537"/>
    <w:rsid w:val="003D35E6"/>
    <w:rsid w:val="003D3A06"/>
    <w:rsid w:val="003D3CB2"/>
    <w:rsid w:val="003D3D91"/>
    <w:rsid w:val="003D3EC2"/>
    <w:rsid w:val="003D4708"/>
    <w:rsid w:val="003D472C"/>
    <w:rsid w:val="003D477A"/>
    <w:rsid w:val="003D4CB2"/>
    <w:rsid w:val="003D4D86"/>
    <w:rsid w:val="003D5469"/>
    <w:rsid w:val="003D5847"/>
    <w:rsid w:val="003D601F"/>
    <w:rsid w:val="003D614C"/>
    <w:rsid w:val="003D619A"/>
    <w:rsid w:val="003D6556"/>
    <w:rsid w:val="003D7078"/>
    <w:rsid w:val="003D758E"/>
    <w:rsid w:val="003D7C86"/>
    <w:rsid w:val="003D7CF9"/>
    <w:rsid w:val="003E01B9"/>
    <w:rsid w:val="003E0352"/>
    <w:rsid w:val="003E05BD"/>
    <w:rsid w:val="003E0976"/>
    <w:rsid w:val="003E0A15"/>
    <w:rsid w:val="003E0C71"/>
    <w:rsid w:val="003E0C99"/>
    <w:rsid w:val="003E14BE"/>
    <w:rsid w:val="003E182D"/>
    <w:rsid w:val="003E1937"/>
    <w:rsid w:val="003E1AFB"/>
    <w:rsid w:val="003E213F"/>
    <w:rsid w:val="003E26B2"/>
    <w:rsid w:val="003E2B86"/>
    <w:rsid w:val="003E3046"/>
    <w:rsid w:val="003E3177"/>
    <w:rsid w:val="003E3205"/>
    <w:rsid w:val="003E32E1"/>
    <w:rsid w:val="003E32FE"/>
    <w:rsid w:val="003E345C"/>
    <w:rsid w:val="003E3615"/>
    <w:rsid w:val="003E3F41"/>
    <w:rsid w:val="003E50A1"/>
    <w:rsid w:val="003E5127"/>
    <w:rsid w:val="003E536E"/>
    <w:rsid w:val="003E542F"/>
    <w:rsid w:val="003E569A"/>
    <w:rsid w:val="003E592F"/>
    <w:rsid w:val="003E5C4C"/>
    <w:rsid w:val="003E5F33"/>
    <w:rsid w:val="003E6615"/>
    <w:rsid w:val="003E694D"/>
    <w:rsid w:val="003E6AAE"/>
    <w:rsid w:val="003E6CD0"/>
    <w:rsid w:val="003E6EEF"/>
    <w:rsid w:val="003E74C3"/>
    <w:rsid w:val="003E79F9"/>
    <w:rsid w:val="003E7C34"/>
    <w:rsid w:val="003F06E0"/>
    <w:rsid w:val="003F076E"/>
    <w:rsid w:val="003F083C"/>
    <w:rsid w:val="003F08C4"/>
    <w:rsid w:val="003F0949"/>
    <w:rsid w:val="003F0C38"/>
    <w:rsid w:val="003F0D7C"/>
    <w:rsid w:val="003F1223"/>
    <w:rsid w:val="003F12E9"/>
    <w:rsid w:val="003F177A"/>
    <w:rsid w:val="003F1AB9"/>
    <w:rsid w:val="003F1BBE"/>
    <w:rsid w:val="003F1C13"/>
    <w:rsid w:val="003F1FD6"/>
    <w:rsid w:val="003F2416"/>
    <w:rsid w:val="003F26FE"/>
    <w:rsid w:val="003F2A44"/>
    <w:rsid w:val="003F2ABB"/>
    <w:rsid w:val="003F2C11"/>
    <w:rsid w:val="003F301F"/>
    <w:rsid w:val="003F3377"/>
    <w:rsid w:val="003F33B7"/>
    <w:rsid w:val="003F37FD"/>
    <w:rsid w:val="003F3854"/>
    <w:rsid w:val="003F39AE"/>
    <w:rsid w:val="003F3A52"/>
    <w:rsid w:val="003F3EF1"/>
    <w:rsid w:val="003F4503"/>
    <w:rsid w:val="003F45B2"/>
    <w:rsid w:val="003F4679"/>
    <w:rsid w:val="003F47F9"/>
    <w:rsid w:val="003F4B62"/>
    <w:rsid w:val="003F59F4"/>
    <w:rsid w:val="003F5B16"/>
    <w:rsid w:val="003F5CD7"/>
    <w:rsid w:val="003F5CD8"/>
    <w:rsid w:val="003F5FDD"/>
    <w:rsid w:val="003F6086"/>
    <w:rsid w:val="003F60E1"/>
    <w:rsid w:val="003F62DD"/>
    <w:rsid w:val="003F648C"/>
    <w:rsid w:val="003F6633"/>
    <w:rsid w:val="003F66FD"/>
    <w:rsid w:val="003F672A"/>
    <w:rsid w:val="003F67C1"/>
    <w:rsid w:val="003F68F5"/>
    <w:rsid w:val="003F7000"/>
    <w:rsid w:val="003F757E"/>
    <w:rsid w:val="003F764A"/>
    <w:rsid w:val="003F7F49"/>
    <w:rsid w:val="0040032A"/>
    <w:rsid w:val="0040033C"/>
    <w:rsid w:val="00400494"/>
    <w:rsid w:val="004004F6"/>
    <w:rsid w:val="0040078F"/>
    <w:rsid w:val="00400CA9"/>
    <w:rsid w:val="004010AA"/>
    <w:rsid w:val="004017DF"/>
    <w:rsid w:val="00401A68"/>
    <w:rsid w:val="00401B69"/>
    <w:rsid w:val="0040214B"/>
    <w:rsid w:val="00402280"/>
    <w:rsid w:val="00402B37"/>
    <w:rsid w:val="00402BA1"/>
    <w:rsid w:val="00402DC6"/>
    <w:rsid w:val="0040313C"/>
    <w:rsid w:val="004033F3"/>
    <w:rsid w:val="0040351E"/>
    <w:rsid w:val="00403882"/>
    <w:rsid w:val="00403A03"/>
    <w:rsid w:val="00404D94"/>
    <w:rsid w:val="00404DCD"/>
    <w:rsid w:val="0040548B"/>
    <w:rsid w:val="004054A8"/>
    <w:rsid w:val="004055FB"/>
    <w:rsid w:val="00405A81"/>
    <w:rsid w:val="00405AE6"/>
    <w:rsid w:val="00405EA9"/>
    <w:rsid w:val="00406145"/>
    <w:rsid w:val="0040646D"/>
    <w:rsid w:val="00406500"/>
    <w:rsid w:val="0040667E"/>
    <w:rsid w:val="00406A86"/>
    <w:rsid w:val="00406AC1"/>
    <w:rsid w:val="00406FFC"/>
    <w:rsid w:val="00407441"/>
    <w:rsid w:val="004077D6"/>
    <w:rsid w:val="0040780E"/>
    <w:rsid w:val="00407867"/>
    <w:rsid w:val="00407C0D"/>
    <w:rsid w:val="004104BE"/>
    <w:rsid w:val="00410883"/>
    <w:rsid w:val="00410A5C"/>
    <w:rsid w:val="00410C9B"/>
    <w:rsid w:val="00411033"/>
    <w:rsid w:val="00411317"/>
    <w:rsid w:val="004115E1"/>
    <w:rsid w:val="004116F3"/>
    <w:rsid w:val="004117A8"/>
    <w:rsid w:val="00411A53"/>
    <w:rsid w:val="00411BEF"/>
    <w:rsid w:val="00411F5D"/>
    <w:rsid w:val="004121E7"/>
    <w:rsid w:val="00412ED6"/>
    <w:rsid w:val="0041312D"/>
    <w:rsid w:val="00414334"/>
    <w:rsid w:val="00414665"/>
    <w:rsid w:val="00414673"/>
    <w:rsid w:val="0041473B"/>
    <w:rsid w:val="00414753"/>
    <w:rsid w:val="0041478B"/>
    <w:rsid w:val="00414B30"/>
    <w:rsid w:val="00414C6B"/>
    <w:rsid w:val="00414E51"/>
    <w:rsid w:val="00414E5C"/>
    <w:rsid w:val="0041517D"/>
    <w:rsid w:val="004151EC"/>
    <w:rsid w:val="004152E6"/>
    <w:rsid w:val="00415D9B"/>
    <w:rsid w:val="00416093"/>
    <w:rsid w:val="004162D3"/>
    <w:rsid w:val="00416512"/>
    <w:rsid w:val="004167C7"/>
    <w:rsid w:val="004167DB"/>
    <w:rsid w:val="00416CA7"/>
    <w:rsid w:val="00416CC7"/>
    <w:rsid w:val="00416D3C"/>
    <w:rsid w:val="00416E86"/>
    <w:rsid w:val="00417347"/>
    <w:rsid w:val="004173A0"/>
    <w:rsid w:val="0041747D"/>
    <w:rsid w:val="004175FD"/>
    <w:rsid w:val="0041760B"/>
    <w:rsid w:val="00417775"/>
    <w:rsid w:val="004179E2"/>
    <w:rsid w:val="00417E60"/>
    <w:rsid w:val="004202E1"/>
    <w:rsid w:val="004203EF"/>
    <w:rsid w:val="00420435"/>
    <w:rsid w:val="0042094B"/>
    <w:rsid w:val="00420F04"/>
    <w:rsid w:val="004210BA"/>
    <w:rsid w:val="004213A2"/>
    <w:rsid w:val="004213A6"/>
    <w:rsid w:val="004214FC"/>
    <w:rsid w:val="00421870"/>
    <w:rsid w:val="004228C6"/>
    <w:rsid w:val="00422D03"/>
    <w:rsid w:val="00423099"/>
    <w:rsid w:val="0042347C"/>
    <w:rsid w:val="00423CBD"/>
    <w:rsid w:val="004240A9"/>
    <w:rsid w:val="004241CE"/>
    <w:rsid w:val="00424200"/>
    <w:rsid w:val="00424564"/>
    <w:rsid w:val="00424C59"/>
    <w:rsid w:val="00424D0A"/>
    <w:rsid w:val="00424E79"/>
    <w:rsid w:val="00424FA9"/>
    <w:rsid w:val="0042558E"/>
    <w:rsid w:val="00425BA1"/>
    <w:rsid w:val="00426178"/>
    <w:rsid w:val="0042661C"/>
    <w:rsid w:val="0042718E"/>
    <w:rsid w:val="00427271"/>
    <w:rsid w:val="004274B3"/>
    <w:rsid w:val="00427808"/>
    <w:rsid w:val="00427F27"/>
    <w:rsid w:val="0043009C"/>
    <w:rsid w:val="00430294"/>
    <w:rsid w:val="004303AB"/>
    <w:rsid w:val="0043044F"/>
    <w:rsid w:val="00430487"/>
    <w:rsid w:val="0043062E"/>
    <w:rsid w:val="00430734"/>
    <w:rsid w:val="0043076A"/>
    <w:rsid w:val="00430BDD"/>
    <w:rsid w:val="0043113F"/>
    <w:rsid w:val="00431785"/>
    <w:rsid w:val="00431B17"/>
    <w:rsid w:val="00431C9B"/>
    <w:rsid w:val="00432048"/>
    <w:rsid w:val="004323EB"/>
    <w:rsid w:val="004324F9"/>
    <w:rsid w:val="00432540"/>
    <w:rsid w:val="00432D78"/>
    <w:rsid w:val="00432E48"/>
    <w:rsid w:val="00432ED2"/>
    <w:rsid w:val="004332B3"/>
    <w:rsid w:val="00433469"/>
    <w:rsid w:val="00433529"/>
    <w:rsid w:val="0043362C"/>
    <w:rsid w:val="00433C2A"/>
    <w:rsid w:val="00433F36"/>
    <w:rsid w:val="00433FEE"/>
    <w:rsid w:val="004344BF"/>
    <w:rsid w:val="0043452F"/>
    <w:rsid w:val="00434660"/>
    <w:rsid w:val="00434B15"/>
    <w:rsid w:val="00434B64"/>
    <w:rsid w:val="00435A59"/>
    <w:rsid w:val="00435CB8"/>
    <w:rsid w:val="00436217"/>
    <w:rsid w:val="00436227"/>
    <w:rsid w:val="0043632B"/>
    <w:rsid w:val="00436624"/>
    <w:rsid w:val="00436E6C"/>
    <w:rsid w:val="00437057"/>
    <w:rsid w:val="00437135"/>
    <w:rsid w:val="004375B3"/>
    <w:rsid w:val="00437B99"/>
    <w:rsid w:val="00440360"/>
    <w:rsid w:val="004403F7"/>
    <w:rsid w:val="00440C8C"/>
    <w:rsid w:val="004412FA"/>
    <w:rsid w:val="0044167F"/>
    <w:rsid w:val="004418E1"/>
    <w:rsid w:val="00441CBC"/>
    <w:rsid w:val="00441F98"/>
    <w:rsid w:val="0044207C"/>
    <w:rsid w:val="00442E9B"/>
    <w:rsid w:val="004433F5"/>
    <w:rsid w:val="004438E4"/>
    <w:rsid w:val="00443B94"/>
    <w:rsid w:val="00443E1F"/>
    <w:rsid w:val="00443EC1"/>
    <w:rsid w:val="0044403E"/>
    <w:rsid w:val="004441D6"/>
    <w:rsid w:val="00444240"/>
    <w:rsid w:val="00444395"/>
    <w:rsid w:val="004443E1"/>
    <w:rsid w:val="0044485C"/>
    <w:rsid w:val="0044566E"/>
    <w:rsid w:val="00446009"/>
    <w:rsid w:val="0044603C"/>
    <w:rsid w:val="00446A96"/>
    <w:rsid w:val="00446C68"/>
    <w:rsid w:val="00446D05"/>
    <w:rsid w:val="00446F26"/>
    <w:rsid w:val="0044756C"/>
    <w:rsid w:val="00447666"/>
    <w:rsid w:val="00447725"/>
    <w:rsid w:val="004477FF"/>
    <w:rsid w:val="00447AC9"/>
    <w:rsid w:val="00447CE7"/>
    <w:rsid w:val="00447D1A"/>
    <w:rsid w:val="00447D60"/>
    <w:rsid w:val="004502B2"/>
    <w:rsid w:val="00450374"/>
    <w:rsid w:val="00450452"/>
    <w:rsid w:val="0045047E"/>
    <w:rsid w:val="004504E9"/>
    <w:rsid w:val="00450CD9"/>
    <w:rsid w:val="0045121E"/>
    <w:rsid w:val="00451433"/>
    <w:rsid w:val="00451970"/>
    <w:rsid w:val="00451D06"/>
    <w:rsid w:val="00451E80"/>
    <w:rsid w:val="0045205A"/>
    <w:rsid w:val="00452434"/>
    <w:rsid w:val="00452631"/>
    <w:rsid w:val="00452EAE"/>
    <w:rsid w:val="00452EF2"/>
    <w:rsid w:val="00452FEC"/>
    <w:rsid w:val="00453264"/>
    <w:rsid w:val="0045350E"/>
    <w:rsid w:val="004538E0"/>
    <w:rsid w:val="0045402E"/>
    <w:rsid w:val="00454213"/>
    <w:rsid w:val="00454984"/>
    <w:rsid w:val="004551F2"/>
    <w:rsid w:val="0045521A"/>
    <w:rsid w:val="0045526D"/>
    <w:rsid w:val="00455597"/>
    <w:rsid w:val="00456226"/>
    <w:rsid w:val="0045628F"/>
    <w:rsid w:val="004562B8"/>
    <w:rsid w:val="0045650E"/>
    <w:rsid w:val="004568D7"/>
    <w:rsid w:val="00456E0B"/>
    <w:rsid w:val="004574E7"/>
    <w:rsid w:val="004575A0"/>
    <w:rsid w:val="004575B3"/>
    <w:rsid w:val="00457981"/>
    <w:rsid w:val="00457990"/>
    <w:rsid w:val="00457C7C"/>
    <w:rsid w:val="00457F4C"/>
    <w:rsid w:val="00460114"/>
    <w:rsid w:val="0046147A"/>
    <w:rsid w:val="0046174C"/>
    <w:rsid w:val="00461CDE"/>
    <w:rsid w:val="00462036"/>
    <w:rsid w:val="0046222A"/>
    <w:rsid w:val="00462914"/>
    <w:rsid w:val="00462B54"/>
    <w:rsid w:val="00463064"/>
    <w:rsid w:val="0046334D"/>
    <w:rsid w:val="004633A5"/>
    <w:rsid w:val="004636C5"/>
    <w:rsid w:val="004637AF"/>
    <w:rsid w:val="00463DB5"/>
    <w:rsid w:val="004640FD"/>
    <w:rsid w:val="00464118"/>
    <w:rsid w:val="004649CD"/>
    <w:rsid w:val="00464C37"/>
    <w:rsid w:val="00465385"/>
    <w:rsid w:val="0046558A"/>
    <w:rsid w:val="004656CF"/>
    <w:rsid w:val="00465D65"/>
    <w:rsid w:val="00465E91"/>
    <w:rsid w:val="00465EC7"/>
    <w:rsid w:val="00466750"/>
    <w:rsid w:val="00466805"/>
    <w:rsid w:val="0046685B"/>
    <w:rsid w:val="00466FC4"/>
    <w:rsid w:val="004670A0"/>
    <w:rsid w:val="0046770A"/>
    <w:rsid w:val="00467A5C"/>
    <w:rsid w:val="00467ABD"/>
    <w:rsid w:val="00467E2B"/>
    <w:rsid w:val="00470BAE"/>
    <w:rsid w:val="00471411"/>
    <w:rsid w:val="00471956"/>
    <w:rsid w:val="00471D36"/>
    <w:rsid w:val="00471DEC"/>
    <w:rsid w:val="00472461"/>
    <w:rsid w:val="004724BE"/>
    <w:rsid w:val="004727AD"/>
    <w:rsid w:val="00472B98"/>
    <w:rsid w:val="00472DEE"/>
    <w:rsid w:val="00473141"/>
    <w:rsid w:val="004732CA"/>
    <w:rsid w:val="00473C3D"/>
    <w:rsid w:val="00473EBA"/>
    <w:rsid w:val="00474445"/>
    <w:rsid w:val="00474484"/>
    <w:rsid w:val="0047451E"/>
    <w:rsid w:val="00474835"/>
    <w:rsid w:val="00474EA2"/>
    <w:rsid w:val="00475B95"/>
    <w:rsid w:val="00475BDA"/>
    <w:rsid w:val="00475BFE"/>
    <w:rsid w:val="00475C23"/>
    <w:rsid w:val="00475C50"/>
    <w:rsid w:val="004762F3"/>
    <w:rsid w:val="00477042"/>
    <w:rsid w:val="0047711B"/>
    <w:rsid w:val="00477404"/>
    <w:rsid w:val="00477612"/>
    <w:rsid w:val="00477B93"/>
    <w:rsid w:val="00477C42"/>
    <w:rsid w:val="00480065"/>
    <w:rsid w:val="00480562"/>
    <w:rsid w:val="00480564"/>
    <w:rsid w:val="004808B8"/>
    <w:rsid w:val="004809B8"/>
    <w:rsid w:val="00480DD9"/>
    <w:rsid w:val="0048119A"/>
    <w:rsid w:val="00481708"/>
    <w:rsid w:val="004817E9"/>
    <w:rsid w:val="00481CAF"/>
    <w:rsid w:val="00481CFE"/>
    <w:rsid w:val="00481F10"/>
    <w:rsid w:val="004820FA"/>
    <w:rsid w:val="004821B9"/>
    <w:rsid w:val="004824F0"/>
    <w:rsid w:val="00482758"/>
    <w:rsid w:val="00483217"/>
    <w:rsid w:val="0048347E"/>
    <w:rsid w:val="00483A69"/>
    <w:rsid w:val="0048468C"/>
    <w:rsid w:val="00484AA6"/>
    <w:rsid w:val="00484D05"/>
    <w:rsid w:val="00485301"/>
    <w:rsid w:val="00485601"/>
    <w:rsid w:val="00485612"/>
    <w:rsid w:val="00485703"/>
    <w:rsid w:val="00485A0F"/>
    <w:rsid w:val="00485DD4"/>
    <w:rsid w:val="00485DD9"/>
    <w:rsid w:val="00485F13"/>
    <w:rsid w:val="00486093"/>
    <w:rsid w:val="0048632D"/>
    <w:rsid w:val="00486E2E"/>
    <w:rsid w:val="0048701F"/>
    <w:rsid w:val="00487498"/>
    <w:rsid w:val="00487D40"/>
    <w:rsid w:val="004902A7"/>
    <w:rsid w:val="00490742"/>
    <w:rsid w:val="004908BF"/>
    <w:rsid w:val="00490A31"/>
    <w:rsid w:val="004910A6"/>
    <w:rsid w:val="00491575"/>
    <w:rsid w:val="004916CB"/>
    <w:rsid w:val="0049183D"/>
    <w:rsid w:val="00491880"/>
    <w:rsid w:val="00491A21"/>
    <w:rsid w:val="00491D88"/>
    <w:rsid w:val="00491FDF"/>
    <w:rsid w:val="00492271"/>
    <w:rsid w:val="004925BF"/>
    <w:rsid w:val="004926AE"/>
    <w:rsid w:val="004927D8"/>
    <w:rsid w:val="004928BF"/>
    <w:rsid w:val="00493021"/>
    <w:rsid w:val="00493277"/>
    <w:rsid w:val="004935ED"/>
    <w:rsid w:val="00493631"/>
    <w:rsid w:val="00493BE7"/>
    <w:rsid w:val="004942B5"/>
    <w:rsid w:val="00494708"/>
    <w:rsid w:val="00494E80"/>
    <w:rsid w:val="0049508D"/>
    <w:rsid w:val="00495663"/>
    <w:rsid w:val="004958AC"/>
    <w:rsid w:val="00495FD4"/>
    <w:rsid w:val="0049605C"/>
    <w:rsid w:val="004965C1"/>
    <w:rsid w:val="004965F7"/>
    <w:rsid w:val="00496605"/>
    <w:rsid w:val="004966F6"/>
    <w:rsid w:val="0049687E"/>
    <w:rsid w:val="004969AF"/>
    <w:rsid w:val="00496DA4"/>
    <w:rsid w:val="004970F8"/>
    <w:rsid w:val="00497552"/>
    <w:rsid w:val="004975AD"/>
    <w:rsid w:val="00497950"/>
    <w:rsid w:val="00497BFA"/>
    <w:rsid w:val="00497FBF"/>
    <w:rsid w:val="004A053D"/>
    <w:rsid w:val="004A06F9"/>
    <w:rsid w:val="004A1635"/>
    <w:rsid w:val="004A1CF5"/>
    <w:rsid w:val="004A1D47"/>
    <w:rsid w:val="004A1FCC"/>
    <w:rsid w:val="004A2565"/>
    <w:rsid w:val="004A267A"/>
    <w:rsid w:val="004A29BD"/>
    <w:rsid w:val="004A2F18"/>
    <w:rsid w:val="004A2FFD"/>
    <w:rsid w:val="004A3183"/>
    <w:rsid w:val="004A325C"/>
    <w:rsid w:val="004A3873"/>
    <w:rsid w:val="004A39C9"/>
    <w:rsid w:val="004A3B78"/>
    <w:rsid w:val="004A4036"/>
    <w:rsid w:val="004A40B0"/>
    <w:rsid w:val="004A41FB"/>
    <w:rsid w:val="004A4309"/>
    <w:rsid w:val="004A46FF"/>
    <w:rsid w:val="004A4A56"/>
    <w:rsid w:val="004A4BFA"/>
    <w:rsid w:val="004A4CBD"/>
    <w:rsid w:val="004A56B1"/>
    <w:rsid w:val="004A5A65"/>
    <w:rsid w:val="004A5F9D"/>
    <w:rsid w:val="004A6101"/>
    <w:rsid w:val="004A6166"/>
    <w:rsid w:val="004A63E5"/>
    <w:rsid w:val="004A66FC"/>
    <w:rsid w:val="004A67E9"/>
    <w:rsid w:val="004A687D"/>
    <w:rsid w:val="004A6896"/>
    <w:rsid w:val="004A6B13"/>
    <w:rsid w:val="004A6DB6"/>
    <w:rsid w:val="004A7048"/>
    <w:rsid w:val="004A7057"/>
    <w:rsid w:val="004A70F7"/>
    <w:rsid w:val="004A7200"/>
    <w:rsid w:val="004A73A0"/>
    <w:rsid w:val="004A742E"/>
    <w:rsid w:val="004A7616"/>
    <w:rsid w:val="004A7B16"/>
    <w:rsid w:val="004A7B5E"/>
    <w:rsid w:val="004A7DEC"/>
    <w:rsid w:val="004A7EFC"/>
    <w:rsid w:val="004B03AD"/>
    <w:rsid w:val="004B0498"/>
    <w:rsid w:val="004B0514"/>
    <w:rsid w:val="004B0A0A"/>
    <w:rsid w:val="004B0B7E"/>
    <w:rsid w:val="004B0D70"/>
    <w:rsid w:val="004B102D"/>
    <w:rsid w:val="004B1088"/>
    <w:rsid w:val="004B1125"/>
    <w:rsid w:val="004B12F1"/>
    <w:rsid w:val="004B1C4B"/>
    <w:rsid w:val="004B1DA3"/>
    <w:rsid w:val="004B1F04"/>
    <w:rsid w:val="004B208D"/>
    <w:rsid w:val="004B236B"/>
    <w:rsid w:val="004B2392"/>
    <w:rsid w:val="004B2722"/>
    <w:rsid w:val="004B279D"/>
    <w:rsid w:val="004B2891"/>
    <w:rsid w:val="004B2C16"/>
    <w:rsid w:val="004B2C60"/>
    <w:rsid w:val="004B2D06"/>
    <w:rsid w:val="004B2D30"/>
    <w:rsid w:val="004B3300"/>
    <w:rsid w:val="004B370E"/>
    <w:rsid w:val="004B37D3"/>
    <w:rsid w:val="004B3804"/>
    <w:rsid w:val="004B3B67"/>
    <w:rsid w:val="004B3BF2"/>
    <w:rsid w:val="004B3E57"/>
    <w:rsid w:val="004B4507"/>
    <w:rsid w:val="004B46BB"/>
    <w:rsid w:val="004B4928"/>
    <w:rsid w:val="004B4A31"/>
    <w:rsid w:val="004B545E"/>
    <w:rsid w:val="004B5C07"/>
    <w:rsid w:val="004B60CB"/>
    <w:rsid w:val="004B6673"/>
    <w:rsid w:val="004B6784"/>
    <w:rsid w:val="004B6BAA"/>
    <w:rsid w:val="004B6E81"/>
    <w:rsid w:val="004B6E89"/>
    <w:rsid w:val="004B7591"/>
    <w:rsid w:val="004B7644"/>
    <w:rsid w:val="004B7652"/>
    <w:rsid w:val="004B7B95"/>
    <w:rsid w:val="004B7D9C"/>
    <w:rsid w:val="004C0650"/>
    <w:rsid w:val="004C07D9"/>
    <w:rsid w:val="004C10FE"/>
    <w:rsid w:val="004C12D1"/>
    <w:rsid w:val="004C14AA"/>
    <w:rsid w:val="004C17E0"/>
    <w:rsid w:val="004C1CB5"/>
    <w:rsid w:val="004C1FE0"/>
    <w:rsid w:val="004C29CF"/>
    <w:rsid w:val="004C2AE7"/>
    <w:rsid w:val="004C2C94"/>
    <w:rsid w:val="004C2DEE"/>
    <w:rsid w:val="004C30EF"/>
    <w:rsid w:val="004C37DA"/>
    <w:rsid w:val="004C3B79"/>
    <w:rsid w:val="004C4088"/>
    <w:rsid w:val="004C484D"/>
    <w:rsid w:val="004C4C21"/>
    <w:rsid w:val="004C507A"/>
    <w:rsid w:val="004C50F1"/>
    <w:rsid w:val="004C5141"/>
    <w:rsid w:val="004C5197"/>
    <w:rsid w:val="004C531E"/>
    <w:rsid w:val="004C5665"/>
    <w:rsid w:val="004C5C5F"/>
    <w:rsid w:val="004C5F4F"/>
    <w:rsid w:val="004C63BB"/>
    <w:rsid w:val="004C641F"/>
    <w:rsid w:val="004C6639"/>
    <w:rsid w:val="004C6876"/>
    <w:rsid w:val="004C6A42"/>
    <w:rsid w:val="004C7882"/>
    <w:rsid w:val="004C7986"/>
    <w:rsid w:val="004C7D58"/>
    <w:rsid w:val="004D075D"/>
    <w:rsid w:val="004D07EB"/>
    <w:rsid w:val="004D0A49"/>
    <w:rsid w:val="004D0B88"/>
    <w:rsid w:val="004D0C27"/>
    <w:rsid w:val="004D0D2B"/>
    <w:rsid w:val="004D0DFB"/>
    <w:rsid w:val="004D1AB3"/>
    <w:rsid w:val="004D1C82"/>
    <w:rsid w:val="004D210D"/>
    <w:rsid w:val="004D228F"/>
    <w:rsid w:val="004D254B"/>
    <w:rsid w:val="004D2819"/>
    <w:rsid w:val="004D281A"/>
    <w:rsid w:val="004D2B7A"/>
    <w:rsid w:val="004D2C13"/>
    <w:rsid w:val="004D2E82"/>
    <w:rsid w:val="004D2F55"/>
    <w:rsid w:val="004D3041"/>
    <w:rsid w:val="004D31E0"/>
    <w:rsid w:val="004D3287"/>
    <w:rsid w:val="004D34A9"/>
    <w:rsid w:val="004D3571"/>
    <w:rsid w:val="004D3F61"/>
    <w:rsid w:val="004D479B"/>
    <w:rsid w:val="004D48FD"/>
    <w:rsid w:val="004D4CF4"/>
    <w:rsid w:val="004D4E8E"/>
    <w:rsid w:val="004D55D1"/>
    <w:rsid w:val="004D56AB"/>
    <w:rsid w:val="004D5FAB"/>
    <w:rsid w:val="004D6797"/>
    <w:rsid w:val="004D693C"/>
    <w:rsid w:val="004D6EF5"/>
    <w:rsid w:val="004D7100"/>
    <w:rsid w:val="004D7660"/>
    <w:rsid w:val="004D76E1"/>
    <w:rsid w:val="004D7E55"/>
    <w:rsid w:val="004E094F"/>
    <w:rsid w:val="004E0B48"/>
    <w:rsid w:val="004E10E4"/>
    <w:rsid w:val="004E1357"/>
    <w:rsid w:val="004E186D"/>
    <w:rsid w:val="004E2673"/>
    <w:rsid w:val="004E269F"/>
    <w:rsid w:val="004E2879"/>
    <w:rsid w:val="004E2F96"/>
    <w:rsid w:val="004E2FCF"/>
    <w:rsid w:val="004E3A95"/>
    <w:rsid w:val="004E3B79"/>
    <w:rsid w:val="004E406C"/>
    <w:rsid w:val="004E420A"/>
    <w:rsid w:val="004E4825"/>
    <w:rsid w:val="004E4899"/>
    <w:rsid w:val="004E4AAD"/>
    <w:rsid w:val="004E4F30"/>
    <w:rsid w:val="004E513E"/>
    <w:rsid w:val="004E55D2"/>
    <w:rsid w:val="004E59E1"/>
    <w:rsid w:val="004E5AAD"/>
    <w:rsid w:val="004E6073"/>
    <w:rsid w:val="004E6318"/>
    <w:rsid w:val="004E6499"/>
    <w:rsid w:val="004E6719"/>
    <w:rsid w:val="004E6B7D"/>
    <w:rsid w:val="004E6DD8"/>
    <w:rsid w:val="004E7076"/>
    <w:rsid w:val="004E7104"/>
    <w:rsid w:val="004E7517"/>
    <w:rsid w:val="004E7519"/>
    <w:rsid w:val="004E75AB"/>
    <w:rsid w:val="004E769A"/>
    <w:rsid w:val="004E795E"/>
    <w:rsid w:val="004E7AEB"/>
    <w:rsid w:val="004E7C01"/>
    <w:rsid w:val="004F03D5"/>
    <w:rsid w:val="004F057B"/>
    <w:rsid w:val="004F0684"/>
    <w:rsid w:val="004F06A5"/>
    <w:rsid w:val="004F07A1"/>
    <w:rsid w:val="004F1173"/>
    <w:rsid w:val="004F1238"/>
    <w:rsid w:val="004F148C"/>
    <w:rsid w:val="004F1531"/>
    <w:rsid w:val="004F1ACF"/>
    <w:rsid w:val="004F1BA7"/>
    <w:rsid w:val="004F2A15"/>
    <w:rsid w:val="004F2C66"/>
    <w:rsid w:val="004F2CB7"/>
    <w:rsid w:val="004F2F39"/>
    <w:rsid w:val="004F2F52"/>
    <w:rsid w:val="004F3156"/>
    <w:rsid w:val="004F31AE"/>
    <w:rsid w:val="004F32DC"/>
    <w:rsid w:val="004F341F"/>
    <w:rsid w:val="004F383C"/>
    <w:rsid w:val="004F3A8E"/>
    <w:rsid w:val="004F3B60"/>
    <w:rsid w:val="004F3CB6"/>
    <w:rsid w:val="004F3F7A"/>
    <w:rsid w:val="004F491F"/>
    <w:rsid w:val="004F4A13"/>
    <w:rsid w:val="004F502A"/>
    <w:rsid w:val="004F53E2"/>
    <w:rsid w:val="004F585C"/>
    <w:rsid w:val="004F58D3"/>
    <w:rsid w:val="004F5CEF"/>
    <w:rsid w:val="004F5D2B"/>
    <w:rsid w:val="004F5F48"/>
    <w:rsid w:val="004F6230"/>
    <w:rsid w:val="004F628E"/>
    <w:rsid w:val="004F6439"/>
    <w:rsid w:val="004F65C1"/>
    <w:rsid w:val="004F6794"/>
    <w:rsid w:val="004F750C"/>
    <w:rsid w:val="004F7531"/>
    <w:rsid w:val="004F7F2F"/>
    <w:rsid w:val="004F7F99"/>
    <w:rsid w:val="0050005E"/>
    <w:rsid w:val="00500160"/>
    <w:rsid w:val="005003BB"/>
    <w:rsid w:val="00500586"/>
    <w:rsid w:val="005007BA"/>
    <w:rsid w:val="00500A3C"/>
    <w:rsid w:val="00500ACD"/>
    <w:rsid w:val="00500D49"/>
    <w:rsid w:val="00500ED7"/>
    <w:rsid w:val="00500FC1"/>
    <w:rsid w:val="00500FCE"/>
    <w:rsid w:val="00501138"/>
    <w:rsid w:val="00501181"/>
    <w:rsid w:val="005012C0"/>
    <w:rsid w:val="005015C6"/>
    <w:rsid w:val="005017F8"/>
    <w:rsid w:val="00501A5D"/>
    <w:rsid w:val="00501C81"/>
    <w:rsid w:val="00501CF6"/>
    <w:rsid w:val="00501F21"/>
    <w:rsid w:val="00501F68"/>
    <w:rsid w:val="00501F6F"/>
    <w:rsid w:val="00501FFE"/>
    <w:rsid w:val="00502C17"/>
    <w:rsid w:val="00502C52"/>
    <w:rsid w:val="00503344"/>
    <w:rsid w:val="00503797"/>
    <w:rsid w:val="0050390F"/>
    <w:rsid w:val="00503994"/>
    <w:rsid w:val="00503A82"/>
    <w:rsid w:val="00503AB4"/>
    <w:rsid w:val="00503C46"/>
    <w:rsid w:val="00504061"/>
    <w:rsid w:val="0050462E"/>
    <w:rsid w:val="00504A0B"/>
    <w:rsid w:val="00504B27"/>
    <w:rsid w:val="00504DE0"/>
    <w:rsid w:val="00504E91"/>
    <w:rsid w:val="00504F2E"/>
    <w:rsid w:val="00505176"/>
    <w:rsid w:val="00505210"/>
    <w:rsid w:val="00505BAE"/>
    <w:rsid w:val="00505E22"/>
    <w:rsid w:val="005060F6"/>
    <w:rsid w:val="00506192"/>
    <w:rsid w:val="005062FE"/>
    <w:rsid w:val="00506956"/>
    <w:rsid w:val="00506973"/>
    <w:rsid w:val="005069BD"/>
    <w:rsid w:val="00506F90"/>
    <w:rsid w:val="0050707B"/>
    <w:rsid w:val="00507243"/>
    <w:rsid w:val="005074E8"/>
    <w:rsid w:val="0050753C"/>
    <w:rsid w:val="00507965"/>
    <w:rsid w:val="00507B89"/>
    <w:rsid w:val="00507ED5"/>
    <w:rsid w:val="00510370"/>
    <w:rsid w:val="005105DA"/>
    <w:rsid w:val="00510FDF"/>
    <w:rsid w:val="00511267"/>
    <w:rsid w:val="00511662"/>
    <w:rsid w:val="005117F7"/>
    <w:rsid w:val="005118AA"/>
    <w:rsid w:val="00511C48"/>
    <w:rsid w:val="00511CE8"/>
    <w:rsid w:val="00511D3F"/>
    <w:rsid w:val="00511D63"/>
    <w:rsid w:val="00512025"/>
    <w:rsid w:val="005127C1"/>
    <w:rsid w:val="0051299B"/>
    <w:rsid w:val="00512BD8"/>
    <w:rsid w:val="00512CC3"/>
    <w:rsid w:val="0051339F"/>
    <w:rsid w:val="00513553"/>
    <w:rsid w:val="005138B1"/>
    <w:rsid w:val="00513DC7"/>
    <w:rsid w:val="00513E6D"/>
    <w:rsid w:val="00513F21"/>
    <w:rsid w:val="00514161"/>
    <w:rsid w:val="00514559"/>
    <w:rsid w:val="00514685"/>
    <w:rsid w:val="00514A33"/>
    <w:rsid w:val="00514ED6"/>
    <w:rsid w:val="00515380"/>
    <w:rsid w:val="005153F3"/>
    <w:rsid w:val="0051549E"/>
    <w:rsid w:val="005155DD"/>
    <w:rsid w:val="005155F1"/>
    <w:rsid w:val="00515B60"/>
    <w:rsid w:val="00515DC1"/>
    <w:rsid w:val="00516118"/>
    <w:rsid w:val="0051639F"/>
    <w:rsid w:val="00516C18"/>
    <w:rsid w:val="005171F2"/>
    <w:rsid w:val="005176CA"/>
    <w:rsid w:val="0051783F"/>
    <w:rsid w:val="00517A74"/>
    <w:rsid w:val="00517B22"/>
    <w:rsid w:val="00517ED3"/>
    <w:rsid w:val="00520091"/>
    <w:rsid w:val="00520495"/>
    <w:rsid w:val="00520498"/>
    <w:rsid w:val="00520530"/>
    <w:rsid w:val="005206F3"/>
    <w:rsid w:val="00520D09"/>
    <w:rsid w:val="00520FFC"/>
    <w:rsid w:val="00521087"/>
    <w:rsid w:val="0052116B"/>
    <w:rsid w:val="00521244"/>
    <w:rsid w:val="005213EB"/>
    <w:rsid w:val="00521758"/>
    <w:rsid w:val="00521F7D"/>
    <w:rsid w:val="00522660"/>
    <w:rsid w:val="005227A8"/>
    <w:rsid w:val="00522967"/>
    <w:rsid w:val="005235D1"/>
    <w:rsid w:val="005236C0"/>
    <w:rsid w:val="00523C7A"/>
    <w:rsid w:val="00523DCF"/>
    <w:rsid w:val="00524457"/>
    <w:rsid w:val="0052445F"/>
    <w:rsid w:val="005244E9"/>
    <w:rsid w:val="00524A7D"/>
    <w:rsid w:val="00524E4E"/>
    <w:rsid w:val="00524FBE"/>
    <w:rsid w:val="00525268"/>
    <w:rsid w:val="00525367"/>
    <w:rsid w:val="005253CA"/>
    <w:rsid w:val="005253FC"/>
    <w:rsid w:val="005256A7"/>
    <w:rsid w:val="005259C4"/>
    <w:rsid w:val="00525ACA"/>
    <w:rsid w:val="00525B2F"/>
    <w:rsid w:val="0052604A"/>
    <w:rsid w:val="005260B6"/>
    <w:rsid w:val="005260FD"/>
    <w:rsid w:val="0052638F"/>
    <w:rsid w:val="00526495"/>
    <w:rsid w:val="005269C5"/>
    <w:rsid w:val="00526DF6"/>
    <w:rsid w:val="00527084"/>
    <w:rsid w:val="005270FC"/>
    <w:rsid w:val="00527486"/>
    <w:rsid w:val="0052773D"/>
    <w:rsid w:val="00527841"/>
    <w:rsid w:val="005279AE"/>
    <w:rsid w:val="00527F6D"/>
    <w:rsid w:val="00530736"/>
    <w:rsid w:val="00530C32"/>
    <w:rsid w:val="00530DB1"/>
    <w:rsid w:val="005312A7"/>
    <w:rsid w:val="00531B3F"/>
    <w:rsid w:val="00531FA2"/>
    <w:rsid w:val="005320CB"/>
    <w:rsid w:val="00532494"/>
    <w:rsid w:val="00532B13"/>
    <w:rsid w:val="00532CB2"/>
    <w:rsid w:val="00532D10"/>
    <w:rsid w:val="00533149"/>
    <w:rsid w:val="0053371D"/>
    <w:rsid w:val="005337BB"/>
    <w:rsid w:val="00533B84"/>
    <w:rsid w:val="00534593"/>
    <w:rsid w:val="0053469D"/>
    <w:rsid w:val="0053498F"/>
    <w:rsid w:val="00534A1C"/>
    <w:rsid w:val="00534D7D"/>
    <w:rsid w:val="005350DC"/>
    <w:rsid w:val="00535252"/>
    <w:rsid w:val="0053539E"/>
    <w:rsid w:val="0053567D"/>
    <w:rsid w:val="005357E6"/>
    <w:rsid w:val="00535AAD"/>
    <w:rsid w:val="00535C83"/>
    <w:rsid w:val="00535CB4"/>
    <w:rsid w:val="00535DFF"/>
    <w:rsid w:val="00536010"/>
    <w:rsid w:val="0053606A"/>
    <w:rsid w:val="00536237"/>
    <w:rsid w:val="005367AC"/>
    <w:rsid w:val="00536896"/>
    <w:rsid w:val="00536AD5"/>
    <w:rsid w:val="00537146"/>
    <w:rsid w:val="00537904"/>
    <w:rsid w:val="00537A77"/>
    <w:rsid w:val="00537A7E"/>
    <w:rsid w:val="00537C63"/>
    <w:rsid w:val="00540310"/>
    <w:rsid w:val="005408E1"/>
    <w:rsid w:val="00540EB6"/>
    <w:rsid w:val="00540F9D"/>
    <w:rsid w:val="0054154D"/>
    <w:rsid w:val="00541A14"/>
    <w:rsid w:val="00541B77"/>
    <w:rsid w:val="005420F8"/>
    <w:rsid w:val="0054211F"/>
    <w:rsid w:val="005422EE"/>
    <w:rsid w:val="00542D62"/>
    <w:rsid w:val="00542E34"/>
    <w:rsid w:val="00543462"/>
    <w:rsid w:val="00543834"/>
    <w:rsid w:val="005438BB"/>
    <w:rsid w:val="0054390B"/>
    <w:rsid w:val="00543A5B"/>
    <w:rsid w:val="00543F9C"/>
    <w:rsid w:val="00544300"/>
    <w:rsid w:val="00544774"/>
    <w:rsid w:val="00544BF1"/>
    <w:rsid w:val="00545237"/>
    <w:rsid w:val="00545290"/>
    <w:rsid w:val="00545C42"/>
    <w:rsid w:val="00545D06"/>
    <w:rsid w:val="00545DB7"/>
    <w:rsid w:val="00545DDB"/>
    <w:rsid w:val="00545F2D"/>
    <w:rsid w:val="005461AA"/>
    <w:rsid w:val="005462D0"/>
    <w:rsid w:val="00546AD0"/>
    <w:rsid w:val="00546C79"/>
    <w:rsid w:val="00546D39"/>
    <w:rsid w:val="00546F85"/>
    <w:rsid w:val="005472F3"/>
    <w:rsid w:val="00547A88"/>
    <w:rsid w:val="00547AED"/>
    <w:rsid w:val="0055000A"/>
    <w:rsid w:val="0055036C"/>
    <w:rsid w:val="0055047F"/>
    <w:rsid w:val="0055087D"/>
    <w:rsid w:val="00550AB0"/>
    <w:rsid w:val="00550CBF"/>
    <w:rsid w:val="00550E84"/>
    <w:rsid w:val="00551368"/>
    <w:rsid w:val="005513AC"/>
    <w:rsid w:val="0055141A"/>
    <w:rsid w:val="00551759"/>
    <w:rsid w:val="00552278"/>
    <w:rsid w:val="005524B0"/>
    <w:rsid w:val="00552AF4"/>
    <w:rsid w:val="00552B0F"/>
    <w:rsid w:val="00552C3B"/>
    <w:rsid w:val="00552CD2"/>
    <w:rsid w:val="00552F7C"/>
    <w:rsid w:val="00552FCC"/>
    <w:rsid w:val="0055344F"/>
    <w:rsid w:val="00553893"/>
    <w:rsid w:val="00553D16"/>
    <w:rsid w:val="00553DFB"/>
    <w:rsid w:val="00554139"/>
    <w:rsid w:val="00554316"/>
    <w:rsid w:val="00554894"/>
    <w:rsid w:val="00554A84"/>
    <w:rsid w:val="00554F08"/>
    <w:rsid w:val="00554FFD"/>
    <w:rsid w:val="005555DB"/>
    <w:rsid w:val="0055584F"/>
    <w:rsid w:val="0055587F"/>
    <w:rsid w:val="00555AE0"/>
    <w:rsid w:val="00555AEC"/>
    <w:rsid w:val="00555B16"/>
    <w:rsid w:val="00555F09"/>
    <w:rsid w:val="00556028"/>
    <w:rsid w:val="00556EFB"/>
    <w:rsid w:val="00557296"/>
    <w:rsid w:val="005577B0"/>
    <w:rsid w:val="00557B39"/>
    <w:rsid w:val="0056013B"/>
    <w:rsid w:val="00560192"/>
    <w:rsid w:val="00561241"/>
    <w:rsid w:val="00561AB3"/>
    <w:rsid w:val="00562084"/>
    <w:rsid w:val="005623EA"/>
    <w:rsid w:val="005626AD"/>
    <w:rsid w:val="00562EA1"/>
    <w:rsid w:val="005630B7"/>
    <w:rsid w:val="005632E4"/>
    <w:rsid w:val="0056375B"/>
    <w:rsid w:val="00563DF2"/>
    <w:rsid w:val="00564369"/>
    <w:rsid w:val="00564B82"/>
    <w:rsid w:val="00564C58"/>
    <w:rsid w:val="00565095"/>
    <w:rsid w:val="00565333"/>
    <w:rsid w:val="0056574F"/>
    <w:rsid w:val="005658BD"/>
    <w:rsid w:val="005659B6"/>
    <w:rsid w:val="00565AA0"/>
    <w:rsid w:val="00565BB7"/>
    <w:rsid w:val="00565DB9"/>
    <w:rsid w:val="005661C7"/>
    <w:rsid w:val="0056644C"/>
    <w:rsid w:val="005667BA"/>
    <w:rsid w:val="005669BC"/>
    <w:rsid w:val="00566AD4"/>
    <w:rsid w:val="00566D15"/>
    <w:rsid w:val="00567154"/>
    <w:rsid w:val="00567562"/>
    <w:rsid w:val="005675DF"/>
    <w:rsid w:val="005679ED"/>
    <w:rsid w:val="00567B35"/>
    <w:rsid w:val="00567BDA"/>
    <w:rsid w:val="00567BE3"/>
    <w:rsid w:val="00567DE1"/>
    <w:rsid w:val="00570EED"/>
    <w:rsid w:val="00570F18"/>
    <w:rsid w:val="0057107A"/>
    <w:rsid w:val="0057141A"/>
    <w:rsid w:val="005716FC"/>
    <w:rsid w:val="005717F7"/>
    <w:rsid w:val="0057198F"/>
    <w:rsid w:val="00571D2A"/>
    <w:rsid w:val="00571F9E"/>
    <w:rsid w:val="00571FE8"/>
    <w:rsid w:val="005723C9"/>
    <w:rsid w:val="00572546"/>
    <w:rsid w:val="005725E3"/>
    <w:rsid w:val="005727BD"/>
    <w:rsid w:val="00572C2A"/>
    <w:rsid w:val="00572EF2"/>
    <w:rsid w:val="00573587"/>
    <w:rsid w:val="00573B54"/>
    <w:rsid w:val="00573F56"/>
    <w:rsid w:val="005744F6"/>
    <w:rsid w:val="00574B37"/>
    <w:rsid w:val="005754AB"/>
    <w:rsid w:val="005754ED"/>
    <w:rsid w:val="00575578"/>
    <w:rsid w:val="00575AE0"/>
    <w:rsid w:val="00575B15"/>
    <w:rsid w:val="00575B53"/>
    <w:rsid w:val="00575CAC"/>
    <w:rsid w:val="00575DEF"/>
    <w:rsid w:val="00575F16"/>
    <w:rsid w:val="00576C5F"/>
    <w:rsid w:val="00577004"/>
    <w:rsid w:val="005771F0"/>
    <w:rsid w:val="0057740D"/>
    <w:rsid w:val="005774BA"/>
    <w:rsid w:val="005778C8"/>
    <w:rsid w:val="005778EF"/>
    <w:rsid w:val="00577A25"/>
    <w:rsid w:val="00577A43"/>
    <w:rsid w:val="00577A7F"/>
    <w:rsid w:val="0058013F"/>
    <w:rsid w:val="005801A4"/>
    <w:rsid w:val="00580A06"/>
    <w:rsid w:val="00580E44"/>
    <w:rsid w:val="0058131B"/>
    <w:rsid w:val="005816FA"/>
    <w:rsid w:val="005818C7"/>
    <w:rsid w:val="0058211D"/>
    <w:rsid w:val="0058248A"/>
    <w:rsid w:val="005826EA"/>
    <w:rsid w:val="0058358D"/>
    <w:rsid w:val="0058385F"/>
    <w:rsid w:val="00583A33"/>
    <w:rsid w:val="00583DAA"/>
    <w:rsid w:val="00583E24"/>
    <w:rsid w:val="00583F94"/>
    <w:rsid w:val="00584435"/>
    <w:rsid w:val="0058453E"/>
    <w:rsid w:val="00584619"/>
    <w:rsid w:val="00584BE4"/>
    <w:rsid w:val="00584BFC"/>
    <w:rsid w:val="005852F7"/>
    <w:rsid w:val="0058546C"/>
    <w:rsid w:val="005854C4"/>
    <w:rsid w:val="00585A79"/>
    <w:rsid w:val="00585D6F"/>
    <w:rsid w:val="005860AF"/>
    <w:rsid w:val="005867D2"/>
    <w:rsid w:val="0058687D"/>
    <w:rsid w:val="005869CB"/>
    <w:rsid w:val="005870E2"/>
    <w:rsid w:val="0058724E"/>
    <w:rsid w:val="005875A5"/>
    <w:rsid w:val="00587773"/>
    <w:rsid w:val="00587876"/>
    <w:rsid w:val="0058798E"/>
    <w:rsid w:val="00587C39"/>
    <w:rsid w:val="0059013D"/>
    <w:rsid w:val="005902E2"/>
    <w:rsid w:val="00590781"/>
    <w:rsid w:val="00590862"/>
    <w:rsid w:val="005909A8"/>
    <w:rsid w:val="00590D4E"/>
    <w:rsid w:val="00590E3D"/>
    <w:rsid w:val="00590FD5"/>
    <w:rsid w:val="005910E0"/>
    <w:rsid w:val="0059162B"/>
    <w:rsid w:val="00591C16"/>
    <w:rsid w:val="00592808"/>
    <w:rsid w:val="00592A0D"/>
    <w:rsid w:val="00592A8E"/>
    <w:rsid w:val="00592B45"/>
    <w:rsid w:val="0059304D"/>
    <w:rsid w:val="00593FA4"/>
    <w:rsid w:val="00594376"/>
    <w:rsid w:val="005944B6"/>
    <w:rsid w:val="00594A61"/>
    <w:rsid w:val="00594F1D"/>
    <w:rsid w:val="00594F6F"/>
    <w:rsid w:val="005953AD"/>
    <w:rsid w:val="005956B6"/>
    <w:rsid w:val="005956E3"/>
    <w:rsid w:val="00595894"/>
    <w:rsid w:val="00595996"/>
    <w:rsid w:val="00595AB2"/>
    <w:rsid w:val="00596154"/>
    <w:rsid w:val="005963CC"/>
    <w:rsid w:val="00596841"/>
    <w:rsid w:val="00596861"/>
    <w:rsid w:val="00596C9B"/>
    <w:rsid w:val="00596CF9"/>
    <w:rsid w:val="00596E19"/>
    <w:rsid w:val="00596E80"/>
    <w:rsid w:val="005974E4"/>
    <w:rsid w:val="005978AA"/>
    <w:rsid w:val="0059794D"/>
    <w:rsid w:val="00597AA8"/>
    <w:rsid w:val="005A02D7"/>
    <w:rsid w:val="005A07F1"/>
    <w:rsid w:val="005A0E45"/>
    <w:rsid w:val="005A1113"/>
    <w:rsid w:val="005A1369"/>
    <w:rsid w:val="005A16FB"/>
    <w:rsid w:val="005A1986"/>
    <w:rsid w:val="005A1C71"/>
    <w:rsid w:val="005A2049"/>
    <w:rsid w:val="005A241E"/>
    <w:rsid w:val="005A27FB"/>
    <w:rsid w:val="005A28B4"/>
    <w:rsid w:val="005A2FEF"/>
    <w:rsid w:val="005A38AA"/>
    <w:rsid w:val="005A3C3C"/>
    <w:rsid w:val="005A3C9B"/>
    <w:rsid w:val="005A418F"/>
    <w:rsid w:val="005A46A3"/>
    <w:rsid w:val="005A46F6"/>
    <w:rsid w:val="005A472C"/>
    <w:rsid w:val="005A4869"/>
    <w:rsid w:val="005A4897"/>
    <w:rsid w:val="005A4A43"/>
    <w:rsid w:val="005A4C3D"/>
    <w:rsid w:val="005A4C76"/>
    <w:rsid w:val="005A51A0"/>
    <w:rsid w:val="005A5325"/>
    <w:rsid w:val="005A5557"/>
    <w:rsid w:val="005A573A"/>
    <w:rsid w:val="005A61A7"/>
    <w:rsid w:val="005A61F3"/>
    <w:rsid w:val="005A627D"/>
    <w:rsid w:val="005A6F61"/>
    <w:rsid w:val="005A6F92"/>
    <w:rsid w:val="005A6FED"/>
    <w:rsid w:val="005A70E5"/>
    <w:rsid w:val="005A7323"/>
    <w:rsid w:val="005A777A"/>
    <w:rsid w:val="005A78B2"/>
    <w:rsid w:val="005A7A57"/>
    <w:rsid w:val="005A7AA4"/>
    <w:rsid w:val="005B05E7"/>
    <w:rsid w:val="005B0AE8"/>
    <w:rsid w:val="005B0B39"/>
    <w:rsid w:val="005B10EF"/>
    <w:rsid w:val="005B13CE"/>
    <w:rsid w:val="005B166A"/>
    <w:rsid w:val="005B1A25"/>
    <w:rsid w:val="005B1B3E"/>
    <w:rsid w:val="005B1BC4"/>
    <w:rsid w:val="005B1C75"/>
    <w:rsid w:val="005B1D50"/>
    <w:rsid w:val="005B2836"/>
    <w:rsid w:val="005B2C40"/>
    <w:rsid w:val="005B2D3D"/>
    <w:rsid w:val="005B3B14"/>
    <w:rsid w:val="005B3C66"/>
    <w:rsid w:val="005B3CCF"/>
    <w:rsid w:val="005B3D11"/>
    <w:rsid w:val="005B411C"/>
    <w:rsid w:val="005B4BA3"/>
    <w:rsid w:val="005B4E4D"/>
    <w:rsid w:val="005B4EE9"/>
    <w:rsid w:val="005B5538"/>
    <w:rsid w:val="005B5D5F"/>
    <w:rsid w:val="005B63CD"/>
    <w:rsid w:val="005B6661"/>
    <w:rsid w:val="005B668D"/>
    <w:rsid w:val="005B6894"/>
    <w:rsid w:val="005B6B61"/>
    <w:rsid w:val="005B6C18"/>
    <w:rsid w:val="005B6E5D"/>
    <w:rsid w:val="005B6ED8"/>
    <w:rsid w:val="005B6F74"/>
    <w:rsid w:val="005B6FEC"/>
    <w:rsid w:val="005B6FF5"/>
    <w:rsid w:val="005B7121"/>
    <w:rsid w:val="005B7243"/>
    <w:rsid w:val="005B779C"/>
    <w:rsid w:val="005B7B2E"/>
    <w:rsid w:val="005B7B47"/>
    <w:rsid w:val="005B7C9F"/>
    <w:rsid w:val="005C01A8"/>
    <w:rsid w:val="005C06F8"/>
    <w:rsid w:val="005C072C"/>
    <w:rsid w:val="005C0E15"/>
    <w:rsid w:val="005C1023"/>
    <w:rsid w:val="005C1384"/>
    <w:rsid w:val="005C13B2"/>
    <w:rsid w:val="005C17A1"/>
    <w:rsid w:val="005C1815"/>
    <w:rsid w:val="005C1AEC"/>
    <w:rsid w:val="005C1FC1"/>
    <w:rsid w:val="005C27E3"/>
    <w:rsid w:val="005C33AA"/>
    <w:rsid w:val="005C37CB"/>
    <w:rsid w:val="005C3BE8"/>
    <w:rsid w:val="005C3EF8"/>
    <w:rsid w:val="005C3FE3"/>
    <w:rsid w:val="005C43CC"/>
    <w:rsid w:val="005C459C"/>
    <w:rsid w:val="005C475A"/>
    <w:rsid w:val="005C5AB2"/>
    <w:rsid w:val="005C5AD5"/>
    <w:rsid w:val="005C5C95"/>
    <w:rsid w:val="005C614F"/>
    <w:rsid w:val="005C6EF3"/>
    <w:rsid w:val="005C71FB"/>
    <w:rsid w:val="005C74C5"/>
    <w:rsid w:val="005C76CC"/>
    <w:rsid w:val="005C7775"/>
    <w:rsid w:val="005C7FCF"/>
    <w:rsid w:val="005D02FB"/>
    <w:rsid w:val="005D0EFF"/>
    <w:rsid w:val="005D1457"/>
    <w:rsid w:val="005D14B9"/>
    <w:rsid w:val="005D1A83"/>
    <w:rsid w:val="005D1A9F"/>
    <w:rsid w:val="005D1C71"/>
    <w:rsid w:val="005D1D91"/>
    <w:rsid w:val="005D28CC"/>
    <w:rsid w:val="005D292F"/>
    <w:rsid w:val="005D2986"/>
    <w:rsid w:val="005D2A87"/>
    <w:rsid w:val="005D2F0B"/>
    <w:rsid w:val="005D3264"/>
    <w:rsid w:val="005D34EA"/>
    <w:rsid w:val="005D368B"/>
    <w:rsid w:val="005D3E8E"/>
    <w:rsid w:val="005D40A9"/>
    <w:rsid w:val="005D42BD"/>
    <w:rsid w:val="005D45B5"/>
    <w:rsid w:val="005D4661"/>
    <w:rsid w:val="005D4C57"/>
    <w:rsid w:val="005D4FE1"/>
    <w:rsid w:val="005D5075"/>
    <w:rsid w:val="005D50C0"/>
    <w:rsid w:val="005D52FA"/>
    <w:rsid w:val="005D5403"/>
    <w:rsid w:val="005D542E"/>
    <w:rsid w:val="005D600F"/>
    <w:rsid w:val="005D6013"/>
    <w:rsid w:val="005D651D"/>
    <w:rsid w:val="005D6612"/>
    <w:rsid w:val="005D66F5"/>
    <w:rsid w:val="005D697E"/>
    <w:rsid w:val="005D6D99"/>
    <w:rsid w:val="005D7088"/>
    <w:rsid w:val="005D76AE"/>
    <w:rsid w:val="005D76DE"/>
    <w:rsid w:val="005D7713"/>
    <w:rsid w:val="005D777B"/>
    <w:rsid w:val="005D77DE"/>
    <w:rsid w:val="005D7D29"/>
    <w:rsid w:val="005D7EBF"/>
    <w:rsid w:val="005E05A1"/>
    <w:rsid w:val="005E09E4"/>
    <w:rsid w:val="005E0D78"/>
    <w:rsid w:val="005E1726"/>
    <w:rsid w:val="005E235A"/>
    <w:rsid w:val="005E2513"/>
    <w:rsid w:val="005E25C0"/>
    <w:rsid w:val="005E266F"/>
    <w:rsid w:val="005E2BCF"/>
    <w:rsid w:val="005E2FA1"/>
    <w:rsid w:val="005E348B"/>
    <w:rsid w:val="005E38DE"/>
    <w:rsid w:val="005E3B4C"/>
    <w:rsid w:val="005E3F34"/>
    <w:rsid w:val="005E421C"/>
    <w:rsid w:val="005E4241"/>
    <w:rsid w:val="005E4EF0"/>
    <w:rsid w:val="005E50E8"/>
    <w:rsid w:val="005E5734"/>
    <w:rsid w:val="005E5741"/>
    <w:rsid w:val="005E5EC3"/>
    <w:rsid w:val="005E602B"/>
    <w:rsid w:val="005E6150"/>
    <w:rsid w:val="005E61B6"/>
    <w:rsid w:val="005E6487"/>
    <w:rsid w:val="005E651F"/>
    <w:rsid w:val="005E664C"/>
    <w:rsid w:val="005E6971"/>
    <w:rsid w:val="005E6D4E"/>
    <w:rsid w:val="005E731E"/>
    <w:rsid w:val="005E73CE"/>
    <w:rsid w:val="005E77E3"/>
    <w:rsid w:val="005F0143"/>
    <w:rsid w:val="005F032D"/>
    <w:rsid w:val="005F0616"/>
    <w:rsid w:val="005F0727"/>
    <w:rsid w:val="005F07DC"/>
    <w:rsid w:val="005F0C34"/>
    <w:rsid w:val="005F0EAB"/>
    <w:rsid w:val="005F0FB4"/>
    <w:rsid w:val="005F13BD"/>
    <w:rsid w:val="005F1859"/>
    <w:rsid w:val="005F1A8D"/>
    <w:rsid w:val="005F1AC8"/>
    <w:rsid w:val="005F1B25"/>
    <w:rsid w:val="005F21AF"/>
    <w:rsid w:val="005F21FB"/>
    <w:rsid w:val="005F257C"/>
    <w:rsid w:val="005F25E2"/>
    <w:rsid w:val="005F27E3"/>
    <w:rsid w:val="005F2B4F"/>
    <w:rsid w:val="005F347F"/>
    <w:rsid w:val="005F35AA"/>
    <w:rsid w:val="005F38CE"/>
    <w:rsid w:val="005F40DE"/>
    <w:rsid w:val="005F4421"/>
    <w:rsid w:val="005F4927"/>
    <w:rsid w:val="005F49F4"/>
    <w:rsid w:val="005F4ABD"/>
    <w:rsid w:val="005F4B7D"/>
    <w:rsid w:val="005F4D34"/>
    <w:rsid w:val="005F4DB6"/>
    <w:rsid w:val="005F4E65"/>
    <w:rsid w:val="005F4F77"/>
    <w:rsid w:val="005F557D"/>
    <w:rsid w:val="005F56F3"/>
    <w:rsid w:val="005F572A"/>
    <w:rsid w:val="005F59E5"/>
    <w:rsid w:val="005F5A0F"/>
    <w:rsid w:val="005F5EDF"/>
    <w:rsid w:val="005F5F45"/>
    <w:rsid w:val="005F6035"/>
    <w:rsid w:val="005F6096"/>
    <w:rsid w:val="005F61C5"/>
    <w:rsid w:val="005F63D8"/>
    <w:rsid w:val="005F64FB"/>
    <w:rsid w:val="005F67EC"/>
    <w:rsid w:val="005F6A3F"/>
    <w:rsid w:val="005F6BBB"/>
    <w:rsid w:val="005F6C45"/>
    <w:rsid w:val="005F71EC"/>
    <w:rsid w:val="005F77DC"/>
    <w:rsid w:val="005F789F"/>
    <w:rsid w:val="005F78FC"/>
    <w:rsid w:val="006000CD"/>
    <w:rsid w:val="006000FB"/>
    <w:rsid w:val="00600265"/>
    <w:rsid w:val="006006E4"/>
    <w:rsid w:val="00600754"/>
    <w:rsid w:val="00600D0C"/>
    <w:rsid w:val="00600D88"/>
    <w:rsid w:val="0060119A"/>
    <w:rsid w:val="006022C1"/>
    <w:rsid w:val="006022D0"/>
    <w:rsid w:val="0060251E"/>
    <w:rsid w:val="00602905"/>
    <w:rsid w:val="00602A68"/>
    <w:rsid w:val="00602C95"/>
    <w:rsid w:val="00602DDE"/>
    <w:rsid w:val="00602E0C"/>
    <w:rsid w:val="0060339B"/>
    <w:rsid w:val="006034DC"/>
    <w:rsid w:val="00603552"/>
    <w:rsid w:val="00604335"/>
    <w:rsid w:val="006046E4"/>
    <w:rsid w:val="0060490C"/>
    <w:rsid w:val="00604BC5"/>
    <w:rsid w:val="00604D85"/>
    <w:rsid w:val="00605037"/>
    <w:rsid w:val="0060577C"/>
    <w:rsid w:val="006058B4"/>
    <w:rsid w:val="006059B6"/>
    <w:rsid w:val="00605E04"/>
    <w:rsid w:val="00605E0D"/>
    <w:rsid w:val="00605FFE"/>
    <w:rsid w:val="006063F2"/>
    <w:rsid w:val="0060650C"/>
    <w:rsid w:val="00606525"/>
    <w:rsid w:val="00606B37"/>
    <w:rsid w:val="00606FF6"/>
    <w:rsid w:val="00607252"/>
    <w:rsid w:val="00607624"/>
    <w:rsid w:val="00607C2E"/>
    <w:rsid w:val="00607C54"/>
    <w:rsid w:val="00610137"/>
    <w:rsid w:val="0061038C"/>
    <w:rsid w:val="006106C1"/>
    <w:rsid w:val="006106F4"/>
    <w:rsid w:val="00610B28"/>
    <w:rsid w:val="00610F52"/>
    <w:rsid w:val="0061124A"/>
    <w:rsid w:val="006112D0"/>
    <w:rsid w:val="0061167D"/>
    <w:rsid w:val="0061169D"/>
    <w:rsid w:val="00611737"/>
    <w:rsid w:val="00611752"/>
    <w:rsid w:val="00611B07"/>
    <w:rsid w:val="00611C1D"/>
    <w:rsid w:val="00611C60"/>
    <w:rsid w:val="00611F0D"/>
    <w:rsid w:val="00612019"/>
    <w:rsid w:val="00612388"/>
    <w:rsid w:val="006126A4"/>
    <w:rsid w:val="00612904"/>
    <w:rsid w:val="00612E32"/>
    <w:rsid w:val="00612FDD"/>
    <w:rsid w:val="006132FD"/>
    <w:rsid w:val="006133A6"/>
    <w:rsid w:val="006134CA"/>
    <w:rsid w:val="006136FB"/>
    <w:rsid w:val="00613846"/>
    <w:rsid w:val="00613ECE"/>
    <w:rsid w:val="0061461E"/>
    <w:rsid w:val="00614646"/>
    <w:rsid w:val="006148C3"/>
    <w:rsid w:val="0061494C"/>
    <w:rsid w:val="00614B35"/>
    <w:rsid w:val="00614DE8"/>
    <w:rsid w:val="006152D6"/>
    <w:rsid w:val="006154EE"/>
    <w:rsid w:val="00615686"/>
    <w:rsid w:val="00615A35"/>
    <w:rsid w:val="006165A9"/>
    <w:rsid w:val="00616755"/>
    <w:rsid w:val="00616B8C"/>
    <w:rsid w:val="00616BC0"/>
    <w:rsid w:val="00617108"/>
    <w:rsid w:val="00617211"/>
    <w:rsid w:val="00617264"/>
    <w:rsid w:val="0061750E"/>
    <w:rsid w:val="006175A7"/>
    <w:rsid w:val="00617652"/>
    <w:rsid w:val="0061784D"/>
    <w:rsid w:val="00617B8B"/>
    <w:rsid w:val="00617C18"/>
    <w:rsid w:val="00617C50"/>
    <w:rsid w:val="00617F79"/>
    <w:rsid w:val="00620231"/>
    <w:rsid w:val="006207B2"/>
    <w:rsid w:val="006207ED"/>
    <w:rsid w:val="00620AFF"/>
    <w:rsid w:val="00620B98"/>
    <w:rsid w:val="0062140E"/>
    <w:rsid w:val="00622143"/>
    <w:rsid w:val="00622388"/>
    <w:rsid w:val="00622669"/>
    <w:rsid w:val="0062286A"/>
    <w:rsid w:val="00622B1A"/>
    <w:rsid w:val="00622E0B"/>
    <w:rsid w:val="00622EFD"/>
    <w:rsid w:val="00622FE1"/>
    <w:rsid w:val="006230E8"/>
    <w:rsid w:val="0062325B"/>
    <w:rsid w:val="00623438"/>
    <w:rsid w:val="0062347D"/>
    <w:rsid w:val="006237DE"/>
    <w:rsid w:val="00623960"/>
    <w:rsid w:val="006239FD"/>
    <w:rsid w:val="006240FF"/>
    <w:rsid w:val="0062416C"/>
    <w:rsid w:val="006241BC"/>
    <w:rsid w:val="00624470"/>
    <w:rsid w:val="00624510"/>
    <w:rsid w:val="006246F3"/>
    <w:rsid w:val="0062488E"/>
    <w:rsid w:val="006249B1"/>
    <w:rsid w:val="00624CAC"/>
    <w:rsid w:val="00624F4E"/>
    <w:rsid w:val="00624F7C"/>
    <w:rsid w:val="006253B7"/>
    <w:rsid w:val="006255F0"/>
    <w:rsid w:val="006257E4"/>
    <w:rsid w:val="00625C1A"/>
    <w:rsid w:val="00625C77"/>
    <w:rsid w:val="00625CE5"/>
    <w:rsid w:val="00625EE9"/>
    <w:rsid w:val="00626071"/>
    <w:rsid w:val="00626216"/>
    <w:rsid w:val="00626652"/>
    <w:rsid w:val="006267E9"/>
    <w:rsid w:val="00626905"/>
    <w:rsid w:val="00626C37"/>
    <w:rsid w:val="00626C39"/>
    <w:rsid w:val="00626F07"/>
    <w:rsid w:val="00626FCF"/>
    <w:rsid w:val="0062707D"/>
    <w:rsid w:val="006274F5"/>
    <w:rsid w:val="00630256"/>
    <w:rsid w:val="0063071F"/>
    <w:rsid w:val="0063075D"/>
    <w:rsid w:val="006309D8"/>
    <w:rsid w:val="00630C5E"/>
    <w:rsid w:val="00630CFB"/>
    <w:rsid w:val="00631655"/>
    <w:rsid w:val="00631873"/>
    <w:rsid w:val="00631891"/>
    <w:rsid w:val="006318C0"/>
    <w:rsid w:val="00631BCE"/>
    <w:rsid w:val="00631E00"/>
    <w:rsid w:val="00631E43"/>
    <w:rsid w:val="00632111"/>
    <w:rsid w:val="00632459"/>
    <w:rsid w:val="0063251C"/>
    <w:rsid w:val="006326DF"/>
    <w:rsid w:val="006327CF"/>
    <w:rsid w:val="00632B0E"/>
    <w:rsid w:val="00632E50"/>
    <w:rsid w:val="00632FD8"/>
    <w:rsid w:val="00633C36"/>
    <w:rsid w:val="00633C83"/>
    <w:rsid w:val="0063426D"/>
    <w:rsid w:val="0063440B"/>
    <w:rsid w:val="0063461D"/>
    <w:rsid w:val="006347E7"/>
    <w:rsid w:val="006347F4"/>
    <w:rsid w:val="00634826"/>
    <w:rsid w:val="00634AA9"/>
    <w:rsid w:val="00634B42"/>
    <w:rsid w:val="00634D4F"/>
    <w:rsid w:val="00634D53"/>
    <w:rsid w:val="00635027"/>
    <w:rsid w:val="00635560"/>
    <w:rsid w:val="006355C4"/>
    <w:rsid w:val="00635CB0"/>
    <w:rsid w:val="00636486"/>
    <w:rsid w:val="0063660C"/>
    <w:rsid w:val="00636664"/>
    <w:rsid w:val="00636694"/>
    <w:rsid w:val="00636EBB"/>
    <w:rsid w:val="00637170"/>
    <w:rsid w:val="00637208"/>
    <w:rsid w:val="00637360"/>
    <w:rsid w:val="006374E0"/>
    <w:rsid w:val="00637764"/>
    <w:rsid w:val="00637C38"/>
    <w:rsid w:val="00637CBA"/>
    <w:rsid w:val="00637F64"/>
    <w:rsid w:val="00640576"/>
    <w:rsid w:val="0064059A"/>
    <w:rsid w:val="00640962"/>
    <w:rsid w:val="00640AC5"/>
    <w:rsid w:val="0064126C"/>
    <w:rsid w:val="006413AA"/>
    <w:rsid w:val="006416D2"/>
    <w:rsid w:val="00641A83"/>
    <w:rsid w:val="00641D62"/>
    <w:rsid w:val="00641D96"/>
    <w:rsid w:val="006423AA"/>
    <w:rsid w:val="006425CA"/>
    <w:rsid w:val="0064278C"/>
    <w:rsid w:val="00642B48"/>
    <w:rsid w:val="00642E37"/>
    <w:rsid w:val="00642F08"/>
    <w:rsid w:val="0064319B"/>
    <w:rsid w:val="00643AF4"/>
    <w:rsid w:val="00643E35"/>
    <w:rsid w:val="00644178"/>
    <w:rsid w:val="006441F6"/>
    <w:rsid w:val="0064422A"/>
    <w:rsid w:val="00644A52"/>
    <w:rsid w:val="00644A7B"/>
    <w:rsid w:val="00644B8F"/>
    <w:rsid w:val="00644D3A"/>
    <w:rsid w:val="00644DE9"/>
    <w:rsid w:val="00644FC4"/>
    <w:rsid w:val="0064516B"/>
    <w:rsid w:val="006455AF"/>
    <w:rsid w:val="00645BDE"/>
    <w:rsid w:val="00645E59"/>
    <w:rsid w:val="00645F5B"/>
    <w:rsid w:val="006465C3"/>
    <w:rsid w:val="0064669D"/>
    <w:rsid w:val="00646C6F"/>
    <w:rsid w:val="006470C4"/>
    <w:rsid w:val="00647163"/>
    <w:rsid w:val="0064720C"/>
    <w:rsid w:val="0064722E"/>
    <w:rsid w:val="006478DF"/>
    <w:rsid w:val="00647980"/>
    <w:rsid w:val="00647A7F"/>
    <w:rsid w:val="00647E22"/>
    <w:rsid w:val="00650941"/>
    <w:rsid w:val="00650C28"/>
    <w:rsid w:val="00650E6D"/>
    <w:rsid w:val="006510C1"/>
    <w:rsid w:val="006510CE"/>
    <w:rsid w:val="006512D6"/>
    <w:rsid w:val="00651812"/>
    <w:rsid w:val="0065196B"/>
    <w:rsid w:val="00651BBB"/>
    <w:rsid w:val="00651C59"/>
    <w:rsid w:val="00651D74"/>
    <w:rsid w:val="006522A8"/>
    <w:rsid w:val="00652880"/>
    <w:rsid w:val="00652994"/>
    <w:rsid w:val="00652C3A"/>
    <w:rsid w:val="00652DB7"/>
    <w:rsid w:val="00652FCE"/>
    <w:rsid w:val="0065394F"/>
    <w:rsid w:val="00653B1B"/>
    <w:rsid w:val="00653E23"/>
    <w:rsid w:val="006541F5"/>
    <w:rsid w:val="006543BA"/>
    <w:rsid w:val="00654926"/>
    <w:rsid w:val="00654D72"/>
    <w:rsid w:val="006553F3"/>
    <w:rsid w:val="006556B3"/>
    <w:rsid w:val="006556D1"/>
    <w:rsid w:val="006556D9"/>
    <w:rsid w:val="00655AEE"/>
    <w:rsid w:val="00655BB2"/>
    <w:rsid w:val="0065607A"/>
    <w:rsid w:val="006564CB"/>
    <w:rsid w:val="006565F7"/>
    <w:rsid w:val="006566BF"/>
    <w:rsid w:val="00656CDB"/>
    <w:rsid w:val="00656DA0"/>
    <w:rsid w:val="00657123"/>
    <w:rsid w:val="00657189"/>
    <w:rsid w:val="0065724E"/>
    <w:rsid w:val="006576EC"/>
    <w:rsid w:val="00657F90"/>
    <w:rsid w:val="0066002D"/>
    <w:rsid w:val="006600DB"/>
    <w:rsid w:val="00660596"/>
    <w:rsid w:val="006613C0"/>
    <w:rsid w:val="0066194E"/>
    <w:rsid w:val="00661C46"/>
    <w:rsid w:val="0066202F"/>
    <w:rsid w:val="006622A8"/>
    <w:rsid w:val="006626BE"/>
    <w:rsid w:val="006630FC"/>
    <w:rsid w:val="00663147"/>
    <w:rsid w:val="00663344"/>
    <w:rsid w:val="00663C93"/>
    <w:rsid w:val="00663DFB"/>
    <w:rsid w:val="00664416"/>
    <w:rsid w:val="006644E1"/>
    <w:rsid w:val="006645EC"/>
    <w:rsid w:val="00664642"/>
    <w:rsid w:val="00664674"/>
    <w:rsid w:val="00664C0C"/>
    <w:rsid w:val="0066506E"/>
    <w:rsid w:val="006652D3"/>
    <w:rsid w:val="0066540D"/>
    <w:rsid w:val="00665888"/>
    <w:rsid w:val="00666CBE"/>
    <w:rsid w:val="00667409"/>
    <w:rsid w:val="00667B59"/>
    <w:rsid w:val="00667BC6"/>
    <w:rsid w:val="00667C3E"/>
    <w:rsid w:val="00667CF3"/>
    <w:rsid w:val="00667F94"/>
    <w:rsid w:val="00670380"/>
    <w:rsid w:val="0067050A"/>
    <w:rsid w:val="006705D5"/>
    <w:rsid w:val="006706B5"/>
    <w:rsid w:val="00670722"/>
    <w:rsid w:val="00670C07"/>
    <w:rsid w:val="00670F72"/>
    <w:rsid w:val="00670F81"/>
    <w:rsid w:val="00671047"/>
    <w:rsid w:val="0067158A"/>
    <w:rsid w:val="00671738"/>
    <w:rsid w:val="006719B2"/>
    <w:rsid w:val="00671FF4"/>
    <w:rsid w:val="00672C45"/>
    <w:rsid w:val="00672F79"/>
    <w:rsid w:val="0067319C"/>
    <w:rsid w:val="00673DC1"/>
    <w:rsid w:val="00673F42"/>
    <w:rsid w:val="00674042"/>
    <w:rsid w:val="006744B2"/>
    <w:rsid w:val="00674D58"/>
    <w:rsid w:val="0067504E"/>
    <w:rsid w:val="006758C9"/>
    <w:rsid w:val="00675A5F"/>
    <w:rsid w:val="006764BC"/>
    <w:rsid w:val="006769C4"/>
    <w:rsid w:val="00676C6F"/>
    <w:rsid w:val="00677456"/>
    <w:rsid w:val="006774B0"/>
    <w:rsid w:val="00677627"/>
    <w:rsid w:val="006776C7"/>
    <w:rsid w:val="00677743"/>
    <w:rsid w:val="00677A67"/>
    <w:rsid w:val="00677A87"/>
    <w:rsid w:val="00677BD5"/>
    <w:rsid w:val="00677CD8"/>
    <w:rsid w:val="00677E3C"/>
    <w:rsid w:val="0068024B"/>
    <w:rsid w:val="0068025E"/>
    <w:rsid w:val="0068051B"/>
    <w:rsid w:val="006805D9"/>
    <w:rsid w:val="00680912"/>
    <w:rsid w:val="00680E8B"/>
    <w:rsid w:val="0068150F"/>
    <w:rsid w:val="006818D0"/>
    <w:rsid w:val="006819A3"/>
    <w:rsid w:val="00681D51"/>
    <w:rsid w:val="00681E2F"/>
    <w:rsid w:val="00682129"/>
    <w:rsid w:val="0068266C"/>
    <w:rsid w:val="00682E55"/>
    <w:rsid w:val="0068340E"/>
    <w:rsid w:val="00683528"/>
    <w:rsid w:val="00683722"/>
    <w:rsid w:val="00683D2F"/>
    <w:rsid w:val="00684044"/>
    <w:rsid w:val="006840B2"/>
    <w:rsid w:val="006843F6"/>
    <w:rsid w:val="006845FD"/>
    <w:rsid w:val="0068491F"/>
    <w:rsid w:val="00684F4C"/>
    <w:rsid w:val="006851A2"/>
    <w:rsid w:val="0068563E"/>
    <w:rsid w:val="00685DE4"/>
    <w:rsid w:val="00686118"/>
    <w:rsid w:val="006861C0"/>
    <w:rsid w:val="00686596"/>
    <w:rsid w:val="00686CC2"/>
    <w:rsid w:val="00686F00"/>
    <w:rsid w:val="00687C97"/>
    <w:rsid w:val="00687D5A"/>
    <w:rsid w:val="00690324"/>
    <w:rsid w:val="006904C2"/>
    <w:rsid w:val="006904DD"/>
    <w:rsid w:val="00690524"/>
    <w:rsid w:val="00690E71"/>
    <w:rsid w:val="006911C8"/>
    <w:rsid w:val="00691459"/>
    <w:rsid w:val="00692D12"/>
    <w:rsid w:val="00693137"/>
    <w:rsid w:val="00693531"/>
    <w:rsid w:val="00693842"/>
    <w:rsid w:val="00693888"/>
    <w:rsid w:val="00693C87"/>
    <w:rsid w:val="00693D3E"/>
    <w:rsid w:val="00694027"/>
    <w:rsid w:val="0069457A"/>
    <w:rsid w:val="006949A7"/>
    <w:rsid w:val="00694B53"/>
    <w:rsid w:val="00694B65"/>
    <w:rsid w:val="00694C69"/>
    <w:rsid w:val="00694D53"/>
    <w:rsid w:val="00694E58"/>
    <w:rsid w:val="00694FD4"/>
    <w:rsid w:val="006951CE"/>
    <w:rsid w:val="006951E5"/>
    <w:rsid w:val="006951FF"/>
    <w:rsid w:val="00695B5A"/>
    <w:rsid w:val="00695D1E"/>
    <w:rsid w:val="00695DBB"/>
    <w:rsid w:val="00695FCA"/>
    <w:rsid w:val="00696335"/>
    <w:rsid w:val="00696A4D"/>
    <w:rsid w:val="00696C70"/>
    <w:rsid w:val="00697608"/>
    <w:rsid w:val="00697AC9"/>
    <w:rsid w:val="00697D19"/>
    <w:rsid w:val="006A0052"/>
    <w:rsid w:val="006A05C7"/>
    <w:rsid w:val="006A08CA"/>
    <w:rsid w:val="006A0E43"/>
    <w:rsid w:val="006A102D"/>
    <w:rsid w:val="006A11E4"/>
    <w:rsid w:val="006A15CF"/>
    <w:rsid w:val="006A16F0"/>
    <w:rsid w:val="006A20A4"/>
    <w:rsid w:val="006A29FF"/>
    <w:rsid w:val="006A2AB9"/>
    <w:rsid w:val="006A2CF1"/>
    <w:rsid w:val="006A2DB4"/>
    <w:rsid w:val="006A350E"/>
    <w:rsid w:val="006A414D"/>
    <w:rsid w:val="006A41F8"/>
    <w:rsid w:val="006A4213"/>
    <w:rsid w:val="006A42A5"/>
    <w:rsid w:val="006A451E"/>
    <w:rsid w:val="006A45BB"/>
    <w:rsid w:val="006A4E52"/>
    <w:rsid w:val="006A4FC8"/>
    <w:rsid w:val="006A50F1"/>
    <w:rsid w:val="006A517B"/>
    <w:rsid w:val="006A55E1"/>
    <w:rsid w:val="006A603D"/>
    <w:rsid w:val="006A607B"/>
    <w:rsid w:val="006A61EC"/>
    <w:rsid w:val="006A6296"/>
    <w:rsid w:val="006A6E27"/>
    <w:rsid w:val="006A6EAC"/>
    <w:rsid w:val="006A6FB8"/>
    <w:rsid w:val="006A72B0"/>
    <w:rsid w:val="006A74E5"/>
    <w:rsid w:val="006A7AB4"/>
    <w:rsid w:val="006B02C4"/>
    <w:rsid w:val="006B04FE"/>
    <w:rsid w:val="006B05D4"/>
    <w:rsid w:val="006B075C"/>
    <w:rsid w:val="006B0856"/>
    <w:rsid w:val="006B0894"/>
    <w:rsid w:val="006B0932"/>
    <w:rsid w:val="006B0D78"/>
    <w:rsid w:val="006B18C5"/>
    <w:rsid w:val="006B1932"/>
    <w:rsid w:val="006B1B85"/>
    <w:rsid w:val="006B1F47"/>
    <w:rsid w:val="006B1FDA"/>
    <w:rsid w:val="006B36AE"/>
    <w:rsid w:val="006B3980"/>
    <w:rsid w:val="006B3E4D"/>
    <w:rsid w:val="006B417B"/>
    <w:rsid w:val="006B4449"/>
    <w:rsid w:val="006B46E7"/>
    <w:rsid w:val="006B474F"/>
    <w:rsid w:val="006B4C0C"/>
    <w:rsid w:val="006B4EAB"/>
    <w:rsid w:val="006B5091"/>
    <w:rsid w:val="006B50B8"/>
    <w:rsid w:val="006B50F9"/>
    <w:rsid w:val="006B5756"/>
    <w:rsid w:val="006B5A61"/>
    <w:rsid w:val="006B5B06"/>
    <w:rsid w:val="006B5C4C"/>
    <w:rsid w:val="006B5D79"/>
    <w:rsid w:val="006B5FBC"/>
    <w:rsid w:val="006B64E8"/>
    <w:rsid w:val="006B654C"/>
    <w:rsid w:val="006B6AEF"/>
    <w:rsid w:val="006B6DA1"/>
    <w:rsid w:val="006B76C2"/>
    <w:rsid w:val="006B7877"/>
    <w:rsid w:val="006B7CBC"/>
    <w:rsid w:val="006C0216"/>
    <w:rsid w:val="006C02CD"/>
    <w:rsid w:val="006C06A9"/>
    <w:rsid w:val="006C0DFA"/>
    <w:rsid w:val="006C132E"/>
    <w:rsid w:val="006C13A3"/>
    <w:rsid w:val="006C157B"/>
    <w:rsid w:val="006C1822"/>
    <w:rsid w:val="006C21F1"/>
    <w:rsid w:val="006C2ABA"/>
    <w:rsid w:val="006C2B59"/>
    <w:rsid w:val="006C2C86"/>
    <w:rsid w:val="006C2C8B"/>
    <w:rsid w:val="006C2D1A"/>
    <w:rsid w:val="006C34A1"/>
    <w:rsid w:val="006C3686"/>
    <w:rsid w:val="006C38EF"/>
    <w:rsid w:val="006C3BCF"/>
    <w:rsid w:val="006C3BEF"/>
    <w:rsid w:val="006C3C80"/>
    <w:rsid w:val="006C3EBC"/>
    <w:rsid w:val="006C4043"/>
    <w:rsid w:val="006C41C1"/>
    <w:rsid w:val="006C41ED"/>
    <w:rsid w:val="006C43FB"/>
    <w:rsid w:val="006C4950"/>
    <w:rsid w:val="006C49AF"/>
    <w:rsid w:val="006C4F0A"/>
    <w:rsid w:val="006C52B9"/>
    <w:rsid w:val="006C559A"/>
    <w:rsid w:val="006C58E3"/>
    <w:rsid w:val="006C5A8D"/>
    <w:rsid w:val="006C5CDD"/>
    <w:rsid w:val="006C5D0C"/>
    <w:rsid w:val="006C6346"/>
    <w:rsid w:val="006C6B24"/>
    <w:rsid w:val="006C6ED1"/>
    <w:rsid w:val="006C6F68"/>
    <w:rsid w:val="006C748E"/>
    <w:rsid w:val="006C7FB8"/>
    <w:rsid w:val="006C7FF1"/>
    <w:rsid w:val="006D01D6"/>
    <w:rsid w:val="006D02AA"/>
    <w:rsid w:val="006D0F89"/>
    <w:rsid w:val="006D1A50"/>
    <w:rsid w:val="006D1DFE"/>
    <w:rsid w:val="006D20A4"/>
    <w:rsid w:val="006D2560"/>
    <w:rsid w:val="006D328B"/>
    <w:rsid w:val="006D3620"/>
    <w:rsid w:val="006D41CE"/>
    <w:rsid w:val="006D460E"/>
    <w:rsid w:val="006D472A"/>
    <w:rsid w:val="006D4BE9"/>
    <w:rsid w:val="006D4CA2"/>
    <w:rsid w:val="006D50F6"/>
    <w:rsid w:val="006D5176"/>
    <w:rsid w:val="006D5201"/>
    <w:rsid w:val="006D5313"/>
    <w:rsid w:val="006D535C"/>
    <w:rsid w:val="006D5510"/>
    <w:rsid w:val="006D55C0"/>
    <w:rsid w:val="006D5820"/>
    <w:rsid w:val="006D5886"/>
    <w:rsid w:val="006D5F9A"/>
    <w:rsid w:val="006D6703"/>
    <w:rsid w:val="006D6944"/>
    <w:rsid w:val="006D6989"/>
    <w:rsid w:val="006D6F24"/>
    <w:rsid w:val="006D74ED"/>
    <w:rsid w:val="006D78EB"/>
    <w:rsid w:val="006D7C6D"/>
    <w:rsid w:val="006D7F5B"/>
    <w:rsid w:val="006E058C"/>
    <w:rsid w:val="006E0922"/>
    <w:rsid w:val="006E0B0D"/>
    <w:rsid w:val="006E0ED9"/>
    <w:rsid w:val="006E0EF4"/>
    <w:rsid w:val="006E0F5D"/>
    <w:rsid w:val="006E0FA4"/>
    <w:rsid w:val="006E13A6"/>
    <w:rsid w:val="006E13C3"/>
    <w:rsid w:val="006E1629"/>
    <w:rsid w:val="006E16D5"/>
    <w:rsid w:val="006E16F2"/>
    <w:rsid w:val="006E2008"/>
    <w:rsid w:val="006E2427"/>
    <w:rsid w:val="006E2429"/>
    <w:rsid w:val="006E2656"/>
    <w:rsid w:val="006E28FF"/>
    <w:rsid w:val="006E2BB3"/>
    <w:rsid w:val="006E3848"/>
    <w:rsid w:val="006E38A2"/>
    <w:rsid w:val="006E3D01"/>
    <w:rsid w:val="006E3DA4"/>
    <w:rsid w:val="006E4021"/>
    <w:rsid w:val="006E402D"/>
    <w:rsid w:val="006E42CD"/>
    <w:rsid w:val="006E4654"/>
    <w:rsid w:val="006E4690"/>
    <w:rsid w:val="006E48EE"/>
    <w:rsid w:val="006E4A43"/>
    <w:rsid w:val="006E4B4C"/>
    <w:rsid w:val="006E50E1"/>
    <w:rsid w:val="006E5147"/>
    <w:rsid w:val="006E5269"/>
    <w:rsid w:val="006E5934"/>
    <w:rsid w:val="006E5BC2"/>
    <w:rsid w:val="006E5D74"/>
    <w:rsid w:val="006E5DDC"/>
    <w:rsid w:val="006E5F40"/>
    <w:rsid w:val="006E5F44"/>
    <w:rsid w:val="006E6779"/>
    <w:rsid w:val="006E6BC2"/>
    <w:rsid w:val="006E6CE7"/>
    <w:rsid w:val="006E744A"/>
    <w:rsid w:val="006E77A5"/>
    <w:rsid w:val="006E77BB"/>
    <w:rsid w:val="006E780C"/>
    <w:rsid w:val="006E7BD2"/>
    <w:rsid w:val="006E7EF3"/>
    <w:rsid w:val="006E7FB6"/>
    <w:rsid w:val="006F020F"/>
    <w:rsid w:val="006F061C"/>
    <w:rsid w:val="006F0800"/>
    <w:rsid w:val="006F08FA"/>
    <w:rsid w:val="006F0A30"/>
    <w:rsid w:val="006F0C3D"/>
    <w:rsid w:val="006F1024"/>
    <w:rsid w:val="006F129F"/>
    <w:rsid w:val="006F13E0"/>
    <w:rsid w:val="006F1488"/>
    <w:rsid w:val="006F1C2B"/>
    <w:rsid w:val="006F1F36"/>
    <w:rsid w:val="006F26B4"/>
    <w:rsid w:val="006F2A0D"/>
    <w:rsid w:val="006F2D0A"/>
    <w:rsid w:val="006F2D32"/>
    <w:rsid w:val="006F2D7F"/>
    <w:rsid w:val="006F319D"/>
    <w:rsid w:val="006F3549"/>
    <w:rsid w:val="006F3ABE"/>
    <w:rsid w:val="006F3C1F"/>
    <w:rsid w:val="006F41F0"/>
    <w:rsid w:val="006F45A4"/>
    <w:rsid w:val="006F474D"/>
    <w:rsid w:val="006F4C65"/>
    <w:rsid w:val="006F4CC9"/>
    <w:rsid w:val="006F4FB4"/>
    <w:rsid w:val="006F5A7C"/>
    <w:rsid w:val="006F5CC2"/>
    <w:rsid w:val="006F6303"/>
    <w:rsid w:val="006F6316"/>
    <w:rsid w:val="006F65A2"/>
    <w:rsid w:val="006F6885"/>
    <w:rsid w:val="006F6C31"/>
    <w:rsid w:val="006F74B5"/>
    <w:rsid w:val="006F7A56"/>
    <w:rsid w:val="006F7DEF"/>
    <w:rsid w:val="00700127"/>
    <w:rsid w:val="00700CF2"/>
    <w:rsid w:val="00700F78"/>
    <w:rsid w:val="007011CC"/>
    <w:rsid w:val="007012D2"/>
    <w:rsid w:val="0070150E"/>
    <w:rsid w:val="007016DD"/>
    <w:rsid w:val="00701735"/>
    <w:rsid w:val="00701CC3"/>
    <w:rsid w:val="00702381"/>
    <w:rsid w:val="007024FB"/>
    <w:rsid w:val="00702577"/>
    <w:rsid w:val="00702F8D"/>
    <w:rsid w:val="00703238"/>
    <w:rsid w:val="00703253"/>
    <w:rsid w:val="007032EF"/>
    <w:rsid w:val="00703F05"/>
    <w:rsid w:val="007043D6"/>
    <w:rsid w:val="00704788"/>
    <w:rsid w:val="00704C5B"/>
    <w:rsid w:val="00705212"/>
    <w:rsid w:val="007055E4"/>
    <w:rsid w:val="00705DB8"/>
    <w:rsid w:val="00705F50"/>
    <w:rsid w:val="0070625C"/>
    <w:rsid w:val="007066F3"/>
    <w:rsid w:val="00706929"/>
    <w:rsid w:val="00706C8C"/>
    <w:rsid w:val="0070746A"/>
    <w:rsid w:val="0070748A"/>
    <w:rsid w:val="007076A2"/>
    <w:rsid w:val="00707A4C"/>
    <w:rsid w:val="00707A98"/>
    <w:rsid w:val="00707E5B"/>
    <w:rsid w:val="00707FE1"/>
    <w:rsid w:val="00710278"/>
    <w:rsid w:val="00710349"/>
    <w:rsid w:val="0071035A"/>
    <w:rsid w:val="0071049B"/>
    <w:rsid w:val="00710E62"/>
    <w:rsid w:val="00711412"/>
    <w:rsid w:val="00711738"/>
    <w:rsid w:val="0071179B"/>
    <w:rsid w:val="00711C71"/>
    <w:rsid w:val="00711D57"/>
    <w:rsid w:val="00712ACA"/>
    <w:rsid w:val="00713225"/>
    <w:rsid w:val="00713AD3"/>
    <w:rsid w:val="00713B79"/>
    <w:rsid w:val="00713BB3"/>
    <w:rsid w:val="007140E8"/>
    <w:rsid w:val="007141F4"/>
    <w:rsid w:val="00714972"/>
    <w:rsid w:val="00714F97"/>
    <w:rsid w:val="007151FA"/>
    <w:rsid w:val="0071529D"/>
    <w:rsid w:val="0071548F"/>
    <w:rsid w:val="00715751"/>
    <w:rsid w:val="00715F7B"/>
    <w:rsid w:val="0071682C"/>
    <w:rsid w:val="00716997"/>
    <w:rsid w:val="00716FE6"/>
    <w:rsid w:val="0071717E"/>
    <w:rsid w:val="007171E9"/>
    <w:rsid w:val="007174DE"/>
    <w:rsid w:val="007175A7"/>
    <w:rsid w:val="00717B3E"/>
    <w:rsid w:val="00720232"/>
    <w:rsid w:val="007205E1"/>
    <w:rsid w:val="0072095F"/>
    <w:rsid w:val="0072108E"/>
    <w:rsid w:val="007215E5"/>
    <w:rsid w:val="007216B7"/>
    <w:rsid w:val="00721767"/>
    <w:rsid w:val="00721826"/>
    <w:rsid w:val="00721A20"/>
    <w:rsid w:val="00721C77"/>
    <w:rsid w:val="007223D1"/>
    <w:rsid w:val="0072299A"/>
    <w:rsid w:val="00722B70"/>
    <w:rsid w:val="00722D6F"/>
    <w:rsid w:val="00723062"/>
    <w:rsid w:val="007230C6"/>
    <w:rsid w:val="007231DD"/>
    <w:rsid w:val="00723770"/>
    <w:rsid w:val="007241BE"/>
    <w:rsid w:val="00724786"/>
    <w:rsid w:val="0072512A"/>
    <w:rsid w:val="00725356"/>
    <w:rsid w:val="00725966"/>
    <w:rsid w:val="007261CF"/>
    <w:rsid w:val="00726384"/>
    <w:rsid w:val="007264B1"/>
    <w:rsid w:val="00726C80"/>
    <w:rsid w:val="00726F11"/>
    <w:rsid w:val="00726FDC"/>
    <w:rsid w:val="00727529"/>
    <w:rsid w:val="00727930"/>
    <w:rsid w:val="00727AAD"/>
    <w:rsid w:val="0073072C"/>
    <w:rsid w:val="0073130B"/>
    <w:rsid w:val="00731769"/>
    <w:rsid w:val="0073181C"/>
    <w:rsid w:val="007319F8"/>
    <w:rsid w:val="00731EE6"/>
    <w:rsid w:val="0073211A"/>
    <w:rsid w:val="0073271E"/>
    <w:rsid w:val="00732C26"/>
    <w:rsid w:val="00732C2F"/>
    <w:rsid w:val="00732D7D"/>
    <w:rsid w:val="00733081"/>
    <w:rsid w:val="0073347A"/>
    <w:rsid w:val="0073356D"/>
    <w:rsid w:val="0073359C"/>
    <w:rsid w:val="00734249"/>
    <w:rsid w:val="00734349"/>
    <w:rsid w:val="007343D5"/>
    <w:rsid w:val="00734420"/>
    <w:rsid w:val="00734D16"/>
    <w:rsid w:val="00734F40"/>
    <w:rsid w:val="00734FA3"/>
    <w:rsid w:val="00735025"/>
    <w:rsid w:val="007355A6"/>
    <w:rsid w:val="00735C36"/>
    <w:rsid w:val="00735F43"/>
    <w:rsid w:val="00736675"/>
    <w:rsid w:val="007368D0"/>
    <w:rsid w:val="00736915"/>
    <w:rsid w:val="00736E5C"/>
    <w:rsid w:val="007371C6"/>
    <w:rsid w:val="007371D7"/>
    <w:rsid w:val="00737503"/>
    <w:rsid w:val="00737BFB"/>
    <w:rsid w:val="00737E19"/>
    <w:rsid w:val="00737F87"/>
    <w:rsid w:val="00740368"/>
    <w:rsid w:val="00740410"/>
    <w:rsid w:val="00740A71"/>
    <w:rsid w:val="00740E94"/>
    <w:rsid w:val="00740FA6"/>
    <w:rsid w:val="00741167"/>
    <w:rsid w:val="0074146C"/>
    <w:rsid w:val="00741A31"/>
    <w:rsid w:val="00741F79"/>
    <w:rsid w:val="007420C7"/>
    <w:rsid w:val="0074223A"/>
    <w:rsid w:val="00742532"/>
    <w:rsid w:val="00742648"/>
    <w:rsid w:val="00743047"/>
    <w:rsid w:val="007439CC"/>
    <w:rsid w:val="00743CAC"/>
    <w:rsid w:val="00743CC3"/>
    <w:rsid w:val="00743E88"/>
    <w:rsid w:val="00743F25"/>
    <w:rsid w:val="00744015"/>
    <w:rsid w:val="00744041"/>
    <w:rsid w:val="00744062"/>
    <w:rsid w:val="0074436B"/>
    <w:rsid w:val="00744BDD"/>
    <w:rsid w:val="00744E10"/>
    <w:rsid w:val="007450A5"/>
    <w:rsid w:val="007453BE"/>
    <w:rsid w:val="007453E9"/>
    <w:rsid w:val="007458D5"/>
    <w:rsid w:val="00745C92"/>
    <w:rsid w:val="007460DA"/>
    <w:rsid w:val="00746977"/>
    <w:rsid w:val="00747126"/>
    <w:rsid w:val="007476A0"/>
    <w:rsid w:val="007477C5"/>
    <w:rsid w:val="0074792C"/>
    <w:rsid w:val="00747938"/>
    <w:rsid w:val="00747FBD"/>
    <w:rsid w:val="00750EC3"/>
    <w:rsid w:val="00750FCF"/>
    <w:rsid w:val="007512B3"/>
    <w:rsid w:val="00751551"/>
    <w:rsid w:val="007515D1"/>
    <w:rsid w:val="007517DA"/>
    <w:rsid w:val="00751B95"/>
    <w:rsid w:val="0075204A"/>
    <w:rsid w:val="007521C4"/>
    <w:rsid w:val="00752BEB"/>
    <w:rsid w:val="00752D13"/>
    <w:rsid w:val="00752DD8"/>
    <w:rsid w:val="0075312C"/>
    <w:rsid w:val="007532FA"/>
    <w:rsid w:val="00753671"/>
    <w:rsid w:val="00753757"/>
    <w:rsid w:val="0075377A"/>
    <w:rsid w:val="00753A38"/>
    <w:rsid w:val="00753D0A"/>
    <w:rsid w:val="007541E4"/>
    <w:rsid w:val="0075469A"/>
    <w:rsid w:val="00755467"/>
    <w:rsid w:val="00755817"/>
    <w:rsid w:val="00755B12"/>
    <w:rsid w:val="00755D93"/>
    <w:rsid w:val="00755DCB"/>
    <w:rsid w:val="00755E5C"/>
    <w:rsid w:val="00756A7B"/>
    <w:rsid w:val="00756CCC"/>
    <w:rsid w:val="00757035"/>
    <w:rsid w:val="00757186"/>
    <w:rsid w:val="007578E1"/>
    <w:rsid w:val="00757A6A"/>
    <w:rsid w:val="00757CF3"/>
    <w:rsid w:val="0076006D"/>
    <w:rsid w:val="00760768"/>
    <w:rsid w:val="00760BCC"/>
    <w:rsid w:val="0076106B"/>
    <w:rsid w:val="00761830"/>
    <w:rsid w:val="00761A7B"/>
    <w:rsid w:val="00761B62"/>
    <w:rsid w:val="007621FF"/>
    <w:rsid w:val="0076230C"/>
    <w:rsid w:val="00762AFB"/>
    <w:rsid w:val="007630F5"/>
    <w:rsid w:val="00763275"/>
    <w:rsid w:val="00763388"/>
    <w:rsid w:val="007637BC"/>
    <w:rsid w:val="007639D9"/>
    <w:rsid w:val="007640AF"/>
    <w:rsid w:val="0076440A"/>
    <w:rsid w:val="0076475B"/>
    <w:rsid w:val="00764B31"/>
    <w:rsid w:val="00764B5D"/>
    <w:rsid w:val="00764D00"/>
    <w:rsid w:val="00764FD5"/>
    <w:rsid w:val="007655A9"/>
    <w:rsid w:val="00765699"/>
    <w:rsid w:val="007656A1"/>
    <w:rsid w:val="007656CA"/>
    <w:rsid w:val="00765956"/>
    <w:rsid w:val="00765A07"/>
    <w:rsid w:val="00765BA8"/>
    <w:rsid w:val="00766007"/>
    <w:rsid w:val="007664F7"/>
    <w:rsid w:val="00767193"/>
    <w:rsid w:val="007673C8"/>
    <w:rsid w:val="00767768"/>
    <w:rsid w:val="0076784F"/>
    <w:rsid w:val="00767BF3"/>
    <w:rsid w:val="00767D9C"/>
    <w:rsid w:val="00767FFC"/>
    <w:rsid w:val="0077018F"/>
    <w:rsid w:val="00770A26"/>
    <w:rsid w:val="00770FA5"/>
    <w:rsid w:val="00771608"/>
    <w:rsid w:val="0077163A"/>
    <w:rsid w:val="007717E4"/>
    <w:rsid w:val="00771FB5"/>
    <w:rsid w:val="007724A7"/>
    <w:rsid w:val="007726FA"/>
    <w:rsid w:val="00772830"/>
    <w:rsid w:val="00772945"/>
    <w:rsid w:val="007730BE"/>
    <w:rsid w:val="007731BC"/>
    <w:rsid w:val="0077330B"/>
    <w:rsid w:val="00773328"/>
    <w:rsid w:val="00773481"/>
    <w:rsid w:val="00773913"/>
    <w:rsid w:val="00773C3D"/>
    <w:rsid w:val="007741E7"/>
    <w:rsid w:val="007746ED"/>
    <w:rsid w:val="00774814"/>
    <w:rsid w:val="00774B93"/>
    <w:rsid w:val="00774EAF"/>
    <w:rsid w:val="00774FC7"/>
    <w:rsid w:val="00775231"/>
    <w:rsid w:val="007754C3"/>
    <w:rsid w:val="0077554D"/>
    <w:rsid w:val="00775567"/>
    <w:rsid w:val="007757C6"/>
    <w:rsid w:val="00775C40"/>
    <w:rsid w:val="00775C59"/>
    <w:rsid w:val="0077629F"/>
    <w:rsid w:val="0077645D"/>
    <w:rsid w:val="00776542"/>
    <w:rsid w:val="00776749"/>
    <w:rsid w:val="00776E2E"/>
    <w:rsid w:val="00777442"/>
    <w:rsid w:val="00777451"/>
    <w:rsid w:val="0077791A"/>
    <w:rsid w:val="00777932"/>
    <w:rsid w:val="007779A3"/>
    <w:rsid w:val="00777ADC"/>
    <w:rsid w:val="007802E7"/>
    <w:rsid w:val="00780B1A"/>
    <w:rsid w:val="00780D45"/>
    <w:rsid w:val="00780F3F"/>
    <w:rsid w:val="007812E7"/>
    <w:rsid w:val="00781315"/>
    <w:rsid w:val="0078159F"/>
    <w:rsid w:val="007819ED"/>
    <w:rsid w:val="00781A97"/>
    <w:rsid w:val="00781E7D"/>
    <w:rsid w:val="00782065"/>
    <w:rsid w:val="00782419"/>
    <w:rsid w:val="007824BC"/>
    <w:rsid w:val="00782D2D"/>
    <w:rsid w:val="00782DFC"/>
    <w:rsid w:val="00782EC4"/>
    <w:rsid w:val="00782EEE"/>
    <w:rsid w:val="00783153"/>
    <w:rsid w:val="00783A74"/>
    <w:rsid w:val="00783AE5"/>
    <w:rsid w:val="00783CE1"/>
    <w:rsid w:val="00784B98"/>
    <w:rsid w:val="0078539C"/>
    <w:rsid w:val="00785777"/>
    <w:rsid w:val="007857DC"/>
    <w:rsid w:val="00785AEF"/>
    <w:rsid w:val="00785C83"/>
    <w:rsid w:val="00785F60"/>
    <w:rsid w:val="007864DA"/>
    <w:rsid w:val="00786ED8"/>
    <w:rsid w:val="00787491"/>
    <w:rsid w:val="0078759B"/>
    <w:rsid w:val="007875D7"/>
    <w:rsid w:val="00787807"/>
    <w:rsid w:val="00787A15"/>
    <w:rsid w:val="00787CF3"/>
    <w:rsid w:val="00787D20"/>
    <w:rsid w:val="00787FD1"/>
    <w:rsid w:val="0079001F"/>
    <w:rsid w:val="00790362"/>
    <w:rsid w:val="007904EA"/>
    <w:rsid w:val="0079065C"/>
    <w:rsid w:val="007906A9"/>
    <w:rsid w:val="00790767"/>
    <w:rsid w:val="00790A3B"/>
    <w:rsid w:val="00790B5F"/>
    <w:rsid w:val="0079108A"/>
    <w:rsid w:val="007911B6"/>
    <w:rsid w:val="00791433"/>
    <w:rsid w:val="00791BF5"/>
    <w:rsid w:val="00792061"/>
    <w:rsid w:val="007920FE"/>
    <w:rsid w:val="00792431"/>
    <w:rsid w:val="007930B7"/>
    <w:rsid w:val="00793237"/>
    <w:rsid w:val="00793541"/>
    <w:rsid w:val="0079366E"/>
    <w:rsid w:val="00793696"/>
    <w:rsid w:val="007946AA"/>
    <w:rsid w:val="00794D41"/>
    <w:rsid w:val="00794E6A"/>
    <w:rsid w:val="00794F5F"/>
    <w:rsid w:val="007953AE"/>
    <w:rsid w:val="007954CF"/>
    <w:rsid w:val="00795730"/>
    <w:rsid w:val="007958E5"/>
    <w:rsid w:val="00795DF5"/>
    <w:rsid w:val="00795E2E"/>
    <w:rsid w:val="0079691E"/>
    <w:rsid w:val="007969E4"/>
    <w:rsid w:val="00796CD0"/>
    <w:rsid w:val="00796E5B"/>
    <w:rsid w:val="00796E96"/>
    <w:rsid w:val="00797093"/>
    <w:rsid w:val="007970C0"/>
    <w:rsid w:val="0079776F"/>
    <w:rsid w:val="00797CD7"/>
    <w:rsid w:val="007A0003"/>
    <w:rsid w:val="007A0131"/>
    <w:rsid w:val="007A0395"/>
    <w:rsid w:val="007A04E1"/>
    <w:rsid w:val="007A06CB"/>
    <w:rsid w:val="007A08CD"/>
    <w:rsid w:val="007A08CE"/>
    <w:rsid w:val="007A092C"/>
    <w:rsid w:val="007A0BC8"/>
    <w:rsid w:val="007A0F3F"/>
    <w:rsid w:val="007A1364"/>
    <w:rsid w:val="007A1785"/>
    <w:rsid w:val="007A1889"/>
    <w:rsid w:val="007A1939"/>
    <w:rsid w:val="007A1F2D"/>
    <w:rsid w:val="007A2286"/>
    <w:rsid w:val="007A2485"/>
    <w:rsid w:val="007A24A0"/>
    <w:rsid w:val="007A2720"/>
    <w:rsid w:val="007A2769"/>
    <w:rsid w:val="007A2824"/>
    <w:rsid w:val="007A28EC"/>
    <w:rsid w:val="007A2938"/>
    <w:rsid w:val="007A2CCB"/>
    <w:rsid w:val="007A2DB0"/>
    <w:rsid w:val="007A2E83"/>
    <w:rsid w:val="007A332C"/>
    <w:rsid w:val="007A35AC"/>
    <w:rsid w:val="007A3B9A"/>
    <w:rsid w:val="007A3FC1"/>
    <w:rsid w:val="007A4094"/>
    <w:rsid w:val="007A4171"/>
    <w:rsid w:val="007A41A1"/>
    <w:rsid w:val="007A41B9"/>
    <w:rsid w:val="007A4377"/>
    <w:rsid w:val="007A4637"/>
    <w:rsid w:val="007A48CA"/>
    <w:rsid w:val="007A4AB2"/>
    <w:rsid w:val="007A4E13"/>
    <w:rsid w:val="007A50A2"/>
    <w:rsid w:val="007A58DD"/>
    <w:rsid w:val="007A5E68"/>
    <w:rsid w:val="007A602B"/>
    <w:rsid w:val="007A63C9"/>
    <w:rsid w:val="007A64DE"/>
    <w:rsid w:val="007A6CFC"/>
    <w:rsid w:val="007A71CE"/>
    <w:rsid w:val="007A7442"/>
    <w:rsid w:val="007A7729"/>
    <w:rsid w:val="007A7825"/>
    <w:rsid w:val="007A7925"/>
    <w:rsid w:val="007A7E8C"/>
    <w:rsid w:val="007B08C9"/>
    <w:rsid w:val="007B0A22"/>
    <w:rsid w:val="007B0CAC"/>
    <w:rsid w:val="007B0E20"/>
    <w:rsid w:val="007B14FD"/>
    <w:rsid w:val="007B15A6"/>
    <w:rsid w:val="007B18D5"/>
    <w:rsid w:val="007B1B6D"/>
    <w:rsid w:val="007B1BF7"/>
    <w:rsid w:val="007B1DA8"/>
    <w:rsid w:val="007B265A"/>
    <w:rsid w:val="007B27BE"/>
    <w:rsid w:val="007B2892"/>
    <w:rsid w:val="007B2FD6"/>
    <w:rsid w:val="007B321C"/>
    <w:rsid w:val="007B33E5"/>
    <w:rsid w:val="007B36BF"/>
    <w:rsid w:val="007B3C14"/>
    <w:rsid w:val="007B3D0B"/>
    <w:rsid w:val="007B454A"/>
    <w:rsid w:val="007B45DE"/>
    <w:rsid w:val="007B46A6"/>
    <w:rsid w:val="007B46AB"/>
    <w:rsid w:val="007B4A59"/>
    <w:rsid w:val="007B4D42"/>
    <w:rsid w:val="007B4FD1"/>
    <w:rsid w:val="007B51AA"/>
    <w:rsid w:val="007B5502"/>
    <w:rsid w:val="007B577C"/>
    <w:rsid w:val="007B598C"/>
    <w:rsid w:val="007B5A2F"/>
    <w:rsid w:val="007B5B27"/>
    <w:rsid w:val="007B5B32"/>
    <w:rsid w:val="007B5C75"/>
    <w:rsid w:val="007B610F"/>
    <w:rsid w:val="007B629E"/>
    <w:rsid w:val="007B63CF"/>
    <w:rsid w:val="007B69D8"/>
    <w:rsid w:val="007B6AEE"/>
    <w:rsid w:val="007B6F53"/>
    <w:rsid w:val="007B713D"/>
    <w:rsid w:val="007B745C"/>
    <w:rsid w:val="007B7472"/>
    <w:rsid w:val="007B7573"/>
    <w:rsid w:val="007B7A13"/>
    <w:rsid w:val="007B7AAB"/>
    <w:rsid w:val="007C03BB"/>
    <w:rsid w:val="007C06B2"/>
    <w:rsid w:val="007C124F"/>
    <w:rsid w:val="007C1D9D"/>
    <w:rsid w:val="007C223B"/>
    <w:rsid w:val="007C229C"/>
    <w:rsid w:val="007C28CF"/>
    <w:rsid w:val="007C2941"/>
    <w:rsid w:val="007C29D7"/>
    <w:rsid w:val="007C2A9E"/>
    <w:rsid w:val="007C2FC6"/>
    <w:rsid w:val="007C3215"/>
    <w:rsid w:val="007C34DE"/>
    <w:rsid w:val="007C38B5"/>
    <w:rsid w:val="007C404B"/>
    <w:rsid w:val="007C4077"/>
    <w:rsid w:val="007C4187"/>
    <w:rsid w:val="007C41A0"/>
    <w:rsid w:val="007C4A68"/>
    <w:rsid w:val="007C4BAE"/>
    <w:rsid w:val="007C4BEE"/>
    <w:rsid w:val="007C4D64"/>
    <w:rsid w:val="007C4EF0"/>
    <w:rsid w:val="007C4FAE"/>
    <w:rsid w:val="007C5BA9"/>
    <w:rsid w:val="007C62AC"/>
    <w:rsid w:val="007C667A"/>
    <w:rsid w:val="007C6A89"/>
    <w:rsid w:val="007C6D50"/>
    <w:rsid w:val="007C6F2E"/>
    <w:rsid w:val="007C73CF"/>
    <w:rsid w:val="007C764E"/>
    <w:rsid w:val="007C77C5"/>
    <w:rsid w:val="007C7E37"/>
    <w:rsid w:val="007D01AF"/>
    <w:rsid w:val="007D039C"/>
    <w:rsid w:val="007D044C"/>
    <w:rsid w:val="007D10C8"/>
    <w:rsid w:val="007D1269"/>
    <w:rsid w:val="007D1406"/>
    <w:rsid w:val="007D1CE2"/>
    <w:rsid w:val="007D1D3B"/>
    <w:rsid w:val="007D1DF0"/>
    <w:rsid w:val="007D20B0"/>
    <w:rsid w:val="007D24CF"/>
    <w:rsid w:val="007D2A15"/>
    <w:rsid w:val="007D3165"/>
    <w:rsid w:val="007D31C1"/>
    <w:rsid w:val="007D32B3"/>
    <w:rsid w:val="007D3560"/>
    <w:rsid w:val="007D3DF2"/>
    <w:rsid w:val="007D4068"/>
    <w:rsid w:val="007D41C3"/>
    <w:rsid w:val="007D4284"/>
    <w:rsid w:val="007D4621"/>
    <w:rsid w:val="007D47A8"/>
    <w:rsid w:val="007D4982"/>
    <w:rsid w:val="007D4D87"/>
    <w:rsid w:val="007D4E55"/>
    <w:rsid w:val="007D54A2"/>
    <w:rsid w:val="007D5696"/>
    <w:rsid w:val="007D5787"/>
    <w:rsid w:val="007D5960"/>
    <w:rsid w:val="007D5A97"/>
    <w:rsid w:val="007D6002"/>
    <w:rsid w:val="007D606A"/>
    <w:rsid w:val="007D65F6"/>
    <w:rsid w:val="007D6C0C"/>
    <w:rsid w:val="007D7882"/>
    <w:rsid w:val="007D7C3C"/>
    <w:rsid w:val="007D7D31"/>
    <w:rsid w:val="007E025A"/>
    <w:rsid w:val="007E0521"/>
    <w:rsid w:val="007E0D25"/>
    <w:rsid w:val="007E114E"/>
    <w:rsid w:val="007E15F0"/>
    <w:rsid w:val="007E17FA"/>
    <w:rsid w:val="007E1883"/>
    <w:rsid w:val="007E2B82"/>
    <w:rsid w:val="007E2DD3"/>
    <w:rsid w:val="007E33B9"/>
    <w:rsid w:val="007E3460"/>
    <w:rsid w:val="007E3588"/>
    <w:rsid w:val="007E36ED"/>
    <w:rsid w:val="007E378E"/>
    <w:rsid w:val="007E42E6"/>
    <w:rsid w:val="007E46BF"/>
    <w:rsid w:val="007E487F"/>
    <w:rsid w:val="007E4A0D"/>
    <w:rsid w:val="007E4B2D"/>
    <w:rsid w:val="007E4C3A"/>
    <w:rsid w:val="007E4C3F"/>
    <w:rsid w:val="007E5388"/>
    <w:rsid w:val="007E54E0"/>
    <w:rsid w:val="007E587D"/>
    <w:rsid w:val="007E58C0"/>
    <w:rsid w:val="007E5CE8"/>
    <w:rsid w:val="007E6447"/>
    <w:rsid w:val="007E6757"/>
    <w:rsid w:val="007E68C0"/>
    <w:rsid w:val="007E6D75"/>
    <w:rsid w:val="007E6D9B"/>
    <w:rsid w:val="007E6DE7"/>
    <w:rsid w:val="007E7124"/>
    <w:rsid w:val="007E71E9"/>
    <w:rsid w:val="007E74E3"/>
    <w:rsid w:val="007E76CB"/>
    <w:rsid w:val="007E7721"/>
    <w:rsid w:val="007E7B1C"/>
    <w:rsid w:val="007E7C5C"/>
    <w:rsid w:val="007E7CB2"/>
    <w:rsid w:val="007E7CF2"/>
    <w:rsid w:val="007F02B2"/>
    <w:rsid w:val="007F02C7"/>
    <w:rsid w:val="007F032B"/>
    <w:rsid w:val="007F0CBE"/>
    <w:rsid w:val="007F10CC"/>
    <w:rsid w:val="007F12E0"/>
    <w:rsid w:val="007F160D"/>
    <w:rsid w:val="007F1873"/>
    <w:rsid w:val="007F1BFB"/>
    <w:rsid w:val="007F1D06"/>
    <w:rsid w:val="007F1ECD"/>
    <w:rsid w:val="007F2C72"/>
    <w:rsid w:val="007F2EB2"/>
    <w:rsid w:val="007F2F7E"/>
    <w:rsid w:val="007F3034"/>
    <w:rsid w:val="007F344C"/>
    <w:rsid w:val="007F3745"/>
    <w:rsid w:val="007F3FE8"/>
    <w:rsid w:val="007F5287"/>
    <w:rsid w:val="007F550B"/>
    <w:rsid w:val="007F5799"/>
    <w:rsid w:val="007F5A11"/>
    <w:rsid w:val="007F5BF1"/>
    <w:rsid w:val="007F62F3"/>
    <w:rsid w:val="007F651C"/>
    <w:rsid w:val="007F66F4"/>
    <w:rsid w:val="007F68DC"/>
    <w:rsid w:val="007F68DF"/>
    <w:rsid w:val="007F6B28"/>
    <w:rsid w:val="007F6D6C"/>
    <w:rsid w:val="007F70B9"/>
    <w:rsid w:val="007F7137"/>
    <w:rsid w:val="007F7679"/>
    <w:rsid w:val="007F7A75"/>
    <w:rsid w:val="007F7C48"/>
    <w:rsid w:val="007F7ECC"/>
    <w:rsid w:val="0080006E"/>
    <w:rsid w:val="00800462"/>
    <w:rsid w:val="0080048C"/>
    <w:rsid w:val="00800E62"/>
    <w:rsid w:val="00800F35"/>
    <w:rsid w:val="008010D7"/>
    <w:rsid w:val="0080128D"/>
    <w:rsid w:val="0080147D"/>
    <w:rsid w:val="008016CA"/>
    <w:rsid w:val="008017B6"/>
    <w:rsid w:val="00801DB0"/>
    <w:rsid w:val="00802A65"/>
    <w:rsid w:val="00802DF1"/>
    <w:rsid w:val="008030EB"/>
    <w:rsid w:val="00803432"/>
    <w:rsid w:val="00803443"/>
    <w:rsid w:val="008036C0"/>
    <w:rsid w:val="00803F2E"/>
    <w:rsid w:val="00804131"/>
    <w:rsid w:val="00804144"/>
    <w:rsid w:val="008041DE"/>
    <w:rsid w:val="0080450E"/>
    <w:rsid w:val="00804530"/>
    <w:rsid w:val="008048F5"/>
    <w:rsid w:val="00804A6F"/>
    <w:rsid w:val="00804B1E"/>
    <w:rsid w:val="00804D52"/>
    <w:rsid w:val="00805159"/>
    <w:rsid w:val="0080516A"/>
    <w:rsid w:val="00805930"/>
    <w:rsid w:val="00805D9C"/>
    <w:rsid w:val="008061D6"/>
    <w:rsid w:val="0080646D"/>
    <w:rsid w:val="0080680D"/>
    <w:rsid w:val="00807138"/>
    <w:rsid w:val="0080786A"/>
    <w:rsid w:val="00807AA3"/>
    <w:rsid w:val="00807F10"/>
    <w:rsid w:val="00810139"/>
    <w:rsid w:val="00810552"/>
    <w:rsid w:val="008105B3"/>
    <w:rsid w:val="008111CF"/>
    <w:rsid w:val="0081157F"/>
    <w:rsid w:val="00811CEA"/>
    <w:rsid w:val="00811D79"/>
    <w:rsid w:val="008127F9"/>
    <w:rsid w:val="00812A4B"/>
    <w:rsid w:val="00812C05"/>
    <w:rsid w:val="00812DF0"/>
    <w:rsid w:val="00812FA4"/>
    <w:rsid w:val="008130B3"/>
    <w:rsid w:val="008130C4"/>
    <w:rsid w:val="0081322A"/>
    <w:rsid w:val="00813678"/>
    <w:rsid w:val="0081367C"/>
    <w:rsid w:val="008137B6"/>
    <w:rsid w:val="0081391C"/>
    <w:rsid w:val="00813A02"/>
    <w:rsid w:val="00813B8D"/>
    <w:rsid w:val="00813C26"/>
    <w:rsid w:val="00813DC9"/>
    <w:rsid w:val="00813F34"/>
    <w:rsid w:val="0081423C"/>
    <w:rsid w:val="00814693"/>
    <w:rsid w:val="00814746"/>
    <w:rsid w:val="008148C2"/>
    <w:rsid w:val="00814D2B"/>
    <w:rsid w:val="00814FFC"/>
    <w:rsid w:val="00815055"/>
    <w:rsid w:val="008151CC"/>
    <w:rsid w:val="0081521F"/>
    <w:rsid w:val="008153C9"/>
    <w:rsid w:val="00815617"/>
    <w:rsid w:val="00815E12"/>
    <w:rsid w:val="008162AB"/>
    <w:rsid w:val="008164EB"/>
    <w:rsid w:val="008169C0"/>
    <w:rsid w:val="008169E7"/>
    <w:rsid w:val="00816E7C"/>
    <w:rsid w:val="0081766B"/>
    <w:rsid w:val="00817A08"/>
    <w:rsid w:val="00817A68"/>
    <w:rsid w:val="00820071"/>
    <w:rsid w:val="00820281"/>
    <w:rsid w:val="008203C0"/>
    <w:rsid w:val="00820AAD"/>
    <w:rsid w:val="00820BC4"/>
    <w:rsid w:val="0082130E"/>
    <w:rsid w:val="00821747"/>
    <w:rsid w:val="00821C6A"/>
    <w:rsid w:val="00821EE3"/>
    <w:rsid w:val="00822048"/>
    <w:rsid w:val="0082253F"/>
    <w:rsid w:val="00822C58"/>
    <w:rsid w:val="00822D96"/>
    <w:rsid w:val="008233E7"/>
    <w:rsid w:val="0082353F"/>
    <w:rsid w:val="00823611"/>
    <w:rsid w:val="00823AEB"/>
    <w:rsid w:val="00823B79"/>
    <w:rsid w:val="00823C4B"/>
    <w:rsid w:val="00823E43"/>
    <w:rsid w:val="00823F22"/>
    <w:rsid w:val="008249A1"/>
    <w:rsid w:val="00824E21"/>
    <w:rsid w:val="008252C7"/>
    <w:rsid w:val="008253BF"/>
    <w:rsid w:val="008256B0"/>
    <w:rsid w:val="00825933"/>
    <w:rsid w:val="00825FFF"/>
    <w:rsid w:val="0082604B"/>
    <w:rsid w:val="00826220"/>
    <w:rsid w:val="008264F4"/>
    <w:rsid w:val="00826747"/>
    <w:rsid w:val="008267DA"/>
    <w:rsid w:val="00826C83"/>
    <w:rsid w:val="00826D47"/>
    <w:rsid w:val="00826F5C"/>
    <w:rsid w:val="00827368"/>
    <w:rsid w:val="00827AAC"/>
    <w:rsid w:val="00827C83"/>
    <w:rsid w:val="00827D6E"/>
    <w:rsid w:val="00827DC0"/>
    <w:rsid w:val="00827DEF"/>
    <w:rsid w:val="00827F0B"/>
    <w:rsid w:val="00827F65"/>
    <w:rsid w:val="00830040"/>
    <w:rsid w:val="0083010F"/>
    <w:rsid w:val="008302B7"/>
    <w:rsid w:val="00830340"/>
    <w:rsid w:val="008303A5"/>
    <w:rsid w:val="00830A36"/>
    <w:rsid w:val="00830F45"/>
    <w:rsid w:val="0083115E"/>
    <w:rsid w:val="00831279"/>
    <w:rsid w:val="00831864"/>
    <w:rsid w:val="00831F0B"/>
    <w:rsid w:val="00831FC2"/>
    <w:rsid w:val="0083256E"/>
    <w:rsid w:val="0083269B"/>
    <w:rsid w:val="00832B42"/>
    <w:rsid w:val="00832BB0"/>
    <w:rsid w:val="00832D79"/>
    <w:rsid w:val="00832F98"/>
    <w:rsid w:val="008330FE"/>
    <w:rsid w:val="008333AF"/>
    <w:rsid w:val="00833682"/>
    <w:rsid w:val="008337D2"/>
    <w:rsid w:val="00833A60"/>
    <w:rsid w:val="00833B23"/>
    <w:rsid w:val="00833DDB"/>
    <w:rsid w:val="00833E6F"/>
    <w:rsid w:val="00833F3F"/>
    <w:rsid w:val="0083438F"/>
    <w:rsid w:val="00834608"/>
    <w:rsid w:val="008346F0"/>
    <w:rsid w:val="008349B6"/>
    <w:rsid w:val="00834C54"/>
    <w:rsid w:val="0083508E"/>
    <w:rsid w:val="0083582D"/>
    <w:rsid w:val="00835B07"/>
    <w:rsid w:val="00835F6A"/>
    <w:rsid w:val="0083608A"/>
    <w:rsid w:val="0083639B"/>
    <w:rsid w:val="00836D98"/>
    <w:rsid w:val="0083793B"/>
    <w:rsid w:val="00837AA4"/>
    <w:rsid w:val="00837FBB"/>
    <w:rsid w:val="00840A83"/>
    <w:rsid w:val="00840CA5"/>
    <w:rsid w:val="0084147D"/>
    <w:rsid w:val="00841533"/>
    <w:rsid w:val="00841B13"/>
    <w:rsid w:val="00841E92"/>
    <w:rsid w:val="00842AB6"/>
    <w:rsid w:val="00842E09"/>
    <w:rsid w:val="00843016"/>
    <w:rsid w:val="00843577"/>
    <w:rsid w:val="00843E6F"/>
    <w:rsid w:val="008441CE"/>
    <w:rsid w:val="008443E7"/>
    <w:rsid w:val="00844562"/>
    <w:rsid w:val="00844890"/>
    <w:rsid w:val="00844A90"/>
    <w:rsid w:val="00844E7A"/>
    <w:rsid w:val="00844F83"/>
    <w:rsid w:val="0084524A"/>
    <w:rsid w:val="00845487"/>
    <w:rsid w:val="00845499"/>
    <w:rsid w:val="008456CE"/>
    <w:rsid w:val="00845881"/>
    <w:rsid w:val="008460D6"/>
    <w:rsid w:val="00846C00"/>
    <w:rsid w:val="00846E05"/>
    <w:rsid w:val="00846E4A"/>
    <w:rsid w:val="00847C2B"/>
    <w:rsid w:val="00850128"/>
    <w:rsid w:val="008503D0"/>
    <w:rsid w:val="00850581"/>
    <w:rsid w:val="00850832"/>
    <w:rsid w:val="00850A66"/>
    <w:rsid w:val="00851046"/>
    <w:rsid w:val="00851100"/>
    <w:rsid w:val="00851111"/>
    <w:rsid w:val="0085127C"/>
    <w:rsid w:val="00851654"/>
    <w:rsid w:val="00851AF5"/>
    <w:rsid w:val="00851DAA"/>
    <w:rsid w:val="00851E3A"/>
    <w:rsid w:val="00851EA9"/>
    <w:rsid w:val="00851FB5"/>
    <w:rsid w:val="008521DB"/>
    <w:rsid w:val="008522D5"/>
    <w:rsid w:val="008523B5"/>
    <w:rsid w:val="00852677"/>
    <w:rsid w:val="00852766"/>
    <w:rsid w:val="008527D1"/>
    <w:rsid w:val="00852984"/>
    <w:rsid w:val="00852A40"/>
    <w:rsid w:val="00852B97"/>
    <w:rsid w:val="00852DB9"/>
    <w:rsid w:val="00852EC6"/>
    <w:rsid w:val="008533EE"/>
    <w:rsid w:val="0085404C"/>
    <w:rsid w:val="00854332"/>
    <w:rsid w:val="008543AB"/>
    <w:rsid w:val="00854670"/>
    <w:rsid w:val="00854724"/>
    <w:rsid w:val="008548CF"/>
    <w:rsid w:val="00854CBF"/>
    <w:rsid w:val="00854DAA"/>
    <w:rsid w:val="008550CB"/>
    <w:rsid w:val="008552C8"/>
    <w:rsid w:val="00855513"/>
    <w:rsid w:val="00855761"/>
    <w:rsid w:val="00855B60"/>
    <w:rsid w:val="00855BEE"/>
    <w:rsid w:val="00855E0B"/>
    <w:rsid w:val="008560B9"/>
    <w:rsid w:val="008561E8"/>
    <w:rsid w:val="008564D5"/>
    <w:rsid w:val="00856A20"/>
    <w:rsid w:val="00856D81"/>
    <w:rsid w:val="008570DB"/>
    <w:rsid w:val="0085710F"/>
    <w:rsid w:val="0085718B"/>
    <w:rsid w:val="00857897"/>
    <w:rsid w:val="008578CB"/>
    <w:rsid w:val="00857A69"/>
    <w:rsid w:val="00857AFF"/>
    <w:rsid w:val="008603CB"/>
    <w:rsid w:val="00860793"/>
    <w:rsid w:val="008608A3"/>
    <w:rsid w:val="0086092E"/>
    <w:rsid w:val="00860A8F"/>
    <w:rsid w:val="00860B4C"/>
    <w:rsid w:val="00860D6C"/>
    <w:rsid w:val="008612B7"/>
    <w:rsid w:val="0086169D"/>
    <w:rsid w:val="00861B3D"/>
    <w:rsid w:val="00861B8D"/>
    <w:rsid w:val="00862196"/>
    <w:rsid w:val="008622FB"/>
    <w:rsid w:val="0086242C"/>
    <w:rsid w:val="008626B9"/>
    <w:rsid w:val="00862721"/>
    <w:rsid w:val="00862BA1"/>
    <w:rsid w:val="00862BB2"/>
    <w:rsid w:val="0086362C"/>
    <w:rsid w:val="0086396F"/>
    <w:rsid w:val="00863A17"/>
    <w:rsid w:val="0086447F"/>
    <w:rsid w:val="008647DE"/>
    <w:rsid w:val="00864A8A"/>
    <w:rsid w:val="00864B95"/>
    <w:rsid w:val="00864DEB"/>
    <w:rsid w:val="00864E48"/>
    <w:rsid w:val="0086549E"/>
    <w:rsid w:val="008656A2"/>
    <w:rsid w:val="00865737"/>
    <w:rsid w:val="00865931"/>
    <w:rsid w:val="00865E72"/>
    <w:rsid w:val="00865F33"/>
    <w:rsid w:val="00866142"/>
    <w:rsid w:val="00866277"/>
    <w:rsid w:val="0086631B"/>
    <w:rsid w:val="0086663F"/>
    <w:rsid w:val="00866788"/>
    <w:rsid w:val="008667B8"/>
    <w:rsid w:val="00866864"/>
    <w:rsid w:val="008668F6"/>
    <w:rsid w:val="00866A85"/>
    <w:rsid w:val="00866EFA"/>
    <w:rsid w:val="00867003"/>
    <w:rsid w:val="00867488"/>
    <w:rsid w:val="00867DA2"/>
    <w:rsid w:val="00870122"/>
    <w:rsid w:val="008705D6"/>
    <w:rsid w:val="00870BFB"/>
    <w:rsid w:val="00870C2B"/>
    <w:rsid w:val="00870E05"/>
    <w:rsid w:val="00871289"/>
    <w:rsid w:val="008712E0"/>
    <w:rsid w:val="008713BA"/>
    <w:rsid w:val="00871C23"/>
    <w:rsid w:val="00871C8A"/>
    <w:rsid w:val="00871C95"/>
    <w:rsid w:val="00871DDA"/>
    <w:rsid w:val="00872175"/>
    <w:rsid w:val="00872295"/>
    <w:rsid w:val="008723B7"/>
    <w:rsid w:val="008724D1"/>
    <w:rsid w:val="00872735"/>
    <w:rsid w:val="008727F1"/>
    <w:rsid w:val="008731B8"/>
    <w:rsid w:val="00873620"/>
    <w:rsid w:val="00873BDE"/>
    <w:rsid w:val="00873C67"/>
    <w:rsid w:val="00873EFF"/>
    <w:rsid w:val="00874159"/>
    <w:rsid w:val="008747A6"/>
    <w:rsid w:val="00874ABD"/>
    <w:rsid w:val="00874DB0"/>
    <w:rsid w:val="00874E64"/>
    <w:rsid w:val="00875A5A"/>
    <w:rsid w:val="00875A72"/>
    <w:rsid w:val="008760EF"/>
    <w:rsid w:val="00876567"/>
    <w:rsid w:val="0087693A"/>
    <w:rsid w:val="00876B8D"/>
    <w:rsid w:val="00876F19"/>
    <w:rsid w:val="00877051"/>
    <w:rsid w:val="008771EA"/>
    <w:rsid w:val="00877277"/>
    <w:rsid w:val="008773A1"/>
    <w:rsid w:val="00877411"/>
    <w:rsid w:val="00877727"/>
    <w:rsid w:val="00877A14"/>
    <w:rsid w:val="00877B1A"/>
    <w:rsid w:val="00877E7E"/>
    <w:rsid w:val="00877E9C"/>
    <w:rsid w:val="008800D3"/>
    <w:rsid w:val="00880159"/>
    <w:rsid w:val="00880C56"/>
    <w:rsid w:val="00880D8E"/>
    <w:rsid w:val="00880E6D"/>
    <w:rsid w:val="00880F1A"/>
    <w:rsid w:val="008812AB"/>
    <w:rsid w:val="0088141F"/>
    <w:rsid w:val="008816A8"/>
    <w:rsid w:val="00881ADB"/>
    <w:rsid w:val="00881B11"/>
    <w:rsid w:val="00881B16"/>
    <w:rsid w:val="00881C85"/>
    <w:rsid w:val="00882181"/>
    <w:rsid w:val="0088236F"/>
    <w:rsid w:val="00882748"/>
    <w:rsid w:val="00882D12"/>
    <w:rsid w:val="008831D1"/>
    <w:rsid w:val="00883B56"/>
    <w:rsid w:val="00883CA4"/>
    <w:rsid w:val="00883E2B"/>
    <w:rsid w:val="00883EC1"/>
    <w:rsid w:val="008841C5"/>
    <w:rsid w:val="00884EA2"/>
    <w:rsid w:val="008853B4"/>
    <w:rsid w:val="008853C7"/>
    <w:rsid w:val="00885825"/>
    <w:rsid w:val="00885B9B"/>
    <w:rsid w:val="00885D5E"/>
    <w:rsid w:val="00886030"/>
    <w:rsid w:val="00886501"/>
    <w:rsid w:val="00886531"/>
    <w:rsid w:val="00886CDD"/>
    <w:rsid w:val="00886F36"/>
    <w:rsid w:val="00886F38"/>
    <w:rsid w:val="00886FF6"/>
    <w:rsid w:val="00887462"/>
    <w:rsid w:val="008879A9"/>
    <w:rsid w:val="00887A37"/>
    <w:rsid w:val="00887BB4"/>
    <w:rsid w:val="00887E1E"/>
    <w:rsid w:val="00887F97"/>
    <w:rsid w:val="008914FB"/>
    <w:rsid w:val="00891522"/>
    <w:rsid w:val="008915B6"/>
    <w:rsid w:val="00891D47"/>
    <w:rsid w:val="00891DD9"/>
    <w:rsid w:val="00891FB8"/>
    <w:rsid w:val="0089214D"/>
    <w:rsid w:val="008922AD"/>
    <w:rsid w:val="008927BB"/>
    <w:rsid w:val="00892B2D"/>
    <w:rsid w:val="00893C0D"/>
    <w:rsid w:val="00893D72"/>
    <w:rsid w:val="00894081"/>
    <w:rsid w:val="00894125"/>
    <w:rsid w:val="00894143"/>
    <w:rsid w:val="0089435A"/>
    <w:rsid w:val="00894781"/>
    <w:rsid w:val="0089485F"/>
    <w:rsid w:val="00894A50"/>
    <w:rsid w:val="00894E3A"/>
    <w:rsid w:val="008950EF"/>
    <w:rsid w:val="008954F9"/>
    <w:rsid w:val="00895653"/>
    <w:rsid w:val="008957DD"/>
    <w:rsid w:val="00895E30"/>
    <w:rsid w:val="00896168"/>
    <w:rsid w:val="00896449"/>
    <w:rsid w:val="00897194"/>
    <w:rsid w:val="0089724F"/>
    <w:rsid w:val="0089754C"/>
    <w:rsid w:val="00897B5E"/>
    <w:rsid w:val="00897BC6"/>
    <w:rsid w:val="00897D30"/>
    <w:rsid w:val="00897D8B"/>
    <w:rsid w:val="00897DC3"/>
    <w:rsid w:val="008A002A"/>
    <w:rsid w:val="008A014D"/>
    <w:rsid w:val="008A02EC"/>
    <w:rsid w:val="008A0E11"/>
    <w:rsid w:val="008A10E5"/>
    <w:rsid w:val="008A12ED"/>
    <w:rsid w:val="008A1B0F"/>
    <w:rsid w:val="008A20DA"/>
    <w:rsid w:val="008A21C0"/>
    <w:rsid w:val="008A28B1"/>
    <w:rsid w:val="008A298B"/>
    <w:rsid w:val="008A2D0B"/>
    <w:rsid w:val="008A2D18"/>
    <w:rsid w:val="008A3068"/>
    <w:rsid w:val="008A3163"/>
    <w:rsid w:val="008A36C1"/>
    <w:rsid w:val="008A3CC4"/>
    <w:rsid w:val="008A4019"/>
    <w:rsid w:val="008A436D"/>
    <w:rsid w:val="008A4424"/>
    <w:rsid w:val="008A4D27"/>
    <w:rsid w:val="008A534C"/>
    <w:rsid w:val="008A5616"/>
    <w:rsid w:val="008A581A"/>
    <w:rsid w:val="008A5FB5"/>
    <w:rsid w:val="008A612D"/>
    <w:rsid w:val="008A6395"/>
    <w:rsid w:val="008A6B2C"/>
    <w:rsid w:val="008A6B43"/>
    <w:rsid w:val="008A6D58"/>
    <w:rsid w:val="008A71FC"/>
    <w:rsid w:val="008A7878"/>
    <w:rsid w:val="008A7C16"/>
    <w:rsid w:val="008A7CA8"/>
    <w:rsid w:val="008A7FE2"/>
    <w:rsid w:val="008B0164"/>
    <w:rsid w:val="008B0254"/>
    <w:rsid w:val="008B044E"/>
    <w:rsid w:val="008B0526"/>
    <w:rsid w:val="008B0F41"/>
    <w:rsid w:val="008B1ABF"/>
    <w:rsid w:val="008B1F63"/>
    <w:rsid w:val="008B20E3"/>
    <w:rsid w:val="008B22E8"/>
    <w:rsid w:val="008B259C"/>
    <w:rsid w:val="008B261F"/>
    <w:rsid w:val="008B2636"/>
    <w:rsid w:val="008B2B14"/>
    <w:rsid w:val="008B2BEE"/>
    <w:rsid w:val="008B3612"/>
    <w:rsid w:val="008B3745"/>
    <w:rsid w:val="008B3750"/>
    <w:rsid w:val="008B3C5E"/>
    <w:rsid w:val="008B4026"/>
    <w:rsid w:val="008B406E"/>
    <w:rsid w:val="008B4093"/>
    <w:rsid w:val="008B40F2"/>
    <w:rsid w:val="008B4C59"/>
    <w:rsid w:val="008B56A3"/>
    <w:rsid w:val="008B5C8F"/>
    <w:rsid w:val="008B5DD6"/>
    <w:rsid w:val="008B5F16"/>
    <w:rsid w:val="008B6AF5"/>
    <w:rsid w:val="008B6B1E"/>
    <w:rsid w:val="008B6F7C"/>
    <w:rsid w:val="008B7183"/>
    <w:rsid w:val="008B722F"/>
    <w:rsid w:val="008B7451"/>
    <w:rsid w:val="008B7722"/>
    <w:rsid w:val="008B77CE"/>
    <w:rsid w:val="008B7868"/>
    <w:rsid w:val="008B786F"/>
    <w:rsid w:val="008B792C"/>
    <w:rsid w:val="008B7EAB"/>
    <w:rsid w:val="008B7F9A"/>
    <w:rsid w:val="008C02BE"/>
    <w:rsid w:val="008C02E7"/>
    <w:rsid w:val="008C0475"/>
    <w:rsid w:val="008C07DA"/>
    <w:rsid w:val="008C0AFA"/>
    <w:rsid w:val="008C0DAB"/>
    <w:rsid w:val="008C0E5C"/>
    <w:rsid w:val="008C12CF"/>
    <w:rsid w:val="008C184B"/>
    <w:rsid w:val="008C18BC"/>
    <w:rsid w:val="008C1ADE"/>
    <w:rsid w:val="008C1B45"/>
    <w:rsid w:val="008C1E2C"/>
    <w:rsid w:val="008C26ED"/>
    <w:rsid w:val="008C28D0"/>
    <w:rsid w:val="008C2981"/>
    <w:rsid w:val="008C2BB5"/>
    <w:rsid w:val="008C343F"/>
    <w:rsid w:val="008C36BD"/>
    <w:rsid w:val="008C39E1"/>
    <w:rsid w:val="008C3B3A"/>
    <w:rsid w:val="008C3C63"/>
    <w:rsid w:val="008C3D0C"/>
    <w:rsid w:val="008C4206"/>
    <w:rsid w:val="008C43E2"/>
    <w:rsid w:val="008C4581"/>
    <w:rsid w:val="008C489E"/>
    <w:rsid w:val="008C4FA9"/>
    <w:rsid w:val="008C504D"/>
    <w:rsid w:val="008C56E7"/>
    <w:rsid w:val="008C59DF"/>
    <w:rsid w:val="008C5D76"/>
    <w:rsid w:val="008C5EE3"/>
    <w:rsid w:val="008C6829"/>
    <w:rsid w:val="008C6B32"/>
    <w:rsid w:val="008C6E40"/>
    <w:rsid w:val="008C6F52"/>
    <w:rsid w:val="008C7138"/>
    <w:rsid w:val="008C73B9"/>
    <w:rsid w:val="008C7584"/>
    <w:rsid w:val="008C79A1"/>
    <w:rsid w:val="008C7C57"/>
    <w:rsid w:val="008D0369"/>
    <w:rsid w:val="008D0519"/>
    <w:rsid w:val="008D0902"/>
    <w:rsid w:val="008D0B43"/>
    <w:rsid w:val="008D0ED4"/>
    <w:rsid w:val="008D100D"/>
    <w:rsid w:val="008D1497"/>
    <w:rsid w:val="008D1C1A"/>
    <w:rsid w:val="008D1FB9"/>
    <w:rsid w:val="008D2099"/>
    <w:rsid w:val="008D248E"/>
    <w:rsid w:val="008D264B"/>
    <w:rsid w:val="008D283F"/>
    <w:rsid w:val="008D32FC"/>
    <w:rsid w:val="008D335A"/>
    <w:rsid w:val="008D348B"/>
    <w:rsid w:val="008D3C94"/>
    <w:rsid w:val="008D4269"/>
    <w:rsid w:val="008D4398"/>
    <w:rsid w:val="008D4629"/>
    <w:rsid w:val="008D4658"/>
    <w:rsid w:val="008D46EE"/>
    <w:rsid w:val="008D4837"/>
    <w:rsid w:val="008D4A17"/>
    <w:rsid w:val="008D4E5B"/>
    <w:rsid w:val="008D55D1"/>
    <w:rsid w:val="008D5705"/>
    <w:rsid w:val="008D5986"/>
    <w:rsid w:val="008D635F"/>
    <w:rsid w:val="008D6464"/>
    <w:rsid w:val="008D6600"/>
    <w:rsid w:val="008D6782"/>
    <w:rsid w:val="008D6C04"/>
    <w:rsid w:val="008D6D34"/>
    <w:rsid w:val="008D7CD8"/>
    <w:rsid w:val="008D7EE9"/>
    <w:rsid w:val="008E006C"/>
    <w:rsid w:val="008E027A"/>
    <w:rsid w:val="008E0629"/>
    <w:rsid w:val="008E07EB"/>
    <w:rsid w:val="008E097D"/>
    <w:rsid w:val="008E13C9"/>
    <w:rsid w:val="008E14F9"/>
    <w:rsid w:val="008E1619"/>
    <w:rsid w:val="008E1B8E"/>
    <w:rsid w:val="008E1BF5"/>
    <w:rsid w:val="008E1FC2"/>
    <w:rsid w:val="008E2136"/>
    <w:rsid w:val="008E230B"/>
    <w:rsid w:val="008E275C"/>
    <w:rsid w:val="008E27A2"/>
    <w:rsid w:val="008E2BE4"/>
    <w:rsid w:val="008E2CBC"/>
    <w:rsid w:val="008E2D39"/>
    <w:rsid w:val="008E2D87"/>
    <w:rsid w:val="008E3191"/>
    <w:rsid w:val="008E3357"/>
    <w:rsid w:val="008E345C"/>
    <w:rsid w:val="008E3A3F"/>
    <w:rsid w:val="008E3B97"/>
    <w:rsid w:val="008E3ED5"/>
    <w:rsid w:val="008E41BE"/>
    <w:rsid w:val="008E4254"/>
    <w:rsid w:val="008E456A"/>
    <w:rsid w:val="008E49F3"/>
    <w:rsid w:val="008E4A5B"/>
    <w:rsid w:val="008E4E92"/>
    <w:rsid w:val="008E4FAE"/>
    <w:rsid w:val="008E5047"/>
    <w:rsid w:val="008E5175"/>
    <w:rsid w:val="008E538E"/>
    <w:rsid w:val="008E53A2"/>
    <w:rsid w:val="008E564D"/>
    <w:rsid w:val="008E5786"/>
    <w:rsid w:val="008E58F0"/>
    <w:rsid w:val="008E5B20"/>
    <w:rsid w:val="008E61C6"/>
    <w:rsid w:val="008E62D2"/>
    <w:rsid w:val="008E66B3"/>
    <w:rsid w:val="008E68E5"/>
    <w:rsid w:val="008E6B4E"/>
    <w:rsid w:val="008E6B79"/>
    <w:rsid w:val="008E6CE6"/>
    <w:rsid w:val="008E6DC0"/>
    <w:rsid w:val="008E72EE"/>
    <w:rsid w:val="008E731B"/>
    <w:rsid w:val="008E7455"/>
    <w:rsid w:val="008E7970"/>
    <w:rsid w:val="008E7B02"/>
    <w:rsid w:val="008E7B40"/>
    <w:rsid w:val="008E7C34"/>
    <w:rsid w:val="008E7F4A"/>
    <w:rsid w:val="008F0155"/>
    <w:rsid w:val="008F03A7"/>
    <w:rsid w:val="008F0B57"/>
    <w:rsid w:val="008F0C36"/>
    <w:rsid w:val="008F0EB2"/>
    <w:rsid w:val="008F1016"/>
    <w:rsid w:val="008F107F"/>
    <w:rsid w:val="008F10B3"/>
    <w:rsid w:val="008F10D9"/>
    <w:rsid w:val="008F10DD"/>
    <w:rsid w:val="008F1959"/>
    <w:rsid w:val="008F1BDA"/>
    <w:rsid w:val="008F1C38"/>
    <w:rsid w:val="008F20F7"/>
    <w:rsid w:val="008F21B8"/>
    <w:rsid w:val="008F258F"/>
    <w:rsid w:val="008F2847"/>
    <w:rsid w:val="008F2F7D"/>
    <w:rsid w:val="008F328D"/>
    <w:rsid w:val="008F344B"/>
    <w:rsid w:val="008F344E"/>
    <w:rsid w:val="008F36E2"/>
    <w:rsid w:val="008F377B"/>
    <w:rsid w:val="008F3C4B"/>
    <w:rsid w:val="008F3D94"/>
    <w:rsid w:val="008F43F5"/>
    <w:rsid w:val="008F4453"/>
    <w:rsid w:val="008F4823"/>
    <w:rsid w:val="008F4835"/>
    <w:rsid w:val="008F48F6"/>
    <w:rsid w:val="008F4E23"/>
    <w:rsid w:val="008F4FC9"/>
    <w:rsid w:val="008F50A6"/>
    <w:rsid w:val="008F51DA"/>
    <w:rsid w:val="008F569C"/>
    <w:rsid w:val="008F56DE"/>
    <w:rsid w:val="008F5D89"/>
    <w:rsid w:val="008F5E4C"/>
    <w:rsid w:val="008F61A0"/>
    <w:rsid w:val="008F621C"/>
    <w:rsid w:val="008F67CC"/>
    <w:rsid w:val="008F6AD6"/>
    <w:rsid w:val="00900259"/>
    <w:rsid w:val="009007FC"/>
    <w:rsid w:val="00900B47"/>
    <w:rsid w:val="00900C35"/>
    <w:rsid w:val="00901012"/>
    <w:rsid w:val="009011CE"/>
    <w:rsid w:val="009017A1"/>
    <w:rsid w:val="00901D41"/>
    <w:rsid w:val="00902050"/>
    <w:rsid w:val="0090252A"/>
    <w:rsid w:val="0090258C"/>
    <w:rsid w:val="009025AB"/>
    <w:rsid w:val="009027F4"/>
    <w:rsid w:val="00902C00"/>
    <w:rsid w:val="00902CA5"/>
    <w:rsid w:val="00902D4F"/>
    <w:rsid w:val="009030E3"/>
    <w:rsid w:val="009034B9"/>
    <w:rsid w:val="00903FB3"/>
    <w:rsid w:val="00904690"/>
    <w:rsid w:val="00905336"/>
    <w:rsid w:val="009060FF"/>
    <w:rsid w:val="009066DC"/>
    <w:rsid w:val="00906E22"/>
    <w:rsid w:val="00906E85"/>
    <w:rsid w:val="0090728D"/>
    <w:rsid w:val="00907441"/>
    <w:rsid w:val="00907583"/>
    <w:rsid w:val="0090758F"/>
    <w:rsid w:val="0090766F"/>
    <w:rsid w:val="0090779A"/>
    <w:rsid w:val="0090780A"/>
    <w:rsid w:val="009102B4"/>
    <w:rsid w:val="0091052B"/>
    <w:rsid w:val="00910715"/>
    <w:rsid w:val="009107FF"/>
    <w:rsid w:val="00910873"/>
    <w:rsid w:val="0091091D"/>
    <w:rsid w:val="009110E2"/>
    <w:rsid w:val="00911327"/>
    <w:rsid w:val="00911406"/>
    <w:rsid w:val="00911599"/>
    <w:rsid w:val="00911F7E"/>
    <w:rsid w:val="009122CA"/>
    <w:rsid w:val="009122DB"/>
    <w:rsid w:val="00912848"/>
    <w:rsid w:val="00912B56"/>
    <w:rsid w:val="00912C6F"/>
    <w:rsid w:val="00912E50"/>
    <w:rsid w:val="00912E6B"/>
    <w:rsid w:val="009133D4"/>
    <w:rsid w:val="009133EA"/>
    <w:rsid w:val="009136D9"/>
    <w:rsid w:val="00913F98"/>
    <w:rsid w:val="00914D25"/>
    <w:rsid w:val="00914D48"/>
    <w:rsid w:val="00915512"/>
    <w:rsid w:val="00916223"/>
    <w:rsid w:val="00916269"/>
    <w:rsid w:val="009163A0"/>
    <w:rsid w:val="009165A9"/>
    <w:rsid w:val="0091696F"/>
    <w:rsid w:val="00916AAB"/>
    <w:rsid w:val="00916C99"/>
    <w:rsid w:val="00916EE9"/>
    <w:rsid w:val="00917159"/>
    <w:rsid w:val="00917210"/>
    <w:rsid w:val="00917C84"/>
    <w:rsid w:val="00917D6B"/>
    <w:rsid w:val="00920FCF"/>
    <w:rsid w:val="0092119F"/>
    <w:rsid w:val="009218A2"/>
    <w:rsid w:val="0092191B"/>
    <w:rsid w:val="00921D86"/>
    <w:rsid w:val="00921F1C"/>
    <w:rsid w:val="00921FE8"/>
    <w:rsid w:val="0092241F"/>
    <w:rsid w:val="009224A3"/>
    <w:rsid w:val="009224B7"/>
    <w:rsid w:val="0092261B"/>
    <w:rsid w:val="00922A44"/>
    <w:rsid w:val="00922E3B"/>
    <w:rsid w:val="00922FD8"/>
    <w:rsid w:val="009230B4"/>
    <w:rsid w:val="00923261"/>
    <w:rsid w:val="009233CC"/>
    <w:rsid w:val="00923509"/>
    <w:rsid w:val="00923551"/>
    <w:rsid w:val="00923633"/>
    <w:rsid w:val="00923651"/>
    <w:rsid w:val="00923C11"/>
    <w:rsid w:val="009240D8"/>
    <w:rsid w:val="009240FF"/>
    <w:rsid w:val="00924502"/>
    <w:rsid w:val="00924AA7"/>
    <w:rsid w:val="00924EC9"/>
    <w:rsid w:val="0092518C"/>
    <w:rsid w:val="0092523D"/>
    <w:rsid w:val="0092571D"/>
    <w:rsid w:val="0092586A"/>
    <w:rsid w:val="009259B7"/>
    <w:rsid w:val="00925EF6"/>
    <w:rsid w:val="00925F7F"/>
    <w:rsid w:val="009260FB"/>
    <w:rsid w:val="00926354"/>
    <w:rsid w:val="009264CA"/>
    <w:rsid w:val="00926F34"/>
    <w:rsid w:val="00927038"/>
    <w:rsid w:val="0092785A"/>
    <w:rsid w:val="0092789F"/>
    <w:rsid w:val="00927A08"/>
    <w:rsid w:val="00927F26"/>
    <w:rsid w:val="00927FCB"/>
    <w:rsid w:val="009303C3"/>
    <w:rsid w:val="0093066B"/>
    <w:rsid w:val="0093069F"/>
    <w:rsid w:val="00930745"/>
    <w:rsid w:val="00930812"/>
    <w:rsid w:val="009308B9"/>
    <w:rsid w:val="00930948"/>
    <w:rsid w:val="00930A39"/>
    <w:rsid w:val="00930A74"/>
    <w:rsid w:val="00930E1C"/>
    <w:rsid w:val="00930EA1"/>
    <w:rsid w:val="009310EB"/>
    <w:rsid w:val="00931112"/>
    <w:rsid w:val="00931338"/>
    <w:rsid w:val="009316A4"/>
    <w:rsid w:val="0093176E"/>
    <w:rsid w:val="00931852"/>
    <w:rsid w:val="00931B5E"/>
    <w:rsid w:val="00932100"/>
    <w:rsid w:val="00932509"/>
    <w:rsid w:val="00932929"/>
    <w:rsid w:val="00932983"/>
    <w:rsid w:val="009329B0"/>
    <w:rsid w:val="009329B2"/>
    <w:rsid w:val="009332E2"/>
    <w:rsid w:val="00933817"/>
    <w:rsid w:val="00933A35"/>
    <w:rsid w:val="00933D8F"/>
    <w:rsid w:val="00933FE3"/>
    <w:rsid w:val="00934B9E"/>
    <w:rsid w:val="00934EAC"/>
    <w:rsid w:val="009350E4"/>
    <w:rsid w:val="009354E5"/>
    <w:rsid w:val="00935753"/>
    <w:rsid w:val="009359DF"/>
    <w:rsid w:val="00935A5A"/>
    <w:rsid w:val="0093603E"/>
    <w:rsid w:val="009360D7"/>
    <w:rsid w:val="009362C9"/>
    <w:rsid w:val="0093743C"/>
    <w:rsid w:val="00937498"/>
    <w:rsid w:val="00937509"/>
    <w:rsid w:val="0093753F"/>
    <w:rsid w:val="00937935"/>
    <w:rsid w:val="00937E54"/>
    <w:rsid w:val="0094045E"/>
    <w:rsid w:val="009404D7"/>
    <w:rsid w:val="009405A4"/>
    <w:rsid w:val="009407AA"/>
    <w:rsid w:val="00940AD1"/>
    <w:rsid w:val="00940E50"/>
    <w:rsid w:val="00941026"/>
    <w:rsid w:val="00941536"/>
    <w:rsid w:val="00941754"/>
    <w:rsid w:val="00941769"/>
    <w:rsid w:val="00941D13"/>
    <w:rsid w:val="00942058"/>
    <w:rsid w:val="0094218A"/>
    <w:rsid w:val="00942226"/>
    <w:rsid w:val="00942387"/>
    <w:rsid w:val="009429BD"/>
    <w:rsid w:val="00942A1E"/>
    <w:rsid w:val="0094380C"/>
    <w:rsid w:val="0094385A"/>
    <w:rsid w:val="009438FE"/>
    <w:rsid w:val="00943AD9"/>
    <w:rsid w:val="00943AE3"/>
    <w:rsid w:val="00944236"/>
    <w:rsid w:val="00944614"/>
    <w:rsid w:val="00944959"/>
    <w:rsid w:val="00944EAE"/>
    <w:rsid w:val="0094517F"/>
    <w:rsid w:val="009451A4"/>
    <w:rsid w:val="0094553C"/>
    <w:rsid w:val="00945613"/>
    <w:rsid w:val="009457B0"/>
    <w:rsid w:val="00945D86"/>
    <w:rsid w:val="00945EF3"/>
    <w:rsid w:val="00946019"/>
    <w:rsid w:val="0094626F"/>
    <w:rsid w:val="009462D2"/>
    <w:rsid w:val="0094692B"/>
    <w:rsid w:val="00946A1D"/>
    <w:rsid w:val="00946A40"/>
    <w:rsid w:val="009476AB"/>
    <w:rsid w:val="009479A6"/>
    <w:rsid w:val="00947E56"/>
    <w:rsid w:val="00950A20"/>
    <w:rsid w:val="00950CD5"/>
    <w:rsid w:val="00950D16"/>
    <w:rsid w:val="0095118D"/>
    <w:rsid w:val="0095144C"/>
    <w:rsid w:val="009515F4"/>
    <w:rsid w:val="0095165B"/>
    <w:rsid w:val="00951BD0"/>
    <w:rsid w:val="00952548"/>
    <w:rsid w:val="00952844"/>
    <w:rsid w:val="009531B5"/>
    <w:rsid w:val="00953825"/>
    <w:rsid w:val="009538C2"/>
    <w:rsid w:val="00953D79"/>
    <w:rsid w:val="00953D91"/>
    <w:rsid w:val="00954003"/>
    <w:rsid w:val="00954148"/>
    <w:rsid w:val="009542ED"/>
    <w:rsid w:val="0095434A"/>
    <w:rsid w:val="00954939"/>
    <w:rsid w:val="009553DD"/>
    <w:rsid w:val="0095554D"/>
    <w:rsid w:val="00955943"/>
    <w:rsid w:val="009559B8"/>
    <w:rsid w:val="00955AC4"/>
    <w:rsid w:val="00955DF3"/>
    <w:rsid w:val="0095654C"/>
    <w:rsid w:val="0095686C"/>
    <w:rsid w:val="00956C4E"/>
    <w:rsid w:val="00956FA7"/>
    <w:rsid w:val="0095751D"/>
    <w:rsid w:val="00957569"/>
    <w:rsid w:val="00957A77"/>
    <w:rsid w:val="00957CC7"/>
    <w:rsid w:val="00957D5D"/>
    <w:rsid w:val="0096002A"/>
    <w:rsid w:val="009608B3"/>
    <w:rsid w:val="00960E96"/>
    <w:rsid w:val="00961623"/>
    <w:rsid w:val="009619B3"/>
    <w:rsid w:val="00961F98"/>
    <w:rsid w:val="00961F9F"/>
    <w:rsid w:val="00961FF0"/>
    <w:rsid w:val="00962323"/>
    <w:rsid w:val="009626AC"/>
    <w:rsid w:val="0096297B"/>
    <w:rsid w:val="009633D7"/>
    <w:rsid w:val="009637F5"/>
    <w:rsid w:val="00963959"/>
    <w:rsid w:val="00963ACD"/>
    <w:rsid w:val="00963B85"/>
    <w:rsid w:val="009644AA"/>
    <w:rsid w:val="00964723"/>
    <w:rsid w:val="00964A1C"/>
    <w:rsid w:val="00964A79"/>
    <w:rsid w:val="00964C14"/>
    <w:rsid w:val="00964C2F"/>
    <w:rsid w:val="00964CF1"/>
    <w:rsid w:val="009652D5"/>
    <w:rsid w:val="009664FD"/>
    <w:rsid w:val="00966C16"/>
    <w:rsid w:val="00966CA9"/>
    <w:rsid w:val="00966D01"/>
    <w:rsid w:val="009673BF"/>
    <w:rsid w:val="0096761A"/>
    <w:rsid w:val="009677F8"/>
    <w:rsid w:val="0097036B"/>
    <w:rsid w:val="0097054C"/>
    <w:rsid w:val="009705FE"/>
    <w:rsid w:val="00970910"/>
    <w:rsid w:val="00970C46"/>
    <w:rsid w:val="00970D1A"/>
    <w:rsid w:val="00970E55"/>
    <w:rsid w:val="00970EF1"/>
    <w:rsid w:val="00970F09"/>
    <w:rsid w:val="00970F7A"/>
    <w:rsid w:val="00971146"/>
    <w:rsid w:val="009713E2"/>
    <w:rsid w:val="009713EB"/>
    <w:rsid w:val="009717F0"/>
    <w:rsid w:val="009718C4"/>
    <w:rsid w:val="0097198B"/>
    <w:rsid w:val="00971AA1"/>
    <w:rsid w:val="00971C26"/>
    <w:rsid w:val="00971C3A"/>
    <w:rsid w:val="00971DC0"/>
    <w:rsid w:val="00972278"/>
    <w:rsid w:val="0097229F"/>
    <w:rsid w:val="009723EC"/>
    <w:rsid w:val="009725F2"/>
    <w:rsid w:val="00972636"/>
    <w:rsid w:val="00972847"/>
    <w:rsid w:val="00972916"/>
    <w:rsid w:val="00972A9A"/>
    <w:rsid w:val="00972AFF"/>
    <w:rsid w:val="00972B99"/>
    <w:rsid w:val="009735FB"/>
    <w:rsid w:val="00973738"/>
    <w:rsid w:val="0097374B"/>
    <w:rsid w:val="00973C85"/>
    <w:rsid w:val="0097429B"/>
    <w:rsid w:val="009746C6"/>
    <w:rsid w:val="009749F7"/>
    <w:rsid w:val="009757B3"/>
    <w:rsid w:val="00975B8C"/>
    <w:rsid w:val="0097600B"/>
    <w:rsid w:val="0097691F"/>
    <w:rsid w:val="009769C3"/>
    <w:rsid w:val="00977263"/>
    <w:rsid w:val="00977A34"/>
    <w:rsid w:val="00977D75"/>
    <w:rsid w:val="009805DD"/>
    <w:rsid w:val="009809DC"/>
    <w:rsid w:val="00981126"/>
    <w:rsid w:val="0098193C"/>
    <w:rsid w:val="00981C05"/>
    <w:rsid w:val="00981E75"/>
    <w:rsid w:val="009821F9"/>
    <w:rsid w:val="00982435"/>
    <w:rsid w:val="00982559"/>
    <w:rsid w:val="00982627"/>
    <w:rsid w:val="00982719"/>
    <w:rsid w:val="00982745"/>
    <w:rsid w:val="0098280F"/>
    <w:rsid w:val="0098307E"/>
    <w:rsid w:val="00983096"/>
    <w:rsid w:val="0098338D"/>
    <w:rsid w:val="009837CE"/>
    <w:rsid w:val="00983A0F"/>
    <w:rsid w:val="00983C31"/>
    <w:rsid w:val="00983DFB"/>
    <w:rsid w:val="00983E7E"/>
    <w:rsid w:val="00983EF1"/>
    <w:rsid w:val="0098401C"/>
    <w:rsid w:val="009841C1"/>
    <w:rsid w:val="0098461A"/>
    <w:rsid w:val="00984A1E"/>
    <w:rsid w:val="00984E8C"/>
    <w:rsid w:val="00985121"/>
    <w:rsid w:val="0098513A"/>
    <w:rsid w:val="00985CF9"/>
    <w:rsid w:val="00985E04"/>
    <w:rsid w:val="009865DA"/>
    <w:rsid w:val="009866A4"/>
    <w:rsid w:val="00987008"/>
    <w:rsid w:val="00987347"/>
    <w:rsid w:val="009874D7"/>
    <w:rsid w:val="0098765E"/>
    <w:rsid w:val="00987A6D"/>
    <w:rsid w:val="00987BAC"/>
    <w:rsid w:val="00987BB1"/>
    <w:rsid w:val="00987C50"/>
    <w:rsid w:val="00990169"/>
    <w:rsid w:val="009902F9"/>
    <w:rsid w:val="009905FF"/>
    <w:rsid w:val="00990672"/>
    <w:rsid w:val="00990CF1"/>
    <w:rsid w:val="00990D40"/>
    <w:rsid w:val="00990F98"/>
    <w:rsid w:val="00991675"/>
    <w:rsid w:val="00992008"/>
    <w:rsid w:val="009928FE"/>
    <w:rsid w:val="00992A0D"/>
    <w:rsid w:val="00992B05"/>
    <w:rsid w:val="00992BBD"/>
    <w:rsid w:val="00992BC7"/>
    <w:rsid w:val="00993387"/>
    <w:rsid w:val="00993431"/>
    <w:rsid w:val="00993EC9"/>
    <w:rsid w:val="00993F9C"/>
    <w:rsid w:val="00994540"/>
    <w:rsid w:val="0099478E"/>
    <w:rsid w:val="0099499F"/>
    <w:rsid w:val="00994B8D"/>
    <w:rsid w:val="0099513F"/>
    <w:rsid w:val="00995563"/>
    <w:rsid w:val="0099566F"/>
    <w:rsid w:val="00995D8B"/>
    <w:rsid w:val="00995F67"/>
    <w:rsid w:val="0099606C"/>
    <w:rsid w:val="00996187"/>
    <w:rsid w:val="00996409"/>
    <w:rsid w:val="00996499"/>
    <w:rsid w:val="009965BC"/>
    <w:rsid w:val="00996750"/>
    <w:rsid w:val="0099699D"/>
    <w:rsid w:val="009969D4"/>
    <w:rsid w:val="00996ACD"/>
    <w:rsid w:val="00996BB0"/>
    <w:rsid w:val="00996D00"/>
    <w:rsid w:val="00996D57"/>
    <w:rsid w:val="0099752F"/>
    <w:rsid w:val="009976DF"/>
    <w:rsid w:val="00997B48"/>
    <w:rsid w:val="009A0382"/>
    <w:rsid w:val="009A03DC"/>
    <w:rsid w:val="009A0481"/>
    <w:rsid w:val="009A058D"/>
    <w:rsid w:val="009A0FD4"/>
    <w:rsid w:val="009A1683"/>
    <w:rsid w:val="009A16C3"/>
    <w:rsid w:val="009A2217"/>
    <w:rsid w:val="009A228E"/>
    <w:rsid w:val="009A2700"/>
    <w:rsid w:val="009A2C92"/>
    <w:rsid w:val="009A3215"/>
    <w:rsid w:val="009A34D9"/>
    <w:rsid w:val="009A35F7"/>
    <w:rsid w:val="009A3B8A"/>
    <w:rsid w:val="009A3D6B"/>
    <w:rsid w:val="009A41A1"/>
    <w:rsid w:val="009A48BF"/>
    <w:rsid w:val="009A567A"/>
    <w:rsid w:val="009A5936"/>
    <w:rsid w:val="009A643D"/>
    <w:rsid w:val="009A6CF3"/>
    <w:rsid w:val="009A7199"/>
    <w:rsid w:val="009A7397"/>
    <w:rsid w:val="009A74E4"/>
    <w:rsid w:val="009A76F7"/>
    <w:rsid w:val="009A7999"/>
    <w:rsid w:val="009B0134"/>
    <w:rsid w:val="009B0655"/>
    <w:rsid w:val="009B08A0"/>
    <w:rsid w:val="009B0E88"/>
    <w:rsid w:val="009B1A42"/>
    <w:rsid w:val="009B1A57"/>
    <w:rsid w:val="009B2020"/>
    <w:rsid w:val="009B24F2"/>
    <w:rsid w:val="009B252F"/>
    <w:rsid w:val="009B2785"/>
    <w:rsid w:val="009B2DBA"/>
    <w:rsid w:val="009B3133"/>
    <w:rsid w:val="009B3504"/>
    <w:rsid w:val="009B366F"/>
    <w:rsid w:val="009B38BC"/>
    <w:rsid w:val="009B3BA2"/>
    <w:rsid w:val="009B42DD"/>
    <w:rsid w:val="009B43BF"/>
    <w:rsid w:val="009B449D"/>
    <w:rsid w:val="009B4693"/>
    <w:rsid w:val="009B49F0"/>
    <w:rsid w:val="009B4A2D"/>
    <w:rsid w:val="009B4A90"/>
    <w:rsid w:val="009B540B"/>
    <w:rsid w:val="009B54E0"/>
    <w:rsid w:val="009B56F9"/>
    <w:rsid w:val="009B591D"/>
    <w:rsid w:val="009B5A07"/>
    <w:rsid w:val="009B5CD6"/>
    <w:rsid w:val="009B64D1"/>
    <w:rsid w:val="009B655D"/>
    <w:rsid w:val="009B6884"/>
    <w:rsid w:val="009B6BC6"/>
    <w:rsid w:val="009B6EAB"/>
    <w:rsid w:val="009B6FD0"/>
    <w:rsid w:val="009B74D3"/>
    <w:rsid w:val="009B757A"/>
    <w:rsid w:val="009C065D"/>
    <w:rsid w:val="009C09C4"/>
    <w:rsid w:val="009C0D78"/>
    <w:rsid w:val="009C1363"/>
    <w:rsid w:val="009C14A4"/>
    <w:rsid w:val="009C16B9"/>
    <w:rsid w:val="009C18B8"/>
    <w:rsid w:val="009C1B3C"/>
    <w:rsid w:val="009C1B99"/>
    <w:rsid w:val="009C1E01"/>
    <w:rsid w:val="009C1E0B"/>
    <w:rsid w:val="009C2259"/>
    <w:rsid w:val="009C26C9"/>
    <w:rsid w:val="009C2871"/>
    <w:rsid w:val="009C2EC7"/>
    <w:rsid w:val="009C2F02"/>
    <w:rsid w:val="009C442C"/>
    <w:rsid w:val="009C4851"/>
    <w:rsid w:val="009C4884"/>
    <w:rsid w:val="009C4A9D"/>
    <w:rsid w:val="009C4AD3"/>
    <w:rsid w:val="009C52A7"/>
    <w:rsid w:val="009C5421"/>
    <w:rsid w:val="009C56C2"/>
    <w:rsid w:val="009C57A4"/>
    <w:rsid w:val="009C5AFF"/>
    <w:rsid w:val="009C601F"/>
    <w:rsid w:val="009C62F8"/>
    <w:rsid w:val="009C6A90"/>
    <w:rsid w:val="009C73CB"/>
    <w:rsid w:val="009C7951"/>
    <w:rsid w:val="009C7B7D"/>
    <w:rsid w:val="009D03E1"/>
    <w:rsid w:val="009D057F"/>
    <w:rsid w:val="009D0581"/>
    <w:rsid w:val="009D07C3"/>
    <w:rsid w:val="009D0946"/>
    <w:rsid w:val="009D097D"/>
    <w:rsid w:val="009D09FF"/>
    <w:rsid w:val="009D0D3A"/>
    <w:rsid w:val="009D0F03"/>
    <w:rsid w:val="009D1087"/>
    <w:rsid w:val="009D15C6"/>
    <w:rsid w:val="009D17B9"/>
    <w:rsid w:val="009D1928"/>
    <w:rsid w:val="009D1A67"/>
    <w:rsid w:val="009D1ED1"/>
    <w:rsid w:val="009D1F69"/>
    <w:rsid w:val="009D2362"/>
    <w:rsid w:val="009D23F9"/>
    <w:rsid w:val="009D2788"/>
    <w:rsid w:val="009D3001"/>
    <w:rsid w:val="009D38F7"/>
    <w:rsid w:val="009D3DD0"/>
    <w:rsid w:val="009D406F"/>
    <w:rsid w:val="009D4368"/>
    <w:rsid w:val="009D4A18"/>
    <w:rsid w:val="009D5196"/>
    <w:rsid w:val="009D545A"/>
    <w:rsid w:val="009D558A"/>
    <w:rsid w:val="009D5BCD"/>
    <w:rsid w:val="009D5BF0"/>
    <w:rsid w:val="009D5E81"/>
    <w:rsid w:val="009D6321"/>
    <w:rsid w:val="009D6606"/>
    <w:rsid w:val="009D669A"/>
    <w:rsid w:val="009D6B83"/>
    <w:rsid w:val="009D6B9B"/>
    <w:rsid w:val="009D6CDA"/>
    <w:rsid w:val="009D6D44"/>
    <w:rsid w:val="009D7225"/>
    <w:rsid w:val="009E00EA"/>
    <w:rsid w:val="009E01D7"/>
    <w:rsid w:val="009E02E3"/>
    <w:rsid w:val="009E037D"/>
    <w:rsid w:val="009E0593"/>
    <w:rsid w:val="009E0CC9"/>
    <w:rsid w:val="009E0F4D"/>
    <w:rsid w:val="009E1072"/>
    <w:rsid w:val="009E10D6"/>
    <w:rsid w:val="009E11F6"/>
    <w:rsid w:val="009E15CC"/>
    <w:rsid w:val="009E165F"/>
    <w:rsid w:val="009E1CCF"/>
    <w:rsid w:val="009E1F4C"/>
    <w:rsid w:val="009E1F85"/>
    <w:rsid w:val="009E1FED"/>
    <w:rsid w:val="009E22FA"/>
    <w:rsid w:val="009E2D9C"/>
    <w:rsid w:val="009E2E6B"/>
    <w:rsid w:val="009E323E"/>
    <w:rsid w:val="009E3F46"/>
    <w:rsid w:val="009E3FA9"/>
    <w:rsid w:val="009E442D"/>
    <w:rsid w:val="009E44DA"/>
    <w:rsid w:val="009E4744"/>
    <w:rsid w:val="009E47E0"/>
    <w:rsid w:val="009E4878"/>
    <w:rsid w:val="009E4947"/>
    <w:rsid w:val="009E4CB5"/>
    <w:rsid w:val="009E4CBA"/>
    <w:rsid w:val="009E4EC9"/>
    <w:rsid w:val="009E4FA3"/>
    <w:rsid w:val="009E5542"/>
    <w:rsid w:val="009E58B0"/>
    <w:rsid w:val="009E5D00"/>
    <w:rsid w:val="009E5D5A"/>
    <w:rsid w:val="009E67F6"/>
    <w:rsid w:val="009E6876"/>
    <w:rsid w:val="009E6D30"/>
    <w:rsid w:val="009E6DB6"/>
    <w:rsid w:val="009E71BC"/>
    <w:rsid w:val="009E784E"/>
    <w:rsid w:val="009E7F68"/>
    <w:rsid w:val="009F0630"/>
    <w:rsid w:val="009F0984"/>
    <w:rsid w:val="009F0B36"/>
    <w:rsid w:val="009F1180"/>
    <w:rsid w:val="009F1341"/>
    <w:rsid w:val="009F1758"/>
    <w:rsid w:val="009F1C84"/>
    <w:rsid w:val="009F1D68"/>
    <w:rsid w:val="009F2114"/>
    <w:rsid w:val="009F2262"/>
    <w:rsid w:val="009F28E2"/>
    <w:rsid w:val="009F299F"/>
    <w:rsid w:val="009F2C2D"/>
    <w:rsid w:val="009F3315"/>
    <w:rsid w:val="009F3377"/>
    <w:rsid w:val="009F3BCC"/>
    <w:rsid w:val="009F4171"/>
    <w:rsid w:val="009F42E8"/>
    <w:rsid w:val="009F441E"/>
    <w:rsid w:val="009F4583"/>
    <w:rsid w:val="009F47CE"/>
    <w:rsid w:val="009F4A66"/>
    <w:rsid w:val="009F4ADA"/>
    <w:rsid w:val="009F4BA8"/>
    <w:rsid w:val="009F4BFE"/>
    <w:rsid w:val="009F5858"/>
    <w:rsid w:val="009F6239"/>
    <w:rsid w:val="009F6658"/>
    <w:rsid w:val="009F6A0D"/>
    <w:rsid w:val="009F6BF2"/>
    <w:rsid w:val="009F6C05"/>
    <w:rsid w:val="009F7100"/>
    <w:rsid w:val="009F7294"/>
    <w:rsid w:val="009F734C"/>
    <w:rsid w:val="009F746A"/>
    <w:rsid w:val="009F7C9B"/>
    <w:rsid w:val="009F7E8C"/>
    <w:rsid w:val="009F7FB3"/>
    <w:rsid w:val="00A00BA5"/>
    <w:rsid w:val="00A017A8"/>
    <w:rsid w:val="00A01AAD"/>
    <w:rsid w:val="00A01B15"/>
    <w:rsid w:val="00A01BA3"/>
    <w:rsid w:val="00A01EAA"/>
    <w:rsid w:val="00A028E5"/>
    <w:rsid w:val="00A02F04"/>
    <w:rsid w:val="00A02FD1"/>
    <w:rsid w:val="00A0313B"/>
    <w:rsid w:val="00A03595"/>
    <w:rsid w:val="00A03D76"/>
    <w:rsid w:val="00A03F67"/>
    <w:rsid w:val="00A04712"/>
    <w:rsid w:val="00A04CFA"/>
    <w:rsid w:val="00A04D9F"/>
    <w:rsid w:val="00A05069"/>
    <w:rsid w:val="00A050D7"/>
    <w:rsid w:val="00A0534B"/>
    <w:rsid w:val="00A0638A"/>
    <w:rsid w:val="00A069D1"/>
    <w:rsid w:val="00A06E2E"/>
    <w:rsid w:val="00A070B7"/>
    <w:rsid w:val="00A074B7"/>
    <w:rsid w:val="00A07991"/>
    <w:rsid w:val="00A079A5"/>
    <w:rsid w:val="00A07ACD"/>
    <w:rsid w:val="00A07B27"/>
    <w:rsid w:val="00A07E06"/>
    <w:rsid w:val="00A07F1F"/>
    <w:rsid w:val="00A1008B"/>
    <w:rsid w:val="00A104CE"/>
    <w:rsid w:val="00A106AC"/>
    <w:rsid w:val="00A1092B"/>
    <w:rsid w:val="00A10CDE"/>
    <w:rsid w:val="00A1135A"/>
    <w:rsid w:val="00A11545"/>
    <w:rsid w:val="00A11EAA"/>
    <w:rsid w:val="00A12DE8"/>
    <w:rsid w:val="00A12F1D"/>
    <w:rsid w:val="00A12FE0"/>
    <w:rsid w:val="00A139FC"/>
    <w:rsid w:val="00A13A89"/>
    <w:rsid w:val="00A13E76"/>
    <w:rsid w:val="00A143E1"/>
    <w:rsid w:val="00A143F0"/>
    <w:rsid w:val="00A14598"/>
    <w:rsid w:val="00A14748"/>
    <w:rsid w:val="00A14887"/>
    <w:rsid w:val="00A148D4"/>
    <w:rsid w:val="00A14DE8"/>
    <w:rsid w:val="00A150BE"/>
    <w:rsid w:val="00A152E5"/>
    <w:rsid w:val="00A15BD1"/>
    <w:rsid w:val="00A15F04"/>
    <w:rsid w:val="00A15F6E"/>
    <w:rsid w:val="00A160A9"/>
    <w:rsid w:val="00A1680D"/>
    <w:rsid w:val="00A168D9"/>
    <w:rsid w:val="00A16CA1"/>
    <w:rsid w:val="00A16EA7"/>
    <w:rsid w:val="00A1716C"/>
    <w:rsid w:val="00A1749D"/>
    <w:rsid w:val="00A176FF"/>
    <w:rsid w:val="00A17CC1"/>
    <w:rsid w:val="00A20E31"/>
    <w:rsid w:val="00A21028"/>
    <w:rsid w:val="00A212CF"/>
    <w:rsid w:val="00A2190F"/>
    <w:rsid w:val="00A21962"/>
    <w:rsid w:val="00A21B20"/>
    <w:rsid w:val="00A21D6F"/>
    <w:rsid w:val="00A21DA9"/>
    <w:rsid w:val="00A21DDD"/>
    <w:rsid w:val="00A21EDD"/>
    <w:rsid w:val="00A22037"/>
    <w:rsid w:val="00A222CC"/>
    <w:rsid w:val="00A2264A"/>
    <w:rsid w:val="00A22BA1"/>
    <w:rsid w:val="00A23718"/>
    <w:rsid w:val="00A23764"/>
    <w:rsid w:val="00A238F3"/>
    <w:rsid w:val="00A23AB0"/>
    <w:rsid w:val="00A241A2"/>
    <w:rsid w:val="00A24949"/>
    <w:rsid w:val="00A2507A"/>
    <w:rsid w:val="00A25D3B"/>
    <w:rsid w:val="00A266C5"/>
    <w:rsid w:val="00A26704"/>
    <w:rsid w:val="00A26B02"/>
    <w:rsid w:val="00A26B03"/>
    <w:rsid w:val="00A26C43"/>
    <w:rsid w:val="00A26D60"/>
    <w:rsid w:val="00A26E70"/>
    <w:rsid w:val="00A27101"/>
    <w:rsid w:val="00A2712F"/>
    <w:rsid w:val="00A27303"/>
    <w:rsid w:val="00A27448"/>
    <w:rsid w:val="00A278DB"/>
    <w:rsid w:val="00A3020D"/>
    <w:rsid w:val="00A3052D"/>
    <w:rsid w:val="00A308B2"/>
    <w:rsid w:val="00A309C6"/>
    <w:rsid w:val="00A30BC0"/>
    <w:rsid w:val="00A30C55"/>
    <w:rsid w:val="00A30E91"/>
    <w:rsid w:val="00A30F98"/>
    <w:rsid w:val="00A3115A"/>
    <w:rsid w:val="00A312AD"/>
    <w:rsid w:val="00A313F8"/>
    <w:rsid w:val="00A31657"/>
    <w:rsid w:val="00A31734"/>
    <w:rsid w:val="00A31778"/>
    <w:rsid w:val="00A317A3"/>
    <w:rsid w:val="00A3187D"/>
    <w:rsid w:val="00A318E4"/>
    <w:rsid w:val="00A31C8F"/>
    <w:rsid w:val="00A3227D"/>
    <w:rsid w:val="00A326F2"/>
    <w:rsid w:val="00A3277F"/>
    <w:rsid w:val="00A32AFC"/>
    <w:rsid w:val="00A32E4E"/>
    <w:rsid w:val="00A33019"/>
    <w:rsid w:val="00A3301F"/>
    <w:rsid w:val="00A333F6"/>
    <w:rsid w:val="00A336E7"/>
    <w:rsid w:val="00A33BAE"/>
    <w:rsid w:val="00A33D3C"/>
    <w:rsid w:val="00A33E28"/>
    <w:rsid w:val="00A3430F"/>
    <w:rsid w:val="00A3443F"/>
    <w:rsid w:val="00A34538"/>
    <w:rsid w:val="00A347CC"/>
    <w:rsid w:val="00A34882"/>
    <w:rsid w:val="00A349DD"/>
    <w:rsid w:val="00A34D12"/>
    <w:rsid w:val="00A354E8"/>
    <w:rsid w:val="00A3553E"/>
    <w:rsid w:val="00A357C1"/>
    <w:rsid w:val="00A358C4"/>
    <w:rsid w:val="00A35ACA"/>
    <w:rsid w:val="00A35B65"/>
    <w:rsid w:val="00A35F88"/>
    <w:rsid w:val="00A36400"/>
    <w:rsid w:val="00A3647F"/>
    <w:rsid w:val="00A36493"/>
    <w:rsid w:val="00A36842"/>
    <w:rsid w:val="00A36B76"/>
    <w:rsid w:val="00A36C43"/>
    <w:rsid w:val="00A36C9C"/>
    <w:rsid w:val="00A372A5"/>
    <w:rsid w:val="00A37574"/>
    <w:rsid w:val="00A37C11"/>
    <w:rsid w:val="00A37F90"/>
    <w:rsid w:val="00A40325"/>
    <w:rsid w:val="00A4089E"/>
    <w:rsid w:val="00A40FE5"/>
    <w:rsid w:val="00A4103C"/>
    <w:rsid w:val="00A4109C"/>
    <w:rsid w:val="00A415E6"/>
    <w:rsid w:val="00A41726"/>
    <w:rsid w:val="00A41B00"/>
    <w:rsid w:val="00A41D03"/>
    <w:rsid w:val="00A42026"/>
    <w:rsid w:val="00A427D6"/>
    <w:rsid w:val="00A42AF7"/>
    <w:rsid w:val="00A42BED"/>
    <w:rsid w:val="00A42D88"/>
    <w:rsid w:val="00A42EFE"/>
    <w:rsid w:val="00A4327B"/>
    <w:rsid w:val="00A43E70"/>
    <w:rsid w:val="00A43EF4"/>
    <w:rsid w:val="00A44066"/>
    <w:rsid w:val="00A445E5"/>
    <w:rsid w:val="00A44625"/>
    <w:rsid w:val="00A44C91"/>
    <w:rsid w:val="00A44EA7"/>
    <w:rsid w:val="00A451A0"/>
    <w:rsid w:val="00A4542B"/>
    <w:rsid w:val="00A45444"/>
    <w:rsid w:val="00A45D10"/>
    <w:rsid w:val="00A45FF3"/>
    <w:rsid w:val="00A464C8"/>
    <w:rsid w:val="00A46989"/>
    <w:rsid w:val="00A47281"/>
    <w:rsid w:val="00A4765F"/>
    <w:rsid w:val="00A47868"/>
    <w:rsid w:val="00A47B26"/>
    <w:rsid w:val="00A47D63"/>
    <w:rsid w:val="00A47ECE"/>
    <w:rsid w:val="00A50328"/>
    <w:rsid w:val="00A504C0"/>
    <w:rsid w:val="00A505DE"/>
    <w:rsid w:val="00A5075C"/>
    <w:rsid w:val="00A50CDF"/>
    <w:rsid w:val="00A50D3F"/>
    <w:rsid w:val="00A50D81"/>
    <w:rsid w:val="00A50D97"/>
    <w:rsid w:val="00A50DBB"/>
    <w:rsid w:val="00A5102B"/>
    <w:rsid w:val="00A51164"/>
    <w:rsid w:val="00A51818"/>
    <w:rsid w:val="00A51A3F"/>
    <w:rsid w:val="00A525F4"/>
    <w:rsid w:val="00A52857"/>
    <w:rsid w:val="00A529E8"/>
    <w:rsid w:val="00A5314F"/>
    <w:rsid w:val="00A531BB"/>
    <w:rsid w:val="00A5327C"/>
    <w:rsid w:val="00A53A7F"/>
    <w:rsid w:val="00A53AE7"/>
    <w:rsid w:val="00A53F6A"/>
    <w:rsid w:val="00A54056"/>
    <w:rsid w:val="00A54439"/>
    <w:rsid w:val="00A544F2"/>
    <w:rsid w:val="00A549DA"/>
    <w:rsid w:val="00A558F9"/>
    <w:rsid w:val="00A55B2C"/>
    <w:rsid w:val="00A55D23"/>
    <w:rsid w:val="00A55DBA"/>
    <w:rsid w:val="00A56AC3"/>
    <w:rsid w:val="00A56AC9"/>
    <w:rsid w:val="00A56C71"/>
    <w:rsid w:val="00A5721C"/>
    <w:rsid w:val="00A57434"/>
    <w:rsid w:val="00A574FA"/>
    <w:rsid w:val="00A57592"/>
    <w:rsid w:val="00A57EB4"/>
    <w:rsid w:val="00A60563"/>
    <w:rsid w:val="00A60A26"/>
    <w:rsid w:val="00A60BB9"/>
    <w:rsid w:val="00A60CF4"/>
    <w:rsid w:val="00A611D9"/>
    <w:rsid w:val="00A61239"/>
    <w:rsid w:val="00A61446"/>
    <w:rsid w:val="00A6146C"/>
    <w:rsid w:val="00A614EB"/>
    <w:rsid w:val="00A614EC"/>
    <w:rsid w:val="00A6165A"/>
    <w:rsid w:val="00A61705"/>
    <w:rsid w:val="00A61E6C"/>
    <w:rsid w:val="00A61F47"/>
    <w:rsid w:val="00A62293"/>
    <w:rsid w:val="00A62781"/>
    <w:rsid w:val="00A62D5D"/>
    <w:rsid w:val="00A62FC9"/>
    <w:rsid w:val="00A6304E"/>
    <w:rsid w:val="00A632BF"/>
    <w:rsid w:val="00A63410"/>
    <w:rsid w:val="00A63D22"/>
    <w:rsid w:val="00A63D72"/>
    <w:rsid w:val="00A63F85"/>
    <w:rsid w:val="00A64769"/>
    <w:rsid w:val="00A64B32"/>
    <w:rsid w:val="00A65106"/>
    <w:rsid w:val="00A654E7"/>
    <w:rsid w:val="00A6591E"/>
    <w:rsid w:val="00A65C97"/>
    <w:rsid w:val="00A65DAD"/>
    <w:rsid w:val="00A65E23"/>
    <w:rsid w:val="00A6608F"/>
    <w:rsid w:val="00A661CC"/>
    <w:rsid w:val="00A66234"/>
    <w:rsid w:val="00A6633A"/>
    <w:rsid w:val="00A66C65"/>
    <w:rsid w:val="00A66D34"/>
    <w:rsid w:val="00A66DE4"/>
    <w:rsid w:val="00A67215"/>
    <w:rsid w:val="00A67913"/>
    <w:rsid w:val="00A67969"/>
    <w:rsid w:val="00A67A73"/>
    <w:rsid w:val="00A67B22"/>
    <w:rsid w:val="00A67DAB"/>
    <w:rsid w:val="00A70D18"/>
    <w:rsid w:val="00A7113E"/>
    <w:rsid w:val="00A714FB"/>
    <w:rsid w:val="00A716BA"/>
    <w:rsid w:val="00A71A6C"/>
    <w:rsid w:val="00A71D19"/>
    <w:rsid w:val="00A722A2"/>
    <w:rsid w:val="00A7232C"/>
    <w:rsid w:val="00A72432"/>
    <w:rsid w:val="00A73704"/>
    <w:rsid w:val="00A7391E"/>
    <w:rsid w:val="00A73E86"/>
    <w:rsid w:val="00A74064"/>
    <w:rsid w:val="00A74260"/>
    <w:rsid w:val="00A743F8"/>
    <w:rsid w:val="00A74599"/>
    <w:rsid w:val="00A7483E"/>
    <w:rsid w:val="00A748F0"/>
    <w:rsid w:val="00A74934"/>
    <w:rsid w:val="00A74B9B"/>
    <w:rsid w:val="00A74F50"/>
    <w:rsid w:val="00A750EE"/>
    <w:rsid w:val="00A75892"/>
    <w:rsid w:val="00A759D5"/>
    <w:rsid w:val="00A75A1F"/>
    <w:rsid w:val="00A766E4"/>
    <w:rsid w:val="00A766FF"/>
    <w:rsid w:val="00A76BFF"/>
    <w:rsid w:val="00A76CC0"/>
    <w:rsid w:val="00A77C21"/>
    <w:rsid w:val="00A77D6D"/>
    <w:rsid w:val="00A8014C"/>
    <w:rsid w:val="00A808DB"/>
    <w:rsid w:val="00A80B2C"/>
    <w:rsid w:val="00A80B3C"/>
    <w:rsid w:val="00A80E71"/>
    <w:rsid w:val="00A80FF2"/>
    <w:rsid w:val="00A81252"/>
    <w:rsid w:val="00A81A94"/>
    <w:rsid w:val="00A81D28"/>
    <w:rsid w:val="00A81D45"/>
    <w:rsid w:val="00A82029"/>
    <w:rsid w:val="00A8223B"/>
    <w:rsid w:val="00A82534"/>
    <w:rsid w:val="00A82948"/>
    <w:rsid w:val="00A82BA1"/>
    <w:rsid w:val="00A82C5B"/>
    <w:rsid w:val="00A8329D"/>
    <w:rsid w:val="00A8364E"/>
    <w:rsid w:val="00A83ACF"/>
    <w:rsid w:val="00A83CBD"/>
    <w:rsid w:val="00A843C4"/>
    <w:rsid w:val="00A845F6"/>
    <w:rsid w:val="00A84D50"/>
    <w:rsid w:val="00A84E12"/>
    <w:rsid w:val="00A85346"/>
    <w:rsid w:val="00A85810"/>
    <w:rsid w:val="00A85D0F"/>
    <w:rsid w:val="00A85EDA"/>
    <w:rsid w:val="00A86039"/>
    <w:rsid w:val="00A860BF"/>
    <w:rsid w:val="00A860F3"/>
    <w:rsid w:val="00A86C7B"/>
    <w:rsid w:val="00A86E2E"/>
    <w:rsid w:val="00A87332"/>
    <w:rsid w:val="00A878B9"/>
    <w:rsid w:val="00A87DD8"/>
    <w:rsid w:val="00A87FF6"/>
    <w:rsid w:val="00A90442"/>
    <w:rsid w:val="00A90503"/>
    <w:rsid w:val="00A90B83"/>
    <w:rsid w:val="00A9108B"/>
    <w:rsid w:val="00A9119A"/>
    <w:rsid w:val="00A911F3"/>
    <w:rsid w:val="00A917F7"/>
    <w:rsid w:val="00A92037"/>
    <w:rsid w:val="00A927C2"/>
    <w:rsid w:val="00A9289F"/>
    <w:rsid w:val="00A92A30"/>
    <w:rsid w:val="00A92C85"/>
    <w:rsid w:val="00A92E7F"/>
    <w:rsid w:val="00A93036"/>
    <w:rsid w:val="00A930D5"/>
    <w:rsid w:val="00A93636"/>
    <w:rsid w:val="00A93749"/>
    <w:rsid w:val="00A9396C"/>
    <w:rsid w:val="00A9398E"/>
    <w:rsid w:val="00A93DAA"/>
    <w:rsid w:val="00A9453E"/>
    <w:rsid w:val="00A949AE"/>
    <w:rsid w:val="00A94C15"/>
    <w:rsid w:val="00A94F3E"/>
    <w:rsid w:val="00A9501B"/>
    <w:rsid w:val="00A951CD"/>
    <w:rsid w:val="00A9522D"/>
    <w:rsid w:val="00A95300"/>
    <w:rsid w:val="00A956B1"/>
    <w:rsid w:val="00A95932"/>
    <w:rsid w:val="00A95A19"/>
    <w:rsid w:val="00A95D13"/>
    <w:rsid w:val="00A95DED"/>
    <w:rsid w:val="00A9618D"/>
    <w:rsid w:val="00A961DE"/>
    <w:rsid w:val="00A962F1"/>
    <w:rsid w:val="00A9663C"/>
    <w:rsid w:val="00A9681E"/>
    <w:rsid w:val="00A96A38"/>
    <w:rsid w:val="00A96CDB"/>
    <w:rsid w:val="00A96E4B"/>
    <w:rsid w:val="00A97670"/>
    <w:rsid w:val="00A97948"/>
    <w:rsid w:val="00A97B74"/>
    <w:rsid w:val="00A97B82"/>
    <w:rsid w:val="00A97E96"/>
    <w:rsid w:val="00AA007A"/>
    <w:rsid w:val="00AA0235"/>
    <w:rsid w:val="00AA02FE"/>
    <w:rsid w:val="00AA0D6A"/>
    <w:rsid w:val="00AA0E8A"/>
    <w:rsid w:val="00AA12B3"/>
    <w:rsid w:val="00AA12C5"/>
    <w:rsid w:val="00AA16B2"/>
    <w:rsid w:val="00AA1C89"/>
    <w:rsid w:val="00AA1E89"/>
    <w:rsid w:val="00AA255D"/>
    <w:rsid w:val="00AA274B"/>
    <w:rsid w:val="00AA353F"/>
    <w:rsid w:val="00AA35B4"/>
    <w:rsid w:val="00AA3603"/>
    <w:rsid w:val="00AA3B49"/>
    <w:rsid w:val="00AA3B57"/>
    <w:rsid w:val="00AA3D53"/>
    <w:rsid w:val="00AA46F0"/>
    <w:rsid w:val="00AA4AFE"/>
    <w:rsid w:val="00AA4DB7"/>
    <w:rsid w:val="00AA4DD2"/>
    <w:rsid w:val="00AA4E64"/>
    <w:rsid w:val="00AA5069"/>
    <w:rsid w:val="00AA5443"/>
    <w:rsid w:val="00AA5CF6"/>
    <w:rsid w:val="00AA5F1A"/>
    <w:rsid w:val="00AA603A"/>
    <w:rsid w:val="00AA607B"/>
    <w:rsid w:val="00AA6586"/>
    <w:rsid w:val="00AA685A"/>
    <w:rsid w:val="00AA6C3C"/>
    <w:rsid w:val="00AA7225"/>
    <w:rsid w:val="00AA73C3"/>
    <w:rsid w:val="00AA756E"/>
    <w:rsid w:val="00AA75F7"/>
    <w:rsid w:val="00AA76F1"/>
    <w:rsid w:val="00AA7713"/>
    <w:rsid w:val="00AA78B4"/>
    <w:rsid w:val="00AA7DB5"/>
    <w:rsid w:val="00AA7DEE"/>
    <w:rsid w:val="00AA7E3A"/>
    <w:rsid w:val="00AB067C"/>
    <w:rsid w:val="00AB073E"/>
    <w:rsid w:val="00AB0950"/>
    <w:rsid w:val="00AB0989"/>
    <w:rsid w:val="00AB0AAB"/>
    <w:rsid w:val="00AB13AF"/>
    <w:rsid w:val="00AB14AE"/>
    <w:rsid w:val="00AB14D7"/>
    <w:rsid w:val="00AB164D"/>
    <w:rsid w:val="00AB16B0"/>
    <w:rsid w:val="00AB1A13"/>
    <w:rsid w:val="00AB1D66"/>
    <w:rsid w:val="00AB240C"/>
    <w:rsid w:val="00AB24C5"/>
    <w:rsid w:val="00AB25BF"/>
    <w:rsid w:val="00AB29E8"/>
    <w:rsid w:val="00AB2E87"/>
    <w:rsid w:val="00AB3173"/>
    <w:rsid w:val="00AB31BC"/>
    <w:rsid w:val="00AB3D7C"/>
    <w:rsid w:val="00AB3E40"/>
    <w:rsid w:val="00AB3FBA"/>
    <w:rsid w:val="00AB424B"/>
    <w:rsid w:val="00AB47DC"/>
    <w:rsid w:val="00AB4E79"/>
    <w:rsid w:val="00AB4E9F"/>
    <w:rsid w:val="00AB506E"/>
    <w:rsid w:val="00AB5493"/>
    <w:rsid w:val="00AB54D6"/>
    <w:rsid w:val="00AB5666"/>
    <w:rsid w:val="00AB5CDF"/>
    <w:rsid w:val="00AB60E2"/>
    <w:rsid w:val="00AB63B3"/>
    <w:rsid w:val="00AB6B3F"/>
    <w:rsid w:val="00AB6D65"/>
    <w:rsid w:val="00AB6E87"/>
    <w:rsid w:val="00AB6FFE"/>
    <w:rsid w:val="00AB7A2F"/>
    <w:rsid w:val="00AC00C4"/>
    <w:rsid w:val="00AC0529"/>
    <w:rsid w:val="00AC07DD"/>
    <w:rsid w:val="00AC0901"/>
    <w:rsid w:val="00AC098A"/>
    <w:rsid w:val="00AC0A1D"/>
    <w:rsid w:val="00AC0B0B"/>
    <w:rsid w:val="00AC0CE2"/>
    <w:rsid w:val="00AC126F"/>
    <w:rsid w:val="00AC1736"/>
    <w:rsid w:val="00AC190C"/>
    <w:rsid w:val="00AC1B8A"/>
    <w:rsid w:val="00AC1C55"/>
    <w:rsid w:val="00AC1D2B"/>
    <w:rsid w:val="00AC1E98"/>
    <w:rsid w:val="00AC210F"/>
    <w:rsid w:val="00AC27FF"/>
    <w:rsid w:val="00AC2A31"/>
    <w:rsid w:val="00AC2AD1"/>
    <w:rsid w:val="00AC2F92"/>
    <w:rsid w:val="00AC3010"/>
    <w:rsid w:val="00AC315E"/>
    <w:rsid w:val="00AC319E"/>
    <w:rsid w:val="00AC328F"/>
    <w:rsid w:val="00AC35FD"/>
    <w:rsid w:val="00AC3685"/>
    <w:rsid w:val="00AC3B80"/>
    <w:rsid w:val="00AC3D80"/>
    <w:rsid w:val="00AC3F70"/>
    <w:rsid w:val="00AC42ED"/>
    <w:rsid w:val="00AC446F"/>
    <w:rsid w:val="00AC4659"/>
    <w:rsid w:val="00AC48B8"/>
    <w:rsid w:val="00AC4BB9"/>
    <w:rsid w:val="00AC4CC2"/>
    <w:rsid w:val="00AC5B1B"/>
    <w:rsid w:val="00AC5D5A"/>
    <w:rsid w:val="00AC5D6E"/>
    <w:rsid w:val="00AC624F"/>
    <w:rsid w:val="00AC63D5"/>
    <w:rsid w:val="00AC6BCD"/>
    <w:rsid w:val="00AC6C7E"/>
    <w:rsid w:val="00AC6F02"/>
    <w:rsid w:val="00AC6F7A"/>
    <w:rsid w:val="00AC71D8"/>
    <w:rsid w:val="00AC7665"/>
    <w:rsid w:val="00AC7812"/>
    <w:rsid w:val="00AC79CC"/>
    <w:rsid w:val="00AC7D5E"/>
    <w:rsid w:val="00AC7D89"/>
    <w:rsid w:val="00AD0326"/>
    <w:rsid w:val="00AD06BC"/>
    <w:rsid w:val="00AD09B3"/>
    <w:rsid w:val="00AD0CF7"/>
    <w:rsid w:val="00AD0D19"/>
    <w:rsid w:val="00AD129A"/>
    <w:rsid w:val="00AD1C47"/>
    <w:rsid w:val="00AD21A1"/>
    <w:rsid w:val="00AD222C"/>
    <w:rsid w:val="00AD2294"/>
    <w:rsid w:val="00AD2AC9"/>
    <w:rsid w:val="00AD30A0"/>
    <w:rsid w:val="00AD34F4"/>
    <w:rsid w:val="00AD353F"/>
    <w:rsid w:val="00AD386C"/>
    <w:rsid w:val="00AD3F5E"/>
    <w:rsid w:val="00AD3FC6"/>
    <w:rsid w:val="00AD47E6"/>
    <w:rsid w:val="00AD494E"/>
    <w:rsid w:val="00AD4BE5"/>
    <w:rsid w:val="00AD4ED4"/>
    <w:rsid w:val="00AD50AD"/>
    <w:rsid w:val="00AD5A30"/>
    <w:rsid w:val="00AD5EEC"/>
    <w:rsid w:val="00AD5F24"/>
    <w:rsid w:val="00AD5FE2"/>
    <w:rsid w:val="00AD6131"/>
    <w:rsid w:val="00AD66BE"/>
    <w:rsid w:val="00AD675E"/>
    <w:rsid w:val="00AD6AD3"/>
    <w:rsid w:val="00AD6D52"/>
    <w:rsid w:val="00AD6E42"/>
    <w:rsid w:val="00AD722A"/>
    <w:rsid w:val="00AD7286"/>
    <w:rsid w:val="00AD7F4A"/>
    <w:rsid w:val="00AD7FE9"/>
    <w:rsid w:val="00AE0356"/>
    <w:rsid w:val="00AE04BC"/>
    <w:rsid w:val="00AE0961"/>
    <w:rsid w:val="00AE09FB"/>
    <w:rsid w:val="00AE0A2D"/>
    <w:rsid w:val="00AE0B90"/>
    <w:rsid w:val="00AE1529"/>
    <w:rsid w:val="00AE1B01"/>
    <w:rsid w:val="00AE28E4"/>
    <w:rsid w:val="00AE2AF7"/>
    <w:rsid w:val="00AE2B5B"/>
    <w:rsid w:val="00AE309D"/>
    <w:rsid w:val="00AE313D"/>
    <w:rsid w:val="00AE3455"/>
    <w:rsid w:val="00AE3739"/>
    <w:rsid w:val="00AE3A1E"/>
    <w:rsid w:val="00AE3AA3"/>
    <w:rsid w:val="00AE3B78"/>
    <w:rsid w:val="00AE3D37"/>
    <w:rsid w:val="00AE4395"/>
    <w:rsid w:val="00AE4673"/>
    <w:rsid w:val="00AE4AC3"/>
    <w:rsid w:val="00AE578C"/>
    <w:rsid w:val="00AE5F32"/>
    <w:rsid w:val="00AE5F4E"/>
    <w:rsid w:val="00AE6898"/>
    <w:rsid w:val="00AE68F7"/>
    <w:rsid w:val="00AE69A7"/>
    <w:rsid w:val="00AE69E3"/>
    <w:rsid w:val="00AE6CD0"/>
    <w:rsid w:val="00AE7160"/>
    <w:rsid w:val="00AE734F"/>
    <w:rsid w:val="00AE7661"/>
    <w:rsid w:val="00AE7F77"/>
    <w:rsid w:val="00AF0308"/>
    <w:rsid w:val="00AF067A"/>
    <w:rsid w:val="00AF07B2"/>
    <w:rsid w:val="00AF109E"/>
    <w:rsid w:val="00AF12C6"/>
    <w:rsid w:val="00AF14AF"/>
    <w:rsid w:val="00AF18AB"/>
    <w:rsid w:val="00AF1A2D"/>
    <w:rsid w:val="00AF2656"/>
    <w:rsid w:val="00AF294A"/>
    <w:rsid w:val="00AF2C0B"/>
    <w:rsid w:val="00AF2DA7"/>
    <w:rsid w:val="00AF2DBC"/>
    <w:rsid w:val="00AF2FCC"/>
    <w:rsid w:val="00AF300E"/>
    <w:rsid w:val="00AF3824"/>
    <w:rsid w:val="00AF3D60"/>
    <w:rsid w:val="00AF3DFE"/>
    <w:rsid w:val="00AF3E8F"/>
    <w:rsid w:val="00AF4019"/>
    <w:rsid w:val="00AF4170"/>
    <w:rsid w:val="00AF491B"/>
    <w:rsid w:val="00AF4DBF"/>
    <w:rsid w:val="00AF4FD5"/>
    <w:rsid w:val="00AF57E0"/>
    <w:rsid w:val="00AF5A7E"/>
    <w:rsid w:val="00AF5ACD"/>
    <w:rsid w:val="00AF6110"/>
    <w:rsid w:val="00AF6226"/>
    <w:rsid w:val="00AF63E9"/>
    <w:rsid w:val="00AF6425"/>
    <w:rsid w:val="00AF646E"/>
    <w:rsid w:val="00AF685D"/>
    <w:rsid w:val="00AF6AC6"/>
    <w:rsid w:val="00AF7095"/>
    <w:rsid w:val="00AF70D8"/>
    <w:rsid w:val="00AF719C"/>
    <w:rsid w:val="00AF71C9"/>
    <w:rsid w:val="00AF72E9"/>
    <w:rsid w:val="00AF7D99"/>
    <w:rsid w:val="00AF7E82"/>
    <w:rsid w:val="00B00014"/>
    <w:rsid w:val="00B00611"/>
    <w:rsid w:val="00B013E3"/>
    <w:rsid w:val="00B01F1F"/>
    <w:rsid w:val="00B02141"/>
    <w:rsid w:val="00B02B88"/>
    <w:rsid w:val="00B02DD8"/>
    <w:rsid w:val="00B03037"/>
    <w:rsid w:val="00B0334E"/>
    <w:rsid w:val="00B03484"/>
    <w:rsid w:val="00B03719"/>
    <w:rsid w:val="00B03A5A"/>
    <w:rsid w:val="00B03A82"/>
    <w:rsid w:val="00B03CED"/>
    <w:rsid w:val="00B04354"/>
    <w:rsid w:val="00B0461C"/>
    <w:rsid w:val="00B04663"/>
    <w:rsid w:val="00B048DB"/>
    <w:rsid w:val="00B049C5"/>
    <w:rsid w:val="00B04FD7"/>
    <w:rsid w:val="00B05316"/>
    <w:rsid w:val="00B05686"/>
    <w:rsid w:val="00B06224"/>
    <w:rsid w:val="00B065B9"/>
    <w:rsid w:val="00B067BF"/>
    <w:rsid w:val="00B0684A"/>
    <w:rsid w:val="00B06BA4"/>
    <w:rsid w:val="00B06BDC"/>
    <w:rsid w:val="00B06C9E"/>
    <w:rsid w:val="00B0770C"/>
    <w:rsid w:val="00B07D14"/>
    <w:rsid w:val="00B07DB8"/>
    <w:rsid w:val="00B10118"/>
    <w:rsid w:val="00B101C7"/>
    <w:rsid w:val="00B101E6"/>
    <w:rsid w:val="00B10367"/>
    <w:rsid w:val="00B10737"/>
    <w:rsid w:val="00B10D0C"/>
    <w:rsid w:val="00B10D51"/>
    <w:rsid w:val="00B10D6B"/>
    <w:rsid w:val="00B11706"/>
    <w:rsid w:val="00B11B7E"/>
    <w:rsid w:val="00B11BAA"/>
    <w:rsid w:val="00B11BCB"/>
    <w:rsid w:val="00B11D09"/>
    <w:rsid w:val="00B11E11"/>
    <w:rsid w:val="00B11E5A"/>
    <w:rsid w:val="00B1232A"/>
    <w:rsid w:val="00B13013"/>
    <w:rsid w:val="00B130FC"/>
    <w:rsid w:val="00B1325A"/>
    <w:rsid w:val="00B1361C"/>
    <w:rsid w:val="00B1372B"/>
    <w:rsid w:val="00B13C94"/>
    <w:rsid w:val="00B13DCB"/>
    <w:rsid w:val="00B14095"/>
    <w:rsid w:val="00B14BB1"/>
    <w:rsid w:val="00B154F0"/>
    <w:rsid w:val="00B157A5"/>
    <w:rsid w:val="00B157B6"/>
    <w:rsid w:val="00B15B1B"/>
    <w:rsid w:val="00B15BA3"/>
    <w:rsid w:val="00B15BAF"/>
    <w:rsid w:val="00B15DFC"/>
    <w:rsid w:val="00B15ED6"/>
    <w:rsid w:val="00B160CA"/>
    <w:rsid w:val="00B16126"/>
    <w:rsid w:val="00B16420"/>
    <w:rsid w:val="00B164E0"/>
    <w:rsid w:val="00B16BCB"/>
    <w:rsid w:val="00B16D7F"/>
    <w:rsid w:val="00B16F6B"/>
    <w:rsid w:val="00B17D28"/>
    <w:rsid w:val="00B17EC5"/>
    <w:rsid w:val="00B17FBC"/>
    <w:rsid w:val="00B20C13"/>
    <w:rsid w:val="00B20CCB"/>
    <w:rsid w:val="00B20FDA"/>
    <w:rsid w:val="00B22173"/>
    <w:rsid w:val="00B221B5"/>
    <w:rsid w:val="00B2234B"/>
    <w:rsid w:val="00B223EF"/>
    <w:rsid w:val="00B2283A"/>
    <w:rsid w:val="00B2324E"/>
    <w:rsid w:val="00B238E4"/>
    <w:rsid w:val="00B23A6B"/>
    <w:rsid w:val="00B23C92"/>
    <w:rsid w:val="00B243B0"/>
    <w:rsid w:val="00B2462E"/>
    <w:rsid w:val="00B2484E"/>
    <w:rsid w:val="00B249E4"/>
    <w:rsid w:val="00B249FC"/>
    <w:rsid w:val="00B24CE9"/>
    <w:rsid w:val="00B25147"/>
    <w:rsid w:val="00B254B8"/>
    <w:rsid w:val="00B2564E"/>
    <w:rsid w:val="00B259DE"/>
    <w:rsid w:val="00B25C8C"/>
    <w:rsid w:val="00B2643D"/>
    <w:rsid w:val="00B268A9"/>
    <w:rsid w:val="00B27212"/>
    <w:rsid w:val="00B27740"/>
    <w:rsid w:val="00B27975"/>
    <w:rsid w:val="00B27FC2"/>
    <w:rsid w:val="00B30D78"/>
    <w:rsid w:val="00B31035"/>
    <w:rsid w:val="00B31215"/>
    <w:rsid w:val="00B31552"/>
    <w:rsid w:val="00B317E7"/>
    <w:rsid w:val="00B31A96"/>
    <w:rsid w:val="00B31BF1"/>
    <w:rsid w:val="00B31C0F"/>
    <w:rsid w:val="00B328AA"/>
    <w:rsid w:val="00B32B64"/>
    <w:rsid w:val="00B32FB1"/>
    <w:rsid w:val="00B338FB"/>
    <w:rsid w:val="00B33A0F"/>
    <w:rsid w:val="00B33A57"/>
    <w:rsid w:val="00B34083"/>
    <w:rsid w:val="00B34226"/>
    <w:rsid w:val="00B34744"/>
    <w:rsid w:val="00B34BD6"/>
    <w:rsid w:val="00B34C57"/>
    <w:rsid w:val="00B34F90"/>
    <w:rsid w:val="00B34FFF"/>
    <w:rsid w:val="00B35056"/>
    <w:rsid w:val="00B3514C"/>
    <w:rsid w:val="00B35392"/>
    <w:rsid w:val="00B35BC4"/>
    <w:rsid w:val="00B36704"/>
    <w:rsid w:val="00B3678D"/>
    <w:rsid w:val="00B3693B"/>
    <w:rsid w:val="00B36C36"/>
    <w:rsid w:val="00B36E37"/>
    <w:rsid w:val="00B37514"/>
    <w:rsid w:val="00B37728"/>
    <w:rsid w:val="00B37935"/>
    <w:rsid w:val="00B37E37"/>
    <w:rsid w:val="00B37E88"/>
    <w:rsid w:val="00B4020A"/>
    <w:rsid w:val="00B404C4"/>
    <w:rsid w:val="00B40949"/>
    <w:rsid w:val="00B40BEA"/>
    <w:rsid w:val="00B41288"/>
    <w:rsid w:val="00B41B52"/>
    <w:rsid w:val="00B4291E"/>
    <w:rsid w:val="00B42ADE"/>
    <w:rsid w:val="00B42AFF"/>
    <w:rsid w:val="00B42EA7"/>
    <w:rsid w:val="00B42F07"/>
    <w:rsid w:val="00B432C6"/>
    <w:rsid w:val="00B4338B"/>
    <w:rsid w:val="00B435E3"/>
    <w:rsid w:val="00B43827"/>
    <w:rsid w:val="00B43C7F"/>
    <w:rsid w:val="00B43E60"/>
    <w:rsid w:val="00B43EEA"/>
    <w:rsid w:val="00B44205"/>
    <w:rsid w:val="00B444AF"/>
    <w:rsid w:val="00B449E9"/>
    <w:rsid w:val="00B44C94"/>
    <w:rsid w:val="00B44F50"/>
    <w:rsid w:val="00B44F9C"/>
    <w:rsid w:val="00B450AB"/>
    <w:rsid w:val="00B45373"/>
    <w:rsid w:val="00B4541C"/>
    <w:rsid w:val="00B45702"/>
    <w:rsid w:val="00B458E7"/>
    <w:rsid w:val="00B45C64"/>
    <w:rsid w:val="00B45DB8"/>
    <w:rsid w:val="00B46207"/>
    <w:rsid w:val="00B466F6"/>
    <w:rsid w:val="00B4678F"/>
    <w:rsid w:val="00B46A32"/>
    <w:rsid w:val="00B46B29"/>
    <w:rsid w:val="00B46EF4"/>
    <w:rsid w:val="00B46FE3"/>
    <w:rsid w:val="00B47298"/>
    <w:rsid w:val="00B476B0"/>
    <w:rsid w:val="00B476E0"/>
    <w:rsid w:val="00B47896"/>
    <w:rsid w:val="00B47954"/>
    <w:rsid w:val="00B47BF7"/>
    <w:rsid w:val="00B47C01"/>
    <w:rsid w:val="00B50765"/>
    <w:rsid w:val="00B50A40"/>
    <w:rsid w:val="00B50E9E"/>
    <w:rsid w:val="00B51177"/>
    <w:rsid w:val="00B51B18"/>
    <w:rsid w:val="00B51D59"/>
    <w:rsid w:val="00B51E1A"/>
    <w:rsid w:val="00B5230B"/>
    <w:rsid w:val="00B528DF"/>
    <w:rsid w:val="00B529FF"/>
    <w:rsid w:val="00B52ABC"/>
    <w:rsid w:val="00B52BE4"/>
    <w:rsid w:val="00B52E18"/>
    <w:rsid w:val="00B52EE1"/>
    <w:rsid w:val="00B53547"/>
    <w:rsid w:val="00B53597"/>
    <w:rsid w:val="00B53784"/>
    <w:rsid w:val="00B537EF"/>
    <w:rsid w:val="00B54690"/>
    <w:rsid w:val="00B5494B"/>
    <w:rsid w:val="00B54A2D"/>
    <w:rsid w:val="00B54C75"/>
    <w:rsid w:val="00B550D8"/>
    <w:rsid w:val="00B55114"/>
    <w:rsid w:val="00B5524F"/>
    <w:rsid w:val="00B55322"/>
    <w:rsid w:val="00B55A8B"/>
    <w:rsid w:val="00B55BA9"/>
    <w:rsid w:val="00B55D3E"/>
    <w:rsid w:val="00B56F38"/>
    <w:rsid w:val="00B5711C"/>
    <w:rsid w:val="00B57642"/>
    <w:rsid w:val="00B5791A"/>
    <w:rsid w:val="00B57921"/>
    <w:rsid w:val="00B57938"/>
    <w:rsid w:val="00B57B8D"/>
    <w:rsid w:val="00B60122"/>
    <w:rsid w:val="00B60BF9"/>
    <w:rsid w:val="00B610F4"/>
    <w:rsid w:val="00B6141E"/>
    <w:rsid w:val="00B61619"/>
    <w:rsid w:val="00B619F4"/>
    <w:rsid w:val="00B61A01"/>
    <w:rsid w:val="00B61F4E"/>
    <w:rsid w:val="00B62590"/>
    <w:rsid w:val="00B626C0"/>
    <w:rsid w:val="00B62700"/>
    <w:rsid w:val="00B62F20"/>
    <w:rsid w:val="00B6327D"/>
    <w:rsid w:val="00B632FF"/>
    <w:rsid w:val="00B6393A"/>
    <w:rsid w:val="00B63970"/>
    <w:rsid w:val="00B63B5B"/>
    <w:rsid w:val="00B646A9"/>
    <w:rsid w:val="00B64AA0"/>
    <w:rsid w:val="00B64C7F"/>
    <w:rsid w:val="00B651B5"/>
    <w:rsid w:val="00B65AF3"/>
    <w:rsid w:val="00B6634B"/>
    <w:rsid w:val="00B66381"/>
    <w:rsid w:val="00B663F1"/>
    <w:rsid w:val="00B6684C"/>
    <w:rsid w:val="00B67097"/>
    <w:rsid w:val="00B670BA"/>
    <w:rsid w:val="00B67271"/>
    <w:rsid w:val="00B6729F"/>
    <w:rsid w:val="00B676E1"/>
    <w:rsid w:val="00B7006C"/>
    <w:rsid w:val="00B706E2"/>
    <w:rsid w:val="00B70A8C"/>
    <w:rsid w:val="00B720D4"/>
    <w:rsid w:val="00B721B4"/>
    <w:rsid w:val="00B7222D"/>
    <w:rsid w:val="00B7267A"/>
    <w:rsid w:val="00B72988"/>
    <w:rsid w:val="00B730C2"/>
    <w:rsid w:val="00B7361F"/>
    <w:rsid w:val="00B73788"/>
    <w:rsid w:val="00B742DF"/>
    <w:rsid w:val="00B747F1"/>
    <w:rsid w:val="00B74BA0"/>
    <w:rsid w:val="00B74E9A"/>
    <w:rsid w:val="00B754A4"/>
    <w:rsid w:val="00B755ED"/>
    <w:rsid w:val="00B75608"/>
    <w:rsid w:val="00B75682"/>
    <w:rsid w:val="00B757F1"/>
    <w:rsid w:val="00B759AA"/>
    <w:rsid w:val="00B75B4F"/>
    <w:rsid w:val="00B75DB8"/>
    <w:rsid w:val="00B760B4"/>
    <w:rsid w:val="00B76292"/>
    <w:rsid w:val="00B768C2"/>
    <w:rsid w:val="00B76BDD"/>
    <w:rsid w:val="00B76C7B"/>
    <w:rsid w:val="00B76D3B"/>
    <w:rsid w:val="00B76DBB"/>
    <w:rsid w:val="00B775FE"/>
    <w:rsid w:val="00B77A40"/>
    <w:rsid w:val="00B77B49"/>
    <w:rsid w:val="00B77BBF"/>
    <w:rsid w:val="00B77D2C"/>
    <w:rsid w:val="00B77F1D"/>
    <w:rsid w:val="00B77F57"/>
    <w:rsid w:val="00B80772"/>
    <w:rsid w:val="00B80B50"/>
    <w:rsid w:val="00B812BB"/>
    <w:rsid w:val="00B81389"/>
    <w:rsid w:val="00B81AA6"/>
    <w:rsid w:val="00B81C48"/>
    <w:rsid w:val="00B81F24"/>
    <w:rsid w:val="00B823A7"/>
    <w:rsid w:val="00B82567"/>
    <w:rsid w:val="00B82627"/>
    <w:rsid w:val="00B82D02"/>
    <w:rsid w:val="00B83298"/>
    <w:rsid w:val="00B83403"/>
    <w:rsid w:val="00B8358F"/>
    <w:rsid w:val="00B83A4B"/>
    <w:rsid w:val="00B84331"/>
    <w:rsid w:val="00B84913"/>
    <w:rsid w:val="00B84916"/>
    <w:rsid w:val="00B84A8E"/>
    <w:rsid w:val="00B84B30"/>
    <w:rsid w:val="00B84B6C"/>
    <w:rsid w:val="00B84DB6"/>
    <w:rsid w:val="00B84EED"/>
    <w:rsid w:val="00B84F29"/>
    <w:rsid w:val="00B85271"/>
    <w:rsid w:val="00B8528E"/>
    <w:rsid w:val="00B8624B"/>
    <w:rsid w:val="00B86804"/>
    <w:rsid w:val="00B8693B"/>
    <w:rsid w:val="00B86978"/>
    <w:rsid w:val="00B86AF9"/>
    <w:rsid w:val="00B871F0"/>
    <w:rsid w:val="00B87403"/>
    <w:rsid w:val="00B8751C"/>
    <w:rsid w:val="00B87802"/>
    <w:rsid w:val="00B878BC"/>
    <w:rsid w:val="00B87951"/>
    <w:rsid w:val="00B879CE"/>
    <w:rsid w:val="00B87BCE"/>
    <w:rsid w:val="00B90A0B"/>
    <w:rsid w:val="00B90AA7"/>
    <w:rsid w:val="00B90D03"/>
    <w:rsid w:val="00B9137B"/>
    <w:rsid w:val="00B91453"/>
    <w:rsid w:val="00B91A26"/>
    <w:rsid w:val="00B9230F"/>
    <w:rsid w:val="00B92368"/>
    <w:rsid w:val="00B923CA"/>
    <w:rsid w:val="00B925CD"/>
    <w:rsid w:val="00B92825"/>
    <w:rsid w:val="00B92B39"/>
    <w:rsid w:val="00B93311"/>
    <w:rsid w:val="00B9360C"/>
    <w:rsid w:val="00B93798"/>
    <w:rsid w:val="00B937BA"/>
    <w:rsid w:val="00B93809"/>
    <w:rsid w:val="00B938DC"/>
    <w:rsid w:val="00B940D0"/>
    <w:rsid w:val="00B941ED"/>
    <w:rsid w:val="00B94335"/>
    <w:rsid w:val="00B944A0"/>
    <w:rsid w:val="00B94569"/>
    <w:rsid w:val="00B94879"/>
    <w:rsid w:val="00B94887"/>
    <w:rsid w:val="00B94D92"/>
    <w:rsid w:val="00B95273"/>
    <w:rsid w:val="00B957B9"/>
    <w:rsid w:val="00B95AD0"/>
    <w:rsid w:val="00B95B18"/>
    <w:rsid w:val="00B95FBC"/>
    <w:rsid w:val="00B9655A"/>
    <w:rsid w:val="00B96777"/>
    <w:rsid w:val="00B96A15"/>
    <w:rsid w:val="00B96CDE"/>
    <w:rsid w:val="00B96E12"/>
    <w:rsid w:val="00B97943"/>
    <w:rsid w:val="00B979EE"/>
    <w:rsid w:val="00B97A8A"/>
    <w:rsid w:val="00B97ACA"/>
    <w:rsid w:val="00B97AD7"/>
    <w:rsid w:val="00BA0002"/>
    <w:rsid w:val="00BA0033"/>
    <w:rsid w:val="00BA012A"/>
    <w:rsid w:val="00BA0152"/>
    <w:rsid w:val="00BA0485"/>
    <w:rsid w:val="00BA0B59"/>
    <w:rsid w:val="00BA0D13"/>
    <w:rsid w:val="00BA0FC7"/>
    <w:rsid w:val="00BA12A2"/>
    <w:rsid w:val="00BA168B"/>
    <w:rsid w:val="00BA17DE"/>
    <w:rsid w:val="00BA1810"/>
    <w:rsid w:val="00BA18C8"/>
    <w:rsid w:val="00BA206E"/>
    <w:rsid w:val="00BA230D"/>
    <w:rsid w:val="00BA23CC"/>
    <w:rsid w:val="00BA24E0"/>
    <w:rsid w:val="00BA24EC"/>
    <w:rsid w:val="00BA2837"/>
    <w:rsid w:val="00BA2952"/>
    <w:rsid w:val="00BA2B39"/>
    <w:rsid w:val="00BA2C95"/>
    <w:rsid w:val="00BA2F9B"/>
    <w:rsid w:val="00BA303A"/>
    <w:rsid w:val="00BA32B2"/>
    <w:rsid w:val="00BA3359"/>
    <w:rsid w:val="00BA35C7"/>
    <w:rsid w:val="00BA3717"/>
    <w:rsid w:val="00BA386D"/>
    <w:rsid w:val="00BA38F6"/>
    <w:rsid w:val="00BA3DA3"/>
    <w:rsid w:val="00BA40EA"/>
    <w:rsid w:val="00BA4C59"/>
    <w:rsid w:val="00BA4C9E"/>
    <w:rsid w:val="00BA4EC4"/>
    <w:rsid w:val="00BA55A6"/>
    <w:rsid w:val="00BA56C3"/>
    <w:rsid w:val="00BA60C8"/>
    <w:rsid w:val="00BA659D"/>
    <w:rsid w:val="00BA65E5"/>
    <w:rsid w:val="00BA68D1"/>
    <w:rsid w:val="00BA6CEE"/>
    <w:rsid w:val="00BA70B4"/>
    <w:rsid w:val="00BA75E4"/>
    <w:rsid w:val="00BA7903"/>
    <w:rsid w:val="00BA7A62"/>
    <w:rsid w:val="00BA7D37"/>
    <w:rsid w:val="00BA7DB3"/>
    <w:rsid w:val="00BB0386"/>
    <w:rsid w:val="00BB09DF"/>
    <w:rsid w:val="00BB0D58"/>
    <w:rsid w:val="00BB0F75"/>
    <w:rsid w:val="00BB128A"/>
    <w:rsid w:val="00BB13D3"/>
    <w:rsid w:val="00BB1B43"/>
    <w:rsid w:val="00BB1B4C"/>
    <w:rsid w:val="00BB2028"/>
    <w:rsid w:val="00BB210A"/>
    <w:rsid w:val="00BB2ACB"/>
    <w:rsid w:val="00BB2B29"/>
    <w:rsid w:val="00BB2BBC"/>
    <w:rsid w:val="00BB36E3"/>
    <w:rsid w:val="00BB39E5"/>
    <w:rsid w:val="00BB3FC5"/>
    <w:rsid w:val="00BB4226"/>
    <w:rsid w:val="00BB4456"/>
    <w:rsid w:val="00BB4627"/>
    <w:rsid w:val="00BB48D2"/>
    <w:rsid w:val="00BB4A61"/>
    <w:rsid w:val="00BB4BCA"/>
    <w:rsid w:val="00BB4C11"/>
    <w:rsid w:val="00BB551D"/>
    <w:rsid w:val="00BB5D8E"/>
    <w:rsid w:val="00BB60A2"/>
    <w:rsid w:val="00BB6281"/>
    <w:rsid w:val="00BB64D6"/>
    <w:rsid w:val="00BB6B54"/>
    <w:rsid w:val="00BB6DE6"/>
    <w:rsid w:val="00BB702E"/>
    <w:rsid w:val="00BB7751"/>
    <w:rsid w:val="00BB7B9C"/>
    <w:rsid w:val="00BB7BC5"/>
    <w:rsid w:val="00BC09FB"/>
    <w:rsid w:val="00BC0A2C"/>
    <w:rsid w:val="00BC0A61"/>
    <w:rsid w:val="00BC1E27"/>
    <w:rsid w:val="00BC2087"/>
    <w:rsid w:val="00BC2098"/>
    <w:rsid w:val="00BC20C8"/>
    <w:rsid w:val="00BC24D8"/>
    <w:rsid w:val="00BC2605"/>
    <w:rsid w:val="00BC2790"/>
    <w:rsid w:val="00BC28D1"/>
    <w:rsid w:val="00BC2B3B"/>
    <w:rsid w:val="00BC2B7D"/>
    <w:rsid w:val="00BC2EFC"/>
    <w:rsid w:val="00BC31AA"/>
    <w:rsid w:val="00BC3232"/>
    <w:rsid w:val="00BC36A7"/>
    <w:rsid w:val="00BC39FC"/>
    <w:rsid w:val="00BC3A6A"/>
    <w:rsid w:val="00BC4008"/>
    <w:rsid w:val="00BC4198"/>
    <w:rsid w:val="00BC4579"/>
    <w:rsid w:val="00BC463D"/>
    <w:rsid w:val="00BC4661"/>
    <w:rsid w:val="00BC47AE"/>
    <w:rsid w:val="00BC49B1"/>
    <w:rsid w:val="00BC4ACA"/>
    <w:rsid w:val="00BC4F8B"/>
    <w:rsid w:val="00BC51A4"/>
    <w:rsid w:val="00BC55E9"/>
    <w:rsid w:val="00BC5799"/>
    <w:rsid w:val="00BC5F9A"/>
    <w:rsid w:val="00BC6254"/>
    <w:rsid w:val="00BC65C6"/>
    <w:rsid w:val="00BC695E"/>
    <w:rsid w:val="00BC6E8B"/>
    <w:rsid w:val="00BC6EBC"/>
    <w:rsid w:val="00BC72DD"/>
    <w:rsid w:val="00BC7606"/>
    <w:rsid w:val="00BC79D1"/>
    <w:rsid w:val="00BC7D96"/>
    <w:rsid w:val="00BD01BF"/>
    <w:rsid w:val="00BD0B1B"/>
    <w:rsid w:val="00BD0BB6"/>
    <w:rsid w:val="00BD11D4"/>
    <w:rsid w:val="00BD13E7"/>
    <w:rsid w:val="00BD1464"/>
    <w:rsid w:val="00BD165F"/>
    <w:rsid w:val="00BD1940"/>
    <w:rsid w:val="00BD1BDE"/>
    <w:rsid w:val="00BD1BE0"/>
    <w:rsid w:val="00BD1BF9"/>
    <w:rsid w:val="00BD21B0"/>
    <w:rsid w:val="00BD21E6"/>
    <w:rsid w:val="00BD2853"/>
    <w:rsid w:val="00BD2F79"/>
    <w:rsid w:val="00BD3737"/>
    <w:rsid w:val="00BD3D24"/>
    <w:rsid w:val="00BD469D"/>
    <w:rsid w:val="00BD49FD"/>
    <w:rsid w:val="00BD4A85"/>
    <w:rsid w:val="00BD4AB9"/>
    <w:rsid w:val="00BD4B1A"/>
    <w:rsid w:val="00BD5C5C"/>
    <w:rsid w:val="00BD62E0"/>
    <w:rsid w:val="00BD640F"/>
    <w:rsid w:val="00BD6551"/>
    <w:rsid w:val="00BD67FF"/>
    <w:rsid w:val="00BD6A77"/>
    <w:rsid w:val="00BD6C77"/>
    <w:rsid w:val="00BD6C86"/>
    <w:rsid w:val="00BD6EEE"/>
    <w:rsid w:val="00BD7B2F"/>
    <w:rsid w:val="00BD7B3E"/>
    <w:rsid w:val="00BD7C26"/>
    <w:rsid w:val="00BD7DD8"/>
    <w:rsid w:val="00BE078E"/>
    <w:rsid w:val="00BE0854"/>
    <w:rsid w:val="00BE0C60"/>
    <w:rsid w:val="00BE0CA9"/>
    <w:rsid w:val="00BE1650"/>
    <w:rsid w:val="00BE1FDD"/>
    <w:rsid w:val="00BE206D"/>
    <w:rsid w:val="00BE24E5"/>
    <w:rsid w:val="00BE27F2"/>
    <w:rsid w:val="00BE2855"/>
    <w:rsid w:val="00BE2ACF"/>
    <w:rsid w:val="00BE2FE9"/>
    <w:rsid w:val="00BE36E0"/>
    <w:rsid w:val="00BE3CCE"/>
    <w:rsid w:val="00BE3E6B"/>
    <w:rsid w:val="00BE3FDF"/>
    <w:rsid w:val="00BE409A"/>
    <w:rsid w:val="00BE4768"/>
    <w:rsid w:val="00BE48AD"/>
    <w:rsid w:val="00BE491C"/>
    <w:rsid w:val="00BE4D48"/>
    <w:rsid w:val="00BE5436"/>
    <w:rsid w:val="00BE5447"/>
    <w:rsid w:val="00BE55AE"/>
    <w:rsid w:val="00BE59A1"/>
    <w:rsid w:val="00BE5A5F"/>
    <w:rsid w:val="00BE6000"/>
    <w:rsid w:val="00BE63AF"/>
    <w:rsid w:val="00BE6BB4"/>
    <w:rsid w:val="00BE6EC8"/>
    <w:rsid w:val="00BE6FA7"/>
    <w:rsid w:val="00BE71AE"/>
    <w:rsid w:val="00BE7238"/>
    <w:rsid w:val="00BE7398"/>
    <w:rsid w:val="00BE7465"/>
    <w:rsid w:val="00BE769B"/>
    <w:rsid w:val="00BE7C40"/>
    <w:rsid w:val="00BF01CB"/>
    <w:rsid w:val="00BF02A3"/>
    <w:rsid w:val="00BF0BA7"/>
    <w:rsid w:val="00BF0BD7"/>
    <w:rsid w:val="00BF0C46"/>
    <w:rsid w:val="00BF0CD1"/>
    <w:rsid w:val="00BF0D9D"/>
    <w:rsid w:val="00BF1AF1"/>
    <w:rsid w:val="00BF1CBD"/>
    <w:rsid w:val="00BF1FD8"/>
    <w:rsid w:val="00BF20E8"/>
    <w:rsid w:val="00BF2C44"/>
    <w:rsid w:val="00BF2D81"/>
    <w:rsid w:val="00BF30EC"/>
    <w:rsid w:val="00BF3782"/>
    <w:rsid w:val="00BF38CD"/>
    <w:rsid w:val="00BF38DC"/>
    <w:rsid w:val="00BF3BCA"/>
    <w:rsid w:val="00BF5997"/>
    <w:rsid w:val="00BF59CA"/>
    <w:rsid w:val="00BF5BDD"/>
    <w:rsid w:val="00BF5C35"/>
    <w:rsid w:val="00BF5C7E"/>
    <w:rsid w:val="00BF6050"/>
    <w:rsid w:val="00BF63B6"/>
    <w:rsid w:val="00BF65E7"/>
    <w:rsid w:val="00BF66EE"/>
    <w:rsid w:val="00BF71A3"/>
    <w:rsid w:val="00BF75A1"/>
    <w:rsid w:val="00BF7680"/>
    <w:rsid w:val="00BF796C"/>
    <w:rsid w:val="00BF7A2C"/>
    <w:rsid w:val="00BF7A2E"/>
    <w:rsid w:val="00BF7A78"/>
    <w:rsid w:val="00BF7E8C"/>
    <w:rsid w:val="00C0018A"/>
    <w:rsid w:val="00C0037D"/>
    <w:rsid w:val="00C003B9"/>
    <w:rsid w:val="00C003D5"/>
    <w:rsid w:val="00C00905"/>
    <w:rsid w:val="00C00A7C"/>
    <w:rsid w:val="00C0104C"/>
    <w:rsid w:val="00C01170"/>
    <w:rsid w:val="00C01370"/>
    <w:rsid w:val="00C013AB"/>
    <w:rsid w:val="00C0156D"/>
    <w:rsid w:val="00C01892"/>
    <w:rsid w:val="00C01BBB"/>
    <w:rsid w:val="00C01FD1"/>
    <w:rsid w:val="00C024A5"/>
    <w:rsid w:val="00C02CE1"/>
    <w:rsid w:val="00C02D1E"/>
    <w:rsid w:val="00C0314D"/>
    <w:rsid w:val="00C0331F"/>
    <w:rsid w:val="00C035B5"/>
    <w:rsid w:val="00C036AC"/>
    <w:rsid w:val="00C03865"/>
    <w:rsid w:val="00C03D5A"/>
    <w:rsid w:val="00C04A19"/>
    <w:rsid w:val="00C05276"/>
    <w:rsid w:val="00C054A3"/>
    <w:rsid w:val="00C05622"/>
    <w:rsid w:val="00C0582D"/>
    <w:rsid w:val="00C05851"/>
    <w:rsid w:val="00C058BB"/>
    <w:rsid w:val="00C05ECD"/>
    <w:rsid w:val="00C06BEC"/>
    <w:rsid w:val="00C07620"/>
    <w:rsid w:val="00C07AB6"/>
    <w:rsid w:val="00C07ACB"/>
    <w:rsid w:val="00C102F3"/>
    <w:rsid w:val="00C106B8"/>
    <w:rsid w:val="00C10AFD"/>
    <w:rsid w:val="00C10B22"/>
    <w:rsid w:val="00C10C3F"/>
    <w:rsid w:val="00C10C52"/>
    <w:rsid w:val="00C11623"/>
    <w:rsid w:val="00C1172F"/>
    <w:rsid w:val="00C119A0"/>
    <w:rsid w:val="00C11A92"/>
    <w:rsid w:val="00C11ABD"/>
    <w:rsid w:val="00C129D9"/>
    <w:rsid w:val="00C13089"/>
    <w:rsid w:val="00C134DA"/>
    <w:rsid w:val="00C13547"/>
    <w:rsid w:val="00C13C06"/>
    <w:rsid w:val="00C13C90"/>
    <w:rsid w:val="00C13CF2"/>
    <w:rsid w:val="00C14F19"/>
    <w:rsid w:val="00C14FB2"/>
    <w:rsid w:val="00C15205"/>
    <w:rsid w:val="00C1575F"/>
    <w:rsid w:val="00C15B0C"/>
    <w:rsid w:val="00C15DE5"/>
    <w:rsid w:val="00C16621"/>
    <w:rsid w:val="00C168CF"/>
    <w:rsid w:val="00C16912"/>
    <w:rsid w:val="00C17007"/>
    <w:rsid w:val="00C17204"/>
    <w:rsid w:val="00C17304"/>
    <w:rsid w:val="00C1748F"/>
    <w:rsid w:val="00C176AC"/>
    <w:rsid w:val="00C17CE1"/>
    <w:rsid w:val="00C2058B"/>
    <w:rsid w:val="00C20668"/>
    <w:rsid w:val="00C208B8"/>
    <w:rsid w:val="00C209AD"/>
    <w:rsid w:val="00C20B13"/>
    <w:rsid w:val="00C2103A"/>
    <w:rsid w:val="00C2164B"/>
    <w:rsid w:val="00C21DA3"/>
    <w:rsid w:val="00C21EF9"/>
    <w:rsid w:val="00C21FE6"/>
    <w:rsid w:val="00C221C0"/>
    <w:rsid w:val="00C222A1"/>
    <w:rsid w:val="00C222F7"/>
    <w:rsid w:val="00C22397"/>
    <w:rsid w:val="00C224E3"/>
    <w:rsid w:val="00C22690"/>
    <w:rsid w:val="00C22AAB"/>
    <w:rsid w:val="00C22ECB"/>
    <w:rsid w:val="00C23BB4"/>
    <w:rsid w:val="00C23F47"/>
    <w:rsid w:val="00C23FC4"/>
    <w:rsid w:val="00C242C1"/>
    <w:rsid w:val="00C24589"/>
    <w:rsid w:val="00C246AB"/>
    <w:rsid w:val="00C24707"/>
    <w:rsid w:val="00C24792"/>
    <w:rsid w:val="00C24839"/>
    <w:rsid w:val="00C24D35"/>
    <w:rsid w:val="00C24DBE"/>
    <w:rsid w:val="00C2525E"/>
    <w:rsid w:val="00C2584D"/>
    <w:rsid w:val="00C25F77"/>
    <w:rsid w:val="00C26159"/>
    <w:rsid w:val="00C2629C"/>
    <w:rsid w:val="00C262ED"/>
    <w:rsid w:val="00C265C9"/>
    <w:rsid w:val="00C2664A"/>
    <w:rsid w:val="00C26968"/>
    <w:rsid w:val="00C26A69"/>
    <w:rsid w:val="00C27037"/>
    <w:rsid w:val="00C277DA"/>
    <w:rsid w:val="00C27C23"/>
    <w:rsid w:val="00C30019"/>
    <w:rsid w:val="00C301CF"/>
    <w:rsid w:val="00C309E6"/>
    <w:rsid w:val="00C30B6D"/>
    <w:rsid w:val="00C30C46"/>
    <w:rsid w:val="00C311E2"/>
    <w:rsid w:val="00C31439"/>
    <w:rsid w:val="00C31460"/>
    <w:rsid w:val="00C31808"/>
    <w:rsid w:val="00C31ACA"/>
    <w:rsid w:val="00C31B1B"/>
    <w:rsid w:val="00C31D03"/>
    <w:rsid w:val="00C31D26"/>
    <w:rsid w:val="00C31E1D"/>
    <w:rsid w:val="00C32064"/>
    <w:rsid w:val="00C3223A"/>
    <w:rsid w:val="00C32CA7"/>
    <w:rsid w:val="00C32E58"/>
    <w:rsid w:val="00C330B7"/>
    <w:rsid w:val="00C33183"/>
    <w:rsid w:val="00C33706"/>
    <w:rsid w:val="00C33A05"/>
    <w:rsid w:val="00C33B39"/>
    <w:rsid w:val="00C33F14"/>
    <w:rsid w:val="00C34760"/>
    <w:rsid w:val="00C34D0A"/>
    <w:rsid w:val="00C35028"/>
    <w:rsid w:val="00C357EA"/>
    <w:rsid w:val="00C35941"/>
    <w:rsid w:val="00C35A3D"/>
    <w:rsid w:val="00C35BCA"/>
    <w:rsid w:val="00C3616F"/>
    <w:rsid w:val="00C36691"/>
    <w:rsid w:val="00C366C6"/>
    <w:rsid w:val="00C36A9F"/>
    <w:rsid w:val="00C374C1"/>
    <w:rsid w:val="00C37611"/>
    <w:rsid w:val="00C37666"/>
    <w:rsid w:val="00C37B9E"/>
    <w:rsid w:val="00C37CF3"/>
    <w:rsid w:val="00C37DDC"/>
    <w:rsid w:val="00C40013"/>
    <w:rsid w:val="00C411E9"/>
    <w:rsid w:val="00C416FD"/>
    <w:rsid w:val="00C417CC"/>
    <w:rsid w:val="00C417F5"/>
    <w:rsid w:val="00C41AFB"/>
    <w:rsid w:val="00C41C84"/>
    <w:rsid w:val="00C41DF7"/>
    <w:rsid w:val="00C41E33"/>
    <w:rsid w:val="00C41F79"/>
    <w:rsid w:val="00C424DF"/>
    <w:rsid w:val="00C426CE"/>
    <w:rsid w:val="00C428FF"/>
    <w:rsid w:val="00C42C84"/>
    <w:rsid w:val="00C42FAA"/>
    <w:rsid w:val="00C43051"/>
    <w:rsid w:val="00C43314"/>
    <w:rsid w:val="00C43EA9"/>
    <w:rsid w:val="00C4473A"/>
    <w:rsid w:val="00C44D46"/>
    <w:rsid w:val="00C44DED"/>
    <w:rsid w:val="00C45289"/>
    <w:rsid w:val="00C454D9"/>
    <w:rsid w:val="00C45525"/>
    <w:rsid w:val="00C45537"/>
    <w:rsid w:val="00C45779"/>
    <w:rsid w:val="00C45C60"/>
    <w:rsid w:val="00C45C62"/>
    <w:rsid w:val="00C4684C"/>
    <w:rsid w:val="00C469F2"/>
    <w:rsid w:val="00C46D29"/>
    <w:rsid w:val="00C46E19"/>
    <w:rsid w:val="00C47541"/>
    <w:rsid w:val="00C475C7"/>
    <w:rsid w:val="00C47601"/>
    <w:rsid w:val="00C478DA"/>
    <w:rsid w:val="00C47DF2"/>
    <w:rsid w:val="00C50AAE"/>
    <w:rsid w:val="00C5119C"/>
    <w:rsid w:val="00C513EA"/>
    <w:rsid w:val="00C51591"/>
    <w:rsid w:val="00C515B0"/>
    <w:rsid w:val="00C51702"/>
    <w:rsid w:val="00C5171D"/>
    <w:rsid w:val="00C517ED"/>
    <w:rsid w:val="00C51B08"/>
    <w:rsid w:val="00C51BA8"/>
    <w:rsid w:val="00C51C23"/>
    <w:rsid w:val="00C51C57"/>
    <w:rsid w:val="00C51DB8"/>
    <w:rsid w:val="00C51FF9"/>
    <w:rsid w:val="00C5298A"/>
    <w:rsid w:val="00C5304F"/>
    <w:rsid w:val="00C53513"/>
    <w:rsid w:val="00C53730"/>
    <w:rsid w:val="00C53E49"/>
    <w:rsid w:val="00C540B9"/>
    <w:rsid w:val="00C54398"/>
    <w:rsid w:val="00C54411"/>
    <w:rsid w:val="00C54CC3"/>
    <w:rsid w:val="00C54D6E"/>
    <w:rsid w:val="00C54EE3"/>
    <w:rsid w:val="00C552F9"/>
    <w:rsid w:val="00C554D4"/>
    <w:rsid w:val="00C554D9"/>
    <w:rsid w:val="00C560DB"/>
    <w:rsid w:val="00C56532"/>
    <w:rsid w:val="00C56D39"/>
    <w:rsid w:val="00C56EDE"/>
    <w:rsid w:val="00C57155"/>
    <w:rsid w:val="00C5715C"/>
    <w:rsid w:val="00C57A92"/>
    <w:rsid w:val="00C57C0D"/>
    <w:rsid w:val="00C57E63"/>
    <w:rsid w:val="00C6069B"/>
    <w:rsid w:val="00C607D1"/>
    <w:rsid w:val="00C60A86"/>
    <w:rsid w:val="00C60CB5"/>
    <w:rsid w:val="00C60CDC"/>
    <w:rsid w:val="00C60D11"/>
    <w:rsid w:val="00C60FBF"/>
    <w:rsid w:val="00C61109"/>
    <w:rsid w:val="00C61324"/>
    <w:rsid w:val="00C6183D"/>
    <w:rsid w:val="00C61AB2"/>
    <w:rsid w:val="00C61B02"/>
    <w:rsid w:val="00C61E90"/>
    <w:rsid w:val="00C61F1C"/>
    <w:rsid w:val="00C61FD2"/>
    <w:rsid w:val="00C620B7"/>
    <w:rsid w:val="00C620D4"/>
    <w:rsid w:val="00C6222B"/>
    <w:rsid w:val="00C6276A"/>
    <w:rsid w:val="00C62798"/>
    <w:rsid w:val="00C6297B"/>
    <w:rsid w:val="00C62AB4"/>
    <w:rsid w:val="00C63339"/>
    <w:rsid w:val="00C63BFA"/>
    <w:rsid w:val="00C64208"/>
    <w:rsid w:val="00C643EB"/>
    <w:rsid w:val="00C644C4"/>
    <w:rsid w:val="00C644F2"/>
    <w:rsid w:val="00C64544"/>
    <w:rsid w:val="00C645FD"/>
    <w:rsid w:val="00C64868"/>
    <w:rsid w:val="00C64DA3"/>
    <w:rsid w:val="00C64E8C"/>
    <w:rsid w:val="00C6539B"/>
    <w:rsid w:val="00C6540F"/>
    <w:rsid w:val="00C65840"/>
    <w:rsid w:val="00C65D6D"/>
    <w:rsid w:val="00C65FF3"/>
    <w:rsid w:val="00C6642E"/>
    <w:rsid w:val="00C66494"/>
    <w:rsid w:val="00C66676"/>
    <w:rsid w:val="00C666B9"/>
    <w:rsid w:val="00C66E98"/>
    <w:rsid w:val="00C670FC"/>
    <w:rsid w:val="00C67950"/>
    <w:rsid w:val="00C70072"/>
    <w:rsid w:val="00C702A2"/>
    <w:rsid w:val="00C70370"/>
    <w:rsid w:val="00C70585"/>
    <w:rsid w:val="00C70975"/>
    <w:rsid w:val="00C709F0"/>
    <w:rsid w:val="00C71490"/>
    <w:rsid w:val="00C71783"/>
    <w:rsid w:val="00C719A2"/>
    <w:rsid w:val="00C71DC7"/>
    <w:rsid w:val="00C71F6D"/>
    <w:rsid w:val="00C72165"/>
    <w:rsid w:val="00C72184"/>
    <w:rsid w:val="00C72773"/>
    <w:rsid w:val="00C72A19"/>
    <w:rsid w:val="00C72B8E"/>
    <w:rsid w:val="00C72D7B"/>
    <w:rsid w:val="00C73620"/>
    <w:rsid w:val="00C73779"/>
    <w:rsid w:val="00C73AB0"/>
    <w:rsid w:val="00C73D66"/>
    <w:rsid w:val="00C74167"/>
    <w:rsid w:val="00C741D2"/>
    <w:rsid w:val="00C7486E"/>
    <w:rsid w:val="00C74929"/>
    <w:rsid w:val="00C74D98"/>
    <w:rsid w:val="00C75357"/>
    <w:rsid w:val="00C754E3"/>
    <w:rsid w:val="00C7574B"/>
    <w:rsid w:val="00C757AE"/>
    <w:rsid w:val="00C758BD"/>
    <w:rsid w:val="00C75A6D"/>
    <w:rsid w:val="00C75CEB"/>
    <w:rsid w:val="00C76268"/>
    <w:rsid w:val="00C76624"/>
    <w:rsid w:val="00C76661"/>
    <w:rsid w:val="00C7692D"/>
    <w:rsid w:val="00C76AAF"/>
    <w:rsid w:val="00C76C46"/>
    <w:rsid w:val="00C76E35"/>
    <w:rsid w:val="00C77478"/>
    <w:rsid w:val="00C774A1"/>
    <w:rsid w:val="00C775A0"/>
    <w:rsid w:val="00C80C41"/>
    <w:rsid w:val="00C80CEF"/>
    <w:rsid w:val="00C80E40"/>
    <w:rsid w:val="00C81116"/>
    <w:rsid w:val="00C81120"/>
    <w:rsid w:val="00C81432"/>
    <w:rsid w:val="00C828B8"/>
    <w:rsid w:val="00C82958"/>
    <w:rsid w:val="00C82994"/>
    <w:rsid w:val="00C82E07"/>
    <w:rsid w:val="00C82EC5"/>
    <w:rsid w:val="00C83041"/>
    <w:rsid w:val="00C838C3"/>
    <w:rsid w:val="00C8452A"/>
    <w:rsid w:val="00C848A7"/>
    <w:rsid w:val="00C849C0"/>
    <w:rsid w:val="00C84F2E"/>
    <w:rsid w:val="00C85035"/>
    <w:rsid w:val="00C851F6"/>
    <w:rsid w:val="00C858FF"/>
    <w:rsid w:val="00C859DC"/>
    <w:rsid w:val="00C85AE0"/>
    <w:rsid w:val="00C85E30"/>
    <w:rsid w:val="00C86BFA"/>
    <w:rsid w:val="00C86E8E"/>
    <w:rsid w:val="00C8712F"/>
    <w:rsid w:val="00C876A0"/>
    <w:rsid w:val="00C8779F"/>
    <w:rsid w:val="00C878CA"/>
    <w:rsid w:val="00C87AF2"/>
    <w:rsid w:val="00C87B57"/>
    <w:rsid w:val="00C87FC6"/>
    <w:rsid w:val="00C908C6"/>
    <w:rsid w:val="00C90B42"/>
    <w:rsid w:val="00C91074"/>
    <w:rsid w:val="00C9182B"/>
    <w:rsid w:val="00C91C5F"/>
    <w:rsid w:val="00C9213E"/>
    <w:rsid w:val="00C9255D"/>
    <w:rsid w:val="00C9296C"/>
    <w:rsid w:val="00C92DFF"/>
    <w:rsid w:val="00C93384"/>
    <w:rsid w:val="00C93FD8"/>
    <w:rsid w:val="00C94170"/>
    <w:rsid w:val="00C945C2"/>
    <w:rsid w:val="00C946B2"/>
    <w:rsid w:val="00C946F6"/>
    <w:rsid w:val="00C9475D"/>
    <w:rsid w:val="00C94B1E"/>
    <w:rsid w:val="00C95056"/>
    <w:rsid w:val="00C95115"/>
    <w:rsid w:val="00C951FD"/>
    <w:rsid w:val="00C952C3"/>
    <w:rsid w:val="00C9536E"/>
    <w:rsid w:val="00C95A15"/>
    <w:rsid w:val="00C95A37"/>
    <w:rsid w:val="00C95D21"/>
    <w:rsid w:val="00C961DD"/>
    <w:rsid w:val="00C962F3"/>
    <w:rsid w:val="00C963BF"/>
    <w:rsid w:val="00C96516"/>
    <w:rsid w:val="00C96934"/>
    <w:rsid w:val="00C96B8E"/>
    <w:rsid w:val="00C970A1"/>
    <w:rsid w:val="00C97397"/>
    <w:rsid w:val="00C975E6"/>
    <w:rsid w:val="00C978FE"/>
    <w:rsid w:val="00C97D48"/>
    <w:rsid w:val="00C97EAC"/>
    <w:rsid w:val="00CA0C2D"/>
    <w:rsid w:val="00CA0E9B"/>
    <w:rsid w:val="00CA10D0"/>
    <w:rsid w:val="00CA1333"/>
    <w:rsid w:val="00CA1374"/>
    <w:rsid w:val="00CA13DE"/>
    <w:rsid w:val="00CA1458"/>
    <w:rsid w:val="00CA14F6"/>
    <w:rsid w:val="00CA175E"/>
    <w:rsid w:val="00CA19A9"/>
    <w:rsid w:val="00CA1B16"/>
    <w:rsid w:val="00CA1E51"/>
    <w:rsid w:val="00CA21A9"/>
    <w:rsid w:val="00CA43F9"/>
    <w:rsid w:val="00CA4458"/>
    <w:rsid w:val="00CA45FC"/>
    <w:rsid w:val="00CA46E0"/>
    <w:rsid w:val="00CA481F"/>
    <w:rsid w:val="00CA487E"/>
    <w:rsid w:val="00CA516C"/>
    <w:rsid w:val="00CA52B2"/>
    <w:rsid w:val="00CA56C5"/>
    <w:rsid w:val="00CA59C2"/>
    <w:rsid w:val="00CA5C47"/>
    <w:rsid w:val="00CA5C82"/>
    <w:rsid w:val="00CA62EE"/>
    <w:rsid w:val="00CA65EF"/>
    <w:rsid w:val="00CA6647"/>
    <w:rsid w:val="00CA679A"/>
    <w:rsid w:val="00CA729C"/>
    <w:rsid w:val="00CA7414"/>
    <w:rsid w:val="00CA7632"/>
    <w:rsid w:val="00CA7682"/>
    <w:rsid w:val="00CA7854"/>
    <w:rsid w:val="00CA7915"/>
    <w:rsid w:val="00CA7A75"/>
    <w:rsid w:val="00CA7D5D"/>
    <w:rsid w:val="00CA7E03"/>
    <w:rsid w:val="00CA7F28"/>
    <w:rsid w:val="00CA7F39"/>
    <w:rsid w:val="00CB00EA"/>
    <w:rsid w:val="00CB0125"/>
    <w:rsid w:val="00CB01EF"/>
    <w:rsid w:val="00CB01F6"/>
    <w:rsid w:val="00CB029E"/>
    <w:rsid w:val="00CB0768"/>
    <w:rsid w:val="00CB0A1F"/>
    <w:rsid w:val="00CB0CE9"/>
    <w:rsid w:val="00CB131F"/>
    <w:rsid w:val="00CB1320"/>
    <w:rsid w:val="00CB16C4"/>
    <w:rsid w:val="00CB1A00"/>
    <w:rsid w:val="00CB2121"/>
    <w:rsid w:val="00CB21AF"/>
    <w:rsid w:val="00CB221C"/>
    <w:rsid w:val="00CB2476"/>
    <w:rsid w:val="00CB2B76"/>
    <w:rsid w:val="00CB2E15"/>
    <w:rsid w:val="00CB33D0"/>
    <w:rsid w:val="00CB3555"/>
    <w:rsid w:val="00CB3693"/>
    <w:rsid w:val="00CB372C"/>
    <w:rsid w:val="00CB3E69"/>
    <w:rsid w:val="00CB434C"/>
    <w:rsid w:val="00CB439C"/>
    <w:rsid w:val="00CB452B"/>
    <w:rsid w:val="00CB4900"/>
    <w:rsid w:val="00CB4DC2"/>
    <w:rsid w:val="00CB4DCD"/>
    <w:rsid w:val="00CB4E4B"/>
    <w:rsid w:val="00CB4F2D"/>
    <w:rsid w:val="00CB535F"/>
    <w:rsid w:val="00CB53F8"/>
    <w:rsid w:val="00CB544A"/>
    <w:rsid w:val="00CB5E59"/>
    <w:rsid w:val="00CB5FF4"/>
    <w:rsid w:val="00CB603C"/>
    <w:rsid w:val="00CB6272"/>
    <w:rsid w:val="00CB6B3F"/>
    <w:rsid w:val="00CB6C9D"/>
    <w:rsid w:val="00CB7418"/>
    <w:rsid w:val="00CB7A7D"/>
    <w:rsid w:val="00CB7C49"/>
    <w:rsid w:val="00CB7EC4"/>
    <w:rsid w:val="00CC01EB"/>
    <w:rsid w:val="00CC03FB"/>
    <w:rsid w:val="00CC0670"/>
    <w:rsid w:val="00CC0743"/>
    <w:rsid w:val="00CC0BBE"/>
    <w:rsid w:val="00CC100B"/>
    <w:rsid w:val="00CC1311"/>
    <w:rsid w:val="00CC1690"/>
    <w:rsid w:val="00CC1969"/>
    <w:rsid w:val="00CC19DE"/>
    <w:rsid w:val="00CC2213"/>
    <w:rsid w:val="00CC2221"/>
    <w:rsid w:val="00CC23B3"/>
    <w:rsid w:val="00CC27FE"/>
    <w:rsid w:val="00CC2995"/>
    <w:rsid w:val="00CC2A78"/>
    <w:rsid w:val="00CC2D98"/>
    <w:rsid w:val="00CC2E06"/>
    <w:rsid w:val="00CC3066"/>
    <w:rsid w:val="00CC367D"/>
    <w:rsid w:val="00CC3A33"/>
    <w:rsid w:val="00CC3D23"/>
    <w:rsid w:val="00CC3D91"/>
    <w:rsid w:val="00CC4210"/>
    <w:rsid w:val="00CC4238"/>
    <w:rsid w:val="00CC44F1"/>
    <w:rsid w:val="00CC44FE"/>
    <w:rsid w:val="00CC4921"/>
    <w:rsid w:val="00CC5431"/>
    <w:rsid w:val="00CC5476"/>
    <w:rsid w:val="00CC644D"/>
    <w:rsid w:val="00CC658D"/>
    <w:rsid w:val="00CC665A"/>
    <w:rsid w:val="00CC67EC"/>
    <w:rsid w:val="00CC6D04"/>
    <w:rsid w:val="00CC6D92"/>
    <w:rsid w:val="00CC6FB8"/>
    <w:rsid w:val="00CC715A"/>
    <w:rsid w:val="00CC718D"/>
    <w:rsid w:val="00CC7210"/>
    <w:rsid w:val="00CC74A2"/>
    <w:rsid w:val="00CC779C"/>
    <w:rsid w:val="00CC7C4B"/>
    <w:rsid w:val="00CC7F36"/>
    <w:rsid w:val="00CD0492"/>
    <w:rsid w:val="00CD0518"/>
    <w:rsid w:val="00CD0593"/>
    <w:rsid w:val="00CD07CA"/>
    <w:rsid w:val="00CD07DE"/>
    <w:rsid w:val="00CD107A"/>
    <w:rsid w:val="00CD1184"/>
    <w:rsid w:val="00CD1311"/>
    <w:rsid w:val="00CD146B"/>
    <w:rsid w:val="00CD155B"/>
    <w:rsid w:val="00CD1A3E"/>
    <w:rsid w:val="00CD1FD1"/>
    <w:rsid w:val="00CD20D4"/>
    <w:rsid w:val="00CD2187"/>
    <w:rsid w:val="00CD246B"/>
    <w:rsid w:val="00CD2519"/>
    <w:rsid w:val="00CD251C"/>
    <w:rsid w:val="00CD2C94"/>
    <w:rsid w:val="00CD2CDC"/>
    <w:rsid w:val="00CD2F34"/>
    <w:rsid w:val="00CD39B6"/>
    <w:rsid w:val="00CD3B66"/>
    <w:rsid w:val="00CD4817"/>
    <w:rsid w:val="00CD4CB3"/>
    <w:rsid w:val="00CD4F23"/>
    <w:rsid w:val="00CD4FC6"/>
    <w:rsid w:val="00CD520E"/>
    <w:rsid w:val="00CD5217"/>
    <w:rsid w:val="00CD5562"/>
    <w:rsid w:val="00CD558B"/>
    <w:rsid w:val="00CD55B3"/>
    <w:rsid w:val="00CD59D9"/>
    <w:rsid w:val="00CD5A05"/>
    <w:rsid w:val="00CD5B7D"/>
    <w:rsid w:val="00CD5D9A"/>
    <w:rsid w:val="00CD5F3B"/>
    <w:rsid w:val="00CD6ABC"/>
    <w:rsid w:val="00CD750A"/>
    <w:rsid w:val="00CD7CD0"/>
    <w:rsid w:val="00CD7E16"/>
    <w:rsid w:val="00CD7EE5"/>
    <w:rsid w:val="00CD7FD7"/>
    <w:rsid w:val="00CE0097"/>
    <w:rsid w:val="00CE0237"/>
    <w:rsid w:val="00CE04A0"/>
    <w:rsid w:val="00CE04BA"/>
    <w:rsid w:val="00CE06BD"/>
    <w:rsid w:val="00CE07A2"/>
    <w:rsid w:val="00CE0855"/>
    <w:rsid w:val="00CE1AAD"/>
    <w:rsid w:val="00CE23B9"/>
    <w:rsid w:val="00CE23BA"/>
    <w:rsid w:val="00CE265B"/>
    <w:rsid w:val="00CE2773"/>
    <w:rsid w:val="00CE3042"/>
    <w:rsid w:val="00CE30A7"/>
    <w:rsid w:val="00CE30B0"/>
    <w:rsid w:val="00CE30E6"/>
    <w:rsid w:val="00CE333D"/>
    <w:rsid w:val="00CE341F"/>
    <w:rsid w:val="00CE345F"/>
    <w:rsid w:val="00CE34DC"/>
    <w:rsid w:val="00CE3615"/>
    <w:rsid w:val="00CE368B"/>
    <w:rsid w:val="00CE36DD"/>
    <w:rsid w:val="00CE3BF2"/>
    <w:rsid w:val="00CE3F11"/>
    <w:rsid w:val="00CE476B"/>
    <w:rsid w:val="00CE4BBB"/>
    <w:rsid w:val="00CE4D3C"/>
    <w:rsid w:val="00CE4D54"/>
    <w:rsid w:val="00CE5899"/>
    <w:rsid w:val="00CE593A"/>
    <w:rsid w:val="00CE593C"/>
    <w:rsid w:val="00CE5E98"/>
    <w:rsid w:val="00CE5F30"/>
    <w:rsid w:val="00CE60CD"/>
    <w:rsid w:val="00CE69FC"/>
    <w:rsid w:val="00CE6CC6"/>
    <w:rsid w:val="00CE6E7E"/>
    <w:rsid w:val="00CE6E81"/>
    <w:rsid w:val="00CF0219"/>
    <w:rsid w:val="00CF04B4"/>
    <w:rsid w:val="00CF05DB"/>
    <w:rsid w:val="00CF07B4"/>
    <w:rsid w:val="00CF0B33"/>
    <w:rsid w:val="00CF0B8C"/>
    <w:rsid w:val="00CF0FC4"/>
    <w:rsid w:val="00CF1089"/>
    <w:rsid w:val="00CF1C79"/>
    <w:rsid w:val="00CF1D89"/>
    <w:rsid w:val="00CF2121"/>
    <w:rsid w:val="00CF2157"/>
    <w:rsid w:val="00CF223A"/>
    <w:rsid w:val="00CF26C2"/>
    <w:rsid w:val="00CF2708"/>
    <w:rsid w:val="00CF2C08"/>
    <w:rsid w:val="00CF2C97"/>
    <w:rsid w:val="00CF2F64"/>
    <w:rsid w:val="00CF311A"/>
    <w:rsid w:val="00CF3359"/>
    <w:rsid w:val="00CF3400"/>
    <w:rsid w:val="00CF379F"/>
    <w:rsid w:val="00CF42DF"/>
    <w:rsid w:val="00CF4307"/>
    <w:rsid w:val="00CF570D"/>
    <w:rsid w:val="00CF7B62"/>
    <w:rsid w:val="00CF7FAF"/>
    <w:rsid w:val="00D0008E"/>
    <w:rsid w:val="00D007CD"/>
    <w:rsid w:val="00D009E6"/>
    <w:rsid w:val="00D00EEC"/>
    <w:rsid w:val="00D01453"/>
    <w:rsid w:val="00D018FE"/>
    <w:rsid w:val="00D01954"/>
    <w:rsid w:val="00D01ED5"/>
    <w:rsid w:val="00D021F0"/>
    <w:rsid w:val="00D02271"/>
    <w:rsid w:val="00D02456"/>
    <w:rsid w:val="00D026BC"/>
    <w:rsid w:val="00D02AD7"/>
    <w:rsid w:val="00D02C47"/>
    <w:rsid w:val="00D03458"/>
    <w:rsid w:val="00D03E7A"/>
    <w:rsid w:val="00D04827"/>
    <w:rsid w:val="00D04EFF"/>
    <w:rsid w:val="00D051A6"/>
    <w:rsid w:val="00D051E5"/>
    <w:rsid w:val="00D05245"/>
    <w:rsid w:val="00D05307"/>
    <w:rsid w:val="00D0557D"/>
    <w:rsid w:val="00D05669"/>
    <w:rsid w:val="00D0630F"/>
    <w:rsid w:val="00D0673D"/>
    <w:rsid w:val="00D06878"/>
    <w:rsid w:val="00D06A55"/>
    <w:rsid w:val="00D06CBF"/>
    <w:rsid w:val="00D0713C"/>
    <w:rsid w:val="00D078C6"/>
    <w:rsid w:val="00D07FB4"/>
    <w:rsid w:val="00D1036E"/>
    <w:rsid w:val="00D1052A"/>
    <w:rsid w:val="00D1060A"/>
    <w:rsid w:val="00D107E7"/>
    <w:rsid w:val="00D10D0E"/>
    <w:rsid w:val="00D10E7B"/>
    <w:rsid w:val="00D10E91"/>
    <w:rsid w:val="00D1105A"/>
    <w:rsid w:val="00D1137B"/>
    <w:rsid w:val="00D11DB6"/>
    <w:rsid w:val="00D12482"/>
    <w:rsid w:val="00D125BD"/>
    <w:rsid w:val="00D12700"/>
    <w:rsid w:val="00D1298F"/>
    <w:rsid w:val="00D12BB7"/>
    <w:rsid w:val="00D132D5"/>
    <w:rsid w:val="00D13621"/>
    <w:rsid w:val="00D13E53"/>
    <w:rsid w:val="00D14492"/>
    <w:rsid w:val="00D14D8A"/>
    <w:rsid w:val="00D151EA"/>
    <w:rsid w:val="00D15303"/>
    <w:rsid w:val="00D16051"/>
    <w:rsid w:val="00D160F7"/>
    <w:rsid w:val="00D16297"/>
    <w:rsid w:val="00D168DB"/>
    <w:rsid w:val="00D16C83"/>
    <w:rsid w:val="00D16EF2"/>
    <w:rsid w:val="00D17788"/>
    <w:rsid w:val="00D20039"/>
    <w:rsid w:val="00D20461"/>
    <w:rsid w:val="00D20B75"/>
    <w:rsid w:val="00D20EB0"/>
    <w:rsid w:val="00D21163"/>
    <w:rsid w:val="00D2148E"/>
    <w:rsid w:val="00D218BB"/>
    <w:rsid w:val="00D21A6E"/>
    <w:rsid w:val="00D21FA8"/>
    <w:rsid w:val="00D220EF"/>
    <w:rsid w:val="00D22166"/>
    <w:rsid w:val="00D22675"/>
    <w:rsid w:val="00D22B80"/>
    <w:rsid w:val="00D22B8A"/>
    <w:rsid w:val="00D2314B"/>
    <w:rsid w:val="00D236B7"/>
    <w:rsid w:val="00D23BE3"/>
    <w:rsid w:val="00D23E48"/>
    <w:rsid w:val="00D244BE"/>
    <w:rsid w:val="00D244CE"/>
    <w:rsid w:val="00D24537"/>
    <w:rsid w:val="00D24640"/>
    <w:rsid w:val="00D2482F"/>
    <w:rsid w:val="00D24B50"/>
    <w:rsid w:val="00D24B54"/>
    <w:rsid w:val="00D25352"/>
    <w:rsid w:val="00D25410"/>
    <w:rsid w:val="00D25964"/>
    <w:rsid w:val="00D25EC9"/>
    <w:rsid w:val="00D25FED"/>
    <w:rsid w:val="00D263FE"/>
    <w:rsid w:val="00D26488"/>
    <w:rsid w:val="00D268D9"/>
    <w:rsid w:val="00D2692A"/>
    <w:rsid w:val="00D26A83"/>
    <w:rsid w:val="00D26D2F"/>
    <w:rsid w:val="00D26EF9"/>
    <w:rsid w:val="00D26F36"/>
    <w:rsid w:val="00D27232"/>
    <w:rsid w:val="00D278E5"/>
    <w:rsid w:val="00D278F4"/>
    <w:rsid w:val="00D27B83"/>
    <w:rsid w:val="00D27F2D"/>
    <w:rsid w:val="00D300C0"/>
    <w:rsid w:val="00D300E9"/>
    <w:rsid w:val="00D30118"/>
    <w:rsid w:val="00D30334"/>
    <w:rsid w:val="00D304CF"/>
    <w:rsid w:val="00D30814"/>
    <w:rsid w:val="00D3090A"/>
    <w:rsid w:val="00D310F3"/>
    <w:rsid w:val="00D3111E"/>
    <w:rsid w:val="00D31221"/>
    <w:rsid w:val="00D31318"/>
    <w:rsid w:val="00D316DF"/>
    <w:rsid w:val="00D31700"/>
    <w:rsid w:val="00D31851"/>
    <w:rsid w:val="00D31F8D"/>
    <w:rsid w:val="00D323F9"/>
    <w:rsid w:val="00D32449"/>
    <w:rsid w:val="00D32664"/>
    <w:rsid w:val="00D326D0"/>
    <w:rsid w:val="00D32D36"/>
    <w:rsid w:val="00D32FA5"/>
    <w:rsid w:val="00D3300B"/>
    <w:rsid w:val="00D336AD"/>
    <w:rsid w:val="00D33C32"/>
    <w:rsid w:val="00D33EBE"/>
    <w:rsid w:val="00D34058"/>
    <w:rsid w:val="00D34376"/>
    <w:rsid w:val="00D3459B"/>
    <w:rsid w:val="00D34615"/>
    <w:rsid w:val="00D35357"/>
    <w:rsid w:val="00D353B4"/>
    <w:rsid w:val="00D35755"/>
    <w:rsid w:val="00D35D9E"/>
    <w:rsid w:val="00D35E91"/>
    <w:rsid w:val="00D35FE9"/>
    <w:rsid w:val="00D361D9"/>
    <w:rsid w:val="00D36CB6"/>
    <w:rsid w:val="00D36CFB"/>
    <w:rsid w:val="00D373FF"/>
    <w:rsid w:val="00D375EF"/>
    <w:rsid w:val="00D37ECC"/>
    <w:rsid w:val="00D401AB"/>
    <w:rsid w:val="00D401C6"/>
    <w:rsid w:val="00D4049E"/>
    <w:rsid w:val="00D40508"/>
    <w:rsid w:val="00D406B2"/>
    <w:rsid w:val="00D40B95"/>
    <w:rsid w:val="00D40EAE"/>
    <w:rsid w:val="00D4111E"/>
    <w:rsid w:val="00D414C7"/>
    <w:rsid w:val="00D41A59"/>
    <w:rsid w:val="00D41CF9"/>
    <w:rsid w:val="00D41E77"/>
    <w:rsid w:val="00D4281E"/>
    <w:rsid w:val="00D42B97"/>
    <w:rsid w:val="00D43096"/>
    <w:rsid w:val="00D43B5E"/>
    <w:rsid w:val="00D43BC4"/>
    <w:rsid w:val="00D43D89"/>
    <w:rsid w:val="00D43DE4"/>
    <w:rsid w:val="00D43F83"/>
    <w:rsid w:val="00D445E0"/>
    <w:rsid w:val="00D44715"/>
    <w:rsid w:val="00D44DEF"/>
    <w:rsid w:val="00D44FC7"/>
    <w:rsid w:val="00D45001"/>
    <w:rsid w:val="00D452D4"/>
    <w:rsid w:val="00D458E5"/>
    <w:rsid w:val="00D45A0E"/>
    <w:rsid w:val="00D45A7A"/>
    <w:rsid w:val="00D45DA9"/>
    <w:rsid w:val="00D45DEB"/>
    <w:rsid w:val="00D4610D"/>
    <w:rsid w:val="00D463A2"/>
    <w:rsid w:val="00D46593"/>
    <w:rsid w:val="00D46852"/>
    <w:rsid w:val="00D469D9"/>
    <w:rsid w:val="00D46AB2"/>
    <w:rsid w:val="00D46C90"/>
    <w:rsid w:val="00D46D50"/>
    <w:rsid w:val="00D471ED"/>
    <w:rsid w:val="00D472D9"/>
    <w:rsid w:val="00D47331"/>
    <w:rsid w:val="00D47815"/>
    <w:rsid w:val="00D47A4F"/>
    <w:rsid w:val="00D47D2C"/>
    <w:rsid w:val="00D500D3"/>
    <w:rsid w:val="00D501AA"/>
    <w:rsid w:val="00D501FA"/>
    <w:rsid w:val="00D50344"/>
    <w:rsid w:val="00D503A5"/>
    <w:rsid w:val="00D5050B"/>
    <w:rsid w:val="00D5069A"/>
    <w:rsid w:val="00D5127A"/>
    <w:rsid w:val="00D51477"/>
    <w:rsid w:val="00D51647"/>
    <w:rsid w:val="00D516BD"/>
    <w:rsid w:val="00D518A7"/>
    <w:rsid w:val="00D51F0F"/>
    <w:rsid w:val="00D52283"/>
    <w:rsid w:val="00D526F8"/>
    <w:rsid w:val="00D5276E"/>
    <w:rsid w:val="00D527C8"/>
    <w:rsid w:val="00D5287C"/>
    <w:rsid w:val="00D52B7E"/>
    <w:rsid w:val="00D52BBB"/>
    <w:rsid w:val="00D52BD8"/>
    <w:rsid w:val="00D52D2A"/>
    <w:rsid w:val="00D52E6A"/>
    <w:rsid w:val="00D53509"/>
    <w:rsid w:val="00D53637"/>
    <w:rsid w:val="00D5376F"/>
    <w:rsid w:val="00D5392D"/>
    <w:rsid w:val="00D53953"/>
    <w:rsid w:val="00D5396D"/>
    <w:rsid w:val="00D53BC0"/>
    <w:rsid w:val="00D53CE6"/>
    <w:rsid w:val="00D54840"/>
    <w:rsid w:val="00D54B50"/>
    <w:rsid w:val="00D54E69"/>
    <w:rsid w:val="00D552EE"/>
    <w:rsid w:val="00D5567E"/>
    <w:rsid w:val="00D557F0"/>
    <w:rsid w:val="00D55928"/>
    <w:rsid w:val="00D55AF0"/>
    <w:rsid w:val="00D55F0F"/>
    <w:rsid w:val="00D5648E"/>
    <w:rsid w:val="00D565D4"/>
    <w:rsid w:val="00D567A6"/>
    <w:rsid w:val="00D56B70"/>
    <w:rsid w:val="00D56F15"/>
    <w:rsid w:val="00D5713D"/>
    <w:rsid w:val="00D57180"/>
    <w:rsid w:val="00D573EC"/>
    <w:rsid w:val="00D577B7"/>
    <w:rsid w:val="00D578F0"/>
    <w:rsid w:val="00D57AB1"/>
    <w:rsid w:val="00D57B11"/>
    <w:rsid w:val="00D60157"/>
    <w:rsid w:val="00D6057C"/>
    <w:rsid w:val="00D607FE"/>
    <w:rsid w:val="00D60805"/>
    <w:rsid w:val="00D60A87"/>
    <w:rsid w:val="00D61217"/>
    <w:rsid w:val="00D614B7"/>
    <w:rsid w:val="00D616C5"/>
    <w:rsid w:val="00D6173B"/>
    <w:rsid w:val="00D61981"/>
    <w:rsid w:val="00D619FD"/>
    <w:rsid w:val="00D62DB6"/>
    <w:rsid w:val="00D62F7C"/>
    <w:rsid w:val="00D63447"/>
    <w:rsid w:val="00D6347A"/>
    <w:rsid w:val="00D63519"/>
    <w:rsid w:val="00D6356D"/>
    <w:rsid w:val="00D635CE"/>
    <w:rsid w:val="00D636D3"/>
    <w:rsid w:val="00D63934"/>
    <w:rsid w:val="00D63B98"/>
    <w:rsid w:val="00D63E85"/>
    <w:rsid w:val="00D64059"/>
    <w:rsid w:val="00D6428D"/>
    <w:rsid w:val="00D6437F"/>
    <w:rsid w:val="00D644C2"/>
    <w:rsid w:val="00D64667"/>
    <w:rsid w:val="00D64833"/>
    <w:rsid w:val="00D65425"/>
    <w:rsid w:val="00D6553D"/>
    <w:rsid w:val="00D655E5"/>
    <w:rsid w:val="00D656EB"/>
    <w:rsid w:val="00D65C69"/>
    <w:rsid w:val="00D65D96"/>
    <w:rsid w:val="00D65F20"/>
    <w:rsid w:val="00D66181"/>
    <w:rsid w:val="00D6686E"/>
    <w:rsid w:val="00D66BA4"/>
    <w:rsid w:val="00D66CFF"/>
    <w:rsid w:val="00D679FD"/>
    <w:rsid w:val="00D701E8"/>
    <w:rsid w:val="00D70222"/>
    <w:rsid w:val="00D703B9"/>
    <w:rsid w:val="00D707A9"/>
    <w:rsid w:val="00D708E9"/>
    <w:rsid w:val="00D71026"/>
    <w:rsid w:val="00D7149A"/>
    <w:rsid w:val="00D71528"/>
    <w:rsid w:val="00D715B2"/>
    <w:rsid w:val="00D720DF"/>
    <w:rsid w:val="00D721E0"/>
    <w:rsid w:val="00D7250F"/>
    <w:rsid w:val="00D72544"/>
    <w:rsid w:val="00D72A83"/>
    <w:rsid w:val="00D72BF1"/>
    <w:rsid w:val="00D72CBF"/>
    <w:rsid w:val="00D72FDC"/>
    <w:rsid w:val="00D730B0"/>
    <w:rsid w:val="00D73385"/>
    <w:rsid w:val="00D73744"/>
    <w:rsid w:val="00D73DE3"/>
    <w:rsid w:val="00D749A1"/>
    <w:rsid w:val="00D749C1"/>
    <w:rsid w:val="00D74D67"/>
    <w:rsid w:val="00D7506D"/>
    <w:rsid w:val="00D7563F"/>
    <w:rsid w:val="00D75B70"/>
    <w:rsid w:val="00D75D43"/>
    <w:rsid w:val="00D76269"/>
    <w:rsid w:val="00D765A0"/>
    <w:rsid w:val="00D76684"/>
    <w:rsid w:val="00D766AA"/>
    <w:rsid w:val="00D76998"/>
    <w:rsid w:val="00D76AB5"/>
    <w:rsid w:val="00D77114"/>
    <w:rsid w:val="00D771FD"/>
    <w:rsid w:val="00D7796D"/>
    <w:rsid w:val="00D77FDB"/>
    <w:rsid w:val="00D800F7"/>
    <w:rsid w:val="00D804CF"/>
    <w:rsid w:val="00D80855"/>
    <w:rsid w:val="00D80919"/>
    <w:rsid w:val="00D80B1A"/>
    <w:rsid w:val="00D80C06"/>
    <w:rsid w:val="00D8111F"/>
    <w:rsid w:val="00D812C7"/>
    <w:rsid w:val="00D81B18"/>
    <w:rsid w:val="00D81EFD"/>
    <w:rsid w:val="00D82253"/>
    <w:rsid w:val="00D82666"/>
    <w:rsid w:val="00D831DB"/>
    <w:rsid w:val="00D8327F"/>
    <w:rsid w:val="00D83541"/>
    <w:rsid w:val="00D836EA"/>
    <w:rsid w:val="00D836F8"/>
    <w:rsid w:val="00D83768"/>
    <w:rsid w:val="00D8435E"/>
    <w:rsid w:val="00D8466B"/>
    <w:rsid w:val="00D8487E"/>
    <w:rsid w:val="00D84B4D"/>
    <w:rsid w:val="00D84D05"/>
    <w:rsid w:val="00D8501A"/>
    <w:rsid w:val="00D856AF"/>
    <w:rsid w:val="00D85F1D"/>
    <w:rsid w:val="00D86281"/>
    <w:rsid w:val="00D86421"/>
    <w:rsid w:val="00D865F5"/>
    <w:rsid w:val="00D866A4"/>
    <w:rsid w:val="00D86757"/>
    <w:rsid w:val="00D86BED"/>
    <w:rsid w:val="00D86F9B"/>
    <w:rsid w:val="00D873DC"/>
    <w:rsid w:val="00D87453"/>
    <w:rsid w:val="00D8794E"/>
    <w:rsid w:val="00D87C14"/>
    <w:rsid w:val="00D901AD"/>
    <w:rsid w:val="00D903DE"/>
    <w:rsid w:val="00D906D9"/>
    <w:rsid w:val="00D91390"/>
    <w:rsid w:val="00D91540"/>
    <w:rsid w:val="00D91B3E"/>
    <w:rsid w:val="00D91F6E"/>
    <w:rsid w:val="00D92148"/>
    <w:rsid w:val="00D9223B"/>
    <w:rsid w:val="00D922E4"/>
    <w:rsid w:val="00D927AC"/>
    <w:rsid w:val="00D92832"/>
    <w:rsid w:val="00D92A3A"/>
    <w:rsid w:val="00D9340D"/>
    <w:rsid w:val="00D9355C"/>
    <w:rsid w:val="00D939A2"/>
    <w:rsid w:val="00D93A16"/>
    <w:rsid w:val="00D93AB0"/>
    <w:rsid w:val="00D93B28"/>
    <w:rsid w:val="00D93B89"/>
    <w:rsid w:val="00D93C1B"/>
    <w:rsid w:val="00D93CD5"/>
    <w:rsid w:val="00D93D55"/>
    <w:rsid w:val="00D93E19"/>
    <w:rsid w:val="00D94187"/>
    <w:rsid w:val="00D945AB"/>
    <w:rsid w:val="00D9496D"/>
    <w:rsid w:val="00D949A0"/>
    <w:rsid w:val="00D94DE8"/>
    <w:rsid w:val="00D94E49"/>
    <w:rsid w:val="00D9500A"/>
    <w:rsid w:val="00D96288"/>
    <w:rsid w:val="00D96356"/>
    <w:rsid w:val="00D96699"/>
    <w:rsid w:val="00D96DBC"/>
    <w:rsid w:val="00D96DCC"/>
    <w:rsid w:val="00D96E5F"/>
    <w:rsid w:val="00D96ED8"/>
    <w:rsid w:val="00D97252"/>
    <w:rsid w:val="00D975AB"/>
    <w:rsid w:val="00D97BEF"/>
    <w:rsid w:val="00D97CAF"/>
    <w:rsid w:val="00D97F9A"/>
    <w:rsid w:val="00DA004C"/>
    <w:rsid w:val="00DA05D8"/>
    <w:rsid w:val="00DA0768"/>
    <w:rsid w:val="00DA076C"/>
    <w:rsid w:val="00DA0E91"/>
    <w:rsid w:val="00DA0F8E"/>
    <w:rsid w:val="00DA15C8"/>
    <w:rsid w:val="00DA161A"/>
    <w:rsid w:val="00DA1CD0"/>
    <w:rsid w:val="00DA20A3"/>
    <w:rsid w:val="00DA2220"/>
    <w:rsid w:val="00DA2886"/>
    <w:rsid w:val="00DA2C18"/>
    <w:rsid w:val="00DA32A5"/>
    <w:rsid w:val="00DA3494"/>
    <w:rsid w:val="00DA3633"/>
    <w:rsid w:val="00DA3A39"/>
    <w:rsid w:val="00DA3E2F"/>
    <w:rsid w:val="00DA3EEE"/>
    <w:rsid w:val="00DA4039"/>
    <w:rsid w:val="00DA4258"/>
    <w:rsid w:val="00DA43A0"/>
    <w:rsid w:val="00DA46CD"/>
    <w:rsid w:val="00DA475F"/>
    <w:rsid w:val="00DA4850"/>
    <w:rsid w:val="00DA4968"/>
    <w:rsid w:val="00DA4F7F"/>
    <w:rsid w:val="00DA5A94"/>
    <w:rsid w:val="00DA6514"/>
    <w:rsid w:val="00DA6824"/>
    <w:rsid w:val="00DA6A04"/>
    <w:rsid w:val="00DA6C16"/>
    <w:rsid w:val="00DA7191"/>
    <w:rsid w:val="00DA752A"/>
    <w:rsid w:val="00DA7597"/>
    <w:rsid w:val="00DA7634"/>
    <w:rsid w:val="00DA7727"/>
    <w:rsid w:val="00DA7863"/>
    <w:rsid w:val="00DA7953"/>
    <w:rsid w:val="00DA7A46"/>
    <w:rsid w:val="00DA7A60"/>
    <w:rsid w:val="00DA7C81"/>
    <w:rsid w:val="00DA7EFD"/>
    <w:rsid w:val="00DA7F1B"/>
    <w:rsid w:val="00DB012F"/>
    <w:rsid w:val="00DB031B"/>
    <w:rsid w:val="00DB0324"/>
    <w:rsid w:val="00DB05B7"/>
    <w:rsid w:val="00DB05BD"/>
    <w:rsid w:val="00DB061A"/>
    <w:rsid w:val="00DB0867"/>
    <w:rsid w:val="00DB1044"/>
    <w:rsid w:val="00DB1144"/>
    <w:rsid w:val="00DB14EB"/>
    <w:rsid w:val="00DB19C5"/>
    <w:rsid w:val="00DB1B4A"/>
    <w:rsid w:val="00DB1C73"/>
    <w:rsid w:val="00DB1FCF"/>
    <w:rsid w:val="00DB2355"/>
    <w:rsid w:val="00DB2914"/>
    <w:rsid w:val="00DB2CF9"/>
    <w:rsid w:val="00DB2E7C"/>
    <w:rsid w:val="00DB316D"/>
    <w:rsid w:val="00DB35FF"/>
    <w:rsid w:val="00DB36F8"/>
    <w:rsid w:val="00DB38DC"/>
    <w:rsid w:val="00DB3BB4"/>
    <w:rsid w:val="00DB3EA6"/>
    <w:rsid w:val="00DB40E4"/>
    <w:rsid w:val="00DB43B7"/>
    <w:rsid w:val="00DB4403"/>
    <w:rsid w:val="00DB45AB"/>
    <w:rsid w:val="00DB4717"/>
    <w:rsid w:val="00DB4BD2"/>
    <w:rsid w:val="00DB5415"/>
    <w:rsid w:val="00DB541B"/>
    <w:rsid w:val="00DB5620"/>
    <w:rsid w:val="00DB564D"/>
    <w:rsid w:val="00DB5777"/>
    <w:rsid w:val="00DB5889"/>
    <w:rsid w:val="00DB5B8E"/>
    <w:rsid w:val="00DB5F6C"/>
    <w:rsid w:val="00DB65F8"/>
    <w:rsid w:val="00DB6699"/>
    <w:rsid w:val="00DB6A0F"/>
    <w:rsid w:val="00DB6F15"/>
    <w:rsid w:val="00DB74B3"/>
    <w:rsid w:val="00DB762B"/>
    <w:rsid w:val="00DB7A2E"/>
    <w:rsid w:val="00DB7CF1"/>
    <w:rsid w:val="00DB7FDD"/>
    <w:rsid w:val="00DC0015"/>
    <w:rsid w:val="00DC023A"/>
    <w:rsid w:val="00DC033F"/>
    <w:rsid w:val="00DC07A1"/>
    <w:rsid w:val="00DC0BFE"/>
    <w:rsid w:val="00DC0CC5"/>
    <w:rsid w:val="00DC0DB1"/>
    <w:rsid w:val="00DC0F02"/>
    <w:rsid w:val="00DC0F8D"/>
    <w:rsid w:val="00DC112C"/>
    <w:rsid w:val="00DC1325"/>
    <w:rsid w:val="00DC1816"/>
    <w:rsid w:val="00DC1EAA"/>
    <w:rsid w:val="00DC1FBF"/>
    <w:rsid w:val="00DC2132"/>
    <w:rsid w:val="00DC2284"/>
    <w:rsid w:val="00DC2483"/>
    <w:rsid w:val="00DC24F1"/>
    <w:rsid w:val="00DC2956"/>
    <w:rsid w:val="00DC2D04"/>
    <w:rsid w:val="00DC2D52"/>
    <w:rsid w:val="00DC2DED"/>
    <w:rsid w:val="00DC2E98"/>
    <w:rsid w:val="00DC2EB4"/>
    <w:rsid w:val="00DC34F2"/>
    <w:rsid w:val="00DC3718"/>
    <w:rsid w:val="00DC38AC"/>
    <w:rsid w:val="00DC38DA"/>
    <w:rsid w:val="00DC3CA4"/>
    <w:rsid w:val="00DC3E76"/>
    <w:rsid w:val="00DC40D2"/>
    <w:rsid w:val="00DC410B"/>
    <w:rsid w:val="00DC420E"/>
    <w:rsid w:val="00DC4304"/>
    <w:rsid w:val="00DC49F5"/>
    <w:rsid w:val="00DC4FAF"/>
    <w:rsid w:val="00DC5201"/>
    <w:rsid w:val="00DC53B8"/>
    <w:rsid w:val="00DC556C"/>
    <w:rsid w:val="00DC5AD1"/>
    <w:rsid w:val="00DC5B96"/>
    <w:rsid w:val="00DC5C0D"/>
    <w:rsid w:val="00DC6158"/>
    <w:rsid w:val="00DC7032"/>
    <w:rsid w:val="00DC72A4"/>
    <w:rsid w:val="00DC72D1"/>
    <w:rsid w:val="00DC7435"/>
    <w:rsid w:val="00DC746E"/>
    <w:rsid w:val="00DC76EE"/>
    <w:rsid w:val="00DC7D95"/>
    <w:rsid w:val="00DD00CB"/>
    <w:rsid w:val="00DD01CA"/>
    <w:rsid w:val="00DD02F4"/>
    <w:rsid w:val="00DD043A"/>
    <w:rsid w:val="00DD069E"/>
    <w:rsid w:val="00DD1176"/>
    <w:rsid w:val="00DD1A7E"/>
    <w:rsid w:val="00DD1B4E"/>
    <w:rsid w:val="00DD214E"/>
    <w:rsid w:val="00DD245C"/>
    <w:rsid w:val="00DD2484"/>
    <w:rsid w:val="00DD25EB"/>
    <w:rsid w:val="00DD295D"/>
    <w:rsid w:val="00DD2DEF"/>
    <w:rsid w:val="00DD2E0D"/>
    <w:rsid w:val="00DD304A"/>
    <w:rsid w:val="00DD30D8"/>
    <w:rsid w:val="00DD399A"/>
    <w:rsid w:val="00DD3A13"/>
    <w:rsid w:val="00DD3BDC"/>
    <w:rsid w:val="00DD3CA5"/>
    <w:rsid w:val="00DD4D92"/>
    <w:rsid w:val="00DD552F"/>
    <w:rsid w:val="00DD5A48"/>
    <w:rsid w:val="00DD5A72"/>
    <w:rsid w:val="00DD5B28"/>
    <w:rsid w:val="00DD5BF3"/>
    <w:rsid w:val="00DD5CB3"/>
    <w:rsid w:val="00DD6621"/>
    <w:rsid w:val="00DD6705"/>
    <w:rsid w:val="00DD6B1E"/>
    <w:rsid w:val="00DD6D1F"/>
    <w:rsid w:val="00DD6E9C"/>
    <w:rsid w:val="00DD742C"/>
    <w:rsid w:val="00DD75C0"/>
    <w:rsid w:val="00DD75EF"/>
    <w:rsid w:val="00DD7AD5"/>
    <w:rsid w:val="00DD7CB3"/>
    <w:rsid w:val="00DE03A0"/>
    <w:rsid w:val="00DE077F"/>
    <w:rsid w:val="00DE0B17"/>
    <w:rsid w:val="00DE1255"/>
    <w:rsid w:val="00DE1376"/>
    <w:rsid w:val="00DE1C0E"/>
    <w:rsid w:val="00DE1CF4"/>
    <w:rsid w:val="00DE2193"/>
    <w:rsid w:val="00DE228D"/>
    <w:rsid w:val="00DE2293"/>
    <w:rsid w:val="00DE2417"/>
    <w:rsid w:val="00DE246B"/>
    <w:rsid w:val="00DE2953"/>
    <w:rsid w:val="00DE2D56"/>
    <w:rsid w:val="00DE2DB1"/>
    <w:rsid w:val="00DE2E9D"/>
    <w:rsid w:val="00DE3440"/>
    <w:rsid w:val="00DE36A9"/>
    <w:rsid w:val="00DE374E"/>
    <w:rsid w:val="00DE37BE"/>
    <w:rsid w:val="00DE4103"/>
    <w:rsid w:val="00DE4210"/>
    <w:rsid w:val="00DE42F6"/>
    <w:rsid w:val="00DE4578"/>
    <w:rsid w:val="00DE4744"/>
    <w:rsid w:val="00DE4812"/>
    <w:rsid w:val="00DE4C5E"/>
    <w:rsid w:val="00DE4CD1"/>
    <w:rsid w:val="00DE4D81"/>
    <w:rsid w:val="00DE4DA8"/>
    <w:rsid w:val="00DE51B4"/>
    <w:rsid w:val="00DE5403"/>
    <w:rsid w:val="00DE55CB"/>
    <w:rsid w:val="00DE57C5"/>
    <w:rsid w:val="00DE58E6"/>
    <w:rsid w:val="00DE591A"/>
    <w:rsid w:val="00DE59F4"/>
    <w:rsid w:val="00DE5E6A"/>
    <w:rsid w:val="00DE70FC"/>
    <w:rsid w:val="00DE7B41"/>
    <w:rsid w:val="00DE7CC2"/>
    <w:rsid w:val="00DF005A"/>
    <w:rsid w:val="00DF010F"/>
    <w:rsid w:val="00DF0155"/>
    <w:rsid w:val="00DF04EE"/>
    <w:rsid w:val="00DF08AE"/>
    <w:rsid w:val="00DF0D8B"/>
    <w:rsid w:val="00DF1879"/>
    <w:rsid w:val="00DF198F"/>
    <w:rsid w:val="00DF1E48"/>
    <w:rsid w:val="00DF1E58"/>
    <w:rsid w:val="00DF1E89"/>
    <w:rsid w:val="00DF1F1E"/>
    <w:rsid w:val="00DF2549"/>
    <w:rsid w:val="00DF26FF"/>
    <w:rsid w:val="00DF2741"/>
    <w:rsid w:val="00DF2BD1"/>
    <w:rsid w:val="00DF3038"/>
    <w:rsid w:val="00DF32E7"/>
    <w:rsid w:val="00DF33DD"/>
    <w:rsid w:val="00DF3467"/>
    <w:rsid w:val="00DF34EF"/>
    <w:rsid w:val="00DF3743"/>
    <w:rsid w:val="00DF3757"/>
    <w:rsid w:val="00DF3DBC"/>
    <w:rsid w:val="00DF3E35"/>
    <w:rsid w:val="00DF40FE"/>
    <w:rsid w:val="00DF42E0"/>
    <w:rsid w:val="00DF441A"/>
    <w:rsid w:val="00DF4742"/>
    <w:rsid w:val="00DF5138"/>
    <w:rsid w:val="00DF53A0"/>
    <w:rsid w:val="00DF5B56"/>
    <w:rsid w:val="00DF6076"/>
    <w:rsid w:val="00DF620E"/>
    <w:rsid w:val="00DF6326"/>
    <w:rsid w:val="00DF66E4"/>
    <w:rsid w:val="00DF718E"/>
    <w:rsid w:val="00DF7249"/>
    <w:rsid w:val="00DF7D84"/>
    <w:rsid w:val="00DF7FC3"/>
    <w:rsid w:val="00E00460"/>
    <w:rsid w:val="00E004BA"/>
    <w:rsid w:val="00E006E9"/>
    <w:rsid w:val="00E00844"/>
    <w:rsid w:val="00E00C71"/>
    <w:rsid w:val="00E00EAA"/>
    <w:rsid w:val="00E00F12"/>
    <w:rsid w:val="00E01034"/>
    <w:rsid w:val="00E0103C"/>
    <w:rsid w:val="00E01934"/>
    <w:rsid w:val="00E01ECD"/>
    <w:rsid w:val="00E0220F"/>
    <w:rsid w:val="00E02399"/>
    <w:rsid w:val="00E0240A"/>
    <w:rsid w:val="00E0274F"/>
    <w:rsid w:val="00E02814"/>
    <w:rsid w:val="00E02D97"/>
    <w:rsid w:val="00E02FD4"/>
    <w:rsid w:val="00E0338D"/>
    <w:rsid w:val="00E0339C"/>
    <w:rsid w:val="00E038DC"/>
    <w:rsid w:val="00E03ED5"/>
    <w:rsid w:val="00E03F68"/>
    <w:rsid w:val="00E04119"/>
    <w:rsid w:val="00E0443B"/>
    <w:rsid w:val="00E04491"/>
    <w:rsid w:val="00E044AB"/>
    <w:rsid w:val="00E047E5"/>
    <w:rsid w:val="00E04AE7"/>
    <w:rsid w:val="00E04C97"/>
    <w:rsid w:val="00E05160"/>
    <w:rsid w:val="00E05508"/>
    <w:rsid w:val="00E05A10"/>
    <w:rsid w:val="00E0623D"/>
    <w:rsid w:val="00E06243"/>
    <w:rsid w:val="00E062B6"/>
    <w:rsid w:val="00E0632A"/>
    <w:rsid w:val="00E064E3"/>
    <w:rsid w:val="00E06573"/>
    <w:rsid w:val="00E065DF"/>
    <w:rsid w:val="00E06853"/>
    <w:rsid w:val="00E068D6"/>
    <w:rsid w:val="00E068ED"/>
    <w:rsid w:val="00E06E3E"/>
    <w:rsid w:val="00E07169"/>
    <w:rsid w:val="00E071D5"/>
    <w:rsid w:val="00E0722D"/>
    <w:rsid w:val="00E07358"/>
    <w:rsid w:val="00E07828"/>
    <w:rsid w:val="00E0783F"/>
    <w:rsid w:val="00E07ABA"/>
    <w:rsid w:val="00E102DF"/>
    <w:rsid w:val="00E109BC"/>
    <w:rsid w:val="00E109C1"/>
    <w:rsid w:val="00E10F9C"/>
    <w:rsid w:val="00E1114D"/>
    <w:rsid w:val="00E11277"/>
    <w:rsid w:val="00E11282"/>
    <w:rsid w:val="00E1144B"/>
    <w:rsid w:val="00E11807"/>
    <w:rsid w:val="00E11863"/>
    <w:rsid w:val="00E11BA4"/>
    <w:rsid w:val="00E11D0F"/>
    <w:rsid w:val="00E11DF4"/>
    <w:rsid w:val="00E12185"/>
    <w:rsid w:val="00E12378"/>
    <w:rsid w:val="00E124AF"/>
    <w:rsid w:val="00E128FF"/>
    <w:rsid w:val="00E12F0C"/>
    <w:rsid w:val="00E130AD"/>
    <w:rsid w:val="00E13601"/>
    <w:rsid w:val="00E136BF"/>
    <w:rsid w:val="00E13C52"/>
    <w:rsid w:val="00E13FCA"/>
    <w:rsid w:val="00E14E5A"/>
    <w:rsid w:val="00E14E5F"/>
    <w:rsid w:val="00E15026"/>
    <w:rsid w:val="00E157D3"/>
    <w:rsid w:val="00E15A4F"/>
    <w:rsid w:val="00E15CEA"/>
    <w:rsid w:val="00E15D54"/>
    <w:rsid w:val="00E15E7A"/>
    <w:rsid w:val="00E15FCB"/>
    <w:rsid w:val="00E162A4"/>
    <w:rsid w:val="00E162D7"/>
    <w:rsid w:val="00E16569"/>
    <w:rsid w:val="00E16716"/>
    <w:rsid w:val="00E16717"/>
    <w:rsid w:val="00E16869"/>
    <w:rsid w:val="00E16888"/>
    <w:rsid w:val="00E1688C"/>
    <w:rsid w:val="00E1725C"/>
    <w:rsid w:val="00E172C5"/>
    <w:rsid w:val="00E17CFF"/>
    <w:rsid w:val="00E17E8E"/>
    <w:rsid w:val="00E2006F"/>
    <w:rsid w:val="00E2082B"/>
    <w:rsid w:val="00E20955"/>
    <w:rsid w:val="00E20995"/>
    <w:rsid w:val="00E20DCA"/>
    <w:rsid w:val="00E20E33"/>
    <w:rsid w:val="00E21877"/>
    <w:rsid w:val="00E219B4"/>
    <w:rsid w:val="00E21AD0"/>
    <w:rsid w:val="00E21E4C"/>
    <w:rsid w:val="00E220C6"/>
    <w:rsid w:val="00E22665"/>
    <w:rsid w:val="00E227AE"/>
    <w:rsid w:val="00E229A8"/>
    <w:rsid w:val="00E23185"/>
    <w:rsid w:val="00E2323B"/>
    <w:rsid w:val="00E233E7"/>
    <w:rsid w:val="00E23526"/>
    <w:rsid w:val="00E23D56"/>
    <w:rsid w:val="00E23F4E"/>
    <w:rsid w:val="00E24469"/>
    <w:rsid w:val="00E24799"/>
    <w:rsid w:val="00E2482D"/>
    <w:rsid w:val="00E2486C"/>
    <w:rsid w:val="00E24906"/>
    <w:rsid w:val="00E24AF1"/>
    <w:rsid w:val="00E24B28"/>
    <w:rsid w:val="00E24C10"/>
    <w:rsid w:val="00E24C6A"/>
    <w:rsid w:val="00E24FB5"/>
    <w:rsid w:val="00E25365"/>
    <w:rsid w:val="00E2539E"/>
    <w:rsid w:val="00E25E05"/>
    <w:rsid w:val="00E263D8"/>
    <w:rsid w:val="00E26810"/>
    <w:rsid w:val="00E2682C"/>
    <w:rsid w:val="00E269D9"/>
    <w:rsid w:val="00E276A9"/>
    <w:rsid w:val="00E30029"/>
    <w:rsid w:val="00E30037"/>
    <w:rsid w:val="00E30499"/>
    <w:rsid w:val="00E30B51"/>
    <w:rsid w:val="00E30B8E"/>
    <w:rsid w:val="00E3102A"/>
    <w:rsid w:val="00E31116"/>
    <w:rsid w:val="00E31290"/>
    <w:rsid w:val="00E314F0"/>
    <w:rsid w:val="00E31767"/>
    <w:rsid w:val="00E32128"/>
    <w:rsid w:val="00E324BB"/>
    <w:rsid w:val="00E32A7A"/>
    <w:rsid w:val="00E32ECD"/>
    <w:rsid w:val="00E338C4"/>
    <w:rsid w:val="00E339F0"/>
    <w:rsid w:val="00E341F5"/>
    <w:rsid w:val="00E34287"/>
    <w:rsid w:val="00E34324"/>
    <w:rsid w:val="00E344CB"/>
    <w:rsid w:val="00E345EC"/>
    <w:rsid w:val="00E34796"/>
    <w:rsid w:val="00E347A0"/>
    <w:rsid w:val="00E34884"/>
    <w:rsid w:val="00E34B1D"/>
    <w:rsid w:val="00E34D8C"/>
    <w:rsid w:val="00E35427"/>
    <w:rsid w:val="00E35718"/>
    <w:rsid w:val="00E35E8B"/>
    <w:rsid w:val="00E36CE6"/>
    <w:rsid w:val="00E37017"/>
    <w:rsid w:val="00E37373"/>
    <w:rsid w:val="00E373AC"/>
    <w:rsid w:val="00E37424"/>
    <w:rsid w:val="00E375C1"/>
    <w:rsid w:val="00E377E8"/>
    <w:rsid w:val="00E37821"/>
    <w:rsid w:val="00E37841"/>
    <w:rsid w:val="00E37B7F"/>
    <w:rsid w:val="00E37C98"/>
    <w:rsid w:val="00E37E42"/>
    <w:rsid w:val="00E37E88"/>
    <w:rsid w:val="00E40283"/>
    <w:rsid w:val="00E403FB"/>
    <w:rsid w:val="00E40444"/>
    <w:rsid w:val="00E40986"/>
    <w:rsid w:val="00E40F22"/>
    <w:rsid w:val="00E415B1"/>
    <w:rsid w:val="00E416FC"/>
    <w:rsid w:val="00E41711"/>
    <w:rsid w:val="00E41C77"/>
    <w:rsid w:val="00E41CA3"/>
    <w:rsid w:val="00E41E0A"/>
    <w:rsid w:val="00E41FB9"/>
    <w:rsid w:val="00E427F0"/>
    <w:rsid w:val="00E42BE9"/>
    <w:rsid w:val="00E42C72"/>
    <w:rsid w:val="00E42EB4"/>
    <w:rsid w:val="00E42EDF"/>
    <w:rsid w:val="00E43055"/>
    <w:rsid w:val="00E43464"/>
    <w:rsid w:val="00E43542"/>
    <w:rsid w:val="00E4394A"/>
    <w:rsid w:val="00E43A9B"/>
    <w:rsid w:val="00E43AED"/>
    <w:rsid w:val="00E43C11"/>
    <w:rsid w:val="00E43D44"/>
    <w:rsid w:val="00E43DBD"/>
    <w:rsid w:val="00E44270"/>
    <w:rsid w:val="00E44414"/>
    <w:rsid w:val="00E44472"/>
    <w:rsid w:val="00E44511"/>
    <w:rsid w:val="00E44AD2"/>
    <w:rsid w:val="00E451BE"/>
    <w:rsid w:val="00E4564D"/>
    <w:rsid w:val="00E456B4"/>
    <w:rsid w:val="00E45D80"/>
    <w:rsid w:val="00E45EF9"/>
    <w:rsid w:val="00E46181"/>
    <w:rsid w:val="00E471D4"/>
    <w:rsid w:val="00E4767B"/>
    <w:rsid w:val="00E477EE"/>
    <w:rsid w:val="00E47A69"/>
    <w:rsid w:val="00E47C85"/>
    <w:rsid w:val="00E501F9"/>
    <w:rsid w:val="00E50A52"/>
    <w:rsid w:val="00E50B87"/>
    <w:rsid w:val="00E50C35"/>
    <w:rsid w:val="00E51472"/>
    <w:rsid w:val="00E518D2"/>
    <w:rsid w:val="00E51919"/>
    <w:rsid w:val="00E51AB6"/>
    <w:rsid w:val="00E51C2D"/>
    <w:rsid w:val="00E51E3A"/>
    <w:rsid w:val="00E51EAD"/>
    <w:rsid w:val="00E521A6"/>
    <w:rsid w:val="00E523E2"/>
    <w:rsid w:val="00E52CF0"/>
    <w:rsid w:val="00E52EB9"/>
    <w:rsid w:val="00E532C7"/>
    <w:rsid w:val="00E5330C"/>
    <w:rsid w:val="00E534C6"/>
    <w:rsid w:val="00E53967"/>
    <w:rsid w:val="00E53F73"/>
    <w:rsid w:val="00E54168"/>
    <w:rsid w:val="00E546DA"/>
    <w:rsid w:val="00E5545A"/>
    <w:rsid w:val="00E55696"/>
    <w:rsid w:val="00E556F7"/>
    <w:rsid w:val="00E5578F"/>
    <w:rsid w:val="00E55D5A"/>
    <w:rsid w:val="00E561DE"/>
    <w:rsid w:val="00E56347"/>
    <w:rsid w:val="00E56410"/>
    <w:rsid w:val="00E564DD"/>
    <w:rsid w:val="00E5650C"/>
    <w:rsid w:val="00E56DAC"/>
    <w:rsid w:val="00E571BB"/>
    <w:rsid w:val="00E577C9"/>
    <w:rsid w:val="00E57C5B"/>
    <w:rsid w:val="00E57C9A"/>
    <w:rsid w:val="00E60147"/>
    <w:rsid w:val="00E603B9"/>
    <w:rsid w:val="00E60430"/>
    <w:rsid w:val="00E60774"/>
    <w:rsid w:val="00E6086D"/>
    <w:rsid w:val="00E6092E"/>
    <w:rsid w:val="00E60A84"/>
    <w:rsid w:val="00E60B92"/>
    <w:rsid w:val="00E61404"/>
    <w:rsid w:val="00E615CB"/>
    <w:rsid w:val="00E61990"/>
    <w:rsid w:val="00E61F08"/>
    <w:rsid w:val="00E620F9"/>
    <w:rsid w:val="00E62740"/>
    <w:rsid w:val="00E62C15"/>
    <w:rsid w:val="00E62DFB"/>
    <w:rsid w:val="00E631AB"/>
    <w:rsid w:val="00E63361"/>
    <w:rsid w:val="00E63760"/>
    <w:rsid w:val="00E637D7"/>
    <w:rsid w:val="00E6383D"/>
    <w:rsid w:val="00E63847"/>
    <w:rsid w:val="00E638A3"/>
    <w:rsid w:val="00E63E86"/>
    <w:rsid w:val="00E6435E"/>
    <w:rsid w:val="00E643C6"/>
    <w:rsid w:val="00E644DE"/>
    <w:rsid w:val="00E644ED"/>
    <w:rsid w:val="00E6472E"/>
    <w:rsid w:val="00E64B24"/>
    <w:rsid w:val="00E64D19"/>
    <w:rsid w:val="00E64DF4"/>
    <w:rsid w:val="00E65145"/>
    <w:rsid w:val="00E652D3"/>
    <w:rsid w:val="00E65370"/>
    <w:rsid w:val="00E655E8"/>
    <w:rsid w:val="00E6657E"/>
    <w:rsid w:val="00E665F9"/>
    <w:rsid w:val="00E666B9"/>
    <w:rsid w:val="00E6697E"/>
    <w:rsid w:val="00E66F79"/>
    <w:rsid w:val="00E670C0"/>
    <w:rsid w:val="00E67128"/>
    <w:rsid w:val="00E675E0"/>
    <w:rsid w:val="00E67A21"/>
    <w:rsid w:val="00E706CF"/>
    <w:rsid w:val="00E70957"/>
    <w:rsid w:val="00E70BF2"/>
    <w:rsid w:val="00E71C50"/>
    <w:rsid w:val="00E71D34"/>
    <w:rsid w:val="00E71DDF"/>
    <w:rsid w:val="00E7229E"/>
    <w:rsid w:val="00E72A82"/>
    <w:rsid w:val="00E72CE0"/>
    <w:rsid w:val="00E73434"/>
    <w:rsid w:val="00E73B44"/>
    <w:rsid w:val="00E73BE1"/>
    <w:rsid w:val="00E742D4"/>
    <w:rsid w:val="00E742F5"/>
    <w:rsid w:val="00E74435"/>
    <w:rsid w:val="00E7444B"/>
    <w:rsid w:val="00E74860"/>
    <w:rsid w:val="00E74A0E"/>
    <w:rsid w:val="00E74B5D"/>
    <w:rsid w:val="00E74E72"/>
    <w:rsid w:val="00E74F46"/>
    <w:rsid w:val="00E74F92"/>
    <w:rsid w:val="00E75236"/>
    <w:rsid w:val="00E7566E"/>
    <w:rsid w:val="00E75866"/>
    <w:rsid w:val="00E758AD"/>
    <w:rsid w:val="00E75B04"/>
    <w:rsid w:val="00E75F53"/>
    <w:rsid w:val="00E76430"/>
    <w:rsid w:val="00E7691E"/>
    <w:rsid w:val="00E76A86"/>
    <w:rsid w:val="00E76DAC"/>
    <w:rsid w:val="00E76E17"/>
    <w:rsid w:val="00E774A2"/>
    <w:rsid w:val="00E77A79"/>
    <w:rsid w:val="00E77D4E"/>
    <w:rsid w:val="00E8010C"/>
    <w:rsid w:val="00E801BC"/>
    <w:rsid w:val="00E807DA"/>
    <w:rsid w:val="00E80898"/>
    <w:rsid w:val="00E80AF8"/>
    <w:rsid w:val="00E81119"/>
    <w:rsid w:val="00E816B3"/>
    <w:rsid w:val="00E817E4"/>
    <w:rsid w:val="00E81B1A"/>
    <w:rsid w:val="00E82880"/>
    <w:rsid w:val="00E82958"/>
    <w:rsid w:val="00E829CA"/>
    <w:rsid w:val="00E82B73"/>
    <w:rsid w:val="00E82E19"/>
    <w:rsid w:val="00E831E5"/>
    <w:rsid w:val="00E83650"/>
    <w:rsid w:val="00E83BA4"/>
    <w:rsid w:val="00E848C5"/>
    <w:rsid w:val="00E84B9A"/>
    <w:rsid w:val="00E84E40"/>
    <w:rsid w:val="00E8509A"/>
    <w:rsid w:val="00E8529E"/>
    <w:rsid w:val="00E85573"/>
    <w:rsid w:val="00E85A5D"/>
    <w:rsid w:val="00E85EF5"/>
    <w:rsid w:val="00E85F7C"/>
    <w:rsid w:val="00E860BF"/>
    <w:rsid w:val="00E864A7"/>
    <w:rsid w:val="00E86B7B"/>
    <w:rsid w:val="00E874B0"/>
    <w:rsid w:val="00E874FA"/>
    <w:rsid w:val="00E87908"/>
    <w:rsid w:val="00E87BB9"/>
    <w:rsid w:val="00E900F1"/>
    <w:rsid w:val="00E90457"/>
    <w:rsid w:val="00E90533"/>
    <w:rsid w:val="00E90685"/>
    <w:rsid w:val="00E90B49"/>
    <w:rsid w:val="00E90B9C"/>
    <w:rsid w:val="00E90D4C"/>
    <w:rsid w:val="00E91860"/>
    <w:rsid w:val="00E91C12"/>
    <w:rsid w:val="00E91E5B"/>
    <w:rsid w:val="00E92395"/>
    <w:rsid w:val="00E9256D"/>
    <w:rsid w:val="00E9283C"/>
    <w:rsid w:val="00E92AC9"/>
    <w:rsid w:val="00E92B67"/>
    <w:rsid w:val="00E92C15"/>
    <w:rsid w:val="00E932AE"/>
    <w:rsid w:val="00E936F6"/>
    <w:rsid w:val="00E937DD"/>
    <w:rsid w:val="00E93D55"/>
    <w:rsid w:val="00E9402F"/>
    <w:rsid w:val="00E9431A"/>
    <w:rsid w:val="00E9460B"/>
    <w:rsid w:val="00E9498C"/>
    <w:rsid w:val="00E9505D"/>
    <w:rsid w:val="00E954B7"/>
    <w:rsid w:val="00E955FC"/>
    <w:rsid w:val="00E95666"/>
    <w:rsid w:val="00E95CEB"/>
    <w:rsid w:val="00E9627C"/>
    <w:rsid w:val="00E96768"/>
    <w:rsid w:val="00E96CCA"/>
    <w:rsid w:val="00E96E58"/>
    <w:rsid w:val="00E96FDB"/>
    <w:rsid w:val="00E976AC"/>
    <w:rsid w:val="00E9794E"/>
    <w:rsid w:val="00E97C3D"/>
    <w:rsid w:val="00E97CF8"/>
    <w:rsid w:val="00E97E43"/>
    <w:rsid w:val="00EA0075"/>
    <w:rsid w:val="00EA00F9"/>
    <w:rsid w:val="00EA031F"/>
    <w:rsid w:val="00EA032A"/>
    <w:rsid w:val="00EA0491"/>
    <w:rsid w:val="00EA059C"/>
    <w:rsid w:val="00EA074A"/>
    <w:rsid w:val="00EA0D29"/>
    <w:rsid w:val="00EA107B"/>
    <w:rsid w:val="00EA1186"/>
    <w:rsid w:val="00EA155A"/>
    <w:rsid w:val="00EA1C7F"/>
    <w:rsid w:val="00EA2328"/>
    <w:rsid w:val="00EA23F6"/>
    <w:rsid w:val="00EA2A96"/>
    <w:rsid w:val="00EA2E80"/>
    <w:rsid w:val="00EA3321"/>
    <w:rsid w:val="00EA34D0"/>
    <w:rsid w:val="00EA3575"/>
    <w:rsid w:val="00EA3CF7"/>
    <w:rsid w:val="00EA3ED8"/>
    <w:rsid w:val="00EA40A6"/>
    <w:rsid w:val="00EA4232"/>
    <w:rsid w:val="00EA43AA"/>
    <w:rsid w:val="00EA43EE"/>
    <w:rsid w:val="00EA44D4"/>
    <w:rsid w:val="00EA4645"/>
    <w:rsid w:val="00EA478E"/>
    <w:rsid w:val="00EA4D40"/>
    <w:rsid w:val="00EA59C6"/>
    <w:rsid w:val="00EA63C3"/>
    <w:rsid w:val="00EA64A8"/>
    <w:rsid w:val="00EA6BA8"/>
    <w:rsid w:val="00EA6D62"/>
    <w:rsid w:val="00EA75E0"/>
    <w:rsid w:val="00EA76EE"/>
    <w:rsid w:val="00EA79F7"/>
    <w:rsid w:val="00EA7AEE"/>
    <w:rsid w:val="00EA7F09"/>
    <w:rsid w:val="00EB0BE2"/>
    <w:rsid w:val="00EB0E5A"/>
    <w:rsid w:val="00EB1029"/>
    <w:rsid w:val="00EB1098"/>
    <w:rsid w:val="00EB10AC"/>
    <w:rsid w:val="00EB13D5"/>
    <w:rsid w:val="00EB196D"/>
    <w:rsid w:val="00EB196F"/>
    <w:rsid w:val="00EB2100"/>
    <w:rsid w:val="00EB22A8"/>
    <w:rsid w:val="00EB3295"/>
    <w:rsid w:val="00EB356D"/>
    <w:rsid w:val="00EB3CE5"/>
    <w:rsid w:val="00EB3D5C"/>
    <w:rsid w:val="00EB3F40"/>
    <w:rsid w:val="00EB4125"/>
    <w:rsid w:val="00EB47C0"/>
    <w:rsid w:val="00EB4A21"/>
    <w:rsid w:val="00EB4A93"/>
    <w:rsid w:val="00EB4C29"/>
    <w:rsid w:val="00EB506B"/>
    <w:rsid w:val="00EB50A1"/>
    <w:rsid w:val="00EB5A97"/>
    <w:rsid w:val="00EB5C8A"/>
    <w:rsid w:val="00EB5F9E"/>
    <w:rsid w:val="00EB641F"/>
    <w:rsid w:val="00EB6432"/>
    <w:rsid w:val="00EB6750"/>
    <w:rsid w:val="00EB67A9"/>
    <w:rsid w:val="00EB6889"/>
    <w:rsid w:val="00EB69A1"/>
    <w:rsid w:val="00EB6AB9"/>
    <w:rsid w:val="00EB6D31"/>
    <w:rsid w:val="00EB745E"/>
    <w:rsid w:val="00EB784E"/>
    <w:rsid w:val="00EB7A93"/>
    <w:rsid w:val="00EB7D5C"/>
    <w:rsid w:val="00EC06CC"/>
    <w:rsid w:val="00EC0DFD"/>
    <w:rsid w:val="00EC109E"/>
    <w:rsid w:val="00EC10A0"/>
    <w:rsid w:val="00EC1195"/>
    <w:rsid w:val="00EC1383"/>
    <w:rsid w:val="00EC13D0"/>
    <w:rsid w:val="00EC1591"/>
    <w:rsid w:val="00EC16C6"/>
    <w:rsid w:val="00EC16F1"/>
    <w:rsid w:val="00EC1C26"/>
    <w:rsid w:val="00EC1C8A"/>
    <w:rsid w:val="00EC1DFD"/>
    <w:rsid w:val="00EC20D8"/>
    <w:rsid w:val="00EC282D"/>
    <w:rsid w:val="00EC2840"/>
    <w:rsid w:val="00EC2B0D"/>
    <w:rsid w:val="00EC2BD6"/>
    <w:rsid w:val="00EC3573"/>
    <w:rsid w:val="00EC410A"/>
    <w:rsid w:val="00EC419F"/>
    <w:rsid w:val="00EC4840"/>
    <w:rsid w:val="00EC50A2"/>
    <w:rsid w:val="00EC518D"/>
    <w:rsid w:val="00EC52B8"/>
    <w:rsid w:val="00EC545A"/>
    <w:rsid w:val="00EC54F8"/>
    <w:rsid w:val="00EC5791"/>
    <w:rsid w:val="00EC57C6"/>
    <w:rsid w:val="00EC5FB8"/>
    <w:rsid w:val="00EC628D"/>
    <w:rsid w:val="00EC62AB"/>
    <w:rsid w:val="00EC6763"/>
    <w:rsid w:val="00EC6C28"/>
    <w:rsid w:val="00EC6D0E"/>
    <w:rsid w:val="00EC6DFD"/>
    <w:rsid w:val="00EC6EF3"/>
    <w:rsid w:val="00EC7048"/>
    <w:rsid w:val="00EC71CB"/>
    <w:rsid w:val="00EC71D1"/>
    <w:rsid w:val="00EC769C"/>
    <w:rsid w:val="00EC76F3"/>
    <w:rsid w:val="00EC7797"/>
    <w:rsid w:val="00EC78BC"/>
    <w:rsid w:val="00EC7D87"/>
    <w:rsid w:val="00EC7E17"/>
    <w:rsid w:val="00ED05D6"/>
    <w:rsid w:val="00ED060E"/>
    <w:rsid w:val="00ED0C6F"/>
    <w:rsid w:val="00ED0D88"/>
    <w:rsid w:val="00ED13D1"/>
    <w:rsid w:val="00ED1AA8"/>
    <w:rsid w:val="00ED1C07"/>
    <w:rsid w:val="00ED233E"/>
    <w:rsid w:val="00ED29F2"/>
    <w:rsid w:val="00ED2D3B"/>
    <w:rsid w:val="00ED2FCC"/>
    <w:rsid w:val="00ED3028"/>
    <w:rsid w:val="00ED3A81"/>
    <w:rsid w:val="00ED3F32"/>
    <w:rsid w:val="00ED4967"/>
    <w:rsid w:val="00ED4C12"/>
    <w:rsid w:val="00ED4E12"/>
    <w:rsid w:val="00ED50D8"/>
    <w:rsid w:val="00ED53B0"/>
    <w:rsid w:val="00ED5646"/>
    <w:rsid w:val="00ED635F"/>
    <w:rsid w:val="00ED67CE"/>
    <w:rsid w:val="00ED6EDA"/>
    <w:rsid w:val="00ED712D"/>
    <w:rsid w:val="00ED7559"/>
    <w:rsid w:val="00ED7637"/>
    <w:rsid w:val="00ED7A84"/>
    <w:rsid w:val="00EE0279"/>
    <w:rsid w:val="00EE0538"/>
    <w:rsid w:val="00EE05EC"/>
    <w:rsid w:val="00EE0625"/>
    <w:rsid w:val="00EE0A4C"/>
    <w:rsid w:val="00EE0B6E"/>
    <w:rsid w:val="00EE0F57"/>
    <w:rsid w:val="00EE0F97"/>
    <w:rsid w:val="00EE1046"/>
    <w:rsid w:val="00EE1B10"/>
    <w:rsid w:val="00EE1F65"/>
    <w:rsid w:val="00EE2371"/>
    <w:rsid w:val="00EE28A4"/>
    <w:rsid w:val="00EE28CE"/>
    <w:rsid w:val="00EE28F4"/>
    <w:rsid w:val="00EE2B3B"/>
    <w:rsid w:val="00EE2D19"/>
    <w:rsid w:val="00EE3728"/>
    <w:rsid w:val="00EE38B6"/>
    <w:rsid w:val="00EE393A"/>
    <w:rsid w:val="00EE3E7B"/>
    <w:rsid w:val="00EE3E83"/>
    <w:rsid w:val="00EE4261"/>
    <w:rsid w:val="00EE4493"/>
    <w:rsid w:val="00EE45C5"/>
    <w:rsid w:val="00EE4ADF"/>
    <w:rsid w:val="00EE4B3E"/>
    <w:rsid w:val="00EE5A6B"/>
    <w:rsid w:val="00EE5B3C"/>
    <w:rsid w:val="00EE5F75"/>
    <w:rsid w:val="00EE63BE"/>
    <w:rsid w:val="00EE6972"/>
    <w:rsid w:val="00EE6A2B"/>
    <w:rsid w:val="00EE6B04"/>
    <w:rsid w:val="00EE6B89"/>
    <w:rsid w:val="00EE712F"/>
    <w:rsid w:val="00EE73B5"/>
    <w:rsid w:val="00EE7915"/>
    <w:rsid w:val="00EE79AF"/>
    <w:rsid w:val="00EE7CFD"/>
    <w:rsid w:val="00EF0024"/>
    <w:rsid w:val="00EF0799"/>
    <w:rsid w:val="00EF09CD"/>
    <w:rsid w:val="00EF10CC"/>
    <w:rsid w:val="00EF12C5"/>
    <w:rsid w:val="00EF1514"/>
    <w:rsid w:val="00EF15F5"/>
    <w:rsid w:val="00EF1807"/>
    <w:rsid w:val="00EF1903"/>
    <w:rsid w:val="00EF1C75"/>
    <w:rsid w:val="00EF1CF5"/>
    <w:rsid w:val="00EF1EB2"/>
    <w:rsid w:val="00EF2006"/>
    <w:rsid w:val="00EF21AF"/>
    <w:rsid w:val="00EF24F7"/>
    <w:rsid w:val="00EF2722"/>
    <w:rsid w:val="00EF2A35"/>
    <w:rsid w:val="00EF2B93"/>
    <w:rsid w:val="00EF2DB3"/>
    <w:rsid w:val="00EF363D"/>
    <w:rsid w:val="00EF3850"/>
    <w:rsid w:val="00EF3E73"/>
    <w:rsid w:val="00EF40A5"/>
    <w:rsid w:val="00EF40BE"/>
    <w:rsid w:val="00EF416B"/>
    <w:rsid w:val="00EF41D3"/>
    <w:rsid w:val="00EF4469"/>
    <w:rsid w:val="00EF4AE4"/>
    <w:rsid w:val="00EF5107"/>
    <w:rsid w:val="00EF5B55"/>
    <w:rsid w:val="00EF5CE4"/>
    <w:rsid w:val="00EF5E9A"/>
    <w:rsid w:val="00EF5EEA"/>
    <w:rsid w:val="00EF60A2"/>
    <w:rsid w:val="00EF623C"/>
    <w:rsid w:val="00EF6294"/>
    <w:rsid w:val="00EF6601"/>
    <w:rsid w:val="00EF6805"/>
    <w:rsid w:val="00EF696D"/>
    <w:rsid w:val="00EF6D9B"/>
    <w:rsid w:val="00EF6EAE"/>
    <w:rsid w:val="00EF711F"/>
    <w:rsid w:val="00EF730B"/>
    <w:rsid w:val="00EF768F"/>
    <w:rsid w:val="00EF78A0"/>
    <w:rsid w:val="00EF7CF2"/>
    <w:rsid w:val="00EF7D85"/>
    <w:rsid w:val="00EF7F31"/>
    <w:rsid w:val="00F00508"/>
    <w:rsid w:val="00F0060F"/>
    <w:rsid w:val="00F00819"/>
    <w:rsid w:val="00F00B2E"/>
    <w:rsid w:val="00F01490"/>
    <w:rsid w:val="00F01820"/>
    <w:rsid w:val="00F0193F"/>
    <w:rsid w:val="00F01C5B"/>
    <w:rsid w:val="00F01E52"/>
    <w:rsid w:val="00F022A8"/>
    <w:rsid w:val="00F02473"/>
    <w:rsid w:val="00F0256E"/>
    <w:rsid w:val="00F02DCB"/>
    <w:rsid w:val="00F02FB1"/>
    <w:rsid w:val="00F0319D"/>
    <w:rsid w:val="00F0389E"/>
    <w:rsid w:val="00F04286"/>
    <w:rsid w:val="00F042DC"/>
    <w:rsid w:val="00F04309"/>
    <w:rsid w:val="00F0448B"/>
    <w:rsid w:val="00F0463B"/>
    <w:rsid w:val="00F046BD"/>
    <w:rsid w:val="00F04A1A"/>
    <w:rsid w:val="00F04D63"/>
    <w:rsid w:val="00F04E40"/>
    <w:rsid w:val="00F04E72"/>
    <w:rsid w:val="00F0526B"/>
    <w:rsid w:val="00F0576E"/>
    <w:rsid w:val="00F057C2"/>
    <w:rsid w:val="00F0584D"/>
    <w:rsid w:val="00F05999"/>
    <w:rsid w:val="00F059AB"/>
    <w:rsid w:val="00F05B05"/>
    <w:rsid w:val="00F06322"/>
    <w:rsid w:val="00F06894"/>
    <w:rsid w:val="00F06906"/>
    <w:rsid w:val="00F06C35"/>
    <w:rsid w:val="00F06DDD"/>
    <w:rsid w:val="00F07099"/>
    <w:rsid w:val="00F074FA"/>
    <w:rsid w:val="00F07A90"/>
    <w:rsid w:val="00F07B33"/>
    <w:rsid w:val="00F07B75"/>
    <w:rsid w:val="00F102A7"/>
    <w:rsid w:val="00F105EA"/>
    <w:rsid w:val="00F107E1"/>
    <w:rsid w:val="00F10B8A"/>
    <w:rsid w:val="00F10F10"/>
    <w:rsid w:val="00F1106A"/>
    <w:rsid w:val="00F1109A"/>
    <w:rsid w:val="00F11117"/>
    <w:rsid w:val="00F111B8"/>
    <w:rsid w:val="00F112B0"/>
    <w:rsid w:val="00F11304"/>
    <w:rsid w:val="00F11768"/>
    <w:rsid w:val="00F118F8"/>
    <w:rsid w:val="00F11D55"/>
    <w:rsid w:val="00F11DC7"/>
    <w:rsid w:val="00F11FA7"/>
    <w:rsid w:val="00F12541"/>
    <w:rsid w:val="00F12E11"/>
    <w:rsid w:val="00F13580"/>
    <w:rsid w:val="00F13586"/>
    <w:rsid w:val="00F143EE"/>
    <w:rsid w:val="00F14435"/>
    <w:rsid w:val="00F1477E"/>
    <w:rsid w:val="00F14C45"/>
    <w:rsid w:val="00F1510D"/>
    <w:rsid w:val="00F15233"/>
    <w:rsid w:val="00F15618"/>
    <w:rsid w:val="00F15E91"/>
    <w:rsid w:val="00F164D2"/>
    <w:rsid w:val="00F16E72"/>
    <w:rsid w:val="00F16F98"/>
    <w:rsid w:val="00F1735C"/>
    <w:rsid w:val="00F17473"/>
    <w:rsid w:val="00F178FF"/>
    <w:rsid w:val="00F1792A"/>
    <w:rsid w:val="00F17C97"/>
    <w:rsid w:val="00F17F93"/>
    <w:rsid w:val="00F2064C"/>
    <w:rsid w:val="00F20B53"/>
    <w:rsid w:val="00F20B5F"/>
    <w:rsid w:val="00F21056"/>
    <w:rsid w:val="00F21961"/>
    <w:rsid w:val="00F21A42"/>
    <w:rsid w:val="00F21BA6"/>
    <w:rsid w:val="00F21C71"/>
    <w:rsid w:val="00F21D12"/>
    <w:rsid w:val="00F21FB3"/>
    <w:rsid w:val="00F22035"/>
    <w:rsid w:val="00F2291C"/>
    <w:rsid w:val="00F22A18"/>
    <w:rsid w:val="00F22C19"/>
    <w:rsid w:val="00F22D18"/>
    <w:rsid w:val="00F22FD6"/>
    <w:rsid w:val="00F2300F"/>
    <w:rsid w:val="00F23243"/>
    <w:rsid w:val="00F23350"/>
    <w:rsid w:val="00F23434"/>
    <w:rsid w:val="00F235FB"/>
    <w:rsid w:val="00F23664"/>
    <w:rsid w:val="00F2367A"/>
    <w:rsid w:val="00F23880"/>
    <w:rsid w:val="00F23E4E"/>
    <w:rsid w:val="00F23F3C"/>
    <w:rsid w:val="00F24450"/>
    <w:rsid w:val="00F24B44"/>
    <w:rsid w:val="00F2521E"/>
    <w:rsid w:val="00F256F9"/>
    <w:rsid w:val="00F257E6"/>
    <w:rsid w:val="00F25B50"/>
    <w:rsid w:val="00F25D28"/>
    <w:rsid w:val="00F25ED2"/>
    <w:rsid w:val="00F26073"/>
    <w:rsid w:val="00F26137"/>
    <w:rsid w:val="00F26270"/>
    <w:rsid w:val="00F26385"/>
    <w:rsid w:val="00F2678A"/>
    <w:rsid w:val="00F267AE"/>
    <w:rsid w:val="00F26AA8"/>
    <w:rsid w:val="00F26AF2"/>
    <w:rsid w:val="00F26B6B"/>
    <w:rsid w:val="00F27182"/>
    <w:rsid w:val="00F27CF0"/>
    <w:rsid w:val="00F27D48"/>
    <w:rsid w:val="00F3026A"/>
    <w:rsid w:val="00F3039A"/>
    <w:rsid w:val="00F307B3"/>
    <w:rsid w:val="00F30A58"/>
    <w:rsid w:val="00F30A91"/>
    <w:rsid w:val="00F30BB4"/>
    <w:rsid w:val="00F30F8A"/>
    <w:rsid w:val="00F312B5"/>
    <w:rsid w:val="00F313C9"/>
    <w:rsid w:val="00F3174C"/>
    <w:rsid w:val="00F31837"/>
    <w:rsid w:val="00F31DD9"/>
    <w:rsid w:val="00F31E7F"/>
    <w:rsid w:val="00F31EC4"/>
    <w:rsid w:val="00F327CC"/>
    <w:rsid w:val="00F32A89"/>
    <w:rsid w:val="00F32F13"/>
    <w:rsid w:val="00F33789"/>
    <w:rsid w:val="00F33D53"/>
    <w:rsid w:val="00F33F9F"/>
    <w:rsid w:val="00F34042"/>
    <w:rsid w:val="00F34FC3"/>
    <w:rsid w:val="00F35613"/>
    <w:rsid w:val="00F357BC"/>
    <w:rsid w:val="00F361D0"/>
    <w:rsid w:val="00F368E6"/>
    <w:rsid w:val="00F369C2"/>
    <w:rsid w:val="00F36C87"/>
    <w:rsid w:val="00F36E5C"/>
    <w:rsid w:val="00F376F4"/>
    <w:rsid w:val="00F37AAC"/>
    <w:rsid w:val="00F37C04"/>
    <w:rsid w:val="00F37D6F"/>
    <w:rsid w:val="00F40460"/>
    <w:rsid w:val="00F40485"/>
    <w:rsid w:val="00F40931"/>
    <w:rsid w:val="00F4156B"/>
    <w:rsid w:val="00F4165C"/>
    <w:rsid w:val="00F41869"/>
    <w:rsid w:val="00F41A52"/>
    <w:rsid w:val="00F41E2A"/>
    <w:rsid w:val="00F420C8"/>
    <w:rsid w:val="00F4256F"/>
    <w:rsid w:val="00F427F0"/>
    <w:rsid w:val="00F42C4B"/>
    <w:rsid w:val="00F4325B"/>
    <w:rsid w:val="00F4348E"/>
    <w:rsid w:val="00F4367D"/>
    <w:rsid w:val="00F439C9"/>
    <w:rsid w:val="00F43AC4"/>
    <w:rsid w:val="00F43DE0"/>
    <w:rsid w:val="00F44094"/>
    <w:rsid w:val="00F44339"/>
    <w:rsid w:val="00F4433B"/>
    <w:rsid w:val="00F44A07"/>
    <w:rsid w:val="00F44EC9"/>
    <w:rsid w:val="00F45218"/>
    <w:rsid w:val="00F468D3"/>
    <w:rsid w:val="00F46927"/>
    <w:rsid w:val="00F47062"/>
    <w:rsid w:val="00F4771A"/>
    <w:rsid w:val="00F5019F"/>
    <w:rsid w:val="00F504F3"/>
    <w:rsid w:val="00F50999"/>
    <w:rsid w:val="00F51129"/>
    <w:rsid w:val="00F51302"/>
    <w:rsid w:val="00F51396"/>
    <w:rsid w:val="00F516DA"/>
    <w:rsid w:val="00F51AA5"/>
    <w:rsid w:val="00F51C6A"/>
    <w:rsid w:val="00F51C89"/>
    <w:rsid w:val="00F51C8A"/>
    <w:rsid w:val="00F51C95"/>
    <w:rsid w:val="00F51D13"/>
    <w:rsid w:val="00F52406"/>
    <w:rsid w:val="00F5285C"/>
    <w:rsid w:val="00F53237"/>
    <w:rsid w:val="00F5385F"/>
    <w:rsid w:val="00F538BE"/>
    <w:rsid w:val="00F53CC4"/>
    <w:rsid w:val="00F543CC"/>
    <w:rsid w:val="00F54498"/>
    <w:rsid w:val="00F5493B"/>
    <w:rsid w:val="00F55097"/>
    <w:rsid w:val="00F55854"/>
    <w:rsid w:val="00F55A50"/>
    <w:rsid w:val="00F55A97"/>
    <w:rsid w:val="00F55CEC"/>
    <w:rsid w:val="00F5609A"/>
    <w:rsid w:val="00F5634E"/>
    <w:rsid w:val="00F56813"/>
    <w:rsid w:val="00F5686F"/>
    <w:rsid w:val="00F56FAE"/>
    <w:rsid w:val="00F574AB"/>
    <w:rsid w:val="00F57BEC"/>
    <w:rsid w:val="00F57F4B"/>
    <w:rsid w:val="00F6009A"/>
    <w:rsid w:val="00F600BC"/>
    <w:rsid w:val="00F60257"/>
    <w:rsid w:val="00F60B8D"/>
    <w:rsid w:val="00F60CA1"/>
    <w:rsid w:val="00F60F15"/>
    <w:rsid w:val="00F6180A"/>
    <w:rsid w:val="00F627EF"/>
    <w:rsid w:val="00F62D42"/>
    <w:rsid w:val="00F62DDB"/>
    <w:rsid w:val="00F62EDF"/>
    <w:rsid w:val="00F63515"/>
    <w:rsid w:val="00F63565"/>
    <w:rsid w:val="00F636AC"/>
    <w:rsid w:val="00F63B8F"/>
    <w:rsid w:val="00F63DC4"/>
    <w:rsid w:val="00F63F59"/>
    <w:rsid w:val="00F6422C"/>
    <w:rsid w:val="00F64584"/>
    <w:rsid w:val="00F64A79"/>
    <w:rsid w:val="00F64B3B"/>
    <w:rsid w:val="00F64FA9"/>
    <w:rsid w:val="00F6534F"/>
    <w:rsid w:val="00F65413"/>
    <w:rsid w:val="00F656A6"/>
    <w:rsid w:val="00F656E3"/>
    <w:rsid w:val="00F65A32"/>
    <w:rsid w:val="00F65CFF"/>
    <w:rsid w:val="00F66298"/>
    <w:rsid w:val="00F663EB"/>
    <w:rsid w:val="00F66617"/>
    <w:rsid w:val="00F67053"/>
    <w:rsid w:val="00F70110"/>
    <w:rsid w:val="00F7011F"/>
    <w:rsid w:val="00F707C2"/>
    <w:rsid w:val="00F70830"/>
    <w:rsid w:val="00F711DA"/>
    <w:rsid w:val="00F718A1"/>
    <w:rsid w:val="00F71A2D"/>
    <w:rsid w:val="00F71B9E"/>
    <w:rsid w:val="00F71DFF"/>
    <w:rsid w:val="00F71E9A"/>
    <w:rsid w:val="00F721A0"/>
    <w:rsid w:val="00F72587"/>
    <w:rsid w:val="00F72A80"/>
    <w:rsid w:val="00F72C93"/>
    <w:rsid w:val="00F731F4"/>
    <w:rsid w:val="00F732F8"/>
    <w:rsid w:val="00F733EB"/>
    <w:rsid w:val="00F735BA"/>
    <w:rsid w:val="00F73671"/>
    <w:rsid w:val="00F736F7"/>
    <w:rsid w:val="00F73AAB"/>
    <w:rsid w:val="00F73E5A"/>
    <w:rsid w:val="00F74288"/>
    <w:rsid w:val="00F746B3"/>
    <w:rsid w:val="00F74A58"/>
    <w:rsid w:val="00F74B4B"/>
    <w:rsid w:val="00F74CB4"/>
    <w:rsid w:val="00F754C2"/>
    <w:rsid w:val="00F75843"/>
    <w:rsid w:val="00F75A5A"/>
    <w:rsid w:val="00F7673C"/>
    <w:rsid w:val="00F76A87"/>
    <w:rsid w:val="00F77498"/>
    <w:rsid w:val="00F800B7"/>
    <w:rsid w:val="00F800B8"/>
    <w:rsid w:val="00F80131"/>
    <w:rsid w:val="00F8031E"/>
    <w:rsid w:val="00F80496"/>
    <w:rsid w:val="00F80662"/>
    <w:rsid w:val="00F80866"/>
    <w:rsid w:val="00F80A88"/>
    <w:rsid w:val="00F80B4E"/>
    <w:rsid w:val="00F80F5A"/>
    <w:rsid w:val="00F80F6B"/>
    <w:rsid w:val="00F8124F"/>
    <w:rsid w:val="00F81498"/>
    <w:rsid w:val="00F81858"/>
    <w:rsid w:val="00F81DCC"/>
    <w:rsid w:val="00F81E6D"/>
    <w:rsid w:val="00F81F72"/>
    <w:rsid w:val="00F823F5"/>
    <w:rsid w:val="00F824BE"/>
    <w:rsid w:val="00F826A2"/>
    <w:rsid w:val="00F82D98"/>
    <w:rsid w:val="00F82EE9"/>
    <w:rsid w:val="00F837A3"/>
    <w:rsid w:val="00F8386F"/>
    <w:rsid w:val="00F8399B"/>
    <w:rsid w:val="00F83B2A"/>
    <w:rsid w:val="00F83D29"/>
    <w:rsid w:val="00F83D92"/>
    <w:rsid w:val="00F83EB1"/>
    <w:rsid w:val="00F840E9"/>
    <w:rsid w:val="00F84207"/>
    <w:rsid w:val="00F848F9"/>
    <w:rsid w:val="00F85721"/>
    <w:rsid w:val="00F85B1B"/>
    <w:rsid w:val="00F85EB7"/>
    <w:rsid w:val="00F85F5C"/>
    <w:rsid w:val="00F85F71"/>
    <w:rsid w:val="00F86028"/>
    <w:rsid w:val="00F860DC"/>
    <w:rsid w:val="00F8626D"/>
    <w:rsid w:val="00F863A8"/>
    <w:rsid w:val="00F86519"/>
    <w:rsid w:val="00F86799"/>
    <w:rsid w:val="00F86903"/>
    <w:rsid w:val="00F86B66"/>
    <w:rsid w:val="00F86F78"/>
    <w:rsid w:val="00F877FF"/>
    <w:rsid w:val="00F879DA"/>
    <w:rsid w:val="00F87CCC"/>
    <w:rsid w:val="00F902DB"/>
    <w:rsid w:val="00F90311"/>
    <w:rsid w:val="00F91011"/>
    <w:rsid w:val="00F9170D"/>
    <w:rsid w:val="00F91AD1"/>
    <w:rsid w:val="00F91CF3"/>
    <w:rsid w:val="00F920C9"/>
    <w:rsid w:val="00F921F2"/>
    <w:rsid w:val="00F926E2"/>
    <w:rsid w:val="00F92734"/>
    <w:rsid w:val="00F932D3"/>
    <w:rsid w:val="00F935A7"/>
    <w:rsid w:val="00F936A6"/>
    <w:rsid w:val="00F93824"/>
    <w:rsid w:val="00F93B52"/>
    <w:rsid w:val="00F93D18"/>
    <w:rsid w:val="00F93D8D"/>
    <w:rsid w:val="00F93F47"/>
    <w:rsid w:val="00F94368"/>
    <w:rsid w:val="00F94423"/>
    <w:rsid w:val="00F945EB"/>
    <w:rsid w:val="00F9472E"/>
    <w:rsid w:val="00F9494C"/>
    <w:rsid w:val="00F94A0E"/>
    <w:rsid w:val="00F94C8B"/>
    <w:rsid w:val="00F94EC4"/>
    <w:rsid w:val="00F958D7"/>
    <w:rsid w:val="00F95A03"/>
    <w:rsid w:val="00F962C0"/>
    <w:rsid w:val="00F965D3"/>
    <w:rsid w:val="00F96E89"/>
    <w:rsid w:val="00F971B0"/>
    <w:rsid w:val="00F9733D"/>
    <w:rsid w:val="00F97691"/>
    <w:rsid w:val="00F97A46"/>
    <w:rsid w:val="00F97A61"/>
    <w:rsid w:val="00F97CB8"/>
    <w:rsid w:val="00FA0597"/>
    <w:rsid w:val="00FA0840"/>
    <w:rsid w:val="00FA15C8"/>
    <w:rsid w:val="00FA1640"/>
    <w:rsid w:val="00FA21D5"/>
    <w:rsid w:val="00FA2C5D"/>
    <w:rsid w:val="00FA2D86"/>
    <w:rsid w:val="00FA348C"/>
    <w:rsid w:val="00FA39D5"/>
    <w:rsid w:val="00FA3D87"/>
    <w:rsid w:val="00FA3EBD"/>
    <w:rsid w:val="00FA4023"/>
    <w:rsid w:val="00FA463F"/>
    <w:rsid w:val="00FA4AED"/>
    <w:rsid w:val="00FA4C57"/>
    <w:rsid w:val="00FA4F25"/>
    <w:rsid w:val="00FA515B"/>
    <w:rsid w:val="00FA53D8"/>
    <w:rsid w:val="00FA5721"/>
    <w:rsid w:val="00FA5F7E"/>
    <w:rsid w:val="00FA6201"/>
    <w:rsid w:val="00FA645E"/>
    <w:rsid w:val="00FA6674"/>
    <w:rsid w:val="00FA6792"/>
    <w:rsid w:val="00FA679E"/>
    <w:rsid w:val="00FA6961"/>
    <w:rsid w:val="00FA6A31"/>
    <w:rsid w:val="00FA6A7C"/>
    <w:rsid w:val="00FA7EB1"/>
    <w:rsid w:val="00FB0185"/>
    <w:rsid w:val="00FB027A"/>
    <w:rsid w:val="00FB045F"/>
    <w:rsid w:val="00FB0A85"/>
    <w:rsid w:val="00FB0AD8"/>
    <w:rsid w:val="00FB0C38"/>
    <w:rsid w:val="00FB0E05"/>
    <w:rsid w:val="00FB12DE"/>
    <w:rsid w:val="00FB16A9"/>
    <w:rsid w:val="00FB1A3B"/>
    <w:rsid w:val="00FB20E7"/>
    <w:rsid w:val="00FB2AC3"/>
    <w:rsid w:val="00FB2E17"/>
    <w:rsid w:val="00FB2E47"/>
    <w:rsid w:val="00FB363C"/>
    <w:rsid w:val="00FB3802"/>
    <w:rsid w:val="00FB39F1"/>
    <w:rsid w:val="00FB3D71"/>
    <w:rsid w:val="00FB404B"/>
    <w:rsid w:val="00FB4334"/>
    <w:rsid w:val="00FB45E7"/>
    <w:rsid w:val="00FB4A29"/>
    <w:rsid w:val="00FB4C1F"/>
    <w:rsid w:val="00FB4C99"/>
    <w:rsid w:val="00FB4D6C"/>
    <w:rsid w:val="00FB4DBB"/>
    <w:rsid w:val="00FB4ED0"/>
    <w:rsid w:val="00FB5526"/>
    <w:rsid w:val="00FB552F"/>
    <w:rsid w:val="00FB5659"/>
    <w:rsid w:val="00FB5753"/>
    <w:rsid w:val="00FB58C0"/>
    <w:rsid w:val="00FB59C2"/>
    <w:rsid w:val="00FB5E1E"/>
    <w:rsid w:val="00FB5F97"/>
    <w:rsid w:val="00FB64FC"/>
    <w:rsid w:val="00FB66E4"/>
    <w:rsid w:val="00FB6C5B"/>
    <w:rsid w:val="00FB6E68"/>
    <w:rsid w:val="00FB7337"/>
    <w:rsid w:val="00FB735A"/>
    <w:rsid w:val="00FB748F"/>
    <w:rsid w:val="00FB7622"/>
    <w:rsid w:val="00FB792A"/>
    <w:rsid w:val="00FB7A57"/>
    <w:rsid w:val="00FB7B0F"/>
    <w:rsid w:val="00FB7D3F"/>
    <w:rsid w:val="00FC023D"/>
    <w:rsid w:val="00FC0BFA"/>
    <w:rsid w:val="00FC13AD"/>
    <w:rsid w:val="00FC13E5"/>
    <w:rsid w:val="00FC1510"/>
    <w:rsid w:val="00FC1717"/>
    <w:rsid w:val="00FC195C"/>
    <w:rsid w:val="00FC1A06"/>
    <w:rsid w:val="00FC1B86"/>
    <w:rsid w:val="00FC1BA3"/>
    <w:rsid w:val="00FC1D33"/>
    <w:rsid w:val="00FC1FFE"/>
    <w:rsid w:val="00FC2007"/>
    <w:rsid w:val="00FC2189"/>
    <w:rsid w:val="00FC21E3"/>
    <w:rsid w:val="00FC244B"/>
    <w:rsid w:val="00FC28B1"/>
    <w:rsid w:val="00FC2965"/>
    <w:rsid w:val="00FC2974"/>
    <w:rsid w:val="00FC3557"/>
    <w:rsid w:val="00FC36EE"/>
    <w:rsid w:val="00FC3A39"/>
    <w:rsid w:val="00FC3BED"/>
    <w:rsid w:val="00FC43D1"/>
    <w:rsid w:val="00FC45A5"/>
    <w:rsid w:val="00FC46CA"/>
    <w:rsid w:val="00FC4CF8"/>
    <w:rsid w:val="00FC531B"/>
    <w:rsid w:val="00FC5701"/>
    <w:rsid w:val="00FC5757"/>
    <w:rsid w:val="00FC59AD"/>
    <w:rsid w:val="00FC7206"/>
    <w:rsid w:val="00FC7740"/>
    <w:rsid w:val="00FC7BDB"/>
    <w:rsid w:val="00FC7D7A"/>
    <w:rsid w:val="00FD00AA"/>
    <w:rsid w:val="00FD0147"/>
    <w:rsid w:val="00FD019D"/>
    <w:rsid w:val="00FD0423"/>
    <w:rsid w:val="00FD05BA"/>
    <w:rsid w:val="00FD08D4"/>
    <w:rsid w:val="00FD0A9D"/>
    <w:rsid w:val="00FD0C68"/>
    <w:rsid w:val="00FD1065"/>
    <w:rsid w:val="00FD10FE"/>
    <w:rsid w:val="00FD1749"/>
    <w:rsid w:val="00FD1954"/>
    <w:rsid w:val="00FD1C2B"/>
    <w:rsid w:val="00FD2050"/>
    <w:rsid w:val="00FD2393"/>
    <w:rsid w:val="00FD24DE"/>
    <w:rsid w:val="00FD260F"/>
    <w:rsid w:val="00FD2DE2"/>
    <w:rsid w:val="00FD45BD"/>
    <w:rsid w:val="00FD4B9F"/>
    <w:rsid w:val="00FD51F3"/>
    <w:rsid w:val="00FD5907"/>
    <w:rsid w:val="00FD592E"/>
    <w:rsid w:val="00FD6AEB"/>
    <w:rsid w:val="00FD6B8A"/>
    <w:rsid w:val="00FD6C12"/>
    <w:rsid w:val="00FD717A"/>
    <w:rsid w:val="00FD7374"/>
    <w:rsid w:val="00FD74B9"/>
    <w:rsid w:val="00FD7546"/>
    <w:rsid w:val="00FD7778"/>
    <w:rsid w:val="00FD795A"/>
    <w:rsid w:val="00FD79E4"/>
    <w:rsid w:val="00FD7BA2"/>
    <w:rsid w:val="00FD7DAB"/>
    <w:rsid w:val="00FE0249"/>
    <w:rsid w:val="00FE030E"/>
    <w:rsid w:val="00FE032C"/>
    <w:rsid w:val="00FE040A"/>
    <w:rsid w:val="00FE0471"/>
    <w:rsid w:val="00FE0C45"/>
    <w:rsid w:val="00FE0C87"/>
    <w:rsid w:val="00FE0D40"/>
    <w:rsid w:val="00FE0DAB"/>
    <w:rsid w:val="00FE1369"/>
    <w:rsid w:val="00FE136C"/>
    <w:rsid w:val="00FE1406"/>
    <w:rsid w:val="00FE1AC3"/>
    <w:rsid w:val="00FE1EC3"/>
    <w:rsid w:val="00FE21B4"/>
    <w:rsid w:val="00FE234E"/>
    <w:rsid w:val="00FE23E4"/>
    <w:rsid w:val="00FE2459"/>
    <w:rsid w:val="00FE24FF"/>
    <w:rsid w:val="00FE253B"/>
    <w:rsid w:val="00FE28BB"/>
    <w:rsid w:val="00FE2C17"/>
    <w:rsid w:val="00FE2C1C"/>
    <w:rsid w:val="00FE2E18"/>
    <w:rsid w:val="00FE3496"/>
    <w:rsid w:val="00FE39C8"/>
    <w:rsid w:val="00FE3E6C"/>
    <w:rsid w:val="00FE434D"/>
    <w:rsid w:val="00FE47AE"/>
    <w:rsid w:val="00FE48E8"/>
    <w:rsid w:val="00FE4B98"/>
    <w:rsid w:val="00FE4D0B"/>
    <w:rsid w:val="00FE5131"/>
    <w:rsid w:val="00FE518B"/>
    <w:rsid w:val="00FE56DE"/>
    <w:rsid w:val="00FE5C60"/>
    <w:rsid w:val="00FE699F"/>
    <w:rsid w:val="00FE69B9"/>
    <w:rsid w:val="00FE6DFE"/>
    <w:rsid w:val="00FE71D5"/>
    <w:rsid w:val="00FE736A"/>
    <w:rsid w:val="00FE7446"/>
    <w:rsid w:val="00FE7E05"/>
    <w:rsid w:val="00FE7E4E"/>
    <w:rsid w:val="00FE7FAF"/>
    <w:rsid w:val="00FF01D7"/>
    <w:rsid w:val="00FF02CF"/>
    <w:rsid w:val="00FF0402"/>
    <w:rsid w:val="00FF0406"/>
    <w:rsid w:val="00FF050E"/>
    <w:rsid w:val="00FF072F"/>
    <w:rsid w:val="00FF0841"/>
    <w:rsid w:val="00FF09C7"/>
    <w:rsid w:val="00FF0A81"/>
    <w:rsid w:val="00FF0DA3"/>
    <w:rsid w:val="00FF0DF0"/>
    <w:rsid w:val="00FF1027"/>
    <w:rsid w:val="00FF1589"/>
    <w:rsid w:val="00FF15AE"/>
    <w:rsid w:val="00FF15B5"/>
    <w:rsid w:val="00FF1A4E"/>
    <w:rsid w:val="00FF1CBE"/>
    <w:rsid w:val="00FF1D48"/>
    <w:rsid w:val="00FF1F04"/>
    <w:rsid w:val="00FF20D7"/>
    <w:rsid w:val="00FF246E"/>
    <w:rsid w:val="00FF2B14"/>
    <w:rsid w:val="00FF2D85"/>
    <w:rsid w:val="00FF35B8"/>
    <w:rsid w:val="00FF3733"/>
    <w:rsid w:val="00FF3ED1"/>
    <w:rsid w:val="00FF3FF2"/>
    <w:rsid w:val="00FF4613"/>
    <w:rsid w:val="00FF477B"/>
    <w:rsid w:val="00FF489E"/>
    <w:rsid w:val="00FF534A"/>
    <w:rsid w:val="00FF5373"/>
    <w:rsid w:val="00FF55B1"/>
    <w:rsid w:val="00FF5937"/>
    <w:rsid w:val="00FF6658"/>
    <w:rsid w:val="00FF7707"/>
    <w:rsid w:val="00FF7B22"/>
    <w:rsid w:val="00FF7F6A"/>
    <w:rsid w:val="067FEF2B"/>
    <w:rsid w:val="09B8C5CE"/>
    <w:rsid w:val="0A8B4DC2"/>
    <w:rsid w:val="0ABB79E3"/>
    <w:rsid w:val="0B9BA385"/>
    <w:rsid w:val="0CA3AE72"/>
    <w:rsid w:val="10E0324A"/>
    <w:rsid w:val="114C00FC"/>
    <w:rsid w:val="1265D4CD"/>
    <w:rsid w:val="19E59813"/>
    <w:rsid w:val="1A10DA79"/>
    <w:rsid w:val="1B65C165"/>
    <w:rsid w:val="20FC3C9F"/>
    <w:rsid w:val="23B22024"/>
    <w:rsid w:val="24F50054"/>
    <w:rsid w:val="25B4D0A3"/>
    <w:rsid w:val="26AE7A62"/>
    <w:rsid w:val="2A6DE07B"/>
    <w:rsid w:val="2CFC9453"/>
    <w:rsid w:val="2E850CBD"/>
    <w:rsid w:val="2F635335"/>
    <w:rsid w:val="30D5697B"/>
    <w:rsid w:val="31BA9522"/>
    <w:rsid w:val="31DB6C2C"/>
    <w:rsid w:val="31E52AD8"/>
    <w:rsid w:val="32082CDF"/>
    <w:rsid w:val="3495AE98"/>
    <w:rsid w:val="3EEEC718"/>
    <w:rsid w:val="456E2746"/>
    <w:rsid w:val="460D8C84"/>
    <w:rsid w:val="46F25864"/>
    <w:rsid w:val="477855AB"/>
    <w:rsid w:val="4917E216"/>
    <w:rsid w:val="49BC46E6"/>
    <w:rsid w:val="4A48E502"/>
    <w:rsid w:val="4E940D90"/>
    <w:rsid w:val="4F396903"/>
    <w:rsid w:val="4FA0265A"/>
    <w:rsid w:val="50274945"/>
    <w:rsid w:val="512A003F"/>
    <w:rsid w:val="5280316E"/>
    <w:rsid w:val="53A7A6C3"/>
    <w:rsid w:val="547567E3"/>
    <w:rsid w:val="590B4D12"/>
    <w:rsid w:val="59F70394"/>
    <w:rsid w:val="5B5760B0"/>
    <w:rsid w:val="5B788B4C"/>
    <w:rsid w:val="5CA3A712"/>
    <w:rsid w:val="5D3C852E"/>
    <w:rsid w:val="63365415"/>
    <w:rsid w:val="63F84288"/>
    <w:rsid w:val="66AFCFA2"/>
    <w:rsid w:val="6789AA63"/>
    <w:rsid w:val="6A411F4A"/>
    <w:rsid w:val="6D757224"/>
    <w:rsid w:val="73B22ADA"/>
    <w:rsid w:val="75D948AC"/>
    <w:rsid w:val="78394C23"/>
    <w:rsid w:val="7AFE8734"/>
    <w:rsid w:val="7ED3C147"/>
    <w:rsid w:val="7EF3624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0C2A9"/>
  <w15:docId w15:val="{73F6BF38-436C-4CBF-A350-A10CC373E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95B"/>
    <w:pPr>
      <w:tabs>
        <w:tab w:val="left" w:pos="567"/>
      </w:tabs>
      <w:spacing w:before="120" w:after="0" w:line="254" w:lineRule="auto"/>
    </w:pPr>
    <w:rPr>
      <w:rFonts w:ascii="Open Sans Light" w:hAnsi="Open Sans Light"/>
      <w:sz w:val="20"/>
    </w:rPr>
  </w:style>
  <w:style w:type="paragraph" w:styleId="Heading1">
    <w:name w:val="heading 1"/>
    <w:basedOn w:val="Normal"/>
    <w:next w:val="Normal"/>
    <w:link w:val="Heading1Char"/>
    <w:uiPriority w:val="9"/>
    <w:qFormat/>
    <w:rsid w:val="002B274C"/>
    <w:pPr>
      <w:tabs>
        <w:tab w:val="clear" w:pos="567"/>
      </w:tabs>
      <w:spacing w:before="360" w:after="200" w:line="276" w:lineRule="auto"/>
      <w:outlineLvl w:val="0"/>
    </w:pPr>
    <w:rPr>
      <w:rFonts w:ascii="Work Sans" w:eastAsia="Times New Roman" w:hAnsi="Work Sans" w:cs="Open Sans"/>
      <w:b/>
      <w:bCs/>
      <w:color w:val="006991"/>
      <w:sz w:val="40"/>
      <w:szCs w:val="40"/>
    </w:rPr>
  </w:style>
  <w:style w:type="paragraph" w:styleId="Heading2">
    <w:name w:val="heading 2"/>
    <w:aliases w:val="CGC 2025 Heading 2"/>
    <w:basedOn w:val="Normal"/>
    <w:next w:val="Heading3"/>
    <w:link w:val="Heading2Char"/>
    <w:uiPriority w:val="9"/>
    <w:qFormat/>
    <w:rsid w:val="007C4D64"/>
    <w:pPr>
      <w:tabs>
        <w:tab w:val="clear" w:pos="567"/>
      </w:tabs>
      <w:spacing w:before="360" w:after="200" w:line="276" w:lineRule="auto"/>
      <w:outlineLvl w:val="1"/>
    </w:pPr>
    <w:rPr>
      <w:rFonts w:ascii="Work Sans" w:eastAsia="Times New Roman" w:hAnsi="Work Sans" w:cs="Open Sans"/>
      <w:b/>
      <w:bCs/>
      <w:color w:val="006991"/>
      <w:sz w:val="36"/>
      <w:szCs w:val="36"/>
    </w:rPr>
  </w:style>
  <w:style w:type="paragraph" w:styleId="Heading3">
    <w:name w:val="heading 3"/>
    <w:aliases w:val="CGC 2025 Heading 3"/>
    <w:basedOn w:val="Normal"/>
    <w:next w:val="Heading4"/>
    <w:link w:val="Heading3Char"/>
    <w:uiPriority w:val="9"/>
    <w:qFormat/>
    <w:rsid w:val="009A2C92"/>
    <w:pPr>
      <w:tabs>
        <w:tab w:val="clear" w:pos="567"/>
      </w:tabs>
      <w:spacing w:before="240" w:after="200" w:line="276" w:lineRule="auto"/>
      <w:outlineLvl w:val="2"/>
    </w:pPr>
    <w:rPr>
      <w:rFonts w:ascii="Work Sans" w:eastAsia="Times New Roman" w:hAnsi="Work Sans" w:cs="Open Sans"/>
      <w:b/>
      <w:bCs/>
      <w:color w:val="006991"/>
      <w:sz w:val="28"/>
      <w:szCs w:val="28"/>
    </w:rPr>
  </w:style>
  <w:style w:type="paragraph" w:styleId="Heading4">
    <w:name w:val="heading 4"/>
    <w:aliases w:val="CGC 2025 Heading 4"/>
    <w:basedOn w:val="Normal"/>
    <w:next w:val="Heading5"/>
    <w:link w:val="Heading4Char"/>
    <w:uiPriority w:val="9"/>
    <w:qFormat/>
    <w:rsid w:val="00BD6EEE"/>
    <w:pPr>
      <w:keepNext/>
      <w:widowControl w:val="0"/>
      <w:spacing w:before="240" w:line="240" w:lineRule="auto"/>
      <w:outlineLvl w:val="3"/>
    </w:pPr>
    <w:rPr>
      <w:rFonts w:ascii="Work Sans" w:eastAsiaTheme="majorEastAsia" w:hAnsi="Work Sans" w:cstheme="majorBidi"/>
      <w:b/>
      <w:bCs/>
      <w:iCs/>
      <w:color w:val="006991"/>
      <w:sz w:val="24"/>
    </w:rPr>
  </w:style>
  <w:style w:type="paragraph" w:styleId="Heading5">
    <w:name w:val="heading 5"/>
    <w:aliases w:val="CGC 2025 Heading 5"/>
    <w:basedOn w:val="Normal"/>
    <w:next w:val="Heading6"/>
    <w:link w:val="Heading5Char"/>
    <w:uiPriority w:val="9"/>
    <w:qFormat/>
    <w:rsid w:val="00BD13E7"/>
    <w:pPr>
      <w:keepNext/>
      <w:tabs>
        <w:tab w:val="clear" w:pos="567"/>
      </w:tabs>
      <w:outlineLvl w:val="4"/>
    </w:pPr>
    <w:rPr>
      <w:rFonts w:ascii="Montserrat Semi Bold" w:eastAsiaTheme="majorEastAsia" w:hAnsi="Montserrat Semi Bold" w:cstheme="majorBidi"/>
      <w:color w:val="636466"/>
    </w:rPr>
  </w:style>
  <w:style w:type="paragraph" w:styleId="Heading6">
    <w:name w:val="heading 6"/>
    <w:basedOn w:val="Normal"/>
    <w:next w:val="Normal"/>
    <w:link w:val="Heading6Char"/>
    <w:uiPriority w:val="9"/>
    <w:qFormat/>
    <w:rsid w:val="00782EC4"/>
    <w:pPr>
      <w:keepNext/>
      <w:keepLines/>
      <w:outlineLvl w:val="5"/>
    </w:pPr>
    <w:rPr>
      <w:rFonts w:ascii="Montserrat Semi Bold" w:eastAsiaTheme="majorEastAsia" w:hAnsi="Montserrat Semi Bold" w:cstheme="majorBidi"/>
      <w:i/>
      <w:iCs/>
      <w:color w:val="636466"/>
    </w:rPr>
  </w:style>
  <w:style w:type="paragraph" w:styleId="Heading7">
    <w:name w:val="heading 7"/>
    <w:basedOn w:val="Normal"/>
    <w:next w:val="Normal"/>
    <w:link w:val="Heading7Char"/>
    <w:uiPriority w:val="9"/>
    <w:semiHidden/>
    <w:rsid w:val="0062266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Do not use),(Sub-section Nos)"/>
    <w:basedOn w:val="Normal"/>
    <w:next w:val="Normal"/>
    <w:semiHidden/>
    <w:rsid w:val="00765BA8"/>
    <w:pPr>
      <w:numPr>
        <w:ilvl w:val="7"/>
        <w:numId w:val="1"/>
      </w:numPr>
      <w:spacing w:before="240" w:after="60"/>
      <w:outlineLvl w:val="7"/>
    </w:pPr>
    <w:rPr>
      <w:rFonts w:ascii="Arial" w:hAnsi="Arial"/>
      <w:i/>
      <w:szCs w:val="20"/>
    </w:rPr>
  </w:style>
  <w:style w:type="paragraph" w:styleId="Heading9">
    <w:name w:val="heading 9"/>
    <w:aliases w:val="Heading 9 (Do not use),(Subsubsection Nos)"/>
    <w:basedOn w:val="Normal"/>
    <w:next w:val="Normal"/>
    <w:semiHidden/>
    <w:rsid w:val="00765BA8"/>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CTableheader">
    <w:name w:val="CGC Table header"/>
    <w:basedOn w:val="Normal"/>
    <w:next w:val="Normal"/>
    <w:rsid w:val="00F74B4B"/>
    <w:pPr>
      <w:tabs>
        <w:tab w:val="left" w:pos="680"/>
      </w:tabs>
      <w:spacing w:before="0" w:line="240" w:lineRule="auto"/>
      <w:jc w:val="right"/>
    </w:pPr>
    <w:rPr>
      <w:rFonts w:ascii="Open Sans" w:hAnsi="Open Sans"/>
      <w:b/>
      <w:color w:val="FFFFFF" w:themeColor="background1"/>
      <w:sz w:val="16"/>
      <w:lang w:val="en-US"/>
    </w:rPr>
  </w:style>
  <w:style w:type="paragraph" w:styleId="Caption">
    <w:name w:val="caption"/>
    <w:basedOn w:val="Normal"/>
    <w:next w:val="Normal"/>
    <w:link w:val="CaptionChar"/>
    <w:qFormat/>
    <w:rsid w:val="00485F13"/>
    <w:pPr>
      <w:keepNext/>
      <w:keepLines/>
      <w:tabs>
        <w:tab w:val="clear" w:pos="567"/>
        <w:tab w:val="left" w:pos="1134"/>
        <w:tab w:val="left" w:pos="1418"/>
      </w:tabs>
      <w:spacing w:before="240" w:after="120" w:line="240" w:lineRule="auto"/>
      <w:ind w:left="1134" w:hanging="1134"/>
    </w:pPr>
    <w:rPr>
      <w:rFonts w:ascii="Montserrat Ultra Light" w:hAnsi="Montserrat Ultra Light"/>
      <w:b/>
      <w:bCs/>
      <w:szCs w:val="20"/>
    </w:rPr>
  </w:style>
  <w:style w:type="paragraph" w:customStyle="1" w:styleId="CGCSubbulletlist">
    <w:name w:val="CGC Sub bullet list"/>
    <w:aliases w:val="CGC List 2"/>
    <w:basedOn w:val="Normal"/>
    <w:rsid w:val="00C21EF9"/>
    <w:pPr>
      <w:numPr>
        <w:numId w:val="2"/>
      </w:numPr>
      <w:tabs>
        <w:tab w:val="clear" w:pos="567"/>
        <w:tab w:val="clear" w:pos="927"/>
        <w:tab w:val="left" w:pos="1701"/>
      </w:tabs>
      <w:spacing w:line="300" w:lineRule="atLeast"/>
      <w:ind w:left="1701" w:hanging="567"/>
    </w:pPr>
    <w:rPr>
      <w:szCs w:val="20"/>
    </w:rPr>
  </w:style>
  <w:style w:type="paragraph" w:customStyle="1" w:styleId="CGCTableFootnote">
    <w:name w:val="CGC Table Footnote"/>
    <w:basedOn w:val="Normal"/>
    <w:next w:val="NoSpacing"/>
    <w:rsid w:val="00641D96"/>
    <w:pPr>
      <w:tabs>
        <w:tab w:val="clear" w:pos="567"/>
        <w:tab w:val="left" w:pos="851"/>
      </w:tabs>
      <w:spacing w:before="0" w:line="240" w:lineRule="auto"/>
      <w:ind w:left="851" w:hanging="851"/>
    </w:pPr>
    <w:rPr>
      <w:szCs w:val="24"/>
    </w:rPr>
  </w:style>
  <w:style w:type="paragraph" w:customStyle="1" w:styleId="CGCTableHeading">
    <w:name w:val="CGC Table Heading"/>
    <w:basedOn w:val="Normal"/>
    <w:next w:val="Normal"/>
    <w:link w:val="CGCTableHeadingChar"/>
    <w:rsid w:val="00FE5C60"/>
    <w:pPr>
      <w:keepNext/>
      <w:keepLines/>
      <w:tabs>
        <w:tab w:val="clear" w:pos="567"/>
        <w:tab w:val="left" w:pos="1134"/>
        <w:tab w:val="left" w:pos="1420"/>
      </w:tabs>
      <w:spacing w:before="240" w:after="120" w:line="240" w:lineRule="auto"/>
    </w:pPr>
    <w:rPr>
      <w:rFonts w:ascii="Montserrat Ultra Light" w:hAnsi="Montserrat Ultra Light"/>
      <w:b/>
      <w:szCs w:val="20"/>
    </w:rPr>
  </w:style>
  <w:style w:type="paragraph" w:styleId="DocumentMap">
    <w:name w:val="Document Map"/>
    <w:basedOn w:val="Normal"/>
    <w:rsid w:val="00765BA8"/>
    <w:pPr>
      <w:shd w:val="clear" w:color="auto" w:fill="000080"/>
    </w:pPr>
    <w:rPr>
      <w:rFonts w:ascii="Tahoma" w:hAnsi="Tahoma" w:cs="Tahoma"/>
      <w:szCs w:val="20"/>
    </w:rPr>
  </w:style>
  <w:style w:type="paragraph" w:styleId="Footer">
    <w:name w:val="footer"/>
    <w:basedOn w:val="Normal"/>
    <w:link w:val="FooterChar"/>
    <w:uiPriority w:val="99"/>
    <w:unhideWhenUsed/>
    <w:rsid w:val="007A1785"/>
    <w:pPr>
      <w:tabs>
        <w:tab w:val="clear" w:pos="567"/>
        <w:tab w:val="center" w:pos="4513"/>
        <w:tab w:val="right" w:pos="9026"/>
      </w:tabs>
      <w:spacing w:before="0" w:line="240" w:lineRule="auto"/>
      <w:ind w:left="-284" w:right="-284"/>
      <w:jc w:val="right"/>
    </w:pPr>
    <w:rPr>
      <w:rFonts w:ascii="Montserrat Ultra Light" w:hAnsi="Montserrat Ultra Light"/>
      <w:b/>
      <w:color w:val="004563"/>
    </w:rPr>
  </w:style>
  <w:style w:type="character" w:styleId="FootnoteReference">
    <w:name w:val="footnote reference"/>
    <w:qFormat/>
    <w:rsid w:val="0026115B"/>
    <w:rPr>
      <w:rFonts w:ascii="Work Sans" w:hAnsi="Work Sans"/>
      <w:sz w:val="20"/>
      <w:szCs w:val="20"/>
      <w:vertAlign w:val="superscript"/>
    </w:rPr>
  </w:style>
  <w:style w:type="paragraph" w:styleId="FootnoteText">
    <w:name w:val="footnote text"/>
    <w:basedOn w:val="Normal"/>
    <w:link w:val="FootnoteTextChar"/>
    <w:autoRedefine/>
    <w:qFormat/>
    <w:rsid w:val="009B2020"/>
    <w:pPr>
      <w:spacing w:before="40" w:line="240" w:lineRule="auto"/>
      <w:ind w:left="142" w:hanging="142"/>
    </w:pPr>
    <w:rPr>
      <w:rFonts w:ascii="Work Sans" w:hAnsi="Work Sans"/>
      <w:sz w:val="14"/>
      <w:szCs w:val="16"/>
    </w:rPr>
  </w:style>
  <w:style w:type="paragraph" w:styleId="Header">
    <w:name w:val="header"/>
    <w:basedOn w:val="Footer"/>
    <w:link w:val="HeaderChar"/>
    <w:uiPriority w:val="99"/>
    <w:unhideWhenUsed/>
    <w:rsid w:val="007A1785"/>
  </w:style>
  <w:style w:type="character" w:styleId="Hyperlink">
    <w:name w:val="Hyperlink"/>
    <w:basedOn w:val="DefaultParagraphFont"/>
    <w:uiPriority w:val="99"/>
    <w:unhideWhenUsed/>
    <w:qFormat/>
    <w:rsid w:val="00782EC4"/>
    <w:rPr>
      <w:color w:val="006991"/>
      <w:u w:val="single"/>
    </w:rPr>
  </w:style>
  <w:style w:type="character" w:styleId="PageNumber">
    <w:name w:val="page number"/>
    <w:basedOn w:val="DefaultParagraphFont"/>
    <w:rsid w:val="00765BA8"/>
  </w:style>
  <w:style w:type="paragraph" w:customStyle="1" w:styleId="Single">
    <w:name w:val="Single"/>
    <w:basedOn w:val="Normal"/>
    <w:next w:val="Normal"/>
    <w:rsid w:val="00765BA8"/>
    <w:pPr>
      <w:spacing w:line="240" w:lineRule="auto"/>
    </w:pPr>
  </w:style>
  <w:style w:type="table" w:styleId="TableGrid">
    <w:name w:val="Table Grid"/>
    <w:basedOn w:val="TableNormal"/>
    <w:uiPriority w:val="39"/>
    <w:rsid w:val="00622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85F13"/>
    <w:pPr>
      <w:tabs>
        <w:tab w:val="clear" w:pos="567"/>
        <w:tab w:val="right" w:pos="8942"/>
      </w:tabs>
      <w:spacing w:before="200"/>
      <w:ind w:left="113"/>
    </w:pPr>
    <w:rPr>
      <w:rFonts w:ascii="Open Sans" w:hAnsi="Open Sans"/>
      <w:b/>
      <w:bCs/>
      <w:color w:val="636466"/>
      <w:szCs w:val="20"/>
    </w:rPr>
  </w:style>
  <w:style w:type="paragraph" w:styleId="TOC2">
    <w:name w:val="toc 2"/>
    <w:basedOn w:val="TOC1"/>
    <w:next w:val="Normal"/>
    <w:uiPriority w:val="39"/>
    <w:rsid w:val="00EB6889"/>
    <w:pPr>
      <w:spacing w:before="120"/>
    </w:pPr>
    <w:rPr>
      <w:rFonts w:ascii="Work Sans" w:hAnsi="Work Sans"/>
      <w:b w:val="0"/>
    </w:rPr>
  </w:style>
  <w:style w:type="paragraph" w:styleId="TOC3">
    <w:name w:val="toc 3"/>
    <w:basedOn w:val="TOC2"/>
    <w:next w:val="Normal"/>
    <w:uiPriority w:val="39"/>
    <w:rsid w:val="00485F13"/>
    <w:pPr>
      <w:ind w:left="397"/>
    </w:pPr>
    <w:rPr>
      <w:rFonts w:ascii="Open Sans Light" w:hAnsi="Open Sans Light"/>
      <w:iCs/>
    </w:rPr>
  </w:style>
  <w:style w:type="paragraph" w:styleId="TOC4">
    <w:name w:val="toc 4"/>
    <w:basedOn w:val="TOC3"/>
    <w:next w:val="Normal"/>
    <w:uiPriority w:val="39"/>
    <w:rsid w:val="00FE5C60"/>
    <w:pPr>
      <w:ind w:left="680"/>
    </w:pPr>
    <w:rPr>
      <w:i/>
    </w:rPr>
  </w:style>
  <w:style w:type="paragraph" w:styleId="TOC5">
    <w:name w:val="toc 5"/>
    <w:basedOn w:val="TOC3"/>
    <w:next w:val="Normal"/>
    <w:uiPriority w:val="39"/>
    <w:rsid w:val="007A1785"/>
    <w:pPr>
      <w:spacing w:before="0"/>
      <w:ind w:left="964"/>
    </w:pPr>
    <w:rPr>
      <w:szCs w:val="18"/>
    </w:rPr>
  </w:style>
  <w:style w:type="paragraph" w:styleId="TOC6">
    <w:name w:val="toc 6"/>
    <w:basedOn w:val="TOC5"/>
    <w:next w:val="Normal"/>
    <w:uiPriority w:val="39"/>
    <w:rsid w:val="007A1785"/>
    <w:rPr>
      <w:i/>
    </w:rPr>
  </w:style>
  <w:style w:type="paragraph" w:styleId="TOC7">
    <w:name w:val="toc 7"/>
    <w:basedOn w:val="Normal"/>
    <w:next w:val="Normal"/>
    <w:rsid w:val="00765BA8"/>
    <w:pPr>
      <w:tabs>
        <w:tab w:val="clear" w:pos="567"/>
      </w:tabs>
      <w:ind w:left="1320"/>
    </w:pPr>
    <w:rPr>
      <w:sz w:val="18"/>
      <w:szCs w:val="18"/>
    </w:rPr>
  </w:style>
  <w:style w:type="paragraph" w:styleId="TOC8">
    <w:name w:val="toc 8"/>
    <w:basedOn w:val="Normal"/>
    <w:next w:val="Normal"/>
    <w:rsid w:val="00765BA8"/>
    <w:pPr>
      <w:tabs>
        <w:tab w:val="clear" w:pos="567"/>
      </w:tabs>
      <w:ind w:left="1540"/>
    </w:pPr>
    <w:rPr>
      <w:sz w:val="18"/>
      <w:szCs w:val="18"/>
    </w:rPr>
  </w:style>
  <w:style w:type="paragraph" w:styleId="TOC9">
    <w:name w:val="toc 9"/>
    <w:basedOn w:val="Normal"/>
    <w:next w:val="Normal"/>
    <w:rsid w:val="00765BA8"/>
    <w:pPr>
      <w:tabs>
        <w:tab w:val="clear" w:pos="567"/>
      </w:tabs>
      <w:ind w:left="1760"/>
    </w:pPr>
    <w:rPr>
      <w:sz w:val="18"/>
      <w:szCs w:val="18"/>
    </w:rPr>
  </w:style>
  <w:style w:type="character" w:customStyle="1" w:styleId="Heading1Char">
    <w:name w:val="Heading 1 Char"/>
    <w:basedOn w:val="DefaultParagraphFont"/>
    <w:link w:val="Heading1"/>
    <w:uiPriority w:val="9"/>
    <w:rsid w:val="002B274C"/>
    <w:rPr>
      <w:rFonts w:ascii="Work Sans" w:eastAsia="Times New Roman" w:hAnsi="Work Sans" w:cs="Open Sans"/>
      <w:b/>
      <w:bCs/>
      <w:color w:val="006991"/>
      <w:sz w:val="40"/>
      <w:szCs w:val="40"/>
    </w:rPr>
  </w:style>
  <w:style w:type="character" w:customStyle="1" w:styleId="Heading2Char">
    <w:name w:val="Heading 2 Char"/>
    <w:aliases w:val="CGC 2025 Heading 2 Char"/>
    <w:basedOn w:val="DefaultParagraphFont"/>
    <w:link w:val="Heading2"/>
    <w:uiPriority w:val="9"/>
    <w:rsid w:val="007C4D64"/>
    <w:rPr>
      <w:rFonts w:ascii="Work Sans" w:eastAsia="Times New Roman" w:hAnsi="Work Sans" w:cs="Open Sans"/>
      <w:b/>
      <w:bCs/>
      <w:color w:val="006991"/>
      <w:sz w:val="36"/>
      <w:szCs w:val="36"/>
    </w:rPr>
  </w:style>
  <w:style w:type="character" w:customStyle="1" w:styleId="Heading3Char">
    <w:name w:val="Heading 3 Char"/>
    <w:aliases w:val="CGC 2025 Heading 3 Char"/>
    <w:basedOn w:val="DefaultParagraphFont"/>
    <w:link w:val="Heading3"/>
    <w:uiPriority w:val="9"/>
    <w:rsid w:val="009A2C92"/>
    <w:rPr>
      <w:rFonts w:ascii="Work Sans" w:eastAsia="Times New Roman" w:hAnsi="Work Sans" w:cs="Open Sans"/>
      <w:b/>
      <w:bCs/>
      <w:color w:val="006991"/>
      <w:sz w:val="28"/>
      <w:szCs w:val="28"/>
    </w:rPr>
  </w:style>
  <w:style w:type="character" w:customStyle="1" w:styleId="Heading4Char">
    <w:name w:val="Heading 4 Char"/>
    <w:aliases w:val="CGC 2025 Heading 4 Char"/>
    <w:basedOn w:val="DefaultParagraphFont"/>
    <w:link w:val="Heading4"/>
    <w:uiPriority w:val="9"/>
    <w:rsid w:val="00BD6EEE"/>
    <w:rPr>
      <w:rFonts w:ascii="Work Sans" w:eastAsiaTheme="majorEastAsia" w:hAnsi="Work Sans" w:cstheme="majorBidi"/>
      <w:b/>
      <w:bCs/>
      <w:iCs/>
      <w:color w:val="006991"/>
      <w:sz w:val="24"/>
    </w:rPr>
  </w:style>
  <w:style w:type="character" w:customStyle="1" w:styleId="Heading5Char">
    <w:name w:val="Heading 5 Char"/>
    <w:aliases w:val="CGC 2025 Heading 5 Char"/>
    <w:basedOn w:val="DefaultParagraphFont"/>
    <w:link w:val="Heading5"/>
    <w:uiPriority w:val="9"/>
    <w:rsid w:val="00BD13E7"/>
    <w:rPr>
      <w:rFonts w:ascii="Montserrat Semi Bold" w:eastAsiaTheme="majorEastAsia" w:hAnsi="Montserrat Semi Bold" w:cstheme="majorBidi"/>
      <w:color w:val="636466"/>
      <w:sz w:val="20"/>
    </w:rPr>
  </w:style>
  <w:style w:type="paragraph" w:styleId="NoSpacing">
    <w:name w:val="No Spacing"/>
    <w:link w:val="NoSpacingChar"/>
    <w:uiPriority w:val="1"/>
    <w:qFormat/>
    <w:rsid w:val="00782EC4"/>
    <w:pPr>
      <w:tabs>
        <w:tab w:val="left" w:pos="567"/>
      </w:tabs>
      <w:spacing w:after="0" w:line="240" w:lineRule="auto"/>
    </w:pPr>
    <w:rPr>
      <w:sz w:val="24"/>
    </w:rPr>
  </w:style>
  <w:style w:type="character" w:customStyle="1" w:styleId="NoSpacingChar">
    <w:name w:val="No Spacing Char"/>
    <w:basedOn w:val="DefaultParagraphFont"/>
    <w:link w:val="NoSpacing"/>
    <w:uiPriority w:val="1"/>
    <w:rsid w:val="00782EC4"/>
    <w:rPr>
      <w:sz w:val="24"/>
    </w:rPr>
  </w:style>
  <w:style w:type="paragraph" w:styleId="ListParagraph">
    <w:name w:val="List Paragraph"/>
    <w:basedOn w:val="Normal"/>
    <w:link w:val="ListParagraphChar"/>
    <w:uiPriority w:val="34"/>
    <w:qFormat/>
    <w:rsid w:val="00622669"/>
    <w:pPr>
      <w:ind w:left="720"/>
      <w:contextualSpacing/>
    </w:pPr>
  </w:style>
  <w:style w:type="paragraph" w:styleId="TOCHeading">
    <w:name w:val="TOC Heading"/>
    <w:aliases w:val="CGC 2025 TOC Heading"/>
    <w:basedOn w:val="Heading1"/>
    <w:next w:val="Normal"/>
    <w:uiPriority w:val="39"/>
    <w:unhideWhenUsed/>
    <w:qFormat/>
    <w:rsid w:val="00032318"/>
    <w:pPr>
      <w:keepLines/>
      <w:spacing w:before="480" w:line="320" w:lineRule="atLeast"/>
      <w:outlineLvl w:val="9"/>
    </w:pPr>
    <w:rPr>
      <w:caps/>
      <w:color w:val="365F91" w:themeColor="accent1" w:themeShade="BF"/>
      <w:sz w:val="28"/>
    </w:rPr>
  </w:style>
  <w:style w:type="character" w:customStyle="1" w:styleId="FooterChar">
    <w:name w:val="Footer Char"/>
    <w:basedOn w:val="DefaultParagraphFont"/>
    <w:link w:val="Footer"/>
    <w:uiPriority w:val="99"/>
    <w:rsid w:val="007A1785"/>
    <w:rPr>
      <w:rFonts w:ascii="Montserrat Ultra Light" w:hAnsi="Montserrat Ultra Light"/>
      <w:b/>
      <w:color w:val="004563"/>
      <w:sz w:val="20"/>
    </w:rPr>
  </w:style>
  <w:style w:type="character" w:customStyle="1" w:styleId="HeaderChar">
    <w:name w:val="Header Char"/>
    <w:basedOn w:val="DefaultParagraphFont"/>
    <w:link w:val="Header"/>
    <w:uiPriority w:val="99"/>
    <w:rsid w:val="007A1785"/>
    <w:rPr>
      <w:rFonts w:ascii="Montserrat Ultra Light" w:hAnsi="Montserrat Ultra Light"/>
      <w:b/>
      <w:color w:val="004563"/>
      <w:sz w:val="20"/>
    </w:rPr>
  </w:style>
  <w:style w:type="paragraph" w:customStyle="1" w:styleId="CGCDataCaption">
    <w:name w:val="CGC Data Caption"/>
    <w:basedOn w:val="CGCTableFootnote"/>
    <w:next w:val="NoSpacing"/>
    <w:link w:val="DataCaptionChar"/>
    <w:rsid w:val="00622669"/>
  </w:style>
  <w:style w:type="character" w:customStyle="1" w:styleId="CaptionChar">
    <w:name w:val="Caption Char"/>
    <w:basedOn w:val="DefaultParagraphFont"/>
    <w:link w:val="Caption"/>
    <w:rsid w:val="00485F13"/>
    <w:rPr>
      <w:rFonts w:ascii="Montserrat Ultra Light" w:hAnsi="Montserrat Ultra Light"/>
      <w:b/>
      <w:bCs/>
      <w:sz w:val="20"/>
      <w:szCs w:val="20"/>
    </w:rPr>
  </w:style>
  <w:style w:type="character" w:customStyle="1" w:styleId="DataCaptionChar">
    <w:name w:val="Data Caption Char"/>
    <w:basedOn w:val="DefaultParagraphFont"/>
    <w:link w:val="CGCDataCaption"/>
    <w:rsid w:val="00622669"/>
    <w:rPr>
      <w:sz w:val="20"/>
      <w:szCs w:val="24"/>
    </w:rPr>
  </w:style>
  <w:style w:type="character" w:customStyle="1" w:styleId="FootnoteTextChar">
    <w:name w:val="Footnote Text Char"/>
    <w:basedOn w:val="DefaultParagraphFont"/>
    <w:link w:val="FootnoteText"/>
    <w:rsid w:val="009B2020"/>
    <w:rPr>
      <w:rFonts w:ascii="Work Sans" w:hAnsi="Work Sans"/>
      <w:sz w:val="14"/>
      <w:szCs w:val="16"/>
    </w:rPr>
  </w:style>
  <w:style w:type="character" w:customStyle="1" w:styleId="Heading6Char">
    <w:name w:val="Heading 6 Char"/>
    <w:basedOn w:val="DefaultParagraphFont"/>
    <w:link w:val="Heading6"/>
    <w:uiPriority w:val="9"/>
    <w:rsid w:val="00782EC4"/>
    <w:rPr>
      <w:rFonts w:ascii="Montserrat Semi Bold" w:eastAsiaTheme="majorEastAsia" w:hAnsi="Montserrat Semi Bold" w:cstheme="majorBidi"/>
      <w:i/>
      <w:iCs/>
      <w:color w:val="636466"/>
      <w:sz w:val="20"/>
    </w:rPr>
  </w:style>
  <w:style w:type="character" w:customStyle="1" w:styleId="Heading7Char">
    <w:name w:val="Heading 7 Char"/>
    <w:basedOn w:val="DefaultParagraphFont"/>
    <w:link w:val="Heading7"/>
    <w:uiPriority w:val="9"/>
    <w:semiHidden/>
    <w:rsid w:val="00622669"/>
    <w:rPr>
      <w:rFonts w:asciiTheme="majorHAnsi" w:eastAsiaTheme="majorEastAsia" w:hAnsiTheme="majorHAnsi" w:cstheme="majorBidi"/>
      <w:i/>
      <w:iCs/>
      <w:color w:val="404040" w:themeColor="text1" w:themeTint="BF"/>
      <w:sz w:val="24"/>
    </w:rPr>
  </w:style>
  <w:style w:type="paragraph" w:customStyle="1" w:styleId="CGCParaNumber">
    <w:name w:val="CGC Para Number"/>
    <w:basedOn w:val="Normal"/>
    <w:qFormat/>
    <w:rsid w:val="00956C4E"/>
    <w:pPr>
      <w:numPr>
        <w:numId w:val="7"/>
      </w:numPr>
    </w:pPr>
    <w:rPr>
      <w:rFonts w:ascii="Work Sans" w:hAnsi="Work Sans"/>
      <w:szCs w:val="20"/>
    </w:rPr>
  </w:style>
  <w:style w:type="paragraph" w:customStyle="1" w:styleId="CGC2025Bullet1">
    <w:name w:val="CGC 2025 Bullet 1"/>
    <w:basedOn w:val="Normal"/>
    <w:qFormat/>
    <w:rsid w:val="00956C4E"/>
    <w:pPr>
      <w:numPr>
        <w:numId w:val="3"/>
      </w:numPr>
    </w:pPr>
    <w:rPr>
      <w:rFonts w:ascii="Work Sans" w:hAnsi="Work Sans"/>
      <w:szCs w:val="20"/>
    </w:rPr>
  </w:style>
  <w:style w:type="paragraph" w:customStyle="1" w:styleId="CGCBullet2">
    <w:name w:val="CGC Bullet 2"/>
    <w:basedOn w:val="Normal"/>
    <w:qFormat/>
    <w:rsid w:val="00DA7A60"/>
    <w:pPr>
      <w:numPr>
        <w:numId w:val="4"/>
      </w:numPr>
    </w:pPr>
  </w:style>
  <w:style w:type="paragraph" w:customStyle="1" w:styleId="CGCBullet3">
    <w:name w:val="CGC Bullet 3"/>
    <w:basedOn w:val="Normal"/>
    <w:qFormat/>
    <w:rsid w:val="007A1785"/>
    <w:pPr>
      <w:numPr>
        <w:numId w:val="5"/>
      </w:numPr>
      <w:ind w:left="1491" w:hanging="357"/>
    </w:pPr>
  </w:style>
  <w:style w:type="paragraph" w:customStyle="1" w:styleId="CGCQuoteText">
    <w:name w:val="CGC Quote Text"/>
    <w:basedOn w:val="Normal"/>
    <w:next w:val="Normal"/>
    <w:rsid w:val="00782EC4"/>
    <w:pPr>
      <w:spacing w:after="120"/>
      <w:ind w:left="1418" w:right="1134"/>
    </w:pPr>
  </w:style>
  <w:style w:type="paragraph" w:customStyle="1" w:styleId="CGCQuoteBullet">
    <w:name w:val="CGC Quote Bullet"/>
    <w:basedOn w:val="CGCQuoteText"/>
    <w:next w:val="Normal"/>
    <w:rsid w:val="00782EC4"/>
    <w:pPr>
      <w:numPr>
        <w:numId w:val="6"/>
      </w:numPr>
      <w:ind w:right="1418"/>
    </w:pPr>
  </w:style>
  <w:style w:type="paragraph" w:customStyle="1" w:styleId="CGCTablerow">
    <w:name w:val="CGC Table row"/>
    <w:basedOn w:val="Normal"/>
    <w:qFormat/>
    <w:rsid w:val="00782EC4"/>
    <w:pPr>
      <w:spacing w:before="0" w:line="240" w:lineRule="auto"/>
    </w:pPr>
    <w:rPr>
      <w:sz w:val="16"/>
    </w:rPr>
  </w:style>
  <w:style w:type="paragraph" w:customStyle="1" w:styleId="CGCTablenote">
    <w:name w:val="CGC Table note"/>
    <w:basedOn w:val="Normal"/>
    <w:next w:val="Normal"/>
    <w:link w:val="CGCTablenoteChar"/>
    <w:qFormat/>
    <w:rsid w:val="00FE5C60"/>
    <w:pPr>
      <w:tabs>
        <w:tab w:val="left" w:pos="680"/>
      </w:tabs>
      <w:spacing w:before="40" w:line="240" w:lineRule="auto"/>
      <w:ind w:left="340" w:hanging="227"/>
    </w:pPr>
    <w:rPr>
      <w:sz w:val="14"/>
    </w:rPr>
  </w:style>
  <w:style w:type="character" w:customStyle="1" w:styleId="CGCTableHeadingChar">
    <w:name w:val="CGC Table Heading Char"/>
    <w:basedOn w:val="DefaultParagraphFont"/>
    <w:link w:val="CGCTableHeading"/>
    <w:rsid w:val="00FE5C60"/>
    <w:rPr>
      <w:rFonts w:ascii="Montserrat Ultra Light" w:hAnsi="Montserrat Ultra Light"/>
      <w:b/>
      <w:sz w:val="20"/>
      <w:szCs w:val="20"/>
    </w:rPr>
  </w:style>
  <w:style w:type="paragraph" w:customStyle="1" w:styleId="TOCtitle">
    <w:name w:val="TOC title"/>
    <w:basedOn w:val="Normal"/>
    <w:next w:val="Normal"/>
    <w:rsid w:val="001C1121"/>
    <w:rPr>
      <w:rFonts w:ascii="Montserrat Semi Bold" w:hAnsi="Montserrat Semi Bold"/>
      <w:color w:val="004563"/>
      <w:sz w:val="36"/>
      <w:lang w:val="en-US"/>
    </w:rPr>
  </w:style>
  <w:style w:type="character" w:styleId="CommentReference">
    <w:name w:val="annotation reference"/>
    <w:basedOn w:val="DefaultParagraphFont"/>
    <w:semiHidden/>
    <w:unhideWhenUsed/>
    <w:rsid w:val="00CA7A75"/>
    <w:rPr>
      <w:sz w:val="16"/>
      <w:szCs w:val="16"/>
    </w:rPr>
  </w:style>
  <w:style w:type="paragraph" w:styleId="CommentText">
    <w:name w:val="annotation text"/>
    <w:basedOn w:val="Normal"/>
    <w:link w:val="CommentTextChar"/>
    <w:unhideWhenUsed/>
    <w:rsid w:val="00CA7A75"/>
    <w:pPr>
      <w:spacing w:line="240" w:lineRule="auto"/>
    </w:pPr>
    <w:rPr>
      <w:szCs w:val="20"/>
    </w:rPr>
  </w:style>
  <w:style w:type="character" w:customStyle="1" w:styleId="CommentTextChar">
    <w:name w:val="Comment Text Char"/>
    <w:basedOn w:val="DefaultParagraphFont"/>
    <w:link w:val="CommentText"/>
    <w:rsid w:val="00CA7A75"/>
    <w:rPr>
      <w:rFonts w:ascii="Open Sans Light" w:hAnsi="Open Sans Light"/>
      <w:sz w:val="20"/>
      <w:szCs w:val="20"/>
    </w:rPr>
  </w:style>
  <w:style w:type="paragraph" w:styleId="CommentSubject">
    <w:name w:val="annotation subject"/>
    <w:basedOn w:val="CommentText"/>
    <w:next w:val="CommentText"/>
    <w:link w:val="CommentSubjectChar"/>
    <w:semiHidden/>
    <w:unhideWhenUsed/>
    <w:rsid w:val="00CA7A75"/>
    <w:rPr>
      <w:b/>
      <w:bCs/>
    </w:rPr>
  </w:style>
  <w:style w:type="character" w:customStyle="1" w:styleId="CommentSubjectChar">
    <w:name w:val="Comment Subject Char"/>
    <w:basedOn w:val="CommentTextChar"/>
    <w:link w:val="CommentSubject"/>
    <w:semiHidden/>
    <w:rsid w:val="00CA7A75"/>
    <w:rPr>
      <w:rFonts w:ascii="Open Sans Light" w:hAnsi="Open Sans Light"/>
      <w:b/>
      <w:bCs/>
      <w:sz w:val="20"/>
      <w:szCs w:val="20"/>
    </w:rPr>
  </w:style>
  <w:style w:type="paragraph" w:customStyle="1" w:styleId="CGCTablesubhead1">
    <w:name w:val="CGC Table subhead1"/>
    <w:basedOn w:val="Normal"/>
    <w:rsid w:val="00BF20E8"/>
    <w:pPr>
      <w:spacing w:before="0" w:line="240" w:lineRule="auto"/>
    </w:pPr>
    <w:rPr>
      <w:rFonts w:ascii="Open Sans Semibold" w:hAnsi="Open Sans Semibold"/>
      <w:sz w:val="16"/>
    </w:rPr>
  </w:style>
  <w:style w:type="character" w:styleId="UnresolvedMention">
    <w:name w:val="Unresolved Mention"/>
    <w:basedOn w:val="DefaultParagraphFont"/>
    <w:uiPriority w:val="99"/>
    <w:unhideWhenUsed/>
    <w:rsid w:val="004F4A13"/>
    <w:rPr>
      <w:color w:val="605E5C"/>
      <w:shd w:val="clear" w:color="auto" w:fill="E1DFDD"/>
    </w:rPr>
  </w:style>
  <w:style w:type="character" w:styleId="Mention">
    <w:name w:val="Mention"/>
    <w:basedOn w:val="DefaultParagraphFont"/>
    <w:uiPriority w:val="99"/>
    <w:unhideWhenUsed/>
    <w:rsid w:val="004F4A13"/>
    <w:rPr>
      <w:color w:val="2B579A"/>
      <w:shd w:val="clear" w:color="auto" w:fill="E1DFDD"/>
    </w:rPr>
  </w:style>
  <w:style w:type="paragraph" w:customStyle="1" w:styleId="Bulletpoint">
    <w:name w:val="Bullet point"/>
    <w:basedOn w:val="ListParagraph"/>
    <w:link w:val="BulletpointChar"/>
    <w:qFormat/>
    <w:rsid w:val="00A5102B"/>
    <w:pPr>
      <w:spacing w:before="240" w:line="300" w:lineRule="atLeast"/>
      <w:ind w:left="360" w:hanging="360"/>
      <w:contextualSpacing w:val="0"/>
      <w:jc w:val="both"/>
    </w:pPr>
  </w:style>
  <w:style w:type="character" w:customStyle="1" w:styleId="ListParagraphChar">
    <w:name w:val="List Paragraph Char"/>
    <w:basedOn w:val="DefaultParagraphFont"/>
    <w:link w:val="ListParagraph"/>
    <w:uiPriority w:val="34"/>
    <w:rsid w:val="00A5102B"/>
    <w:rPr>
      <w:rFonts w:ascii="Open Sans Light" w:hAnsi="Open Sans Light"/>
      <w:sz w:val="20"/>
    </w:rPr>
  </w:style>
  <w:style w:type="character" w:customStyle="1" w:styleId="BulletpointChar">
    <w:name w:val="Bullet point Char"/>
    <w:basedOn w:val="ListParagraphChar"/>
    <w:link w:val="Bulletpoint"/>
    <w:rsid w:val="00A5102B"/>
    <w:rPr>
      <w:rFonts w:ascii="Open Sans Light" w:hAnsi="Open Sans Light"/>
      <w:sz w:val="20"/>
    </w:rPr>
  </w:style>
  <w:style w:type="paragraph" w:styleId="Revision">
    <w:name w:val="Revision"/>
    <w:hidden/>
    <w:uiPriority w:val="99"/>
    <w:semiHidden/>
    <w:rsid w:val="001B76A8"/>
    <w:pPr>
      <w:spacing w:after="0" w:line="240" w:lineRule="auto"/>
    </w:pPr>
    <w:rPr>
      <w:rFonts w:ascii="Open Sans Light" w:hAnsi="Open Sans Light"/>
      <w:sz w:val="20"/>
    </w:rPr>
  </w:style>
  <w:style w:type="paragraph" w:customStyle="1" w:styleId="CGCBulletlist">
    <w:name w:val="CGC Bullet list"/>
    <w:aliases w:val="CGC List 1"/>
    <w:basedOn w:val="Normal"/>
    <w:link w:val="CGCBulletlistChar"/>
    <w:qFormat/>
    <w:rsid w:val="001307A8"/>
    <w:pPr>
      <w:numPr>
        <w:numId w:val="8"/>
      </w:numPr>
      <w:tabs>
        <w:tab w:val="clear" w:pos="567"/>
        <w:tab w:val="left" w:pos="1134"/>
      </w:tabs>
      <w:spacing w:before="80" w:after="80" w:line="300" w:lineRule="atLeast"/>
    </w:pPr>
    <w:rPr>
      <w:rFonts w:asciiTheme="minorHAnsi" w:hAnsiTheme="minorHAnsi"/>
      <w:sz w:val="24"/>
      <w:szCs w:val="20"/>
    </w:rPr>
  </w:style>
  <w:style w:type="paragraph" w:customStyle="1" w:styleId="CGCNumberedPara">
    <w:name w:val="CGC Numbered Para"/>
    <w:aliases w:val="CGC Para No"/>
    <w:basedOn w:val="Normal"/>
    <w:rsid w:val="001307A8"/>
    <w:pPr>
      <w:numPr>
        <w:ilvl w:val="1"/>
        <w:numId w:val="9"/>
      </w:numPr>
      <w:tabs>
        <w:tab w:val="clear" w:pos="567"/>
      </w:tabs>
      <w:spacing w:after="80" w:line="320" w:lineRule="atLeast"/>
    </w:pPr>
    <w:rPr>
      <w:rFonts w:asciiTheme="minorHAnsi" w:hAnsiTheme="minorHAnsi"/>
      <w:sz w:val="24"/>
      <w:szCs w:val="24"/>
    </w:rPr>
  </w:style>
  <w:style w:type="character" w:customStyle="1" w:styleId="CGCBulletlistChar">
    <w:name w:val="CGC Bullet list Char"/>
    <w:aliases w:val="CGC List 1 Char"/>
    <w:basedOn w:val="DefaultParagraphFont"/>
    <w:link w:val="CGCBulletlist"/>
    <w:locked/>
    <w:rsid w:val="001307A8"/>
    <w:rPr>
      <w:sz w:val="24"/>
      <w:szCs w:val="20"/>
    </w:rPr>
  </w:style>
  <w:style w:type="character" w:customStyle="1" w:styleId="cf01">
    <w:name w:val="cf01"/>
    <w:basedOn w:val="DefaultParagraphFont"/>
    <w:rsid w:val="002F0D1B"/>
    <w:rPr>
      <w:rFonts w:ascii="Segoe UI" w:hAnsi="Segoe UI" w:cs="Segoe UI" w:hint="default"/>
      <w:sz w:val="18"/>
      <w:szCs w:val="18"/>
    </w:rPr>
  </w:style>
  <w:style w:type="table" w:customStyle="1" w:styleId="TableGrid1">
    <w:name w:val="Table Grid1"/>
    <w:basedOn w:val="TableNormal"/>
    <w:next w:val="TableGrid"/>
    <w:uiPriority w:val="39"/>
    <w:rsid w:val="002F08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3848"/>
    <w:rPr>
      <w:color w:val="800080" w:themeColor="followedHyperlink"/>
      <w:u w:val="single"/>
    </w:rPr>
  </w:style>
  <w:style w:type="paragraph" w:customStyle="1" w:styleId="CGC2025QuestionNumbers">
    <w:name w:val="CGC 2025 Question Numbers"/>
    <w:basedOn w:val="Normal"/>
    <w:qFormat/>
    <w:rsid w:val="00084EE0"/>
    <w:pPr>
      <w:numPr>
        <w:numId w:val="11"/>
      </w:numPr>
      <w:spacing w:after="120"/>
    </w:pPr>
    <w:rPr>
      <w:rFonts w:ascii="Work Sans" w:hAnsi="Work Sans" w:cs="Open Sans Light"/>
      <w:szCs w:val="20"/>
    </w:rPr>
  </w:style>
  <w:style w:type="numbering" w:customStyle="1" w:styleId="CGCConsultQuestion">
    <w:name w:val="CGC Consult Question"/>
    <w:basedOn w:val="NoList"/>
    <w:uiPriority w:val="99"/>
    <w:rsid w:val="00084EE0"/>
    <w:pPr>
      <w:numPr>
        <w:numId w:val="10"/>
      </w:numPr>
    </w:pPr>
  </w:style>
  <w:style w:type="paragraph" w:customStyle="1" w:styleId="CGC2025ParaNumbers">
    <w:name w:val="CGC 2025 Para Numbers"/>
    <w:basedOn w:val="CGCNumberedPara"/>
    <w:rsid w:val="004477FF"/>
    <w:rPr>
      <w:rFonts w:ascii="Work Sans" w:hAnsi="Work Sans"/>
      <w:sz w:val="20"/>
    </w:rPr>
  </w:style>
  <w:style w:type="paragraph" w:customStyle="1" w:styleId="CGC2025Bullet2">
    <w:name w:val="CGC 2025 Bullet 2"/>
    <w:basedOn w:val="CGCBullet2"/>
    <w:rsid w:val="00294D2F"/>
    <w:rPr>
      <w:rFonts w:ascii="Work Sans" w:hAnsi="Work Sans"/>
    </w:rPr>
  </w:style>
  <w:style w:type="paragraph" w:customStyle="1" w:styleId="CGC2025Heading2AttachmentFollower">
    <w:name w:val="CGC 2025 Heading 2 Attachment Follower"/>
    <w:basedOn w:val="Heading2"/>
    <w:rsid w:val="00294D2F"/>
    <w:rPr>
      <w:b w:val="0"/>
      <w:bCs w:val="0"/>
    </w:rPr>
  </w:style>
  <w:style w:type="paragraph" w:customStyle="1" w:styleId="CGC2025Caption">
    <w:name w:val="CGC 2025 Caption"/>
    <w:basedOn w:val="Normal"/>
    <w:qFormat/>
    <w:rsid w:val="0036695B"/>
    <w:pPr>
      <w:spacing w:before="240" w:after="120" w:line="240" w:lineRule="auto"/>
    </w:pPr>
    <w:rPr>
      <w:rFonts w:ascii="Work Sans" w:hAnsi="Work Sans"/>
      <w:b/>
    </w:rPr>
  </w:style>
  <w:style w:type="paragraph" w:customStyle="1" w:styleId="CGC2025Questionsnumbers2">
    <w:name w:val="CGC 2025 Questions numbers 2"/>
    <w:basedOn w:val="Normal"/>
    <w:next w:val="CGC2025ParaNumbers"/>
    <w:qFormat/>
    <w:rsid w:val="004824F0"/>
    <w:pPr>
      <w:numPr>
        <w:numId w:val="12"/>
      </w:numPr>
      <w:ind w:left="454" w:hanging="454"/>
    </w:pPr>
    <w:rPr>
      <w:rFonts w:ascii="Work Sans" w:hAnsi="Work Sans" w:cs="Open Sans"/>
      <w:bCs/>
      <w:szCs w:val="56"/>
    </w:rPr>
  </w:style>
  <w:style w:type="paragraph" w:customStyle="1" w:styleId="CGC2025TableNote">
    <w:name w:val="CGC 2025 Table Note"/>
    <w:basedOn w:val="CGCTablenote"/>
    <w:link w:val="CGC2025TableNoteChar"/>
    <w:qFormat/>
    <w:rsid w:val="00FB59C2"/>
    <w:rPr>
      <w:rFonts w:ascii="Work Sans" w:hAnsi="Work Sans"/>
    </w:rPr>
  </w:style>
  <w:style w:type="character" w:customStyle="1" w:styleId="CGCTablenoteChar">
    <w:name w:val="CGC Table note Char"/>
    <w:basedOn w:val="DefaultParagraphFont"/>
    <w:link w:val="CGCTablenote"/>
    <w:rsid w:val="00FB59C2"/>
    <w:rPr>
      <w:rFonts w:ascii="Open Sans Light" w:hAnsi="Open Sans Light"/>
      <w:sz w:val="14"/>
    </w:rPr>
  </w:style>
  <w:style w:type="character" w:customStyle="1" w:styleId="CGC2025TableNoteChar">
    <w:name w:val="CGC 2025 Table Note Char"/>
    <w:basedOn w:val="CGCTablenoteChar"/>
    <w:link w:val="CGC2025TableNote"/>
    <w:rsid w:val="00FB59C2"/>
    <w:rPr>
      <w:rFonts w:ascii="Work Sans" w:hAnsi="Work Sans"/>
      <w:sz w:val="14"/>
    </w:rPr>
  </w:style>
  <w:style w:type="paragraph" w:customStyle="1" w:styleId="CGCBullet1">
    <w:name w:val="CGC Bullet 1"/>
    <w:basedOn w:val="Normal"/>
    <w:qFormat/>
    <w:rsid w:val="00956FA7"/>
    <w:pPr>
      <w:numPr>
        <w:numId w:val="14"/>
      </w:numPr>
    </w:pPr>
    <w:rPr>
      <w:rFonts w:ascii="Work Sans" w:hAnsi="Work Sans"/>
      <w:szCs w:val="20"/>
    </w:rPr>
  </w:style>
  <w:style w:type="paragraph" w:customStyle="1" w:styleId="BodyCopyWorkSans10">
    <w:name w:val="Body Copy Work Sans 10"/>
    <w:basedOn w:val="Normal"/>
    <w:link w:val="BodyCopyWorkSans10Char"/>
    <w:qFormat/>
    <w:rsid w:val="00F81E6D"/>
    <w:pPr>
      <w:numPr>
        <w:numId w:val="13"/>
      </w:numPr>
    </w:pPr>
    <w:rPr>
      <w:rFonts w:ascii="Work Sans" w:hAnsi="Work Sans"/>
    </w:rPr>
  </w:style>
  <w:style w:type="character" w:customStyle="1" w:styleId="BodyCopyWorkSans10Char">
    <w:name w:val="Body Copy Work Sans 10 Char"/>
    <w:basedOn w:val="DefaultParagraphFont"/>
    <w:link w:val="BodyCopyWorkSans10"/>
    <w:rsid w:val="00F81E6D"/>
    <w:rPr>
      <w:rFonts w:ascii="Work Sans" w:hAnsi="Work Sans"/>
      <w:sz w:val="20"/>
    </w:rPr>
  </w:style>
  <w:style w:type="paragraph" w:styleId="NormalWeb">
    <w:name w:val="Normal (Web)"/>
    <w:basedOn w:val="Normal"/>
    <w:uiPriority w:val="99"/>
    <w:unhideWhenUsed/>
    <w:rsid w:val="00A56AC3"/>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33E7"/>
  </w:style>
  <w:style w:type="paragraph" w:customStyle="1" w:styleId="paragraph">
    <w:name w:val="paragraph"/>
    <w:basedOn w:val="Normal"/>
    <w:rsid w:val="00FD7778"/>
    <w:pPr>
      <w:tabs>
        <w:tab w:val="clear" w:pos="567"/>
      </w:tabs>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FD7778"/>
  </w:style>
  <w:style w:type="character" w:customStyle="1" w:styleId="tabchar">
    <w:name w:val="tabchar"/>
    <w:basedOn w:val="DefaultParagraphFont"/>
    <w:rsid w:val="00FD7778"/>
  </w:style>
  <w:style w:type="paragraph" w:customStyle="1" w:styleId="CGC2025ParaNumbers1">
    <w:name w:val="CGC 2025 Para Numbers 1"/>
    <w:basedOn w:val="CGC2025ParaNumbers"/>
    <w:qFormat/>
    <w:rsid w:val="00DE59F4"/>
    <w:pPr>
      <w:numPr>
        <w:ilvl w:val="0"/>
        <w:numId w:val="0"/>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302">
      <w:bodyDiv w:val="1"/>
      <w:marLeft w:val="0"/>
      <w:marRight w:val="0"/>
      <w:marTop w:val="0"/>
      <w:marBottom w:val="0"/>
      <w:divBdr>
        <w:top w:val="none" w:sz="0" w:space="0" w:color="auto"/>
        <w:left w:val="none" w:sz="0" w:space="0" w:color="auto"/>
        <w:bottom w:val="none" w:sz="0" w:space="0" w:color="auto"/>
        <w:right w:val="none" w:sz="0" w:space="0" w:color="auto"/>
      </w:divBdr>
    </w:div>
    <w:div w:id="2976334">
      <w:bodyDiv w:val="1"/>
      <w:marLeft w:val="0"/>
      <w:marRight w:val="0"/>
      <w:marTop w:val="0"/>
      <w:marBottom w:val="0"/>
      <w:divBdr>
        <w:top w:val="none" w:sz="0" w:space="0" w:color="auto"/>
        <w:left w:val="none" w:sz="0" w:space="0" w:color="auto"/>
        <w:bottom w:val="none" w:sz="0" w:space="0" w:color="auto"/>
        <w:right w:val="none" w:sz="0" w:space="0" w:color="auto"/>
      </w:divBdr>
    </w:div>
    <w:div w:id="19476126">
      <w:bodyDiv w:val="1"/>
      <w:marLeft w:val="0"/>
      <w:marRight w:val="0"/>
      <w:marTop w:val="0"/>
      <w:marBottom w:val="0"/>
      <w:divBdr>
        <w:top w:val="none" w:sz="0" w:space="0" w:color="auto"/>
        <w:left w:val="none" w:sz="0" w:space="0" w:color="auto"/>
        <w:bottom w:val="none" w:sz="0" w:space="0" w:color="auto"/>
        <w:right w:val="none" w:sz="0" w:space="0" w:color="auto"/>
      </w:divBdr>
    </w:div>
    <w:div w:id="160170229">
      <w:bodyDiv w:val="1"/>
      <w:marLeft w:val="0"/>
      <w:marRight w:val="0"/>
      <w:marTop w:val="0"/>
      <w:marBottom w:val="0"/>
      <w:divBdr>
        <w:top w:val="none" w:sz="0" w:space="0" w:color="auto"/>
        <w:left w:val="none" w:sz="0" w:space="0" w:color="auto"/>
        <w:bottom w:val="none" w:sz="0" w:space="0" w:color="auto"/>
        <w:right w:val="none" w:sz="0" w:space="0" w:color="auto"/>
      </w:divBdr>
    </w:div>
    <w:div w:id="183712220">
      <w:bodyDiv w:val="1"/>
      <w:marLeft w:val="0"/>
      <w:marRight w:val="0"/>
      <w:marTop w:val="0"/>
      <w:marBottom w:val="0"/>
      <w:divBdr>
        <w:top w:val="none" w:sz="0" w:space="0" w:color="auto"/>
        <w:left w:val="none" w:sz="0" w:space="0" w:color="auto"/>
        <w:bottom w:val="none" w:sz="0" w:space="0" w:color="auto"/>
        <w:right w:val="none" w:sz="0" w:space="0" w:color="auto"/>
      </w:divBdr>
    </w:div>
    <w:div w:id="215361513">
      <w:bodyDiv w:val="1"/>
      <w:marLeft w:val="0"/>
      <w:marRight w:val="0"/>
      <w:marTop w:val="0"/>
      <w:marBottom w:val="0"/>
      <w:divBdr>
        <w:top w:val="none" w:sz="0" w:space="0" w:color="auto"/>
        <w:left w:val="none" w:sz="0" w:space="0" w:color="auto"/>
        <w:bottom w:val="none" w:sz="0" w:space="0" w:color="auto"/>
        <w:right w:val="none" w:sz="0" w:space="0" w:color="auto"/>
      </w:divBdr>
    </w:div>
    <w:div w:id="240608006">
      <w:bodyDiv w:val="1"/>
      <w:marLeft w:val="0"/>
      <w:marRight w:val="0"/>
      <w:marTop w:val="0"/>
      <w:marBottom w:val="0"/>
      <w:divBdr>
        <w:top w:val="none" w:sz="0" w:space="0" w:color="auto"/>
        <w:left w:val="none" w:sz="0" w:space="0" w:color="auto"/>
        <w:bottom w:val="none" w:sz="0" w:space="0" w:color="auto"/>
        <w:right w:val="none" w:sz="0" w:space="0" w:color="auto"/>
      </w:divBdr>
    </w:div>
    <w:div w:id="248123965">
      <w:bodyDiv w:val="1"/>
      <w:marLeft w:val="0"/>
      <w:marRight w:val="0"/>
      <w:marTop w:val="0"/>
      <w:marBottom w:val="0"/>
      <w:divBdr>
        <w:top w:val="none" w:sz="0" w:space="0" w:color="auto"/>
        <w:left w:val="none" w:sz="0" w:space="0" w:color="auto"/>
        <w:bottom w:val="none" w:sz="0" w:space="0" w:color="auto"/>
        <w:right w:val="none" w:sz="0" w:space="0" w:color="auto"/>
      </w:divBdr>
    </w:div>
    <w:div w:id="283461682">
      <w:bodyDiv w:val="1"/>
      <w:marLeft w:val="0"/>
      <w:marRight w:val="0"/>
      <w:marTop w:val="0"/>
      <w:marBottom w:val="0"/>
      <w:divBdr>
        <w:top w:val="none" w:sz="0" w:space="0" w:color="auto"/>
        <w:left w:val="none" w:sz="0" w:space="0" w:color="auto"/>
        <w:bottom w:val="none" w:sz="0" w:space="0" w:color="auto"/>
        <w:right w:val="none" w:sz="0" w:space="0" w:color="auto"/>
      </w:divBdr>
    </w:div>
    <w:div w:id="337080381">
      <w:bodyDiv w:val="1"/>
      <w:marLeft w:val="0"/>
      <w:marRight w:val="0"/>
      <w:marTop w:val="0"/>
      <w:marBottom w:val="0"/>
      <w:divBdr>
        <w:top w:val="none" w:sz="0" w:space="0" w:color="auto"/>
        <w:left w:val="none" w:sz="0" w:space="0" w:color="auto"/>
        <w:bottom w:val="none" w:sz="0" w:space="0" w:color="auto"/>
        <w:right w:val="none" w:sz="0" w:space="0" w:color="auto"/>
      </w:divBdr>
    </w:div>
    <w:div w:id="358245519">
      <w:bodyDiv w:val="1"/>
      <w:marLeft w:val="0"/>
      <w:marRight w:val="0"/>
      <w:marTop w:val="0"/>
      <w:marBottom w:val="0"/>
      <w:divBdr>
        <w:top w:val="none" w:sz="0" w:space="0" w:color="auto"/>
        <w:left w:val="none" w:sz="0" w:space="0" w:color="auto"/>
        <w:bottom w:val="none" w:sz="0" w:space="0" w:color="auto"/>
        <w:right w:val="none" w:sz="0" w:space="0" w:color="auto"/>
      </w:divBdr>
    </w:div>
    <w:div w:id="381485470">
      <w:bodyDiv w:val="1"/>
      <w:marLeft w:val="0"/>
      <w:marRight w:val="0"/>
      <w:marTop w:val="0"/>
      <w:marBottom w:val="0"/>
      <w:divBdr>
        <w:top w:val="none" w:sz="0" w:space="0" w:color="auto"/>
        <w:left w:val="none" w:sz="0" w:space="0" w:color="auto"/>
        <w:bottom w:val="none" w:sz="0" w:space="0" w:color="auto"/>
        <w:right w:val="none" w:sz="0" w:space="0" w:color="auto"/>
      </w:divBdr>
    </w:div>
    <w:div w:id="523597020">
      <w:bodyDiv w:val="1"/>
      <w:marLeft w:val="0"/>
      <w:marRight w:val="0"/>
      <w:marTop w:val="0"/>
      <w:marBottom w:val="0"/>
      <w:divBdr>
        <w:top w:val="none" w:sz="0" w:space="0" w:color="auto"/>
        <w:left w:val="none" w:sz="0" w:space="0" w:color="auto"/>
        <w:bottom w:val="none" w:sz="0" w:space="0" w:color="auto"/>
        <w:right w:val="none" w:sz="0" w:space="0" w:color="auto"/>
      </w:divBdr>
    </w:div>
    <w:div w:id="524945701">
      <w:bodyDiv w:val="1"/>
      <w:marLeft w:val="0"/>
      <w:marRight w:val="0"/>
      <w:marTop w:val="0"/>
      <w:marBottom w:val="0"/>
      <w:divBdr>
        <w:top w:val="none" w:sz="0" w:space="0" w:color="auto"/>
        <w:left w:val="none" w:sz="0" w:space="0" w:color="auto"/>
        <w:bottom w:val="none" w:sz="0" w:space="0" w:color="auto"/>
        <w:right w:val="none" w:sz="0" w:space="0" w:color="auto"/>
      </w:divBdr>
    </w:div>
    <w:div w:id="528180250">
      <w:bodyDiv w:val="1"/>
      <w:marLeft w:val="0"/>
      <w:marRight w:val="0"/>
      <w:marTop w:val="0"/>
      <w:marBottom w:val="0"/>
      <w:divBdr>
        <w:top w:val="none" w:sz="0" w:space="0" w:color="auto"/>
        <w:left w:val="none" w:sz="0" w:space="0" w:color="auto"/>
        <w:bottom w:val="none" w:sz="0" w:space="0" w:color="auto"/>
        <w:right w:val="none" w:sz="0" w:space="0" w:color="auto"/>
      </w:divBdr>
    </w:div>
    <w:div w:id="542055706">
      <w:bodyDiv w:val="1"/>
      <w:marLeft w:val="0"/>
      <w:marRight w:val="0"/>
      <w:marTop w:val="0"/>
      <w:marBottom w:val="0"/>
      <w:divBdr>
        <w:top w:val="none" w:sz="0" w:space="0" w:color="auto"/>
        <w:left w:val="none" w:sz="0" w:space="0" w:color="auto"/>
        <w:bottom w:val="none" w:sz="0" w:space="0" w:color="auto"/>
        <w:right w:val="none" w:sz="0" w:space="0" w:color="auto"/>
      </w:divBdr>
    </w:div>
    <w:div w:id="547255162">
      <w:bodyDiv w:val="1"/>
      <w:marLeft w:val="0"/>
      <w:marRight w:val="0"/>
      <w:marTop w:val="0"/>
      <w:marBottom w:val="0"/>
      <w:divBdr>
        <w:top w:val="none" w:sz="0" w:space="0" w:color="auto"/>
        <w:left w:val="none" w:sz="0" w:space="0" w:color="auto"/>
        <w:bottom w:val="none" w:sz="0" w:space="0" w:color="auto"/>
        <w:right w:val="none" w:sz="0" w:space="0" w:color="auto"/>
      </w:divBdr>
    </w:div>
    <w:div w:id="582958075">
      <w:bodyDiv w:val="1"/>
      <w:marLeft w:val="0"/>
      <w:marRight w:val="0"/>
      <w:marTop w:val="0"/>
      <w:marBottom w:val="0"/>
      <w:divBdr>
        <w:top w:val="none" w:sz="0" w:space="0" w:color="auto"/>
        <w:left w:val="none" w:sz="0" w:space="0" w:color="auto"/>
        <w:bottom w:val="none" w:sz="0" w:space="0" w:color="auto"/>
        <w:right w:val="none" w:sz="0" w:space="0" w:color="auto"/>
      </w:divBdr>
    </w:div>
    <w:div w:id="599720096">
      <w:bodyDiv w:val="1"/>
      <w:marLeft w:val="0"/>
      <w:marRight w:val="0"/>
      <w:marTop w:val="0"/>
      <w:marBottom w:val="0"/>
      <w:divBdr>
        <w:top w:val="none" w:sz="0" w:space="0" w:color="auto"/>
        <w:left w:val="none" w:sz="0" w:space="0" w:color="auto"/>
        <w:bottom w:val="none" w:sz="0" w:space="0" w:color="auto"/>
        <w:right w:val="none" w:sz="0" w:space="0" w:color="auto"/>
      </w:divBdr>
    </w:div>
    <w:div w:id="611522579">
      <w:bodyDiv w:val="1"/>
      <w:marLeft w:val="0"/>
      <w:marRight w:val="0"/>
      <w:marTop w:val="0"/>
      <w:marBottom w:val="0"/>
      <w:divBdr>
        <w:top w:val="none" w:sz="0" w:space="0" w:color="auto"/>
        <w:left w:val="none" w:sz="0" w:space="0" w:color="auto"/>
        <w:bottom w:val="none" w:sz="0" w:space="0" w:color="auto"/>
        <w:right w:val="none" w:sz="0" w:space="0" w:color="auto"/>
      </w:divBdr>
    </w:div>
    <w:div w:id="679813372">
      <w:bodyDiv w:val="1"/>
      <w:marLeft w:val="0"/>
      <w:marRight w:val="0"/>
      <w:marTop w:val="0"/>
      <w:marBottom w:val="0"/>
      <w:divBdr>
        <w:top w:val="none" w:sz="0" w:space="0" w:color="auto"/>
        <w:left w:val="none" w:sz="0" w:space="0" w:color="auto"/>
        <w:bottom w:val="none" w:sz="0" w:space="0" w:color="auto"/>
        <w:right w:val="none" w:sz="0" w:space="0" w:color="auto"/>
      </w:divBdr>
    </w:div>
    <w:div w:id="682633556">
      <w:bodyDiv w:val="1"/>
      <w:marLeft w:val="0"/>
      <w:marRight w:val="0"/>
      <w:marTop w:val="0"/>
      <w:marBottom w:val="0"/>
      <w:divBdr>
        <w:top w:val="none" w:sz="0" w:space="0" w:color="auto"/>
        <w:left w:val="none" w:sz="0" w:space="0" w:color="auto"/>
        <w:bottom w:val="none" w:sz="0" w:space="0" w:color="auto"/>
        <w:right w:val="none" w:sz="0" w:space="0" w:color="auto"/>
      </w:divBdr>
    </w:div>
    <w:div w:id="704869077">
      <w:bodyDiv w:val="1"/>
      <w:marLeft w:val="0"/>
      <w:marRight w:val="0"/>
      <w:marTop w:val="0"/>
      <w:marBottom w:val="0"/>
      <w:divBdr>
        <w:top w:val="none" w:sz="0" w:space="0" w:color="auto"/>
        <w:left w:val="none" w:sz="0" w:space="0" w:color="auto"/>
        <w:bottom w:val="none" w:sz="0" w:space="0" w:color="auto"/>
        <w:right w:val="none" w:sz="0" w:space="0" w:color="auto"/>
      </w:divBdr>
    </w:div>
    <w:div w:id="705176264">
      <w:bodyDiv w:val="1"/>
      <w:marLeft w:val="0"/>
      <w:marRight w:val="0"/>
      <w:marTop w:val="0"/>
      <w:marBottom w:val="0"/>
      <w:divBdr>
        <w:top w:val="none" w:sz="0" w:space="0" w:color="auto"/>
        <w:left w:val="none" w:sz="0" w:space="0" w:color="auto"/>
        <w:bottom w:val="none" w:sz="0" w:space="0" w:color="auto"/>
        <w:right w:val="none" w:sz="0" w:space="0" w:color="auto"/>
      </w:divBdr>
    </w:div>
    <w:div w:id="715858927">
      <w:bodyDiv w:val="1"/>
      <w:marLeft w:val="0"/>
      <w:marRight w:val="0"/>
      <w:marTop w:val="0"/>
      <w:marBottom w:val="0"/>
      <w:divBdr>
        <w:top w:val="none" w:sz="0" w:space="0" w:color="auto"/>
        <w:left w:val="none" w:sz="0" w:space="0" w:color="auto"/>
        <w:bottom w:val="none" w:sz="0" w:space="0" w:color="auto"/>
        <w:right w:val="none" w:sz="0" w:space="0" w:color="auto"/>
      </w:divBdr>
    </w:div>
    <w:div w:id="721289593">
      <w:bodyDiv w:val="1"/>
      <w:marLeft w:val="0"/>
      <w:marRight w:val="0"/>
      <w:marTop w:val="0"/>
      <w:marBottom w:val="0"/>
      <w:divBdr>
        <w:top w:val="none" w:sz="0" w:space="0" w:color="auto"/>
        <w:left w:val="none" w:sz="0" w:space="0" w:color="auto"/>
        <w:bottom w:val="none" w:sz="0" w:space="0" w:color="auto"/>
        <w:right w:val="none" w:sz="0" w:space="0" w:color="auto"/>
      </w:divBdr>
      <w:divsChild>
        <w:div w:id="669412227">
          <w:marLeft w:val="0"/>
          <w:marRight w:val="0"/>
          <w:marTop w:val="0"/>
          <w:marBottom w:val="0"/>
          <w:divBdr>
            <w:top w:val="none" w:sz="0" w:space="0" w:color="auto"/>
            <w:left w:val="none" w:sz="0" w:space="0" w:color="auto"/>
            <w:bottom w:val="none" w:sz="0" w:space="0" w:color="auto"/>
            <w:right w:val="none" w:sz="0" w:space="0" w:color="auto"/>
          </w:divBdr>
        </w:div>
        <w:div w:id="1018313563">
          <w:marLeft w:val="0"/>
          <w:marRight w:val="0"/>
          <w:marTop w:val="0"/>
          <w:marBottom w:val="0"/>
          <w:divBdr>
            <w:top w:val="none" w:sz="0" w:space="0" w:color="auto"/>
            <w:left w:val="none" w:sz="0" w:space="0" w:color="auto"/>
            <w:bottom w:val="none" w:sz="0" w:space="0" w:color="auto"/>
            <w:right w:val="none" w:sz="0" w:space="0" w:color="auto"/>
          </w:divBdr>
          <w:divsChild>
            <w:div w:id="692536513">
              <w:marLeft w:val="-75"/>
              <w:marRight w:val="0"/>
              <w:marTop w:val="30"/>
              <w:marBottom w:val="30"/>
              <w:divBdr>
                <w:top w:val="none" w:sz="0" w:space="0" w:color="auto"/>
                <w:left w:val="none" w:sz="0" w:space="0" w:color="auto"/>
                <w:bottom w:val="none" w:sz="0" w:space="0" w:color="auto"/>
                <w:right w:val="none" w:sz="0" w:space="0" w:color="auto"/>
              </w:divBdr>
              <w:divsChild>
                <w:div w:id="21173947">
                  <w:marLeft w:val="0"/>
                  <w:marRight w:val="0"/>
                  <w:marTop w:val="0"/>
                  <w:marBottom w:val="0"/>
                  <w:divBdr>
                    <w:top w:val="none" w:sz="0" w:space="0" w:color="auto"/>
                    <w:left w:val="none" w:sz="0" w:space="0" w:color="auto"/>
                    <w:bottom w:val="none" w:sz="0" w:space="0" w:color="auto"/>
                    <w:right w:val="none" w:sz="0" w:space="0" w:color="auto"/>
                  </w:divBdr>
                  <w:divsChild>
                    <w:div w:id="323898093">
                      <w:marLeft w:val="0"/>
                      <w:marRight w:val="0"/>
                      <w:marTop w:val="0"/>
                      <w:marBottom w:val="0"/>
                      <w:divBdr>
                        <w:top w:val="none" w:sz="0" w:space="0" w:color="auto"/>
                        <w:left w:val="none" w:sz="0" w:space="0" w:color="auto"/>
                        <w:bottom w:val="none" w:sz="0" w:space="0" w:color="auto"/>
                        <w:right w:val="none" w:sz="0" w:space="0" w:color="auto"/>
                      </w:divBdr>
                    </w:div>
                  </w:divsChild>
                </w:div>
                <w:div w:id="71972682">
                  <w:marLeft w:val="0"/>
                  <w:marRight w:val="0"/>
                  <w:marTop w:val="0"/>
                  <w:marBottom w:val="0"/>
                  <w:divBdr>
                    <w:top w:val="none" w:sz="0" w:space="0" w:color="auto"/>
                    <w:left w:val="none" w:sz="0" w:space="0" w:color="auto"/>
                    <w:bottom w:val="none" w:sz="0" w:space="0" w:color="auto"/>
                    <w:right w:val="none" w:sz="0" w:space="0" w:color="auto"/>
                  </w:divBdr>
                  <w:divsChild>
                    <w:div w:id="623191870">
                      <w:marLeft w:val="0"/>
                      <w:marRight w:val="0"/>
                      <w:marTop w:val="0"/>
                      <w:marBottom w:val="0"/>
                      <w:divBdr>
                        <w:top w:val="none" w:sz="0" w:space="0" w:color="auto"/>
                        <w:left w:val="none" w:sz="0" w:space="0" w:color="auto"/>
                        <w:bottom w:val="none" w:sz="0" w:space="0" w:color="auto"/>
                        <w:right w:val="none" w:sz="0" w:space="0" w:color="auto"/>
                      </w:divBdr>
                    </w:div>
                  </w:divsChild>
                </w:div>
                <w:div w:id="80875575">
                  <w:marLeft w:val="0"/>
                  <w:marRight w:val="0"/>
                  <w:marTop w:val="0"/>
                  <w:marBottom w:val="0"/>
                  <w:divBdr>
                    <w:top w:val="none" w:sz="0" w:space="0" w:color="auto"/>
                    <w:left w:val="none" w:sz="0" w:space="0" w:color="auto"/>
                    <w:bottom w:val="none" w:sz="0" w:space="0" w:color="auto"/>
                    <w:right w:val="none" w:sz="0" w:space="0" w:color="auto"/>
                  </w:divBdr>
                  <w:divsChild>
                    <w:div w:id="892303325">
                      <w:marLeft w:val="0"/>
                      <w:marRight w:val="0"/>
                      <w:marTop w:val="0"/>
                      <w:marBottom w:val="0"/>
                      <w:divBdr>
                        <w:top w:val="none" w:sz="0" w:space="0" w:color="auto"/>
                        <w:left w:val="none" w:sz="0" w:space="0" w:color="auto"/>
                        <w:bottom w:val="none" w:sz="0" w:space="0" w:color="auto"/>
                        <w:right w:val="none" w:sz="0" w:space="0" w:color="auto"/>
                      </w:divBdr>
                    </w:div>
                  </w:divsChild>
                </w:div>
                <w:div w:id="114638064">
                  <w:marLeft w:val="0"/>
                  <w:marRight w:val="0"/>
                  <w:marTop w:val="0"/>
                  <w:marBottom w:val="0"/>
                  <w:divBdr>
                    <w:top w:val="none" w:sz="0" w:space="0" w:color="auto"/>
                    <w:left w:val="none" w:sz="0" w:space="0" w:color="auto"/>
                    <w:bottom w:val="none" w:sz="0" w:space="0" w:color="auto"/>
                    <w:right w:val="none" w:sz="0" w:space="0" w:color="auto"/>
                  </w:divBdr>
                  <w:divsChild>
                    <w:div w:id="1840271899">
                      <w:marLeft w:val="0"/>
                      <w:marRight w:val="0"/>
                      <w:marTop w:val="0"/>
                      <w:marBottom w:val="0"/>
                      <w:divBdr>
                        <w:top w:val="none" w:sz="0" w:space="0" w:color="auto"/>
                        <w:left w:val="none" w:sz="0" w:space="0" w:color="auto"/>
                        <w:bottom w:val="none" w:sz="0" w:space="0" w:color="auto"/>
                        <w:right w:val="none" w:sz="0" w:space="0" w:color="auto"/>
                      </w:divBdr>
                    </w:div>
                  </w:divsChild>
                </w:div>
                <w:div w:id="151723517">
                  <w:marLeft w:val="0"/>
                  <w:marRight w:val="0"/>
                  <w:marTop w:val="0"/>
                  <w:marBottom w:val="0"/>
                  <w:divBdr>
                    <w:top w:val="none" w:sz="0" w:space="0" w:color="auto"/>
                    <w:left w:val="none" w:sz="0" w:space="0" w:color="auto"/>
                    <w:bottom w:val="none" w:sz="0" w:space="0" w:color="auto"/>
                    <w:right w:val="none" w:sz="0" w:space="0" w:color="auto"/>
                  </w:divBdr>
                  <w:divsChild>
                    <w:div w:id="1135876478">
                      <w:marLeft w:val="0"/>
                      <w:marRight w:val="0"/>
                      <w:marTop w:val="0"/>
                      <w:marBottom w:val="0"/>
                      <w:divBdr>
                        <w:top w:val="none" w:sz="0" w:space="0" w:color="auto"/>
                        <w:left w:val="none" w:sz="0" w:space="0" w:color="auto"/>
                        <w:bottom w:val="none" w:sz="0" w:space="0" w:color="auto"/>
                        <w:right w:val="none" w:sz="0" w:space="0" w:color="auto"/>
                      </w:divBdr>
                    </w:div>
                  </w:divsChild>
                </w:div>
                <w:div w:id="159274244">
                  <w:marLeft w:val="0"/>
                  <w:marRight w:val="0"/>
                  <w:marTop w:val="0"/>
                  <w:marBottom w:val="0"/>
                  <w:divBdr>
                    <w:top w:val="none" w:sz="0" w:space="0" w:color="auto"/>
                    <w:left w:val="none" w:sz="0" w:space="0" w:color="auto"/>
                    <w:bottom w:val="none" w:sz="0" w:space="0" w:color="auto"/>
                    <w:right w:val="none" w:sz="0" w:space="0" w:color="auto"/>
                  </w:divBdr>
                  <w:divsChild>
                    <w:div w:id="48188328">
                      <w:marLeft w:val="0"/>
                      <w:marRight w:val="0"/>
                      <w:marTop w:val="0"/>
                      <w:marBottom w:val="0"/>
                      <w:divBdr>
                        <w:top w:val="none" w:sz="0" w:space="0" w:color="auto"/>
                        <w:left w:val="none" w:sz="0" w:space="0" w:color="auto"/>
                        <w:bottom w:val="none" w:sz="0" w:space="0" w:color="auto"/>
                        <w:right w:val="none" w:sz="0" w:space="0" w:color="auto"/>
                      </w:divBdr>
                    </w:div>
                  </w:divsChild>
                </w:div>
                <w:div w:id="211036831">
                  <w:marLeft w:val="0"/>
                  <w:marRight w:val="0"/>
                  <w:marTop w:val="0"/>
                  <w:marBottom w:val="0"/>
                  <w:divBdr>
                    <w:top w:val="none" w:sz="0" w:space="0" w:color="auto"/>
                    <w:left w:val="none" w:sz="0" w:space="0" w:color="auto"/>
                    <w:bottom w:val="none" w:sz="0" w:space="0" w:color="auto"/>
                    <w:right w:val="none" w:sz="0" w:space="0" w:color="auto"/>
                  </w:divBdr>
                  <w:divsChild>
                    <w:div w:id="694623654">
                      <w:marLeft w:val="0"/>
                      <w:marRight w:val="0"/>
                      <w:marTop w:val="0"/>
                      <w:marBottom w:val="0"/>
                      <w:divBdr>
                        <w:top w:val="none" w:sz="0" w:space="0" w:color="auto"/>
                        <w:left w:val="none" w:sz="0" w:space="0" w:color="auto"/>
                        <w:bottom w:val="none" w:sz="0" w:space="0" w:color="auto"/>
                        <w:right w:val="none" w:sz="0" w:space="0" w:color="auto"/>
                      </w:divBdr>
                    </w:div>
                  </w:divsChild>
                </w:div>
                <w:div w:id="315646194">
                  <w:marLeft w:val="0"/>
                  <w:marRight w:val="0"/>
                  <w:marTop w:val="0"/>
                  <w:marBottom w:val="0"/>
                  <w:divBdr>
                    <w:top w:val="none" w:sz="0" w:space="0" w:color="auto"/>
                    <w:left w:val="none" w:sz="0" w:space="0" w:color="auto"/>
                    <w:bottom w:val="none" w:sz="0" w:space="0" w:color="auto"/>
                    <w:right w:val="none" w:sz="0" w:space="0" w:color="auto"/>
                  </w:divBdr>
                  <w:divsChild>
                    <w:div w:id="742751244">
                      <w:marLeft w:val="0"/>
                      <w:marRight w:val="0"/>
                      <w:marTop w:val="0"/>
                      <w:marBottom w:val="0"/>
                      <w:divBdr>
                        <w:top w:val="none" w:sz="0" w:space="0" w:color="auto"/>
                        <w:left w:val="none" w:sz="0" w:space="0" w:color="auto"/>
                        <w:bottom w:val="none" w:sz="0" w:space="0" w:color="auto"/>
                        <w:right w:val="none" w:sz="0" w:space="0" w:color="auto"/>
                      </w:divBdr>
                    </w:div>
                  </w:divsChild>
                </w:div>
                <w:div w:id="343214493">
                  <w:marLeft w:val="0"/>
                  <w:marRight w:val="0"/>
                  <w:marTop w:val="0"/>
                  <w:marBottom w:val="0"/>
                  <w:divBdr>
                    <w:top w:val="none" w:sz="0" w:space="0" w:color="auto"/>
                    <w:left w:val="none" w:sz="0" w:space="0" w:color="auto"/>
                    <w:bottom w:val="none" w:sz="0" w:space="0" w:color="auto"/>
                    <w:right w:val="none" w:sz="0" w:space="0" w:color="auto"/>
                  </w:divBdr>
                  <w:divsChild>
                    <w:div w:id="129789984">
                      <w:marLeft w:val="0"/>
                      <w:marRight w:val="0"/>
                      <w:marTop w:val="0"/>
                      <w:marBottom w:val="0"/>
                      <w:divBdr>
                        <w:top w:val="none" w:sz="0" w:space="0" w:color="auto"/>
                        <w:left w:val="none" w:sz="0" w:space="0" w:color="auto"/>
                        <w:bottom w:val="none" w:sz="0" w:space="0" w:color="auto"/>
                        <w:right w:val="none" w:sz="0" w:space="0" w:color="auto"/>
                      </w:divBdr>
                    </w:div>
                  </w:divsChild>
                </w:div>
                <w:div w:id="345787662">
                  <w:marLeft w:val="0"/>
                  <w:marRight w:val="0"/>
                  <w:marTop w:val="0"/>
                  <w:marBottom w:val="0"/>
                  <w:divBdr>
                    <w:top w:val="none" w:sz="0" w:space="0" w:color="auto"/>
                    <w:left w:val="none" w:sz="0" w:space="0" w:color="auto"/>
                    <w:bottom w:val="none" w:sz="0" w:space="0" w:color="auto"/>
                    <w:right w:val="none" w:sz="0" w:space="0" w:color="auto"/>
                  </w:divBdr>
                  <w:divsChild>
                    <w:div w:id="385222003">
                      <w:marLeft w:val="0"/>
                      <w:marRight w:val="0"/>
                      <w:marTop w:val="0"/>
                      <w:marBottom w:val="0"/>
                      <w:divBdr>
                        <w:top w:val="none" w:sz="0" w:space="0" w:color="auto"/>
                        <w:left w:val="none" w:sz="0" w:space="0" w:color="auto"/>
                        <w:bottom w:val="none" w:sz="0" w:space="0" w:color="auto"/>
                        <w:right w:val="none" w:sz="0" w:space="0" w:color="auto"/>
                      </w:divBdr>
                    </w:div>
                  </w:divsChild>
                </w:div>
                <w:div w:id="381057431">
                  <w:marLeft w:val="0"/>
                  <w:marRight w:val="0"/>
                  <w:marTop w:val="0"/>
                  <w:marBottom w:val="0"/>
                  <w:divBdr>
                    <w:top w:val="none" w:sz="0" w:space="0" w:color="auto"/>
                    <w:left w:val="none" w:sz="0" w:space="0" w:color="auto"/>
                    <w:bottom w:val="none" w:sz="0" w:space="0" w:color="auto"/>
                    <w:right w:val="none" w:sz="0" w:space="0" w:color="auto"/>
                  </w:divBdr>
                  <w:divsChild>
                    <w:div w:id="890460020">
                      <w:marLeft w:val="0"/>
                      <w:marRight w:val="0"/>
                      <w:marTop w:val="0"/>
                      <w:marBottom w:val="0"/>
                      <w:divBdr>
                        <w:top w:val="none" w:sz="0" w:space="0" w:color="auto"/>
                        <w:left w:val="none" w:sz="0" w:space="0" w:color="auto"/>
                        <w:bottom w:val="none" w:sz="0" w:space="0" w:color="auto"/>
                        <w:right w:val="none" w:sz="0" w:space="0" w:color="auto"/>
                      </w:divBdr>
                    </w:div>
                  </w:divsChild>
                </w:div>
                <w:div w:id="420372751">
                  <w:marLeft w:val="0"/>
                  <w:marRight w:val="0"/>
                  <w:marTop w:val="0"/>
                  <w:marBottom w:val="0"/>
                  <w:divBdr>
                    <w:top w:val="none" w:sz="0" w:space="0" w:color="auto"/>
                    <w:left w:val="none" w:sz="0" w:space="0" w:color="auto"/>
                    <w:bottom w:val="none" w:sz="0" w:space="0" w:color="auto"/>
                    <w:right w:val="none" w:sz="0" w:space="0" w:color="auto"/>
                  </w:divBdr>
                  <w:divsChild>
                    <w:div w:id="2122215839">
                      <w:marLeft w:val="0"/>
                      <w:marRight w:val="0"/>
                      <w:marTop w:val="0"/>
                      <w:marBottom w:val="0"/>
                      <w:divBdr>
                        <w:top w:val="none" w:sz="0" w:space="0" w:color="auto"/>
                        <w:left w:val="none" w:sz="0" w:space="0" w:color="auto"/>
                        <w:bottom w:val="none" w:sz="0" w:space="0" w:color="auto"/>
                        <w:right w:val="none" w:sz="0" w:space="0" w:color="auto"/>
                      </w:divBdr>
                    </w:div>
                  </w:divsChild>
                </w:div>
                <w:div w:id="452750582">
                  <w:marLeft w:val="0"/>
                  <w:marRight w:val="0"/>
                  <w:marTop w:val="0"/>
                  <w:marBottom w:val="0"/>
                  <w:divBdr>
                    <w:top w:val="none" w:sz="0" w:space="0" w:color="auto"/>
                    <w:left w:val="none" w:sz="0" w:space="0" w:color="auto"/>
                    <w:bottom w:val="none" w:sz="0" w:space="0" w:color="auto"/>
                    <w:right w:val="none" w:sz="0" w:space="0" w:color="auto"/>
                  </w:divBdr>
                  <w:divsChild>
                    <w:div w:id="871579803">
                      <w:marLeft w:val="0"/>
                      <w:marRight w:val="0"/>
                      <w:marTop w:val="0"/>
                      <w:marBottom w:val="0"/>
                      <w:divBdr>
                        <w:top w:val="none" w:sz="0" w:space="0" w:color="auto"/>
                        <w:left w:val="none" w:sz="0" w:space="0" w:color="auto"/>
                        <w:bottom w:val="none" w:sz="0" w:space="0" w:color="auto"/>
                        <w:right w:val="none" w:sz="0" w:space="0" w:color="auto"/>
                      </w:divBdr>
                    </w:div>
                  </w:divsChild>
                </w:div>
                <w:div w:id="462578441">
                  <w:marLeft w:val="0"/>
                  <w:marRight w:val="0"/>
                  <w:marTop w:val="0"/>
                  <w:marBottom w:val="0"/>
                  <w:divBdr>
                    <w:top w:val="none" w:sz="0" w:space="0" w:color="auto"/>
                    <w:left w:val="none" w:sz="0" w:space="0" w:color="auto"/>
                    <w:bottom w:val="none" w:sz="0" w:space="0" w:color="auto"/>
                    <w:right w:val="none" w:sz="0" w:space="0" w:color="auto"/>
                  </w:divBdr>
                  <w:divsChild>
                    <w:div w:id="1980307381">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0"/>
                  <w:marBottom w:val="0"/>
                  <w:divBdr>
                    <w:top w:val="none" w:sz="0" w:space="0" w:color="auto"/>
                    <w:left w:val="none" w:sz="0" w:space="0" w:color="auto"/>
                    <w:bottom w:val="none" w:sz="0" w:space="0" w:color="auto"/>
                    <w:right w:val="none" w:sz="0" w:space="0" w:color="auto"/>
                  </w:divBdr>
                  <w:divsChild>
                    <w:div w:id="1585146271">
                      <w:marLeft w:val="0"/>
                      <w:marRight w:val="0"/>
                      <w:marTop w:val="0"/>
                      <w:marBottom w:val="0"/>
                      <w:divBdr>
                        <w:top w:val="none" w:sz="0" w:space="0" w:color="auto"/>
                        <w:left w:val="none" w:sz="0" w:space="0" w:color="auto"/>
                        <w:bottom w:val="none" w:sz="0" w:space="0" w:color="auto"/>
                        <w:right w:val="none" w:sz="0" w:space="0" w:color="auto"/>
                      </w:divBdr>
                    </w:div>
                  </w:divsChild>
                </w:div>
                <w:div w:id="508525670">
                  <w:marLeft w:val="0"/>
                  <w:marRight w:val="0"/>
                  <w:marTop w:val="0"/>
                  <w:marBottom w:val="0"/>
                  <w:divBdr>
                    <w:top w:val="none" w:sz="0" w:space="0" w:color="auto"/>
                    <w:left w:val="none" w:sz="0" w:space="0" w:color="auto"/>
                    <w:bottom w:val="none" w:sz="0" w:space="0" w:color="auto"/>
                    <w:right w:val="none" w:sz="0" w:space="0" w:color="auto"/>
                  </w:divBdr>
                  <w:divsChild>
                    <w:div w:id="961114067">
                      <w:marLeft w:val="0"/>
                      <w:marRight w:val="0"/>
                      <w:marTop w:val="0"/>
                      <w:marBottom w:val="0"/>
                      <w:divBdr>
                        <w:top w:val="none" w:sz="0" w:space="0" w:color="auto"/>
                        <w:left w:val="none" w:sz="0" w:space="0" w:color="auto"/>
                        <w:bottom w:val="none" w:sz="0" w:space="0" w:color="auto"/>
                        <w:right w:val="none" w:sz="0" w:space="0" w:color="auto"/>
                      </w:divBdr>
                    </w:div>
                  </w:divsChild>
                </w:div>
                <w:div w:id="522061291">
                  <w:marLeft w:val="0"/>
                  <w:marRight w:val="0"/>
                  <w:marTop w:val="0"/>
                  <w:marBottom w:val="0"/>
                  <w:divBdr>
                    <w:top w:val="none" w:sz="0" w:space="0" w:color="auto"/>
                    <w:left w:val="none" w:sz="0" w:space="0" w:color="auto"/>
                    <w:bottom w:val="none" w:sz="0" w:space="0" w:color="auto"/>
                    <w:right w:val="none" w:sz="0" w:space="0" w:color="auto"/>
                  </w:divBdr>
                  <w:divsChild>
                    <w:div w:id="1531186931">
                      <w:marLeft w:val="0"/>
                      <w:marRight w:val="0"/>
                      <w:marTop w:val="0"/>
                      <w:marBottom w:val="0"/>
                      <w:divBdr>
                        <w:top w:val="none" w:sz="0" w:space="0" w:color="auto"/>
                        <w:left w:val="none" w:sz="0" w:space="0" w:color="auto"/>
                        <w:bottom w:val="none" w:sz="0" w:space="0" w:color="auto"/>
                        <w:right w:val="none" w:sz="0" w:space="0" w:color="auto"/>
                      </w:divBdr>
                    </w:div>
                  </w:divsChild>
                </w:div>
                <w:div w:id="586352586">
                  <w:marLeft w:val="0"/>
                  <w:marRight w:val="0"/>
                  <w:marTop w:val="0"/>
                  <w:marBottom w:val="0"/>
                  <w:divBdr>
                    <w:top w:val="none" w:sz="0" w:space="0" w:color="auto"/>
                    <w:left w:val="none" w:sz="0" w:space="0" w:color="auto"/>
                    <w:bottom w:val="none" w:sz="0" w:space="0" w:color="auto"/>
                    <w:right w:val="none" w:sz="0" w:space="0" w:color="auto"/>
                  </w:divBdr>
                  <w:divsChild>
                    <w:div w:id="294793480">
                      <w:marLeft w:val="0"/>
                      <w:marRight w:val="0"/>
                      <w:marTop w:val="0"/>
                      <w:marBottom w:val="0"/>
                      <w:divBdr>
                        <w:top w:val="none" w:sz="0" w:space="0" w:color="auto"/>
                        <w:left w:val="none" w:sz="0" w:space="0" w:color="auto"/>
                        <w:bottom w:val="none" w:sz="0" w:space="0" w:color="auto"/>
                        <w:right w:val="none" w:sz="0" w:space="0" w:color="auto"/>
                      </w:divBdr>
                    </w:div>
                  </w:divsChild>
                </w:div>
                <w:div w:id="658851831">
                  <w:marLeft w:val="0"/>
                  <w:marRight w:val="0"/>
                  <w:marTop w:val="0"/>
                  <w:marBottom w:val="0"/>
                  <w:divBdr>
                    <w:top w:val="none" w:sz="0" w:space="0" w:color="auto"/>
                    <w:left w:val="none" w:sz="0" w:space="0" w:color="auto"/>
                    <w:bottom w:val="none" w:sz="0" w:space="0" w:color="auto"/>
                    <w:right w:val="none" w:sz="0" w:space="0" w:color="auto"/>
                  </w:divBdr>
                  <w:divsChild>
                    <w:div w:id="1553425836">
                      <w:marLeft w:val="0"/>
                      <w:marRight w:val="0"/>
                      <w:marTop w:val="0"/>
                      <w:marBottom w:val="0"/>
                      <w:divBdr>
                        <w:top w:val="none" w:sz="0" w:space="0" w:color="auto"/>
                        <w:left w:val="none" w:sz="0" w:space="0" w:color="auto"/>
                        <w:bottom w:val="none" w:sz="0" w:space="0" w:color="auto"/>
                        <w:right w:val="none" w:sz="0" w:space="0" w:color="auto"/>
                      </w:divBdr>
                    </w:div>
                  </w:divsChild>
                </w:div>
                <w:div w:id="672924626">
                  <w:marLeft w:val="0"/>
                  <w:marRight w:val="0"/>
                  <w:marTop w:val="0"/>
                  <w:marBottom w:val="0"/>
                  <w:divBdr>
                    <w:top w:val="none" w:sz="0" w:space="0" w:color="auto"/>
                    <w:left w:val="none" w:sz="0" w:space="0" w:color="auto"/>
                    <w:bottom w:val="none" w:sz="0" w:space="0" w:color="auto"/>
                    <w:right w:val="none" w:sz="0" w:space="0" w:color="auto"/>
                  </w:divBdr>
                  <w:divsChild>
                    <w:div w:id="1661469577">
                      <w:marLeft w:val="0"/>
                      <w:marRight w:val="0"/>
                      <w:marTop w:val="0"/>
                      <w:marBottom w:val="0"/>
                      <w:divBdr>
                        <w:top w:val="none" w:sz="0" w:space="0" w:color="auto"/>
                        <w:left w:val="none" w:sz="0" w:space="0" w:color="auto"/>
                        <w:bottom w:val="none" w:sz="0" w:space="0" w:color="auto"/>
                        <w:right w:val="none" w:sz="0" w:space="0" w:color="auto"/>
                      </w:divBdr>
                    </w:div>
                  </w:divsChild>
                </w:div>
                <w:div w:id="745537562">
                  <w:marLeft w:val="0"/>
                  <w:marRight w:val="0"/>
                  <w:marTop w:val="0"/>
                  <w:marBottom w:val="0"/>
                  <w:divBdr>
                    <w:top w:val="none" w:sz="0" w:space="0" w:color="auto"/>
                    <w:left w:val="none" w:sz="0" w:space="0" w:color="auto"/>
                    <w:bottom w:val="none" w:sz="0" w:space="0" w:color="auto"/>
                    <w:right w:val="none" w:sz="0" w:space="0" w:color="auto"/>
                  </w:divBdr>
                  <w:divsChild>
                    <w:div w:id="101656830">
                      <w:marLeft w:val="0"/>
                      <w:marRight w:val="0"/>
                      <w:marTop w:val="0"/>
                      <w:marBottom w:val="0"/>
                      <w:divBdr>
                        <w:top w:val="none" w:sz="0" w:space="0" w:color="auto"/>
                        <w:left w:val="none" w:sz="0" w:space="0" w:color="auto"/>
                        <w:bottom w:val="none" w:sz="0" w:space="0" w:color="auto"/>
                        <w:right w:val="none" w:sz="0" w:space="0" w:color="auto"/>
                      </w:divBdr>
                    </w:div>
                  </w:divsChild>
                </w:div>
                <w:div w:id="805049597">
                  <w:marLeft w:val="0"/>
                  <w:marRight w:val="0"/>
                  <w:marTop w:val="0"/>
                  <w:marBottom w:val="0"/>
                  <w:divBdr>
                    <w:top w:val="none" w:sz="0" w:space="0" w:color="auto"/>
                    <w:left w:val="none" w:sz="0" w:space="0" w:color="auto"/>
                    <w:bottom w:val="none" w:sz="0" w:space="0" w:color="auto"/>
                    <w:right w:val="none" w:sz="0" w:space="0" w:color="auto"/>
                  </w:divBdr>
                  <w:divsChild>
                    <w:div w:id="1601328786">
                      <w:marLeft w:val="0"/>
                      <w:marRight w:val="0"/>
                      <w:marTop w:val="0"/>
                      <w:marBottom w:val="0"/>
                      <w:divBdr>
                        <w:top w:val="none" w:sz="0" w:space="0" w:color="auto"/>
                        <w:left w:val="none" w:sz="0" w:space="0" w:color="auto"/>
                        <w:bottom w:val="none" w:sz="0" w:space="0" w:color="auto"/>
                        <w:right w:val="none" w:sz="0" w:space="0" w:color="auto"/>
                      </w:divBdr>
                    </w:div>
                  </w:divsChild>
                </w:div>
                <w:div w:id="832111916">
                  <w:marLeft w:val="0"/>
                  <w:marRight w:val="0"/>
                  <w:marTop w:val="0"/>
                  <w:marBottom w:val="0"/>
                  <w:divBdr>
                    <w:top w:val="none" w:sz="0" w:space="0" w:color="auto"/>
                    <w:left w:val="none" w:sz="0" w:space="0" w:color="auto"/>
                    <w:bottom w:val="none" w:sz="0" w:space="0" w:color="auto"/>
                    <w:right w:val="none" w:sz="0" w:space="0" w:color="auto"/>
                  </w:divBdr>
                  <w:divsChild>
                    <w:div w:id="622155109">
                      <w:marLeft w:val="0"/>
                      <w:marRight w:val="0"/>
                      <w:marTop w:val="0"/>
                      <w:marBottom w:val="0"/>
                      <w:divBdr>
                        <w:top w:val="none" w:sz="0" w:space="0" w:color="auto"/>
                        <w:left w:val="none" w:sz="0" w:space="0" w:color="auto"/>
                        <w:bottom w:val="none" w:sz="0" w:space="0" w:color="auto"/>
                        <w:right w:val="none" w:sz="0" w:space="0" w:color="auto"/>
                      </w:divBdr>
                    </w:div>
                  </w:divsChild>
                </w:div>
                <w:div w:id="874197086">
                  <w:marLeft w:val="0"/>
                  <w:marRight w:val="0"/>
                  <w:marTop w:val="0"/>
                  <w:marBottom w:val="0"/>
                  <w:divBdr>
                    <w:top w:val="none" w:sz="0" w:space="0" w:color="auto"/>
                    <w:left w:val="none" w:sz="0" w:space="0" w:color="auto"/>
                    <w:bottom w:val="none" w:sz="0" w:space="0" w:color="auto"/>
                    <w:right w:val="none" w:sz="0" w:space="0" w:color="auto"/>
                  </w:divBdr>
                  <w:divsChild>
                    <w:div w:id="340931616">
                      <w:marLeft w:val="0"/>
                      <w:marRight w:val="0"/>
                      <w:marTop w:val="0"/>
                      <w:marBottom w:val="0"/>
                      <w:divBdr>
                        <w:top w:val="none" w:sz="0" w:space="0" w:color="auto"/>
                        <w:left w:val="none" w:sz="0" w:space="0" w:color="auto"/>
                        <w:bottom w:val="none" w:sz="0" w:space="0" w:color="auto"/>
                        <w:right w:val="none" w:sz="0" w:space="0" w:color="auto"/>
                      </w:divBdr>
                    </w:div>
                    <w:div w:id="1366441595">
                      <w:marLeft w:val="0"/>
                      <w:marRight w:val="0"/>
                      <w:marTop w:val="0"/>
                      <w:marBottom w:val="0"/>
                      <w:divBdr>
                        <w:top w:val="none" w:sz="0" w:space="0" w:color="auto"/>
                        <w:left w:val="none" w:sz="0" w:space="0" w:color="auto"/>
                        <w:bottom w:val="none" w:sz="0" w:space="0" w:color="auto"/>
                        <w:right w:val="none" w:sz="0" w:space="0" w:color="auto"/>
                      </w:divBdr>
                    </w:div>
                  </w:divsChild>
                </w:div>
                <w:div w:id="915361520">
                  <w:marLeft w:val="0"/>
                  <w:marRight w:val="0"/>
                  <w:marTop w:val="0"/>
                  <w:marBottom w:val="0"/>
                  <w:divBdr>
                    <w:top w:val="none" w:sz="0" w:space="0" w:color="auto"/>
                    <w:left w:val="none" w:sz="0" w:space="0" w:color="auto"/>
                    <w:bottom w:val="none" w:sz="0" w:space="0" w:color="auto"/>
                    <w:right w:val="none" w:sz="0" w:space="0" w:color="auto"/>
                  </w:divBdr>
                  <w:divsChild>
                    <w:div w:id="1574271156">
                      <w:marLeft w:val="0"/>
                      <w:marRight w:val="0"/>
                      <w:marTop w:val="0"/>
                      <w:marBottom w:val="0"/>
                      <w:divBdr>
                        <w:top w:val="none" w:sz="0" w:space="0" w:color="auto"/>
                        <w:left w:val="none" w:sz="0" w:space="0" w:color="auto"/>
                        <w:bottom w:val="none" w:sz="0" w:space="0" w:color="auto"/>
                        <w:right w:val="none" w:sz="0" w:space="0" w:color="auto"/>
                      </w:divBdr>
                    </w:div>
                  </w:divsChild>
                </w:div>
                <w:div w:id="963267717">
                  <w:marLeft w:val="0"/>
                  <w:marRight w:val="0"/>
                  <w:marTop w:val="0"/>
                  <w:marBottom w:val="0"/>
                  <w:divBdr>
                    <w:top w:val="none" w:sz="0" w:space="0" w:color="auto"/>
                    <w:left w:val="none" w:sz="0" w:space="0" w:color="auto"/>
                    <w:bottom w:val="none" w:sz="0" w:space="0" w:color="auto"/>
                    <w:right w:val="none" w:sz="0" w:space="0" w:color="auto"/>
                  </w:divBdr>
                  <w:divsChild>
                    <w:div w:id="281309207">
                      <w:marLeft w:val="0"/>
                      <w:marRight w:val="0"/>
                      <w:marTop w:val="0"/>
                      <w:marBottom w:val="0"/>
                      <w:divBdr>
                        <w:top w:val="none" w:sz="0" w:space="0" w:color="auto"/>
                        <w:left w:val="none" w:sz="0" w:space="0" w:color="auto"/>
                        <w:bottom w:val="none" w:sz="0" w:space="0" w:color="auto"/>
                        <w:right w:val="none" w:sz="0" w:space="0" w:color="auto"/>
                      </w:divBdr>
                    </w:div>
                  </w:divsChild>
                </w:div>
                <w:div w:id="1073432227">
                  <w:marLeft w:val="0"/>
                  <w:marRight w:val="0"/>
                  <w:marTop w:val="0"/>
                  <w:marBottom w:val="0"/>
                  <w:divBdr>
                    <w:top w:val="none" w:sz="0" w:space="0" w:color="auto"/>
                    <w:left w:val="none" w:sz="0" w:space="0" w:color="auto"/>
                    <w:bottom w:val="none" w:sz="0" w:space="0" w:color="auto"/>
                    <w:right w:val="none" w:sz="0" w:space="0" w:color="auto"/>
                  </w:divBdr>
                  <w:divsChild>
                    <w:div w:id="423890473">
                      <w:marLeft w:val="0"/>
                      <w:marRight w:val="0"/>
                      <w:marTop w:val="0"/>
                      <w:marBottom w:val="0"/>
                      <w:divBdr>
                        <w:top w:val="none" w:sz="0" w:space="0" w:color="auto"/>
                        <w:left w:val="none" w:sz="0" w:space="0" w:color="auto"/>
                        <w:bottom w:val="none" w:sz="0" w:space="0" w:color="auto"/>
                        <w:right w:val="none" w:sz="0" w:space="0" w:color="auto"/>
                      </w:divBdr>
                    </w:div>
                  </w:divsChild>
                </w:div>
                <w:div w:id="1088499283">
                  <w:marLeft w:val="0"/>
                  <w:marRight w:val="0"/>
                  <w:marTop w:val="0"/>
                  <w:marBottom w:val="0"/>
                  <w:divBdr>
                    <w:top w:val="none" w:sz="0" w:space="0" w:color="auto"/>
                    <w:left w:val="none" w:sz="0" w:space="0" w:color="auto"/>
                    <w:bottom w:val="none" w:sz="0" w:space="0" w:color="auto"/>
                    <w:right w:val="none" w:sz="0" w:space="0" w:color="auto"/>
                  </w:divBdr>
                  <w:divsChild>
                    <w:div w:id="646251165">
                      <w:marLeft w:val="0"/>
                      <w:marRight w:val="0"/>
                      <w:marTop w:val="0"/>
                      <w:marBottom w:val="0"/>
                      <w:divBdr>
                        <w:top w:val="none" w:sz="0" w:space="0" w:color="auto"/>
                        <w:left w:val="none" w:sz="0" w:space="0" w:color="auto"/>
                        <w:bottom w:val="none" w:sz="0" w:space="0" w:color="auto"/>
                        <w:right w:val="none" w:sz="0" w:space="0" w:color="auto"/>
                      </w:divBdr>
                    </w:div>
                  </w:divsChild>
                </w:div>
                <w:div w:id="1127577662">
                  <w:marLeft w:val="0"/>
                  <w:marRight w:val="0"/>
                  <w:marTop w:val="0"/>
                  <w:marBottom w:val="0"/>
                  <w:divBdr>
                    <w:top w:val="none" w:sz="0" w:space="0" w:color="auto"/>
                    <w:left w:val="none" w:sz="0" w:space="0" w:color="auto"/>
                    <w:bottom w:val="none" w:sz="0" w:space="0" w:color="auto"/>
                    <w:right w:val="none" w:sz="0" w:space="0" w:color="auto"/>
                  </w:divBdr>
                  <w:divsChild>
                    <w:div w:id="1459295699">
                      <w:marLeft w:val="0"/>
                      <w:marRight w:val="0"/>
                      <w:marTop w:val="0"/>
                      <w:marBottom w:val="0"/>
                      <w:divBdr>
                        <w:top w:val="none" w:sz="0" w:space="0" w:color="auto"/>
                        <w:left w:val="none" w:sz="0" w:space="0" w:color="auto"/>
                        <w:bottom w:val="none" w:sz="0" w:space="0" w:color="auto"/>
                        <w:right w:val="none" w:sz="0" w:space="0" w:color="auto"/>
                      </w:divBdr>
                    </w:div>
                  </w:divsChild>
                </w:div>
                <w:div w:id="1188759120">
                  <w:marLeft w:val="0"/>
                  <w:marRight w:val="0"/>
                  <w:marTop w:val="0"/>
                  <w:marBottom w:val="0"/>
                  <w:divBdr>
                    <w:top w:val="none" w:sz="0" w:space="0" w:color="auto"/>
                    <w:left w:val="none" w:sz="0" w:space="0" w:color="auto"/>
                    <w:bottom w:val="none" w:sz="0" w:space="0" w:color="auto"/>
                    <w:right w:val="none" w:sz="0" w:space="0" w:color="auto"/>
                  </w:divBdr>
                  <w:divsChild>
                    <w:div w:id="1493377662">
                      <w:marLeft w:val="0"/>
                      <w:marRight w:val="0"/>
                      <w:marTop w:val="0"/>
                      <w:marBottom w:val="0"/>
                      <w:divBdr>
                        <w:top w:val="none" w:sz="0" w:space="0" w:color="auto"/>
                        <w:left w:val="none" w:sz="0" w:space="0" w:color="auto"/>
                        <w:bottom w:val="none" w:sz="0" w:space="0" w:color="auto"/>
                        <w:right w:val="none" w:sz="0" w:space="0" w:color="auto"/>
                      </w:divBdr>
                    </w:div>
                  </w:divsChild>
                </w:div>
                <w:div w:id="1294409376">
                  <w:marLeft w:val="0"/>
                  <w:marRight w:val="0"/>
                  <w:marTop w:val="0"/>
                  <w:marBottom w:val="0"/>
                  <w:divBdr>
                    <w:top w:val="none" w:sz="0" w:space="0" w:color="auto"/>
                    <w:left w:val="none" w:sz="0" w:space="0" w:color="auto"/>
                    <w:bottom w:val="none" w:sz="0" w:space="0" w:color="auto"/>
                    <w:right w:val="none" w:sz="0" w:space="0" w:color="auto"/>
                  </w:divBdr>
                  <w:divsChild>
                    <w:div w:id="1660697756">
                      <w:marLeft w:val="0"/>
                      <w:marRight w:val="0"/>
                      <w:marTop w:val="0"/>
                      <w:marBottom w:val="0"/>
                      <w:divBdr>
                        <w:top w:val="none" w:sz="0" w:space="0" w:color="auto"/>
                        <w:left w:val="none" w:sz="0" w:space="0" w:color="auto"/>
                        <w:bottom w:val="none" w:sz="0" w:space="0" w:color="auto"/>
                        <w:right w:val="none" w:sz="0" w:space="0" w:color="auto"/>
                      </w:divBdr>
                    </w:div>
                  </w:divsChild>
                </w:div>
                <w:div w:id="1337729944">
                  <w:marLeft w:val="0"/>
                  <w:marRight w:val="0"/>
                  <w:marTop w:val="0"/>
                  <w:marBottom w:val="0"/>
                  <w:divBdr>
                    <w:top w:val="none" w:sz="0" w:space="0" w:color="auto"/>
                    <w:left w:val="none" w:sz="0" w:space="0" w:color="auto"/>
                    <w:bottom w:val="none" w:sz="0" w:space="0" w:color="auto"/>
                    <w:right w:val="none" w:sz="0" w:space="0" w:color="auto"/>
                  </w:divBdr>
                  <w:divsChild>
                    <w:div w:id="728000261">
                      <w:marLeft w:val="0"/>
                      <w:marRight w:val="0"/>
                      <w:marTop w:val="0"/>
                      <w:marBottom w:val="0"/>
                      <w:divBdr>
                        <w:top w:val="none" w:sz="0" w:space="0" w:color="auto"/>
                        <w:left w:val="none" w:sz="0" w:space="0" w:color="auto"/>
                        <w:bottom w:val="none" w:sz="0" w:space="0" w:color="auto"/>
                        <w:right w:val="none" w:sz="0" w:space="0" w:color="auto"/>
                      </w:divBdr>
                    </w:div>
                  </w:divsChild>
                </w:div>
                <w:div w:id="1362778155">
                  <w:marLeft w:val="0"/>
                  <w:marRight w:val="0"/>
                  <w:marTop w:val="0"/>
                  <w:marBottom w:val="0"/>
                  <w:divBdr>
                    <w:top w:val="none" w:sz="0" w:space="0" w:color="auto"/>
                    <w:left w:val="none" w:sz="0" w:space="0" w:color="auto"/>
                    <w:bottom w:val="none" w:sz="0" w:space="0" w:color="auto"/>
                    <w:right w:val="none" w:sz="0" w:space="0" w:color="auto"/>
                  </w:divBdr>
                  <w:divsChild>
                    <w:div w:id="2020692306">
                      <w:marLeft w:val="0"/>
                      <w:marRight w:val="0"/>
                      <w:marTop w:val="0"/>
                      <w:marBottom w:val="0"/>
                      <w:divBdr>
                        <w:top w:val="none" w:sz="0" w:space="0" w:color="auto"/>
                        <w:left w:val="none" w:sz="0" w:space="0" w:color="auto"/>
                        <w:bottom w:val="none" w:sz="0" w:space="0" w:color="auto"/>
                        <w:right w:val="none" w:sz="0" w:space="0" w:color="auto"/>
                      </w:divBdr>
                    </w:div>
                  </w:divsChild>
                </w:div>
                <w:div w:id="1391803026">
                  <w:marLeft w:val="0"/>
                  <w:marRight w:val="0"/>
                  <w:marTop w:val="0"/>
                  <w:marBottom w:val="0"/>
                  <w:divBdr>
                    <w:top w:val="none" w:sz="0" w:space="0" w:color="auto"/>
                    <w:left w:val="none" w:sz="0" w:space="0" w:color="auto"/>
                    <w:bottom w:val="none" w:sz="0" w:space="0" w:color="auto"/>
                    <w:right w:val="none" w:sz="0" w:space="0" w:color="auto"/>
                  </w:divBdr>
                  <w:divsChild>
                    <w:div w:id="1139104219">
                      <w:marLeft w:val="0"/>
                      <w:marRight w:val="0"/>
                      <w:marTop w:val="0"/>
                      <w:marBottom w:val="0"/>
                      <w:divBdr>
                        <w:top w:val="none" w:sz="0" w:space="0" w:color="auto"/>
                        <w:left w:val="none" w:sz="0" w:space="0" w:color="auto"/>
                        <w:bottom w:val="none" w:sz="0" w:space="0" w:color="auto"/>
                        <w:right w:val="none" w:sz="0" w:space="0" w:color="auto"/>
                      </w:divBdr>
                    </w:div>
                  </w:divsChild>
                </w:div>
                <w:div w:id="1393038082">
                  <w:marLeft w:val="0"/>
                  <w:marRight w:val="0"/>
                  <w:marTop w:val="0"/>
                  <w:marBottom w:val="0"/>
                  <w:divBdr>
                    <w:top w:val="none" w:sz="0" w:space="0" w:color="auto"/>
                    <w:left w:val="none" w:sz="0" w:space="0" w:color="auto"/>
                    <w:bottom w:val="none" w:sz="0" w:space="0" w:color="auto"/>
                    <w:right w:val="none" w:sz="0" w:space="0" w:color="auto"/>
                  </w:divBdr>
                  <w:divsChild>
                    <w:div w:id="1012027163">
                      <w:marLeft w:val="0"/>
                      <w:marRight w:val="0"/>
                      <w:marTop w:val="0"/>
                      <w:marBottom w:val="0"/>
                      <w:divBdr>
                        <w:top w:val="none" w:sz="0" w:space="0" w:color="auto"/>
                        <w:left w:val="none" w:sz="0" w:space="0" w:color="auto"/>
                        <w:bottom w:val="none" w:sz="0" w:space="0" w:color="auto"/>
                        <w:right w:val="none" w:sz="0" w:space="0" w:color="auto"/>
                      </w:divBdr>
                    </w:div>
                  </w:divsChild>
                </w:div>
                <w:div w:id="1430932998">
                  <w:marLeft w:val="0"/>
                  <w:marRight w:val="0"/>
                  <w:marTop w:val="0"/>
                  <w:marBottom w:val="0"/>
                  <w:divBdr>
                    <w:top w:val="none" w:sz="0" w:space="0" w:color="auto"/>
                    <w:left w:val="none" w:sz="0" w:space="0" w:color="auto"/>
                    <w:bottom w:val="none" w:sz="0" w:space="0" w:color="auto"/>
                    <w:right w:val="none" w:sz="0" w:space="0" w:color="auto"/>
                  </w:divBdr>
                  <w:divsChild>
                    <w:div w:id="2042587903">
                      <w:marLeft w:val="0"/>
                      <w:marRight w:val="0"/>
                      <w:marTop w:val="0"/>
                      <w:marBottom w:val="0"/>
                      <w:divBdr>
                        <w:top w:val="none" w:sz="0" w:space="0" w:color="auto"/>
                        <w:left w:val="none" w:sz="0" w:space="0" w:color="auto"/>
                        <w:bottom w:val="none" w:sz="0" w:space="0" w:color="auto"/>
                        <w:right w:val="none" w:sz="0" w:space="0" w:color="auto"/>
                      </w:divBdr>
                    </w:div>
                  </w:divsChild>
                </w:div>
                <w:div w:id="1545603023">
                  <w:marLeft w:val="0"/>
                  <w:marRight w:val="0"/>
                  <w:marTop w:val="0"/>
                  <w:marBottom w:val="0"/>
                  <w:divBdr>
                    <w:top w:val="none" w:sz="0" w:space="0" w:color="auto"/>
                    <w:left w:val="none" w:sz="0" w:space="0" w:color="auto"/>
                    <w:bottom w:val="none" w:sz="0" w:space="0" w:color="auto"/>
                    <w:right w:val="none" w:sz="0" w:space="0" w:color="auto"/>
                  </w:divBdr>
                  <w:divsChild>
                    <w:div w:id="779763452">
                      <w:marLeft w:val="0"/>
                      <w:marRight w:val="0"/>
                      <w:marTop w:val="0"/>
                      <w:marBottom w:val="0"/>
                      <w:divBdr>
                        <w:top w:val="none" w:sz="0" w:space="0" w:color="auto"/>
                        <w:left w:val="none" w:sz="0" w:space="0" w:color="auto"/>
                        <w:bottom w:val="none" w:sz="0" w:space="0" w:color="auto"/>
                        <w:right w:val="none" w:sz="0" w:space="0" w:color="auto"/>
                      </w:divBdr>
                    </w:div>
                  </w:divsChild>
                </w:div>
                <w:div w:id="1622220928">
                  <w:marLeft w:val="0"/>
                  <w:marRight w:val="0"/>
                  <w:marTop w:val="0"/>
                  <w:marBottom w:val="0"/>
                  <w:divBdr>
                    <w:top w:val="none" w:sz="0" w:space="0" w:color="auto"/>
                    <w:left w:val="none" w:sz="0" w:space="0" w:color="auto"/>
                    <w:bottom w:val="none" w:sz="0" w:space="0" w:color="auto"/>
                    <w:right w:val="none" w:sz="0" w:space="0" w:color="auto"/>
                  </w:divBdr>
                  <w:divsChild>
                    <w:div w:id="113791344">
                      <w:marLeft w:val="0"/>
                      <w:marRight w:val="0"/>
                      <w:marTop w:val="0"/>
                      <w:marBottom w:val="0"/>
                      <w:divBdr>
                        <w:top w:val="none" w:sz="0" w:space="0" w:color="auto"/>
                        <w:left w:val="none" w:sz="0" w:space="0" w:color="auto"/>
                        <w:bottom w:val="none" w:sz="0" w:space="0" w:color="auto"/>
                        <w:right w:val="none" w:sz="0" w:space="0" w:color="auto"/>
                      </w:divBdr>
                    </w:div>
                  </w:divsChild>
                </w:div>
                <w:div w:id="1625307889">
                  <w:marLeft w:val="0"/>
                  <w:marRight w:val="0"/>
                  <w:marTop w:val="0"/>
                  <w:marBottom w:val="0"/>
                  <w:divBdr>
                    <w:top w:val="none" w:sz="0" w:space="0" w:color="auto"/>
                    <w:left w:val="none" w:sz="0" w:space="0" w:color="auto"/>
                    <w:bottom w:val="none" w:sz="0" w:space="0" w:color="auto"/>
                    <w:right w:val="none" w:sz="0" w:space="0" w:color="auto"/>
                  </w:divBdr>
                  <w:divsChild>
                    <w:div w:id="1468203351">
                      <w:marLeft w:val="0"/>
                      <w:marRight w:val="0"/>
                      <w:marTop w:val="0"/>
                      <w:marBottom w:val="0"/>
                      <w:divBdr>
                        <w:top w:val="none" w:sz="0" w:space="0" w:color="auto"/>
                        <w:left w:val="none" w:sz="0" w:space="0" w:color="auto"/>
                        <w:bottom w:val="none" w:sz="0" w:space="0" w:color="auto"/>
                        <w:right w:val="none" w:sz="0" w:space="0" w:color="auto"/>
                      </w:divBdr>
                    </w:div>
                  </w:divsChild>
                </w:div>
                <w:div w:id="1648246394">
                  <w:marLeft w:val="0"/>
                  <w:marRight w:val="0"/>
                  <w:marTop w:val="0"/>
                  <w:marBottom w:val="0"/>
                  <w:divBdr>
                    <w:top w:val="none" w:sz="0" w:space="0" w:color="auto"/>
                    <w:left w:val="none" w:sz="0" w:space="0" w:color="auto"/>
                    <w:bottom w:val="none" w:sz="0" w:space="0" w:color="auto"/>
                    <w:right w:val="none" w:sz="0" w:space="0" w:color="auto"/>
                  </w:divBdr>
                  <w:divsChild>
                    <w:div w:id="322706103">
                      <w:marLeft w:val="0"/>
                      <w:marRight w:val="0"/>
                      <w:marTop w:val="0"/>
                      <w:marBottom w:val="0"/>
                      <w:divBdr>
                        <w:top w:val="none" w:sz="0" w:space="0" w:color="auto"/>
                        <w:left w:val="none" w:sz="0" w:space="0" w:color="auto"/>
                        <w:bottom w:val="none" w:sz="0" w:space="0" w:color="auto"/>
                        <w:right w:val="none" w:sz="0" w:space="0" w:color="auto"/>
                      </w:divBdr>
                    </w:div>
                  </w:divsChild>
                </w:div>
                <w:div w:id="1692798762">
                  <w:marLeft w:val="0"/>
                  <w:marRight w:val="0"/>
                  <w:marTop w:val="0"/>
                  <w:marBottom w:val="0"/>
                  <w:divBdr>
                    <w:top w:val="none" w:sz="0" w:space="0" w:color="auto"/>
                    <w:left w:val="none" w:sz="0" w:space="0" w:color="auto"/>
                    <w:bottom w:val="none" w:sz="0" w:space="0" w:color="auto"/>
                    <w:right w:val="none" w:sz="0" w:space="0" w:color="auto"/>
                  </w:divBdr>
                  <w:divsChild>
                    <w:div w:id="537856944">
                      <w:marLeft w:val="0"/>
                      <w:marRight w:val="0"/>
                      <w:marTop w:val="0"/>
                      <w:marBottom w:val="0"/>
                      <w:divBdr>
                        <w:top w:val="none" w:sz="0" w:space="0" w:color="auto"/>
                        <w:left w:val="none" w:sz="0" w:space="0" w:color="auto"/>
                        <w:bottom w:val="none" w:sz="0" w:space="0" w:color="auto"/>
                        <w:right w:val="none" w:sz="0" w:space="0" w:color="auto"/>
                      </w:divBdr>
                    </w:div>
                  </w:divsChild>
                </w:div>
                <w:div w:id="1854220449">
                  <w:marLeft w:val="0"/>
                  <w:marRight w:val="0"/>
                  <w:marTop w:val="0"/>
                  <w:marBottom w:val="0"/>
                  <w:divBdr>
                    <w:top w:val="none" w:sz="0" w:space="0" w:color="auto"/>
                    <w:left w:val="none" w:sz="0" w:space="0" w:color="auto"/>
                    <w:bottom w:val="none" w:sz="0" w:space="0" w:color="auto"/>
                    <w:right w:val="none" w:sz="0" w:space="0" w:color="auto"/>
                  </w:divBdr>
                  <w:divsChild>
                    <w:div w:id="1809276691">
                      <w:marLeft w:val="0"/>
                      <w:marRight w:val="0"/>
                      <w:marTop w:val="0"/>
                      <w:marBottom w:val="0"/>
                      <w:divBdr>
                        <w:top w:val="none" w:sz="0" w:space="0" w:color="auto"/>
                        <w:left w:val="none" w:sz="0" w:space="0" w:color="auto"/>
                        <w:bottom w:val="none" w:sz="0" w:space="0" w:color="auto"/>
                        <w:right w:val="none" w:sz="0" w:space="0" w:color="auto"/>
                      </w:divBdr>
                    </w:div>
                  </w:divsChild>
                </w:div>
                <w:div w:id="1905681261">
                  <w:marLeft w:val="0"/>
                  <w:marRight w:val="0"/>
                  <w:marTop w:val="0"/>
                  <w:marBottom w:val="0"/>
                  <w:divBdr>
                    <w:top w:val="none" w:sz="0" w:space="0" w:color="auto"/>
                    <w:left w:val="none" w:sz="0" w:space="0" w:color="auto"/>
                    <w:bottom w:val="none" w:sz="0" w:space="0" w:color="auto"/>
                    <w:right w:val="none" w:sz="0" w:space="0" w:color="auto"/>
                  </w:divBdr>
                  <w:divsChild>
                    <w:div w:id="1899242461">
                      <w:marLeft w:val="0"/>
                      <w:marRight w:val="0"/>
                      <w:marTop w:val="0"/>
                      <w:marBottom w:val="0"/>
                      <w:divBdr>
                        <w:top w:val="none" w:sz="0" w:space="0" w:color="auto"/>
                        <w:left w:val="none" w:sz="0" w:space="0" w:color="auto"/>
                        <w:bottom w:val="none" w:sz="0" w:space="0" w:color="auto"/>
                        <w:right w:val="none" w:sz="0" w:space="0" w:color="auto"/>
                      </w:divBdr>
                    </w:div>
                  </w:divsChild>
                </w:div>
                <w:div w:id="1948586456">
                  <w:marLeft w:val="0"/>
                  <w:marRight w:val="0"/>
                  <w:marTop w:val="0"/>
                  <w:marBottom w:val="0"/>
                  <w:divBdr>
                    <w:top w:val="none" w:sz="0" w:space="0" w:color="auto"/>
                    <w:left w:val="none" w:sz="0" w:space="0" w:color="auto"/>
                    <w:bottom w:val="none" w:sz="0" w:space="0" w:color="auto"/>
                    <w:right w:val="none" w:sz="0" w:space="0" w:color="auto"/>
                  </w:divBdr>
                  <w:divsChild>
                    <w:div w:id="950018620">
                      <w:marLeft w:val="0"/>
                      <w:marRight w:val="0"/>
                      <w:marTop w:val="0"/>
                      <w:marBottom w:val="0"/>
                      <w:divBdr>
                        <w:top w:val="none" w:sz="0" w:space="0" w:color="auto"/>
                        <w:left w:val="none" w:sz="0" w:space="0" w:color="auto"/>
                        <w:bottom w:val="none" w:sz="0" w:space="0" w:color="auto"/>
                        <w:right w:val="none" w:sz="0" w:space="0" w:color="auto"/>
                      </w:divBdr>
                    </w:div>
                  </w:divsChild>
                </w:div>
                <w:div w:id="1949655806">
                  <w:marLeft w:val="0"/>
                  <w:marRight w:val="0"/>
                  <w:marTop w:val="0"/>
                  <w:marBottom w:val="0"/>
                  <w:divBdr>
                    <w:top w:val="none" w:sz="0" w:space="0" w:color="auto"/>
                    <w:left w:val="none" w:sz="0" w:space="0" w:color="auto"/>
                    <w:bottom w:val="none" w:sz="0" w:space="0" w:color="auto"/>
                    <w:right w:val="none" w:sz="0" w:space="0" w:color="auto"/>
                  </w:divBdr>
                  <w:divsChild>
                    <w:div w:id="60760783">
                      <w:marLeft w:val="0"/>
                      <w:marRight w:val="0"/>
                      <w:marTop w:val="0"/>
                      <w:marBottom w:val="0"/>
                      <w:divBdr>
                        <w:top w:val="none" w:sz="0" w:space="0" w:color="auto"/>
                        <w:left w:val="none" w:sz="0" w:space="0" w:color="auto"/>
                        <w:bottom w:val="none" w:sz="0" w:space="0" w:color="auto"/>
                        <w:right w:val="none" w:sz="0" w:space="0" w:color="auto"/>
                      </w:divBdr>
                    </w:div>
                  </w:divsChild>
                </w:div>
                <w:div w:id="1975595302">
                  <w:marLeft w:val="0"/>
                  <w:marRight w:val="0"/>
                  <w:marTop w:val="0"/>
                  <w:marBottom w:val="0"/>
                  <w:divBdr>
                    <w:top w:val="none" w:sz="0" w:space="0" w:color="auto"/>
                    <w:left w:val="none" w:sz="0" w:space="0" w:color="auto"/>
                    <w:bottom w:val="none" w:sz="0" w:space="0" w:color="auto"/>
                    <w:right w:val="none" w:sz="0" w:space="0" w:color="auto"/>
                  </w:divBdr>
                  <w:divsChild>
                    <w:div w:id="1249119926">
                      <w:marLeft w:val="0"/>
                      <w:marRight w:val="0"/>
                      <w:marTop w:val="0"/>
                      <w:marBottom w:val="0"/>
                      <w:divBdr>
                        <w:top w:val="none" w:sz="0" w:space="0" w:color="auto"/>
                        <w:left w:val="none" w:sz="0" w:space="0" w:color="auto"/>
                        <w:bottom w:val="none" w:sz="0" w:space="0" w:color="auto"/>
                        <w:right w:val="none" w:sz="0" w:space="0" w:color="auto"/>
                      </w:divBdr>
                    </w:div>
                  </w:divsChild>
                </w:div>
                <w:div w:id="2033994832">
                  <w:marLeft w:val="0"/>
                  <w:marRight w:val="0"/>
                  <w:marTop w:val="0"/>
                  <w:marBottom w:val="0"/>
                  <w:divBdr>
                    <w:top w:val="none" w:sz="0" w:space="0" w:color="auto"/>
                    <w:left w:val="none" w:sz="0" w:space="0" w:color="auto"/>
                    <w:bottom w:val="none" w:sz="0" w:space="0" w:color="auto"/>
                    <w:right w:val="none" w:sz="0" w:space="0" w:color="auto"/>
                  </w:divBdr>
                  <w:divsChild>
                    <w:div w:id="2031056834">
                      <w:marLeft w:val="0"/>
                      <w:marRight w:val="0"/>
                      <w:marTop w:val="0"/>
                      <w:marBottom w:val="0"/>
                      <w:divBdr>
                        <w:top w:val="none" w:sz="0" w:space="0" w:color="auto"/>
                        <w:left w:val="none" w:sz="0" w:space="0" w:color="auto"/>
                        <w:bottom w:val="none" w:sz="0" w:space="0" w:color="auto"/>
                        <w:right w:val="none" w:sz="0" w:space="0" w:color="auto"/>
                      </w:divBdr>
                    </w:div>
                  </w:divsChild>
                </w:div>
                <w:div w:id="2087460104">
                  <w:marLeft w:val="0"/>
                  <w:marRight w:val="0"/>
                  <w:marTop w:val="0"/>
                  <w:marBottom w:val="0"/>
                  <w:divBdr>
                    <w:top w:val="none" w:sz="0" w:space="0" w:color="auto"/>
                    <w:left w:val="none" w:sz="0" w:space="0" w:color="auto"/>
                    <w:bottom w:val="none" w:sz="0" w:space="0" w:color="auto"/>
                    <w:right w:val="none" w:sz="0" w:space="0" w:color="auto"/>
                  </w:divBdr>
                  <w:divsChild>
                    <w:div w:id="17789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7909">
          <w:marLeft w:val="0"/>
          <w:marRight w:val="0"/>
          <w:marTop w:val="0"/>
          <w:marBottom w:val="0"/>
          <w:divBdr>
            <w:top w:val="none" w:sz="0" w:space="0" w:color="auto"/>
            <w:left w:val="none" w:sz="0" w:space="0" w:color="auto"/>
            <w:bottom w:val="none" w:sz="0" w:space="0" w:color="auto"/>
            <w:right w:val="none" w:sz="0" w:space="0" w:color="auto"/>
          </w:divBdr>
          <w:divsChild>
            <w:div w:id="1426608910">
              <w:marLeft w:val="0"/>
              <w:marRight w:val="0"/>
              <w:marTop w:val="0"/>
              <w:marBottom w:val="0"/>
              <w:divBdr>
                <w:top w:val="none" w:sz="0" w:space="0" w:color="auto"/>
                <w:left w:val="none" w:sz="0" w:space="0" w:color="auto"/>
                <w:bottom w:val="none" w:sz="0" w:space="0" w:color="auto"/>
                <w:right w:val="none" w:sz="0" w:space="0" w:color="auto"/>
              </w:divBdr>
            </w:div>
            <w:div w:id="18358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5543">
      <w:bodyDiv w:val="1"/>
      <w:marLeft w:val="0"/>
      <w:marRight w:val="0"/>
      <w:marTop w:val="0"/>
      <w:marBottom w:val="0"/>
      <w:divBdr>
        <w:top w:val="none" w:sz="0" w:space="0" w:color="auto"/>
        <w:left w:val="none" w:sz="0" w:space="0" w:color="auto"/>
        <w:bottom w:val="none" w:sz="0" w:space="0" w:color="auto"/>
        <w:right w:val="none" w:sz="0" w:space="0" w:color="auto"/>
      </w:divBdr>
    </w:div>
    <w:div w:id="741756186">
      <w:bodyDiv w:val="1"/>
      <w:marLeft w:val="0"/>
      <w:marRight w:val="0"/>
      <w:marTop w:val="0"/>
      <w:marBottom w:val="0"/>
      <w:divBdr>
        <w:top w:val="none" w:sz="0" w:space="0" w:color="auto"/>
        <w:left w:val="none" w:sz="0" w:space="0" w:color="auto"/>
        <w:bottom w:val="none" w:sz="0" w:space="0" w:color="auto"/>
        <w:right w:val="none" w:sz="0" w:space="0" w:color="auto"/>
      </w:divBdr>
    </w:div>
    <w:div w:id="894314632">
      <w:bodyDiv w:val="1"/>
      <w:marLeft w:val="0"/>
      <w:marRight w:val="0"/>
      <w:marTop w:val="0"/>
      <w:marBottom w:val="0"/>
      <w:divBdr>
        <w:top w:val="none" w:sz="0" w:space="0" w:color="auto"/>
        <w:left w:val="none" w:sz="0" w:space="0" w:color="auto"/>
        <w:bottom w:val="none" w:sz="0" w:space="0" w:color="auto"/>
        <w:right w:val="none" w:sz="0" w:space="0" w:color="auto"/>
      </w:divBdr>
    </w:div>
    <w:div w:id="901789176">
      <w:bodyDiv w:val="1"/>
      <w:marLeft w:val="0"/>
      <w:marRight w:val="0"/>
      <w:marTop w:val="0"/>
      <w:marBottom w:val="0"/>
      <w:divBdr>
        <w:top w:val="none" w:sz="0" w:space="0" w:color="auto"/>
        <w:left w:val="none" w:sz="0" w:space="0" w:color="auto"/>
        <w:bottom w:val="none" w:sz="0" w:space="0" w:color="auto"/>
        <w:right w:val="none" w:sz="0" w:space="0" w:color="auto"/>
      </w:divBdr>
    </w:div>
    <w:div w:id="997612217">
      <w:bodyDiv w:val="1"/>
      <w:marLeft w:val="0"/>
      <w:marRight w:val="0"/>
      <w:marTop w:val="0"/>
      <w:marBottom w:val="0"/>
      <w:divBdr>
        <w:top w:val="none" w:sz="0" w:space="0" w:color="auto"/>
        <w:left w:val="none" w:sz="0" w:space="0" w:color="auto"/>
        <w:bottom w:val="none" w:sz="0" w:space="0" w:color="auto"/>
        <w:right w:val="none" w:sz="0" w:space="0" w:color="auto"/>
      </w:divBdr>
    </w:div>
    <w:div w:id="1027675743">
      <w:bodyDiv w:val="1"/>
      <w:marLeft w:val="0"/>
      <w:marRight w:val="0"/>
      <w:marTop w:val="0"/>
      <w:marBottom w:val="0"/>
      <w:divBdr>
        <w:top w:val="none" w:sz="0" w:space="0" w:color="auto"/>
        <w:left w:val="none" w:sz="0" w:space="0" w:color="auto"/>
        <w:bottom w:val="none" w:sz="0" w:space="0" w:color="auto"/>
        <w:right w:val="none" w:sz="0" w:space="0" w:color="auto"/>
      </w:divBdr>
    </w:div>
    <w:div w:id="1114982764">
      <w:bodyDiv w:val="1"/>
      <w:marLeft w:val="0"/>
      <w:marRight w:val="0"/>
      <w:marTop w:val="0"/>
      <w:marBottom w:val="0"/>
      <w:divBdr>
        <w:top w:val="none" w:sz="0" w:space="0" w:color="auto"/>
        <w:left w:val="none" w:sz="0" w:space="0" w:color="auto"/>
        <w:bottom w:val="none" w:sz="0" w:space="0" w:color="auto"/>
        <w:right w:val="none" w:sz="0" w:space="0" w:color="auto"/>
      </w:divBdr>
    </w:div>
    <w:div w:id="1151409857">
      <w:bodyDiv w:val="1"/>
      <w:marLeft w:val="0"/>
      <w:marRight w:val="0"/>
      <w:marTop w:val="0"/>
      <w:marBottom w:val="0"/>
      <w:divBdr>
        <w:top w:val="none" w:sz="0" w:space="0" w:color="auto"/>
        <w:left w:val="none" w:sz="0" w:space="0" w:color="auto"/>
        <w:bottom w:val="none" w:sz="0" w:space="0" w:color="auto"/>
        <w:right w:val="none" w:sz="0" w:space="0" w:color="auto"/>
      </w:divBdr>
    </w:div>
    <w:div w:id="1188059476">
      <w:bodyDiv w:val="1"/>
      <w:marLeft w:val="0"/>
      <w:marRight w:val="0"/>
      <w:marTop w:val="0"/>
      <w:marBottom w:val="0"/>
      <w:divBdr>
        <w:top w:val="none" w:sz="0" w:space="0" w:color="auto"/>
        <w:left w:val="none" w:sz="0" w:space="0" w:color="auto"/>
        <w:bottom w:val="none" w:sz="0" w:space="0" w:color="auto"/>
        <w:right w:val="none" w:sz="0" w:space="0" w:color="auto"/>
      </w:divBdr>
    </w:div>
    <w:div w:id="1221673140">
      <w:bodyDiv w:val="1"/>
      <w:marLeft w:val="0"/>
      <w:marRight w:val="0"/>
      <w:marTop w:val="0"/>
      <w:marBottom w:val="0"/>
      <w:divBdr>
        <w:top w:val="none" w:sz="0" w:space="0" w:color="auto"/>
        <w:left w:val="none" w:sz="0" w:space="0" w:color="auto"/>
        <w:bottom w:val="none" w:sz="0" w:space="0" w:color="auto"/>
        <w:right w:val="none" w:sz="0" w:space="0" w:color="auto"/>
      </w:divBdr>
    </w:div>
    <w:div w:id="1229682430">
      <w:bodyDiv w:val="1"/>
      <w:marLeft w:val="0"/>
      <w:marRight w:val="0"/>
      <w:marTop w:val="0"/>
      <w:marBottom w:val="0"/>
      <w:divBdr>
        <w:top w:val="none" w:sz="0" w:space="0" w:color="auto"/>
        <w:left w:val="none" w:sz="0" w:space="0" w:color="auto"/>
        <w:bottom w:val="none" w:sz="0" w:space="0" w:color="auto"/>
        <w:right w:val="none" w:sz="0" w:space="0" w:color="auto"/>
      </w:divBdr>
    </w:div>
    <w:div w:id="1240600881">
      <w:bodyDiv w:val="1"/>
      <w:marLeft w:val="0"/>
      <w:marRight w:val="0"/>
      <w:marTop w:val="0"/>
      <w:marBottom w:val="0"/>
      <w:divBdr>
        <w:top w:val="none" w:sz="0" w:space="0" w:color="auto"/>
        <w:left w:val="none" w:sz="0" w:space="0" w:color="auto"/>
        <w:bottom w:val="none" w:sz="0" w:space="0" w:color="auto"/>
        <w:right w:val="none" w:sz="0" w:space="0" w:color="auto"/>
      </w:divBdr>
    </w:div>
    <w:div w:id="1379433095">
      <w:bodyDiv w:val="1"/>
      <w:marLeft w:val="0"/>
      <w:marRight w:val="0"/>
      <w:marTop w:val="0"/>
      <w:marBottom w:val="0"/>
      <w:divBdr>
        <w:top w:val="none" w:sz="0" w:space="0" w:color="auto"/>
        <w:left w:val="none" w:sz="0" w:space="0" w:color="auto"/>
        <w:bottom w:val="none" w:sz="0" w:space="0" w:color="auto"/>
        <w:right w:val="none" w:sz="0" w:space="0" w:color="auto"/>
      </w:divBdr>
    </w:div>
    <w:div w:id="1461997063">
      <w:bodyDiv w:val="1"/>
      <w:marLeft w:val="0"/>
      <w:marRight w:val="0"/>
      <w:marTop w:val="0"/>
      <w:marBottom w:val="0"/>
      <w:divBdr>
        <w:top w:val="none" w:sz="0" w:space="0" w:color="auto"/>
        <w:left w:val="none" w:sz="0" w:space="0" w:color="auto"/>
        <w:bottom w:val="none" w:sz="0" w:space="0" w:color="auto"/>
        <w:right w:val="none" w:sz="0" w:space="0" w:color="auto"/>
      </w:divBdr>
    </w:div>
    <w:div w:id="1485076633">
      <w:bodyDiv w:val="1"/>
      <w:marLeft w:val="0"/>
      <w:marRight w:val="0"/>
      <w:marTop w:val="0"/>
      <w:marBottom w:val="0"/>
      <w:divBdr>
        <w:top w:val="none" w:sz="0" w:space="0" w:color="auto"/>
        <w:left w:val="none" w:sz="0" w:space="0" w:color="auto"/>
        <w:bottom w:val="none" w:sz="0" w:space="0" w:color="auto"/>
        <w:right w:val="none" w:sz="0" w:space="0" w:color="auto"/>
      </w:divBdr>
    </w:div>
    <w:div w:id="1513835799">
      <w:bodyDiv w:val="1"/>
      <w:marLeft w:val="0"/>
      <w:marRight w:val="0"/>
      <w:marTop w:val="0"/>
      <w:marBottom w:val="0"/>
      <w:divBdr>
        <w:top w:val="none" w:sz="0" w:space="0" w:color="auto"/>
        <w:left w:val="none" w:sz="0" w:space="0" w:color="auto"/>
        <w:bottom w:val="none" w:sz="0" w:space="0" w:color="auto"/>
        <w:right w:val="none" w:sz="0" w:space="0" w:color="auto"/>
      </w:divBdr>
    </w:div>
    <w:div w:id="1640307870">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750693866">
      <w:bodyDiv w:val="1"/>
      <w:marLeft w:val="0"/>
      <w:marRight w:val="0"/>
      <w:marTop w:val="0"/>
      <w:marBottom w:val="0"/>
      <w:divBdr>
        <w:top w:val="none" w:sz="0" w:space="0" w:color="auto"/>
        <w:left w:val="none" w:sz="0" w:space="0" w:color="auto"/>
        <w:bottom w:val="none" w:sz="0" w:space="0" w:color="auto"/>
        <w:right w:val="none" w:sz="0" w:space="0" w:color="auto"/>
      </w:divBdr>
    </w:div>
    <w:div w:id="1855532205">
      <w:bodyDiv w:val="1"/>
      <w:marLeft w:val="0"/>
      <w:marRight w:val="0"/>
      <w:marTop w:val="0"/>
      <w:marBottom w:val="0"/>
      <w:divBdr>
        <w:top w:val="none" w:sz="0" w:space="0" w:color="auto"/>
        <w:left w:val="none" w:sz="0" w:space="0" w:color="auto"/>
        <w:bottom w:val="none" w:sz="0" w:space="0" w:color="auto"/>
        <w:right w:val="none" w:sz="0" w:space="0" w:color="auto"/>
      </w:divBdr>
    </w:div>
    <w:div w:id="1934701863">
      <w:bodyDiv w:val="1"/>
      <w:marLeft w:val="0"/>
      <w:marRight w:val="0"/>
      <w:marTop w:val="0"/>
      <w:marBottom w:val="0"/>
      <w:divBdr>
        <w:top w:val="none" w:sz="0" w:space="0" w:color="auto"/>
        <w:left w:val="none" w:sz="0" w:space="0" w:color="auto"/>
        <w:bottom w:val="none" w:sz="0" w:space="0" w:color="auto"/>
        <w:right w:val="none" w:sz="0" w:space="0" w:color="auto"/>
      </w:divBdr>
    </w:div>
    <w:div w:id="1936592479">
      <w:bodyDiv w:val="1"/>
      <w:marLeft w:val="0"/>
      <w:marRight w:val="0"/>
      <w:marTop w:val="0"/>
      <w:marBottom w:val="0"/>
      <w:divBdr>
        <w:top w:val="none" w:sz="0" w:space="0" w:color="auto"/>
        <w:left w:val="none" w:sz="0" w:space="0" w:color="auto"/>
        <w:bottom w:val="none" w:sz="0" w:space="0" w:color="auto"/>
        <w:right w:val="none" w:sz="0" w:space="0" w:color="auto"/>
      </w:divBdr>
    </w:div>
    <w:div w:id="1948123806">
      <w:bodyDiv w:val="1"/>
      <w:marLeft w:val="0"/>
      <w:marRight w:val="0"/>
      <w:marTop w:val="0"/>
      <w:marBottom w:val="0"/>
      <w:divBdr>
        <w:top w:val="none" w:sz="0" w:space="0" w:color="auto"/>
        <w:left w:val="none" w:sz="0" w:space="0" w:color="auto"/>
        <w:bottom w:val="none" w:sz="0" w:space="0" w:color="auto"/>
        <w:right w:val="none" w:sz="0" w:space="0" w:color="auto"/>
      </w:divBdr>
    </w:div>
    <w:div w:id="1993672917">
      <w:bodyDiv w:val="1"/>
      <w:marLeft w:val="0"/>
      <w:marRight w:val="0"/>
      <w:marTop w:val="0"/>
      <w:marBottom w:val="0"/>
      <w:divBdr>
        <w:top w:val="none" w:sz="0" w:space="0" w:color="auto"/>
        <w:left w:val="none" w:sz="0" w:space="0" w:color="auto"/>
        <w:bottom w:val="none" w:sz="0" w:space="0" w:color="auto"/>
        <w:right w:val="none" w:sz="0" w:space="0" w:color="auto"/>
      </w:divBdr>
    </w:div>
    <w:div w:id="2027322251">
      <w:bodyDiv w:val="1"/>
      <w:marLeft w:val="0"/>
      <w:marRight w:val="0"/>
      <w:marTop w:val="0"/>
      <w:marBottom w:val="0"/>
      <w:divBdr>
        <w:top w:val="none" w:sz="0" w:space="0" w:color="auto"/>
        <w:left w:val="none" w:sz="0" w:space="0" w:color="auto"/>
        <w:bottom w:val="none" w:sz="0" w:space="0" w:color="auto"/>
        <w:right w:val="none" w:sz="0" w:space="0" w:color="auto"/>
      </w:divBdr>
    </w:div>
    <w:div w:id="20544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gc.gov.au/sites/default/files/2023-10/CGC_Consultant_Report_Final.pdf" TargetMode="External"/><Relationship Id="rId18" Type="http://schemas.openxmlformats.org/officeDocument/2006/relationships/hyperlink" Target="https://www.cgc.gov.au/sites/default/files/2023-10/2025%20Methodology%20Review%20-%20Consultation%20Paper%20-%20Wage%20costs_addendum.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gc.gov.au/sites/default/files/2023-10/CGC_Consultant_Report_Final.pdf"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gc.gov.au/sites/default/files/2023-06/2025%20Methodology%20Review%20-%20Consultation%20Paper%20-%20Wages_Final.pdf" TargetMode="External"/><Relationship Id="rId5" Type="http://schemas.openxmlformats.org/officeDocument/2006/relationships/numbering" Target="numbering.xml"/><Relationship Id="rId15" Type="http://schemas.openxmlformats.org/officeDocument/2006/relationships/hyperlink" Target="https://www.cgc.gov.au/reports-for-government/2025-methodology-review/consultation/additional-information" TargetMode="Externa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gc.gov.au/reports-for-government/2025-methodology-review/consultation/tranche-1-consultation-paper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about/data-services/data-integration/integrated-data/australian-census-longitudinal-dataset-acld" TargetMode="External"/><Relationship Id="rId1" Type="http://schemas.openxmlformats.org/officeDocument/2006/relationships/hyperlink" Target="https://www.rba.gov.au/publications/bulletin/2012/dec/pdf/bu-121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nnon.Madden\Downloads\Draft%20report%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1115572CD2074A8DF493F1808623F4" ma:contentTypeVersion="14" ma:contentTypeDescription="Create a new document." ma:contentTypeScope="" ma:versionID="a1b18ce6dc08ee1df12685951bc497b5">
  <xsd:schema xmlns:xsd="http://www.w3.org/2001/XMLSchema" xmlns:xs="http://www.w3.org/2001/XMLSchema" xmlns:p="http://schemas.microsoft.com/office/2006/metadata/properties" xmlns:ns2="90fa3e25-a176-4d82-ad40-74afe5ce8131" xmlns:ns3="fd0ec3be-4569-4cba-9f1a-cbd548d830fc" targetNamespace="http://schemas.microsoft.com/office/2006/metadata/properties" ma:root="true" ma:fieldsID="c04e5b83d183be4938917a396c4bdf64" ns2:_="" ns3:_="">
    <xsd:import namespace="90fa3e25-a176-4d82-ad40-74afe5ce8131"/>
    <xsd:import namespace="fd0ec3be-4569-4cba-9f1a-cbd548d83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a3e25-a176-4d82-ad40-74afe5ce8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ec3be-4569-4cba-9f1a-cbd548d830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8244f2a-d712-4f18-956e-71d587ee79e0}" ma:internalName="TaxCatchAll" ma:readOnly="false" ma:showField="CatchAllData" ma:web="fd0ec3be-4569-4cba-9f1a-cbd548d8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d0ec3be-4569-4cba-9f1a-cbd548d830fc">
      <UserInfo>
        <DisplayName>Baldock, Katrina</DisplayName>
        <AccountId>26</AccountId>
        <AccountType/>
      </UserInfo>
      <UserInfo>
        <DisplayName>Carlton, Tim</DisplayName>
        <AccountId>14</AccountId>
        <AccountType/>
      </UserInfo>
      <UserInfo>
        <DisplayName>Harber, Philip</DisplayName>
        <AccountId>30</AccountId>
        <AccountType/>
      </UserInfo>
    </SharedWithUsers>
    <MediaLengthInSeconds xmlns="90fa3e25-a176-4d82-ad40-74afe5ce8131" xsi:nil="true"/>
    <TaxCatchAll xmlns="fd0ec3be-4569-4cba-9f1a-cbd548d830fc" xsi:nil="true"/>
    <lcf76f155ced4ddcb4097134ff3c332f xmlns="90fa3e25-a176-4d82-ad40-74afe5ce81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291E0D-5249-4EB3-A667-BC88029BF320}">
  <ds:schemaRefs>
    <ds:schemaRef ds:uri="http://schemas.openxmlformats.org/officeDocument/2006/bibliography"/>
  </ds:schemaRefs>
</ds:datastoreItem>
</file>

<file path=customXml/itemProps2.xml><?xml version="1.0" encoding="utf-8"?>
<ds:datastoreItem xmlns:ds="http://schemas.openxmlformats.org/officeDocument/2006/customXml" ds:itemID="{0DF9C94A-53B2-4B40-BB19-46D4024B11F1}">
  <ds:schemaRefs>
    <ds:schemaRef ds:uri="http://schemas.microsoft.com/sharepoint/v3/contenttype/forms"/>
  </ds:schemaRefs>
</ds:datastoreItem>
</file>

<file path=customXml/itemProps3.xml><?xml version="1.0" encoding="utf-8"?>
<ds:datastoreItem xmlns:ds="http://schemas.openxmlformats.org/officeDocument/2006/customXml" ds:itemID="{03036258-4719-4177-B40F-BD0686B2F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a3e25-a176-4d82-ad40-74afe5ce8131"/>
    <ds:schemaRef ds:uri="fd0ec3be-4569-4cba-9f1a-cbd548d8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A4F8F-140F-4856-8B9E-31DCD427886D}">
  <ds:schemaRefs>
    <ds:schemaRef ds:uri="http://schemas.microsoft.com/office/2006/metadata/properties"/>
    <ds:schemaRef ds:uri="http://schemas.microsoft.com/office/infopath/2007/PartnerControls"/>
    <ds:schemaRef ds:uri="fd0ec3be-4569-4cba-9f1a-cbd548d830fc"/>
    <ds:schemaRef ds:uri="90fa3e25-a176-4d82-ad40-74afe5ce8131"/>
  </ds:schemaRefs>
</ds:datastoreItem>
</file>

<file path=docProps/app.xml><?xml version="1.0" encoding="utf-8"?>
<Properties xmlns="http://schemas.openxmlformats.org/officeDocument/2006/extended-properties" xmlns:vt="http://schemas.openxmlformats.org/officeDocument/2006/docPropsVTypes">
  <Template>Draft report template (1).dotx</Template>
  <TotalTime>273</TotalTime>
  <Pages>1</Pages>
  <Words>8145</Words>
  <Characters>46429</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vt:lpstr>
    </vt:vector>
  </TitlesOfParts>
  <Company>Hewlett-Packard Company</Company>
  <LinksUpToDate>false</LinksUpToDate>
  <CharactersWithSpaces>54466</CharactersWithSpaces>
  <SharedDoc>false</SharedDoc>
  <HLinks>
    <vt:vector size="48" baseType="variant">
      <vt:variant>
        <vt:i4>1179755</vt:i4>
      </vt:variant>
      <vt:variant>
        <vt:i4>21</vt:i4>
      </vt:variant>
      <vt:variant>
        <vt:i4>0</vt:i4>
      </vt:variant>
      <vt:variant>
        <vt:i4>5</vt:i4>
      </vt:variant>
      <vt:variant>
        <vt:lpwstr>https://www.cgc.gov.au/sites/default/files/2023-10/2025 Methodology Review - Consultation Paper - Wage costs_addendum.pdf</vt:lpwstr>
      </vt:variant>
      <vt:variant>
        <vt:lpwstr/>
      </vt:variant>
      <vt:variant>
        <vt:i4>1704009</vt:i4>
      </vt:variant>
      <vt:variant>
        <vt:i4>12</vt:i4>
      </vt:variant>
      <vt:variant>
        <vt:i4>0</vt:i4>
      </vt:variant>
      <vt:variant>
        <vt:i4>5</vt:i4>
      </vt:variant>
      <vt:variant>
        <vt:lpwstr>https://www.cgc.gov.au/reports-for-government/2025-methodology-review/consultation/additional-information</vt:lpwstr>
      </vt:variant>
      <vt:variant>
        <vt:lpwstr/>
      </vt:variant>
      <vt:variant>
        <vt:i4>5242954</vt:i4>
      </vt:variant>
      <vt:variant>
        <vt:i4>9</vt:i4>
      </vt:variant>
      <vt:variant>
        <vt:i4>0</vt:i4>
      </vt:variant>
      <vt:variant>
        <vt:i4>5</vt:i4>
      </vt:variant>
      <vt:variant>
        <vt:lpwstr>https://www.cgc.gov.au/reports-for-government/2025-methodology-review/consultation/tranche-1-consultation-papers</vt:lpwstr>
      </vt:variant>
      <vt:variant>
        <vt:lpwstr/>
      </vt:variant>
      <vt:variant>
        <vt:i4>1507445</vt:i4>
      </vt:variant>
      <vt:variant>
        <vt:i4>6</vt:i4>
      </vt:variant>
      <vt:variant>
        <vt:i4>0</vt:i4>
      </vt:variant>
      <vt:variant>
        <vt:i4>5</vt:i4>
      </vt:variant>
      <vt:variant>
        <vt:lpwstr>https://www.cgc.gov.au/sites/default/files/2023-10/CGC_Consultant_Report_Final.pdf</vt:lpwstr>
      </vt:variant>
      <vt:variant>
        <vt:lpwstr/>
      </vt:variant>
      <vt:variant>
        <vt:i4>1507445</vt:i4>
      </vt:variant>
      <vt:variant>
        <vt:i4>3</vt:i4>
      </vt:variant>
      <vt:variant>
        <vt:i4>0</vt:i4>
      </vt:variant>
      <vt:variant>
        <vt:i4>5</vt:i4>
      </vt:variant>
      <vt:variant>
        <vt:lpwstr>https://www.cgc.gov.au/sites/default/files/2023-10/CGC_Consultant_Report_Final.pdf</vt:lpwstr>
      </vt:variant>
      <vt:variant>
        <vt:lpwstr/>
      </vt:variant>
      <vt:variant>
        <vt:i4>4063249</vt:i4>
      </vt:variant>
      <vt:variant>
        <vt:i4>0</vt:i4>
      </vt:variant>
      <vt:variant>
        <vt:i4>0</vt:i4>
      </vt:variant>
      <vt:variant>
        <vt:i4>5</vt:i4>
      </vt:variant>
      <vt:variant>
        <vt:lpwstr>https://www.cgc.gov.au/sites/default/files/2023-06/2025 Methodology Review - Consultation Paper - Wages_Final.pdf</vt:lpwstr>
      </vt:variant>
      <vt:variant>
        <vt:lpwstr/>
      </vt:variant>
      <vt:variant>
        <vt:i4>6291565</vt:i4>
      </vt:variant>
      <vt:variant>
        <vt:i4>3</vt:i4>
      </vt:variant>
      <vt:variant>
        <vt:i4>0</vt:i4>
      </vt:variant>
      <vt:variant>
        <vt:i4>5</vt:i4>
      </vt:variant>
      <vt:variant>
        <vt:lpwstr>https://www.abs.gov.au/about/data-services/data-integration/integrated-data/australian-census-longitudinal-dataset-acld</vt:lpwstr>
      </vt:variant>
      <vt:variant>
        <vt:lpwstr/>
      </vt:variant>
      <vt:variant>
        <vt:i4>4063278</vt:i4>
      </vt:variant>
      <vt:variant>
        <vt:i4>0</vt:i4>
      </vt:variant>
      <vt:variant>
        <vt:i4>0</vt:i4>
      </vt:variant>
      <vt:variant>
        <vt:i4>5</vt:i4>
      </vt:variant>
      <vt:variant>
        <vt:lpwstr>https://www.rba.gov.au/publications/bulletin/2012/dec/pdf/bu-1212-1.pdf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Shannon Madden</dc:creator>
  <cp:keywords/>
  <cp:lastModifiedBy>Baldock, Katrina</cp:lastModifiedBy>
  <cp:revision>191</cp:revision>
  <cp:lastPrinted>2024-06-18T11:44:00Z</cp:lastPrinted>
  <dcterms:created xsi:type="dcterms:W3CDTF">2024-06-14T15:41:00Z</dcterms:created>
  <dcterms:modified xsi:type="dcterms:W3CDTF">2024-06-21T23:19:00Z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0x010100B91115572CD2074A8DF493F1808623F4</vt:lpwstr>
  </property>
  <property fmtid="{D5CDD505-2E9C-101B-9397-08002B2CF9AE}" pid="3" name="MediaServiceImageTags">
    <vt:lpwstr/>
  </property>
  <property fmtid="{D5CDD505-2E9C-101B-9397-08002B2CF9AE}" pid="4" name="Order">
    <vt:r8>86000600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ColorTag">
    <vt:lpwstr/>
  </property>
  <property fmtid="{D5CDD505-2E9C-101B-9397-08002B2CF9AE}" pid="12" name="_ColorHex">
    <vt:lpwstr/>
  </property>
  <property fmtid="{D5CDD505-2E9C-101B-9397-08002B2CF9AE}" pid="13" name="_Emoji">
    <vt:lpwstr/>
  </property>
  <property fmtid="{D5CDD505-2E9C-101B-9397-08002B2CF9AE}" pid="14" name="GUID">
    <vt:lpwstr>ce63b81a-0bc1-4ed3-9174-159f264b5bae</vt:lpwstr>
  </property>
</Properties>
</file>