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33236145"/>
    <w:bookmarkStart w:id="1" w:name="_Toc133236171"/>
    <w:bookmarkStart w:id="2" w:name="_Toc143786729"/>
    <w:p w14:paraId="7A9A4605" w14:textId="405DADA6" w:rsidR="00E57C9A" w:rsidRDefault="003E5699" w:rsidP="00917210">
      <w:pPr>
        <w:pStyle w:val="Heading1"/>
      </w:pPr>
      <w:r>
        <w:rPr>
          <w:noProof/>
        </w:rPr>
        <mc:AlternateContent>
          <mc:Choice Requires="wps">
            <w:drawing>
              <wp:anchor distT="45720" distB="45720" distL="114300" distR="114300" simplePos="0" relativeHeight="251658240" behindDoc="0" locked="0" layoutInCell="1" allowOverlap="1" wp14:anchorId="5279710E" wp14:editId="6058831E">
                <wp:simplePos x="0" y="0"/>
                <wp:positionH relativeFrom="margin">
                  <wp:align>left</wp:align>
                </wp:positionH>
                <wp:positionV relativeFrom="paragraph">
                  <wp:posOffset>738835</wp:posOffset>
                </wp:positionV>
                <wp:extent cx="5796000" cy="8028000"/>
                <wp:effectExtent l="0" t="0" r="14605" b="1143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000" cy="8028000"/>
                        </a:xfrm>
                        <a:prstGeom prst="rect">
                          <a:avLst/>
                        </a:prstGeom>
                        <a:solidFill>
                          <a:srgbClr val="E5F8FF"/>
                        </a:solidFill>
                        <a:ln w="9525">
                          <a:solidFill>
                            <a:sysClr val="window" lastClr="FFFFFF"/>
                          </a:solidFill>
                          <a:miter lim="800000"/>
                          <a:headEnd/>
                          <a:tailEnd/>
                        </a:ln>
                      </wps:spPr>
                      <wps:txbx>
                        <w:txbxContent>
                          <w:p w14:paraId="3067867E" w14:textId="7818B994" w:rsidR="00552A03" w:rsidRDefault="00552A03" w:rsidP="00D76C21">
                            <w:pPr>
                              <w:pStyle w:val="Heading2"/>
                              <w:keepNext/>
                              <w:spacing w:before="120"/>
                            </w:pPr>
                            <w:r>
                              <w:t>Review outcome</w:t>
                            </w:r>
                            <w:r w:rsidR="0069611E">
                              <w:t>s</w:t>
                            </w:r>
                          </w:p>
                          <w:p w14:paraId="01BCEA37" w14:textId="79917DEF" w:rsidR="00610027" w:rsidRDefault="004705F6" w:rsidP="004E4FEB">
                            <w:pPr>
                              <w:pStyle w:val="CGC2025Bullet1"/>
                            </w:pPr>
                            <w:r>
                              <w:t>T</w:t>
                            </w:r>
                            <w:r w:rsidR="00610027">
                              <w:t xml:space="preserve">he following changes </w:t>
                            </w:r>
                            <w:r w:rsidR="008B1415">
                              <w:t xml:space="preserve">were made </w:t>
                            </w:r>
                            <w:r w:rsidR="00610027">
                              <w:t>to the assessment</w:t>
                            </w:r>
                            <w:r w:rsidR="004E58D2">
                              <w:t>.</w:t>
                            </w:r>
                          </w:p>
                          <w:p w14:paraId="2888CE95" w14:textId="57A5E13F" w:rsidR="00104378" w:rsidRDefault="003305AE" w:rsidP="004E4FEB">
                            <w:pPr>
                              <w:pStyle w:val="CGC2025Bullet2"/>
                            </w:pPr>
                            <w:r>
                              <w:t>S</w:t>
                            </w:r>
                            <w:r w:rsidR="000A05C7">
                              <w:t xml:space="preserve">ocial housing </w:t>
                            </w:r>
                            <w:r>
                              <w:t xml:space="preserve">assessed </w:t>
                            </w:r>
                            <w:proofErr w:type="gramStart"/>
                            <w:r w:rsidR="000A05C7">
                              <w:t>expenses</w:t>
                            </w:r>
                            <w:proofErr w:type="gramEnd"/>
                            <w:r w:rsidR="000A05C7">
                              <w:t xml:space="preserve"> and revenue </w:t>
                            </w:r>
                            <w:r w:rsidR="00CB16E4">
                              <w:t>will be</w:t>
                            </w:r>
                            <w:r w:rsidR="00350BD7">
                              <w:t xml:space="preserve"> </w:t>
                            </w:r>
                            <w:r w:rsidR="00171316">
                              <w:t xml:space="preserve">estimated by </w:t>
                            </w:r>
                            <w:r w:rsidR="009C1A93">
                              <w:t xml:space="preserve">apportioning national per </w:t>
                            </w:r>
                            <w:r w:rsidR="00350BD7">
                              <w:t>household</w:t>
                            </w:r>
                            <w:r w:rsidR="009C1A93">
                              <w:t xml:space="preserve"> spending and revenue </w:t>
                            </w:r>
                            <w:r w:rsidR="000F718F">
                              <w:t xml:space="preserve">using </w:t>
                            </w:r>
                            <w:r w:rsidR="00BD708A">
                              <w:t xml:space="preserve">a derived </w:t>
                            </w:r>
                            <w:r w:rsidR="00D21E44">
                              <w:t xml:space="preserve">state household count based on </w:t>
                            </w:r>
                            <w:r w:rsidR="003E7731">
                              <w:t xml:space="preserve">the </w:t>
                            </w:r>
                            <w:r w:rsidR="00AB3C3B">
                              <w:t>average household size</w:t>
                            </w:r>
                            <w:r w:rsidR="003E7731">
                              <w:t xml:space="preserve"> in each socio</w:t>
                            </w:r>
                            <w:r w:rsidR="003E7731">
                              <w:noBreakHyphen/>
                              <w:t>demographic group</w:t>
                            </w:r>
                            <w:r w:rsidR="002B6612">
                              <w:t>.</w:t>
                            </w:r>
                            <w:r w:rsidR="008C610B">
                              <w:t xml:space="preserve"> The change seeks to </w:t>
                            </w:r>
                            <w:r w:rsidR="001853E6">
                              <w:t>t</w:t>
                            </w:r>
                            <w:r w:rsidR="009A78F1">
                              <w:t xml:space="preserve">ake account of differences in average rates of overcrowding </w:t>
                            </w:r>
                            <w:r w:rsidR="00266234">
                              <w:t>between states.</w:t>
                            </w:r>
                          </w:p>
                          <w:p w14:paraId="0B2CB07A" w14:textId="0F7B923B" w:rsidR="0004275D" w:rsidRDefault="0004275D" w:rsidP="007F7D6B">
                            <w:pPr>
                              <w:pStyle w:val="CGC2025Bullet2"/>
                            </w:pPr>
                            <w:r>
                              <w:t xml:space="preserve">The Australian Institute of Health and Welfare </w:t>
                            </w:r>
                            <w:r w:rsidR="00B15927">
                              <w:t xml:space="preserve">data on social housing households </w:t>
                            </w:r>
                            <w:r w:rsidR="00CB16E4">
                              <w:t>will be</w:t>
                            </w:r>
                            <w:r w:rsidR="00B15927">
                              <w:t xml:space="preserve"> used to adjust </w:t>
                            </w:r>
                            <w:r w:rsidR="003E0DEF">
                              <w:t>and rebalance the social housing/non</w:t>
                            </w:r>
                            <w:r w:rsidR="003E0DEF">
                              <w:noBreakHyphen/>
                              <w:t xml:space="preserve">social housing split in the Australian Bureau of Statistics (ABS) Census data. </w:t>
                            </w:r>
                            <w:r w:rsidR="0013190F">
                              <w:t>The change seeks to</w:t>
                            </w:r>
                            <w:r w:rsidR="005301C3" w:rsidRPr="005301C3">
                              <w:t xml:space="preserve"> address concerns with the accuracy with which tenants categorise their landlord type in the census</w:t>
                            </w:r>
                            <w:r w:rsidR="0013190F">
                              <w:t>.</w:t>
                            </w:r>
                            <w:r w:rsidR="008531BE">
                              <w:t xml:space="preserve"> </w:t>
                            </w:r>
                            <w:r w:rsidR="007F7D6B" w:rsidRPr="007F7D6B">
                              <w:t xml:space="preserve">This </w:t>
                            </w:r>
                            <w:r w:rsidR="007F7D6B">
                              <w:t>does</w:t>
                            </w:r>
                            <w:r w:rsidR="007F7D6B" w:rsidRPr="007F7D6B">
                              <w:t xml:space="preserve"> not affect the assessment of recurrent spending on social housing </w:t>
                            </w:r>
                            <w:r w:rsidR="007F7D6B">
                              <w:t>but affects the</w:t>
                            </w:r>
                            <w:r w:rsidR="007F7D6B" w:rsidRPr="007F7D6B">
                              <w:t xml:space="preserve"> assessment of investment in social housing.</w:t>
                            </w:r>
                          </w:p>
                          <w:p w14:paraId="034F351E" w14:textId="4583B63F" w:rsidR="000A31C3" w:rsidRDefault="000A31C3" w:rsidP="004E4FEB">
                            <w:pPr>
                              <w:pStyle w:val="CGC2025Bullet1"/>
                            </w:pPr>
                            <w:r>
                              <w:t xml:space="preserve">The Commission </w:t>
                            </w:r>
                            <w:r w:rsidR="00D850EA">
                              <w:t xml:space="preserve">considered but </w:t>
                            </w:r>
                            <w:r w:rsidR="0063662A">
                              <w:t xml:space="preserve">did </w:t>
                            </w:r>
                            <w:r>
                              <w:t>not change the following</w:t>
                            </w:r>
                            <w:r w:rsidR="004E58D2">
                              <w:t>.</w:t>
                            </w:r>
                          </w:p>
                          <w:p w14:paraId="6776F218" w14:textId="4FB3E057" w:rsidR="004A4C28" w:rsidRDefault="00276339" w:rsidP="004E4FEB">
                            <w:pPr>
                              <w:pStyle w:val="CGC2025Bullet2"/>
                            </w:pPr>
                            <w:r>
                              <w:t xml:space="preserve">Housing stress </w:t>
                            </w:r>
                            <w:r w:rsidR="007D6627">
                              <w:t xml:space="preserve">will </w:t>
                            </w:r>
                            <w:r>
                              <w:t xml:space="preserve">not be included as a driver </w:t>
                            </w:r>
                            <w:r w:rsidR="000B24CB">
                              <w:t xml:space="preserve">because the </w:t>
                            </w:r>
                            <w:r w:rsidR="00E62E4B">
                              <w:t xml:space="preserve">available </w:t>
                            </w:r>
                            <w:r w:rsidR="000B24CB">
                              <w:t>data do not support a relationship between housing stres</w:t>
                            </w:r>
                            <w:r w:rsidR="0041471E">
                              <w:t>s and the provision of social housing.</w:t>
                            </w:r>
                          </w:p>
                          <w:p w14:paraId="1A52964D" w14:textId="2B673BE0" w:rsidR="0041471E" w:rsidRDefault="00461090" w:rsidP="004E4FEB">
                            <w:pPr>
                              <w:pStyle w:val="CGC2025Bullet2"/>
                            </w:pPr>
                            <w:r>
                              <w:t xml:space="preserve">Household income </w:t>
                            </w:r>
                            <w:r w:rsidR="00141A77">
                              <w:t xml:space="preserve">will </w:t>
                            </w:r>
                            <w:r w:rsidR="007B714F">
                              <w:t xml:space="preserve">continue to be used to classify households into low and high </w:t>
                            </w:r>
                            <w:r w:rsidR="00BA00CC">
                              <w:t>socio</w:t>
                            </w:r>
                            <w:r w:rsidR="00BA00CC">
                              <w:noBreakHyphen/>
                              <w:t>economic</w:t>
                            </w:r>
                            <w:r w:rsidR="007B714F">
                              <w:t xml:space="preserve"> groups </w:t>
                            </w:r>
                            <w:r w:rsidR="00357247">
                              <w:t>because</w:t>
                            </w:r>
                            <w:r w:rsidR="008B658E">
                              <w:t xml:space="preserve"> state eligibility for social housing is based on household income.</w:t>
                            </w:r>
                          </w:p>
                          <w:p w14:paraId="090E9E64" w14:textId="61D2A54E" w:rsidR="00BD322B" w:rsidRDefault="00BD322B" w:rsidP="004E4FEB">
                            <w:pPr>
                              <w:pStyle w:val="CGC2025Bullet2"/>
                            </w:pPr>
                            <w:r>
                              <w:t xml:space="preserve">A combined assessment of state spending on public and community housing </w:t>
                            </w:r>
                            <w:r w:rsidR="00A679C3">
                              <w:t>will be</w:t>
                            </w:r>
                            <w:r>
                              <w:t xml:space="preserve"> retained </w:t>
                            </w:r>
                            <w:r w:rsidR="00E60336">
                              <w:t>because</w:t>
                            </w:r>
                            <w:r w:rsidR="009C5D80">
                              <w:t xml:space="preserve"> not all states have the same capacity to choose the mix of public and community housing.</w:t>
                            </w:r>
                          </w:p>
                          <w:p w14:paraId="3290DD92" w14:textId="069D4288" w:rsidR="009C5D80" w:rsidRDefault="005E02D2" w:rsidP="004E4FEB">
                            <w:pPr>
                              <w:pStyle w:val="CGC2025Bullet2"/>
                            </w:pPr>
                            <w:r>
                              <w:t>A</w:t>
                            </w:r>
                            <w:r w:rsidR="0039327E">
                              <w:t xml:space="preserve"> cost weight </w:t>
                            </w:r>
                            <w:r w:rsidR="00C64F12">
                              <w:t>to account for the higher costs associated with providing services to tenants with a disability</w:t>
                            </w:r>
                            <w:r w:rsidR="00581E4B">
                              <w:t xml:space="preserve"> </w:t>
                            </w:r>
                            <w:r w:rsidR="00773F45">
                              <w:t>will</w:t>
                            </w:r>
                            <w:r w:rsidR="00581E4B">
                              <w:t xml:space="preserve"> not be introduced </w:t>
                            </w:r>
                            <w:r w:rsidR="00B07747">
                              <w:t>because s</w:t>
                            </w:r>
                            <w:r w:rsidR="00C53951">
                              <w:t xml:space="preserve">uitable data </w:t>
                            </w:r>
                            <w:r w:rsidR="002111AB">
                              <w:t>are</w:t>
                            </w:r>
                            <w:r w:rsidR="00C53951">
                              <w:t xml:space="preserve"> not available</w:t>
                            </w:r>
                            <w:r w:rsidR="00A30DF8">
                              <w:t>.</w:t>
                            </w:r>
                          </w:p>
                          <w:p w14:paraId="4F5A037B" w14:textId="00AB1B71" w:rsidR="00A30DF8" w:rsidRDefault="00B43691" w:rsidP="004E4FEB">
                            <w:pPr>
                              <w:pStyle w:val="CGC2025Bullet2"/>
                            </w:pPr>
                            <w:r>
                              <w:t>Suitable data are not available to develop a housing</w:t>
                            </w:r>
                            <w:r>
                              <w:noBreakHyphen/>
                              <w:t>specific regional cost gradient.</w:t>
                            </w:r>
                            <w:r w:rsidR="00170001">
                              <w:t xml:space="preserve"> T</w:t>
                            </w:r>
                            <w:r w:rsidR="001308A1">
                              <w:t>he</w:t>
                            </w:r>
                            <w:r w:rsidR="00A30DF8">
                              <w:t xml:space="preserve"> general regional cost </w:t>
                            </w:r>
                            <w:r w:rsidR="003E74DF">
                              <w:t>gradient, in combination with the Rawlinsons capital cost gradient</w:t>
                            </w:r>
                            <w:r w:rsidR="0043314B">
                              <w:t xml:space="preserve">, </w:t>
                            </w:r>
                            <w:r w:rsidR="00170001">
                              <w:t xml:space="preserve">will continue to be used </w:t>
                            </w:r>
                            <w:r w:rsidR="0043314B">
                              <w:t xml:space="preserve">to recognise the effects of remoteness on the cost of providing </w:t>
                            </w:r>
                            <w:r w:rsidR="00546F59">
                              <w:t>social housing services.</w:t>
                            </w:r>
                            <w:r w:rsidR="00D316EB" w:rsidRPr="00D316EB">
                              <w:t xml:space="preserve"> </w:t>
                            </w:r>
                          </w:p>
                          <w:p w14:paraId="19D09AD0" w14:textId="37B06BA9" w:rsidR="006E6D96" w:rsidRDefault="006E6D96" w:rsidP="004E4FEB">
                            <w:pPr>
                              <w:pStyle w:val="CGC2025Bullet2"/>
                            </w:pPr>
                            <w:r>
                              <w:t xml:space="preserve">The </w:t>
                            </w:r>
                            <w:r w:rsidR="003F49EB">
                              <w:t xml:space="preserve">existing </w:t>
                            </w:r>
                            <w:r>
                              <w:t>First Nations cost weight</w:t>
                            </w:r>
                            <w:r w:rsidR="00ED17CF">
                              <w:t>, which recognises t</w:t>
                            </w:r>
                            <w:r w:rsidR="005006F4">
                              <w:t>he</w:t>
                            </w:r>
                            <w:r w:rsidR="00ED17CF">
                              <w:t xml:space="preserve"> </w:t>
                            </w:r>
                            <w:r w:rsidR="007646DE">
                              <w:t>additional costs in providing social housing services to First Nations tenants</w:t>
                            </w:r>
                            <w:r w:rsidR="003645B7">
                              <w:t>,</w:t>
                            </w:r>
                            <w:r w:rsidR="00773F45">
                              <w:t xml:space="preserve"> </w:t>
                            </w:r>
                            <w:r w:rsidR="00150417">
                              <w:t xml:space="preserve">will be retained and </w:t>
                            </w:r>
                            <w:r w:rsidR="00707C31">
                              <w:t>validated</w:t>
                            </w:r>
                            <w:r>
                              <w:t xml:space="preserve"> </w:t>
                            </w:r>
                            <w:r w:rsidR="00AA7749">
                              <w:t>with the latest available data</w:t>
                            </w:r>
                            <w:r w:rsidR="00342AEC">
                              <w:t>.</w:t>
                            </w:r>
                          </w:p>
                          <w:p w14:paraId="32B9DAC0" w14:textId="2A24E6BB" w:rsidR="000F6CFE" w:rsidRDefault="000F6CFE" w:rsidP="004E4FEB">
                            <w:pPr>
                              <w:pStyle w:val="CGC2025Bullet2"/>
                            </w:pPr>
                            <w:r>
                              <w:t xml:space="preserve">Census responses that are ‘not stated’ or ‘not applicable’ </w:t>
                            </w:r>
                            <w:r w:rsidR="002F5F2A">
                              <w:t xml:space="preserve">will </w:t>
                            </w:r>
                            <w:r>
                              <w:t>continue to be apportioned to relevant socio-demographic groups.</w:t>
                            </w:r>
                            <w:r w:rsidRPr="005123C7">
                              <w:t xml:space="preserve"> </w:t>
                            </w:r>
                          </w:p>
                          <w:p w14:paraId="68863457" w14:textId="2140D357" w:rsidR="00E715A3" w:rsidRDefault="00546F59" w:rsidP="004E4FEB">
                            <w:pPr>
                              <w:pStyle w:val="CGC2025Bullet1"/>
                            </w:pPr>
                            <w:r>
                              <w:t xml:space="preserve">Given the absence of reliable data, a separate </w:t>
                            </w:r>
                            <w:r w:rsidR="003A022B">
                              <w:t xml:space="preserve">assessment of head leasing </w:t>
                            </w:r>
                            <w:r w:rsidR="00643A74">
                              <w:t xml:space="preserve">and other affordable housing </w:t>
                            </w:r>
                            <w:r w:rsidR="003A022B">
                              <w:t xml:space="preserve">expenses </w:t>
                            </w:r>
                            <w:r w:rsidR="00C43D3B">
                              <w:t xml:space="preserve">is </w:t>
                            </w:r>
                            <w:r w:rsidR="003A022B">
                              <w:t>not included</w:t>
                            </w:r>
                            <w:r w:rsidR="006362EC">
                              <w:t xml:space="preserve">. The Commission will monitor whether a separate assessment </w:t>
                            </w:r>
                            <w:r w:rsidR="007E79BA">
                              <w:t>of the costs of housing</w:t>
                            </w:r>
                            <w:r w:rsidR="006362EC">
                              <w:t xml:space="preserve"> people </w:t>
                            </w:r>
                            <w:r w:rsidR="00E715A3">
                              <w:t>in private accommodation should be implemented.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79710E" id="_x0000_t202" coordsize="21600,21600" o:spt="202" path="m,l,21600r21600,l21600,xe">
                <v:stroke joinstyle="miter"/>
                <v:path gradientshapeok="t" o:connecttype="rect"/>
              </v:shapetype>
              <v:shape id="Text Box 217" o:spid="_x0000_s1026" type="#_x0000_t202" style="position:absolute;margin-left:0;margin-top:58.2pt;width:456.4pt;height:632.1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" fillcolor="#e5f8ff" strokecolor="window">
                <v:textbox>
                  <w:txbxContent>
                    <w:p w14:paraId="3067867E" w14:textId="7818B994" w:rsidR="00552A03" w:rsidRDefault="00552A03" w:rsidP="00D76C21">
                      <w:pPr>
                        <w:pStyle w:val="Heading2"/>
                        <w:keepNext/>
                        <w:spacing w:before="120"/>
                      </w:pPr>
                      <w:r>
                        <w:t>Review outcome</w:t>
                      </w:r>
                      <w:r w:rsidR="0069611E">
                        <w:t>s</w:t>
                      </w:r>
                    </w:p>
                    <w:p w14:paraId="01BCEA37" w14:textId="79917DEF" w:rsidR="00610027" w:rsidRDefault="004705F6" w:rsidP="004E4FEB">
                      <w:pPr>
                        <w:pStyle w:val="CGC2025Bullet1"/>
                      </w:pPr>
                      <w:r>
                        <w:t>T</w:t>
                      </w:r>
                      <w:r w:rsidR="00610027">
                        <w:t xml:space="preserve">he following changes </w:t>
                      </w:r>
                      <w:r w:rsidR="008B1415">
                        <w:t xml:space="preserve">were made </w:t>
                      </w:r>
                      <w:r w:rsidR="00610027">
                        <w:t>to the assessment</w:t>
                      </w:r>
                      <w:r w:rsidR="004E58D2">
                        <w:t>.</w:t>
                      </w:r>
                    </w:p>
                    <w:p w14:paraId="2888CE95" w14:textId="57A5E13F" w:rsidR="00104378" w:rsidRDefault="003305AE" w:rsidP="004E4FEB">
                      <w:pPr>
                        <w:pStyle w:val="CGC2025Bullet2"/>
                      </w:pPr>
                      <w:r>
                        <w:t>S</w:t>
                      </w:r>
                      <w:r w:rsidR="000A05C7">
                        <w:t xml:space="preserve">ocial housing </w:t>
                      </w:r>
                      <w:r>
                        <w:t xml:space="preserve">assessed </w:t>
                      </w:r>
                      <w:r w:rsidR="000A05C7">
                        <w:t xml:space="preserve">expenses and revenue </w:t>
                      </w:r>
                      <w:r w:rsidR="00CB16E4">
                        <w:t>will be</w:t>
                      </w:r>
                      <w:r w:rsidR="00350BD7">
                        <w:t xml:space="preserve"> </w:t>
                      </w:r>
                      <w:r w:rsidR="00171316">
                        <w:t xml:space="preserve">estimated by </w:t>
                      </w:r>
                      <w:r w:rsidR="009C1A93">
                        <w:t xml:space="preserve">apportioning national per </w:t>
                      </w:r>
                      <w:r w:rsidR="00350BD7">
                        <w:t>household</w:t>
                      </w:r>
                      <w:r w:rsidR="009C1A93">
                        <w:t xml:space="preserve"> spending and revenue </w:t>
                      </w:r>
                      <w:r w:rsidR="000F718F">
                        <w:t xml:space="preserve">using </w:t>
                      </w:r>
                      <w:r w:rsidR="00BD708A">
                        <w:t xml:space="preserve">a derived </w:t>
                      </w:r>
                      <w:r w:rsidR="00D21E44">
                        <w:t xml:space="preserve">state household count based on </w:t>
                      </w:r>
                      <w:r w:rsidR="003E7731">
                        <w:t xml:space="preserve">the </w:t>
                      </w:r>
                      <w:r w:rsidR="00AB3C3B">
                        <w:t>average household size</w:t>
                      </w:r>
                      <w:r w:rsidR="003E7731">
                        <w:t xml:space="preserve"> in each socio</w:t>
                      </w:r>
                      <w:r w:rsidR="003E7731">
                        <w:noBreakHyphen/>
                        <w:t>demographic group</w:t>
                      </w:r>
                      <w:r w:rsidR="002B6612">
                        <w:t>.</w:t>
                      </w:r>
                      <w:r w:rsidR="008C610B">
                        <w:t xml:space="preserve"> The change seeks to </w:t>
                      </w:r>
                      <w:r w:rsidR="001853E6">
                        <w:t>t</w:t>
                      </w:r>
                      <w:r w:rsidR="009A78F1">
                        <w:t xml:space="preserve">ake account of differences in average rates of overcrowding </w:t>
                      </w:r>
                      <w:r w:rsidR="00266234">
                        <w:t>between states.</w:t>
                      </w:r>
                    </w:p>
                    <w:p w14:paraId="0B2CB07A" w14:textId="0F7B923B" w:rsidR="0004275D" w:rsidRDefault="0004275D" w:rsidP="007F7D6B">
                      <w:pPr>
                        <w:pStyle w:val="CGC2025Bullet2"/>
                      </w:pPr>
                      <w:r>
                        <w:t xml:space="preserve">The Australian Institute of Health and Welfare </w:t>
                      </w:r>
                      <w:r w:rsidR="00B15927">
                        <w:t xml:space="preserve">data on social housing households </w:t>
                      </w:r>
                      <w:r w:rsidR="00CB16E4">
                        <w:t>will be</w:t>
                      </w:r>
                      <w:r w:rsidR="00B15927">
                        <w:t xml:space="preserve"> used to adjust </w:t>
                      </w:r>
                      <w:r w:rsidR="003E0DEF">
                        <w:t>and rebalance the social housing/non</w:t>
                      </w:r>
                      <w:r w:rsidR="003E0DEF">
                        <w:noBreakHyphen/>
                        <w:t xml:space="preserve">social housing split in the Australian Bureau of Statistics (ABS) Census data. </w:t>
                      </w:r>
                      <w:r w:rsidR="0013190F">
                        <w:t>The change seeks to</w:t>
                      </w:r>
                      <w:r w:rsidR="005301C3" w:rsidRPr="005301C3">
                        <w:t xml:space="preserve"> address concerns with the accuracy with which tenants categorise their landlord type in the census</w:t>
                      </w:r>
                      <w:r w:rsidR="0013190F">
                        <w:t>.</w:t>
                      </w:r>
                      <w:r w:rsidR="008531BE">
                        <w:t xml:space="preserve"> </w:t>
                      </w:r>
                      <w:r w:rsidR="007F7D6B" w:rsidRPr="007F7D6B">
                        <w:t xml:space="preserve">This </w:t>
                      </w:r>
                      <w:r w:rsidR="007F7D6B">
                        <w:t>does</w:t>
                      </w:r>
                      <w:r w:rsidR="007F7D6B" w:rsidRPr="007F7D6B">
                        <w:t xml:space="preserve"> not affect the assessment of recurrent spending on social housing </w:t>
                      </w:r>
                      <w:r w:rsidR="007F7D6B">
                        <w:t>but affects the</w:t>
                      </w:r>
                      <w:r w:rsidR="007F7D6B" w:rsidRPr="007F7D6B">
                        <w:t xml:space="preserve"> assessment of investment in social housing.</w:t>
                      </w:r>
                    </w:p>
                    <w:p w14:paraId="034F351E" w14:textId="4583B63F" w:rsidR="000A31C3" w:rsidRDefault="000A31C3" w:rsidP="004E4FEB">
                      <w:pPr>
                        <w:pStyle w:val="CGC2025Bullet1"/>
                      </w:pPr>
                      <w:r>
                        <w:t xml:space="preserve">The Commission </w:t>
                      </w:r>
                      <w:r w:rsidR="00D850EA">
                        <w:t xml:space="preserve">considered but </w:t>
                      </w:r>
                      <w:r w:rsidR="0063662A">
                        <w:t xml:space="preserve">did </w:t>
                      </w:r>
                      <w:r>
                        <w:t>not change the following</w:t>
                      </w:r>
                      <w:r w:rsidR="004E58D2">
                        <w:t>.</w:t>
                      </w:r>
                    </w:p>
                    <w:p w14:paraId="6776F218" w14:textId="4FB3E057" w:rsidR="004A4C28" w:rsidRDefault="00276339" w:rsidP="004E4FEB">
                      <w:pPr>
                        <w:pStyle w:val="CGC2025Bullet2"/>
                      </w:pPr>
                      <w:r>
                        <w:t xml:space="preserve">Housing stress </w:t>
                      </w:r>
                      <w:r w:rsidR="007D6627">
                        <w:t xml:space="preserve">will </w:t>
                      </w:r>
                      <w:r>
                        <w:t xml:space="preserve">not be included as a driver </w:t>
                      </w:r>
                      <w:r w:rsidR="000B24CB">
                        <w:t xml:space="preserve">because the </w:t>
                      </w:r>
                      <w:r w:rsidR="00E62E4B">
                        <w:t xml:space="preserve">available </w:t>
                      </w:r>
                      <w:r w:rsidR="000B24CB">
                        <w:t>data do not support a relationship between housing stres</w:t>
                      </w:r>
                      <w:r w:rsidR="0041471E">
                        <w:t>s and the provision of social housing.</w:t>
                      </w:r>
                    </w:p>
                    <w:p w14:paraId="1A52964D" w14:textId="2B673BE0" w:rsidR="0041471E" w:rsidRDefault="00461090" w:rsidP="004E4FEB">
                      <w:pPr>
                        <w:pStyle w:val="CGC2025Bullet2"/>
                      </w:pPr>
                      <w:r>
                        <w:t xml:space="preserve">Household income </w:t>
                      </w:r>
                      <w:r w:rsidR="00141A77">
                        <w:t xml:space="preserve">will </w:t>
                      </w:r>
                      <w:r w:rsidR="007B714F">
                        <w:t xml:space="preserve">continue to be used to classify households into low and high </w:t>
                      </w:r>
                      <w:r w:rsidR="00BA00CC">
                        <w:t>socio</w:t>
                      </w:r>
                      <w:r w:rsidR="00BA00CC">
                        <w:noBreakHyphen/>
                        <w:t>economic</w:t>
                      </w:r>
                      <w:r w:rsidR="007B714F">
                        <w:t xml:space="preserve"> groups </w:t>
                      </w:r>
                      <w:r w:rsidR="00357247">
                        <w:t>because</w:t>
                      </w:r>
                      <w:r w:rsidR="008B658E">
                        <w:t xml:space="preserve"> state eligibility for social housing is based on household income.</w:t>
                      </w:r>
                    </w:p>
                    <w:p w14:paraId="090E9E64" w14:textId="61D2A54E" w:rsidR="00BD322B" w:rsidRDefault="00BD322B" w:rsidP="004E4FEB">
                      <w:pPr>
                        <w:pStyle w:val="CGC2025Bullet2"/>
                      </w:pPr>
                      <w:r>
                        <w:t xml:space="preserve">A combined assessment of state spending on public and community housing </w:t>
                      </w:r>
                      <w:r w:rsidR="00A679C3">
                        <w:t>will be</w:t>
                      </w:r>
                      <w:r>
                        <w:t xml:space="preserve"> retained </w:t>
                      </w:r>
                      <w:r w:rsidR="00E60336">
                        <w:t>because</w:t>
                      </w:r>
                      <w:r w:rsidR="009C5D80">
                        <w:t xml:space="preserve"> not all states have the same capacity to choose the mix of public and community housing.</w:t>
                      </w:r>
                    </w:p>
                    <w:p w14:paraId="3290DD92" w14:textId="069D4288" w:rsidR="009C5D80" w:rsidRDefault="005E02D2" w:rsidP="004E4FEB">
                      <w:pPr>
                        <w:pStyle w:val="CGC2025Bullet2"/>
                      </w:pPr>
                      <w:r>
                        <w:t>A</w:t>
                      </w:r>
                      <w:r w:rsidR="0039327E">
                        <w:t xml:space="preserve"> cost weight </w:t>
                      </w:r>
                      <w:r w:rsidR="00C64F12">
                        <w:t>to account for the higher costs associated with providing services to tenants with a disability</w:t>
                      </w:r>
                      <w:r w:rsidR="00581E4B">
                        <w:t xml:space="preserve"> </w:t>
                      </w:r>
                      <w:r w:rsidR="00773F45">
                        <w:t>will</w:t>
                      </w:r>
                      <w:r w:rsidR="00581E4B">
                        <w:t xml:space="preserve"> not be introduced </w:t>
                      </w:r>
                      <w:r w:rsidR="00B07747">
                        <w:t>because s</w:t>
                      </w:r>
                      <w:r w:rsidR="00C53951">
                        <w:t xml:space="preserve">uitable data </w:t>
                      </w:r>
                      <w:r w:rsidR="002111AB">
                        <w:t>are</w:t>
                      </w:r>
                      <w:r w:rsidR="00C53951">
                        <w:t xml:space="preserve"> not available</w:t>
                      </w:r>
                      <w:r w:rsidR="00A30DF8">
                        <w:t>.</w:t>
                      </w:r>
                    </w:p>
                    <w:p w14:paraId="4F5A037B" w14:textId="00AB1B71" w:rsidR="00A30DF8" w:rsidRDefault="00B43691" w:rsidP="004E4FEB">
                      <w:pPr>
                        <w:pStyle w:val="CGC2025Bullet2"/>
                      </w:pPr>
                      <w:r>
                        <w:t>Suitable data are not available to develop a housing</w:t>
                      </w:r>
                      <w:r>
                        <w:noBreakHyphen/>
                        <w:t>specific regional cost gradient.</w:t>
                      </w:r>
                      <w:r w:rsidR="00170001">
                        <w:t xml:space="preserve"> T</w:t>
                      </w:r>
                      <w:r w:rsidR="001308A1">
                        <w:t>he</w:t>
                      </w:r>
                      <w:r w:rsidR="00A30DF8">
                        <w:t xml:space="preserve"> general regional cost </w:t>
                      </w:r>
                      <w:r w:rsidR="003E74DF">
                        <w:t>gradient, in combination with the Rawlinsons capital cost gradient</w:t>
                      </w:r>
                      <w:r w:rsidR="0043314B">
                        <w:t xml:space="preserve">, </w:t>
                      </w:r>
                      <w:r w:rsidR="00170001">
                        <w:t xml:space="preserve">will continue to be used </w:t>
                      </w:r>
                      <w:r w:rsidR="0043314B">
                        <w:t xml:space="preserve">to recognise the effects of remoteness on the cost of providing </w:t>
                      </w:r>
                      <w:r w:rsidR="00546F59">
                        <w:t>social housing services.</w:t>
                      </w:r>
                      <w:r w:rsidR="00D316EB" w:rsidRPr="00D316EB">
                        <w:t xml:space="preserve"> </w:t>
                      </w:r>
                    </w:p>
                    <w:p w14:paraId="19D09AD0" w14:textId="37B06BA9" w:rsidR="006E6D96" w:rsidRDefault="006E6D96" w:rsidP="004E4FEB">
                      <w:pPr>
                        <w:pStyle w:val="CGC2025Bullet2"/>
                      </w:pPr>
                      <w:r>
                        <w:t xml:space="preserve">The </w:t>
                      </w:r>
                      <w:r w:rsidR="003F49EB">
                        <w:t xml:space="preserve">existing </w:t>
                      </w:r>
                      <w:r>
                        <w:t>First Nations cost weight</w:t>
                      </w:r>
                      <w:r w:rsidR="00ED17CF">
                        <w:t>, which recognises t</w:t>
                      </w:r>
                      <w:r w:rsidR="005006F4">
                        <w:t>he</w:t>
                      </w:r>
                      <w:r w:rsidR="00ED17CF">
                        <w:t xml:space="preserve"> </w:t>
                      </w:r>
                      <w:r w:rsidR="007646DE">
                        <w:t>additional costs in providing social housing services to First Nations tenants</w:t>
                      </w:r>
                      <w:r w:rsidR="003645B7">
                        <w:t>,</w:t>
                      </w:r>
                      <w:r w:rsidR="00773F45">
                        <w:t xml:space="preserve"> </w:t>
                      </w:r>
                      <w:r w:rsidR="00150417">
                        <w:t xml:space="preserve">will be retained and </w:t>
                      </w:r>
                      <w:r w:rsidR="00707C31">
                        <w:t>validated</w:t>
                      </w:r>
                      <w:r>
                        <w:t xml:space="preserve"> </w:t>
                      </w:r>
                      <w:r w:rsidR="00AA7749">
                        <w:t>with the latest available data</w:t>
                      </w:r>
                      <w:r w:rsidR="00342AEC">
                        <w:t>.</w:t>
                      </w:r>
                    </w:p>
                    <w:p w14:paraId="32B9DAC0" w14:textId="2A24E6BB" w:rsidR="000F6CFE" w:rsidRDefault="000F6CFE" w:rsidP="004E4FEB">
                      <w:pPr>
                        <w:pStyle w:val="CGC2025Bullet2"/>
                      </w:pPr>
                      <w:r>
                        <w:t xml:space="preserve">Census responses that are ‘not stated’ or ‘not applicable’ </w:t>
                      </w:r>
                      <w:r w:rsidR="002F5F2A">
                        <w:t xml:space="preserve">will </w:t>
                      </w:r>
                      <w:r>
                        <w:t>continue to be apportioned to relevant socio-demographic groups.</w:t>
                      </w:r>
                      <w:r w:rsidRPr="005123C7">
                        <w:t xml:space="preserve"> </w:t>
                      </w:r>
                    </w:p>
                    <w:p w14:paraId="68863457" w14:textId="2140D357" w:rsidR="00E715A3" w:rsidRDefault="00546F59" w:rsidP="004E4FEB">
                      <w:pPr>
                        <w:pStyle w:val="CGC2025Bullet1"/>
                      </w:pPr>
                      <w:r>
                        <w:t xml:space="preserve">Given the absence of reliable data, a separate </w:t>
                      </w:r>
                      <w:r w:rsidR="003A022B">
                        <w:t xml:space="preserve">assessment of head leasing </w:t>
                      </w:r>
                      <w:r w:rsidR="00643A74">
                        <w:t xml:space="preserve">and other affordable housing </w:t>
                      </w:r>
                      <w:r w:rsidR="003A022B">
                        <w:t xml:space="preserve">expenses </w:t>
                      </w:r>
                      <w:r w:rsidR="00C43D3B">
                        <w:t xml:space="preserve">is </w:t>
                      </w:r>
                      <w:r w:rsidR="003A022B">
                        <w:t>not included</w:t>
                      </w:r>
                      <w:r w:rsidR="006362EC">
                        <w:t xml:space="preserve">. The Commission will monitor whether a separate assessment </w:t>
                      </w:r>
                      <w:r w:rsidR="007E79BA">
                        <w:t>of the costs of housing</w:t>
                      </w:r>
                      <w:r w:rsidR="006362EC">
                        <w:t xml:space="preserve"> people </w:t>
                      </w:r>
                      <w:r w:rsidR="00E715A3">
                        <w:t>in private accommodation should be implemented.</w:t>
                      </w:r>
                    </w:p>
                  </w:txbxContent>
                </v:textbox>
                <w10:wrap type="square" anchorx="margin"/>
              </v:shape>
            </w:pict>
          </mc:Fallback>
        </mc:AlternateContent>
      </w:r>
      <w:r w:rsidR="00276493">
        <w:t>Housing</w:t>
      </w:r>
    </w:p>
    <w:bookmarkStart w:id="3" w:name="_Toc133236159"/>
    <w:bookmarkStart w:id="4" w:name="_Toc133236185"/>
    <w:bookmarkEnd w:id="0"/>
    <w:bookmarkEnd w:id="1"/>
    <w:bookmarkEnd w:id="2"/>
    <w:p w14:paraId="78ADB98D" w14:textId="12A1D0FD" w:rsidR="00500E37" w:rsidRDefault="00500E37" w:rsidP="00F64C29">
      <w:pPr>
        <w:pStyle w:val="CGC2025ParaNumbers"/>
        <w:numPr>
          <w:ilvl w:val="0"/>
          <w:numId w:val="0"/>
        </w:numPr>
      </w:pPr>
      <w:r>
        <w:rPr>
          <w:noProof/>
        </w:rPr>
        <w:lastRenderedPageBreak/>
        <mc:AlternateContent>
          <mc:Choice Requires="wps">
            <w:drawing>
              <wp:anchor distT="45720" distB="45720" distL="114300" distR="114300" simplePos="0" relativeHeight="251658241" behindDoc="0" locked="0" layoutInCell="1" allowOverlap="1" wp14:anchorId="64DB3CF8" wp14:editId="0C14D96B">
                <wp:simplePos x="0" y="0"/>
                <wp:positionH relativeFrom="margin">
                  <wp:align>left</wp:align>
                </wp:positionH>
                <wp:positionV relativeFrom="paragraph">
                  <wp:posOffset>0</wp:posOffset>
                </wp:positionV>
                <wp:extent cx="5796000" cy="1706400"/>
                <wp:effectExtent l="0" t="0" r="14605" b="27305"/>
                <wp:wrapSquare wrapText="bothSides"/>
                <wp:docPr id="747388156" name="Text Box 747388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000" cy="1706400"/>
                        </a:xfrm>
                        <a:prstGeom prst="rect">
                          <a:avLst/>
                        </a:prstGeom>
                        <a:solidFill>
                          <a:srgbClr val="E5F8FF"/>
                        </a:solidFill>
                        <a:ln w="9525">
                          <a:solidFill>
                            <a:sysClr val="window" lastClr="FFFFFF"/>
                          </a:solidFill>
                          <a:miter lim="800000"/>
                          <a:headEnd/>
                          <a:tailEnd/>
                        </a:ln>
                      </wps:spPr>
                      <wps:txbx>
                        <w:txbxContent>
                          <w:p w14:paraId="3BD097E4" w14:textId="77777777" w:rsidR="00500E37" w:rsidRDefault="00500E37" w:rsidP="00500E37">
                            <w:pPr>
                              <w:pStyle w:val="CGC2025Bullet1"/>
                            </w:pPr>
                            <w:r w:rsidRPr="0037203E">
                              <w:t>The development of an age-based driver or cost weight will depend on accessing reliable data on the additional social housing costs associated with older tenants. The Commission will work with the states between reviews to determine if such data are available.</w:t>
                            </w:r>
                          </w:p>
                          <w:p w14:paraId="4C5FCF55" w14:textId="77777777" w:rsidR="00500E37" w:rsidRDefault="00500E37" w:rsidP="00500E37">
                            <w:pPr>
                              <w:pStyle w:val="CGC2025Bullet1"/>
                            </w:pPr>
                            <w:r w:rsidRPr="008C2E55">
                              <w:t xml:space="preserve">As part of the Commission’s forward work program, it will work with the states and relevant data providers to consider </w:t>
                            </w:r>
                            <w:r>
                              <w:t xml:space="preserve">how </w:t>
                            </w:r>
                            <w:proofErr w:type="gramStart"/>
                            <w:r w:rsidRPr="008C2E55">
                              <w:t>culturally</w:t>
                            </w:r>
                            <w:proofErr w:type="gramEnd"/>
                            <w:r w:rsidRPr="008C2E55">
                              <w:t xml:space="preserve"> and linguistically diverse </w:t>
                            </w:r>
                            <w:r>
                              <w:t xml:space="preserve">populations </w:t>
                            </w:r>
                            <w:r w:rsidRPr="008C2E55">
                              <w:t>drive</w:t>
                            </w:r>
                            <w:r>
                              <w:t xml:space="preserve"> state spending </w:t>
                            </w:r>
                            <w:r w:rsidRPr="008C2E55">
                              <w:t>in the context of the housing assessment and other expense assessments.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DB3CF8" id="Text Box 747388156" o:spid="_x0000_s1027" type="#_x0000_t202" style="position:absolute;margin-left:0;margin-top:0;width:456.4pt;height:134.3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" fillcolor="#e5f8ff" strokecolor="window">
                <v:textbox>
                  <w:txbxContent>
                    <w:p w14:paraId="3BD097E4" w14:textId="77777777" w:rsidR="00500E37" w:rsidRDefault="00500E37" w:rsidP="00500E37">
                      <w:pPr>
                        <w:pStyle w:val="CGC2025Bullet1"/>
                      </w:pPr>
                      <w:r w:rsidRPr="0037203E">
                        <w:t>The development of an age-based driver or cost weight will depend on accessing reliable data on the additional social housing costs associated with older tenants. The Commission will work with the states between reviews to determine if such data are available.</w:t>
                      </w:r>
                    </w:p>
                    <w:p w14:paraId="4C5FCF55" w14:textId="77777777" w:rsidR="00500E37" w:rsidRDefault="00500E37" w:rsidP="00500E37">
                      <w:pPr>
                        <w:pStyle w:val="CGC2025Bullet1"/>
                      </w:pPr>
                      <w:r w:rsidRPr="008C2E55">
                        <w:t xml:space="preserve">As part of the Commission’s forward work program, it will work with the states and relevant data providers to consider </w:t>
                      </w:r>
                      <w:r>
                        <w:t xml:space="preserve">how </w:t>
                      </w:r>
                      <w:r w:rsidRPr="008C2E55">
                        <w:t xml:space="preserve">culturally and linguistically diverse </w:t>
                      </w:r>
                      <w:r>
                        <w:t xml:space="preserve">populations </w:t>
                      </w:r>
                      <w:r w:rsidRPr="008C2E55">
                        <w:t>drive</w:t>
                      </w:r>
                      <w:r>
                        <w:t xml:space="preserve"> state spending </w:t>
                      </w:r>
                      <w:r w:rsidRPr="008C2E55">
                        <w:t>in the context of the housing assessment and other expense assessments.</w:t>
                      </w:r>
                    </w:p>
                  </w:txbxContent>
                </v:textbox>
                <w10:wrap type="square" anchorx="margin"/>
              </v:shape>
            </w:pict>
          </mc:Fallback>
        </mc:AlternateContent>
      </w:r>
    </w:p>
    <w:p w14:paraId="1A5F2E10" w14:textId="0CF39BD4" w:rsidR="006E5D74" w:rsidRPr="00AD1713" w:rsidRDefault="00F5352E" w:rsidP="00F64C29">
      <w:pPr>
        <w:pStyle w:val="Heading2"/>
        <w:keepNext/>
        <w:spacing w:before="120"/>
      </w:pPr>
      <w:r>
        <w:t>Introduction</w:t>
      </w:r>
    </w:p>
    <w:p w14:paraId="5269CD4E" w14:textId="19A488E9" w:rsidR="00C46292" w:rsidRPr="00952500" w:rsidRDefault="00B83ACA">
      <w:pPr>
        <w:pStyle w:val="CGC2025ParaNumbers"/>
        <w:tabs>
          <w:tab w:val="clear" w:pos="567"/>
        </w:tabs>
      </w:pPr>
      <w:bookmarkStart w:id="5" w:name="_Toc143786730"/>
      <w:r w:rsidRPr="002E6EED">
        <w:t xml:space="preserve">On </w:t>
      </w:r>
      <w:r w:rsidR="007B71E3" w:rsidRPr="002E6EED">
        <w:t>6</w:t>
      </w:r>
      <w:r w:rsidRPr="002E6EED">
        <w:t xml:space="preserve"> Ju</w:t>
      </w:r>
      <w:r w:rsidR="00CF225A" w:rsidRPr="002E6EED">
        <w:t>ly</w:t>
      </w:r>
      <w:r w:rsidR="007B71E3" w:rsidRPr="002E6EED">
        <w:t xml:space="preserve"> </w:t>
      </w:r>
      <w:r w:rsidR="007B71E3" w:rsidRPr="00952500">
        <w:t>2</w:t>
      </w:r>
      <w:r w:rsidRPr="00952500">
        <w:t xml:space="preserve">024, the Commission published </w:t>
      </w:r>
      <w:r w:rsidR="00B4527E" w:rsidRPr="00952500">
        <w:t xml:space="preserve">the </w:t>
      </w:r>
      <w:hyperlink r:id="rId11" w:history="1">
        <w:r w:rsidR="00CE4825" w:rsidRPr="00952500">
          <w:rPr>
            <w:rStyle w:val="Hyperlink"/>
          </w:rPr>
          <w:t>Draft Report</w:t>
        </w:r>
      </w:hyperlink>
      <w:r w:rsidR="00CE4825" w:rsidRPr="00952500">
        <w:t xml:space="preserve"> for</w:t>
      </w:r>
      <w:r w:rsidRPr="00952500">
        <w:t xml:space="preserve"> the 2025</w:t>
      </w:r>
      <w:r w:rsidR="00E52EFA" w:rsidRPr="00952500">
        <w:t> </w:t>
      </w:r>
      <w:r w:rsidRPr="00952500">
        <w:t>Methodology Review.</w:t>
      </w:r>
      <w:r w:rsidR="002358F4" w:rsidRPr="00952500">
        <w:t xml:space="preserve"> </w:t>
      </w:r>
    </w:p>
    <w:p w14:paraId="0A8502C7" w14:textId="67E6B03B" w:rsidR="00B05EE4" w:rsidRPr="00952500" w:rsidRDefault="002358F4">
      <w:pPr>
        <w:pStyle w:val="CGC2025ParaNumbers"/>
        <w:tabs>
          <w:tab w:val="clear" w:pos="567"/>
        </w:tabs>
      </w:pPr>
      <w:r w:rsidRPr="00952500">
        <w:t xml:space="preserve">The Draft Report </w:t>
      </w:r>
      <w:r w:rsidR="00530FA3" w:rsidRPr="00952500">
        <w:t>include</w:t>
      </w:r>
      <w:r w:rsidR="00B05EE4" w:rsidRPr="00952500">
        <w:t>d</w:t>
      </w:r>
      <w:r w:rsidR="00530FA3" w:rsidRPr="00952500">
        <w:t xml:space="preserve"> a detailed analysis and response to issues raised by states </w:t>
      </w:r>
      <w:r w:rsidR="00B93967" w:rsidRPr="00952500">
        <w:t xml:space="preserve">and territories (states) </w:t>
      </w:r>
      <w:r w:rsidR="00530FA3" w:rsidRPr="00952500">
        <w:t xml:space="preserve">in their </w:t>
      </w:r>
      <w:hyperlink r:id="rId12" w:history="1">
        <w:r w:rsidR="00530FA3" w:rsidRPr="00952500">
          <w:rPr>
            <w:rStyle w:val="Hyperlink"/>
          </w:rPr>
          <w:t>submissions</w:t>
        </w:r>
      </w:hyperlink>
      <w:r w:rsidR="00530FA3" w:rsidRPr="00952500">
        <w:t xml:space="preserve"> on the Commission’s </w:t>
      </w:r>
      <w:hyperlink r:id="rId13" w:history="1">
        <w:r w:rsidR="00530FA3" w:rsidRPr="00952500">
          <w:rPr>
            <w:rStyle w:val="Hyperlink"/>
          </w:rPr>
          <w:t>consultation paper</w:t>
        </w:r>
      </w:hyperlink>
      <w:r w:rsidR="00B05EE4" w:rsidRPr="00952500">
        <w:t>.</w:t>
      </w:r>
    </w:p>
    <w:p w14:paraId="3185A936" w14:textId="3E78B7C5" w:rsidR="00E970BA" w:rsidRPr="00952500" w:rsidRDefault="00E970BA" w:rsidP="00E970BA">
      <w:pPr>
        <w:pStyle w:val="CGC2025ParaNumbers"/>
      </w:pPr>
      <w:r w:rsidRPr="00952500">
        <w:t xml:space="preserve">State submissions on the Draft Report can be viewed </w:t>
      </w:r>
      <w:hyperlink r:id="rId14" w:history="1">
        <w:r w:rsidRPr="00952500">
          <w:rPr>
            <w:rStyle w:val="Hyperlink"/>
          </w:rPr>
          <w:t>here</w:t>
        </w:r>
      </w:hyperlink>
      <w:r w:rsidRPr="00952500">
        <w:t xml:space="preserve">. </w:t>
      </w:r>
    </w:p>
    <w:p w14:paraId="52CABCE6" w14:textId="6ED38546" w:rsidR="00CD7065" w:rsidRDefault="00542091">
      <w:pPr>
        <w:pStyle w:val="CGC2025ParaNumbers"/>
      </w:pPr>
      <w:r w:rsidRPr="00952500">
        <w:t xml:space="preserve">This chapter </w:t>
      </w:r>
      <w:r w:rsidR="00F83FF2" w:rsidRPr="00952500">
        <w:t>includes</w:t>
      </w:r>
      <w:r w:rsidR="00B83ACA">
        <w:t>:</w:t>
      </w:r>
    </w:p>
    <w:p w14:paraId="75891BAD" w14:textId="39478E3A" w:rsidR="00CD7065" w:rsidRDefault="00BF083B" w:rsidP="00CD7065">
      <w:pPr>
        <w:pStyle w:val="CGC2025Bullet1"/>
      </w:pPr>
      <w:r>
        <w:t xml:space="preserve">an overview </w:t>
      </w:r>
      <w:r w:rsidR="00761320">
        <w:t xml:space="preserve">of </w:t>
      </w:r>
      <w:r w:rsidR="00C879EF">
        <w:t xml:space="preserve">the </w:t>
      </w:r>
      <w:r w:rsidR="00AE4834">
        <w:t xml:space="preserve">issues considered </w:t>
      </w:r>
      <w:r w:rsidR="00F85D75">
        <w:t>throughout</w:t>
      </w:r>
      <w:r w:rsidR="00393077">
        <w:t xml:space="preserve"> the review</w:t>
      </w:r>
      <w:r w:rsidR="00AE4834">
        <w:t xml:space="preserve"> </w:t>
      </w:r>
    </w:p>
    <w:p w14:paraId="53E2B6A6" w14:textId="5D5CBA29" w:rsidR="00CD7065" w:rsidRDefault="00542091" w:rsidP="00CD7065">
      <w:pPr>
        <w:pStyle w:val="CGC2025Bullet1"/>
      </w:pPr>
      <w:r>
        <w:t xml:space="preserve">the Commission’s </w:t>
      </w:r>
      <w:r w:rsidR="00C1107C">
        <w:t>response and decision</w:t>
      </w:r>
      <w:r>
        <w:t xml:space="preserve"> on each issue</w:t>
      </w:r>
      <w:r w:rsidR="00A71869">
        <w:t xml:space="preserve"> </w:t>
      </w:r>
    </w:p>
    <w:p w14:paraId="0C819F81" w14:textId="40DF6B4C" w:rsidR="00915D3A" w:rsidRPr="005250AF" w:rsidRDefault="00C1107C">
      <w:pPr>
        <w:pStyle w:val="CGC2025Bullet1"/>
        <w:keepNext/>
      </w:pPr>
      <w:bookmarkStart w:id="6" w:name="_Toc143786736"/>
      <w:bookmarkEnd w:id="3"/>
      <w:bookmarkEnd w:id="4"/>
      <w:bookmarkEnd w:id="5"/>
      <w:r>
        <w:t xml:space="preserve">GST impacts </w:t>
      </w:r>
      <w:r w:rsidR="00B60EC1">
        <w:t xml:space="preserve">of </w:t>
      </w:r>
      <w:r>
        <w:t>method changes.</w:t>
      </w:r>
    </w:p>
    <w:p w14:paraId="106E8C3E" w14:textId="739ACF5E" w:rsidR="00C1107C" w:rsidRPr="005250AF" w:rsidRDefault="00A231F3" w:rsidP="00E07F80">
      <w:pPr>
        <w:pStyle w:val="CGC2025ParaNumbers"/>
      </w:pPr>
      <w:r>
        <w:t>A</w:t>
      </w:r>
      <w:r w:rsidR="00E07F80" w:rsidRPr="00E07F80">
        <w:t xml:space="preserve"> description of the assessment method, incorporating the changes made in the 2025 Review, </w:t>
      </w:r>
      <w:r w:rsidR="00F6271C">
        <w:t xml:space="preserve">can be found </w:t>
      </w:r>
      <w:r w:rsidR="00E07F80" w:rsidRPr="00E07F80">
        <w:t xml:space="preserve">in </w:t>
      </w:r>
      <w:r w:rsidR="00E07F80" w:rsidRPr="00686F2B">
        <w:t>the housing chapter</w:t>
      </w:r>
      <w:r w:rsidR="00E07F80" w:rsidRPr="00E07F80">
        <w:t xml:space="preserve"> </w:t>
      </w:r>
      <w:r w:rsidR="00FA0F32">
        <w:t>of</w:t>
      </w:r>
      <w:r w:rsidR="00E07F80" w:rsidRPr="00E07F80">
        <w:t xml:space="preserve"> </w:t>
      </w:r>
      <w:r w:rsidR="00694B4A">
        <w:t xml:space="preserve">the </w:t>
      </w:r>
      <w:r w:rsidR="00694B4A">
        <w:rPr>
          <w:i/>
          <w:iCs/>
        </w:rPr>
        <w:t xml:space="preserve">Commission’s </w:t>
      </w:r>
      <w:r w:rsidR="00DF20C8">
        <w:rPr>
          <w:i/>
          <w:iCs/>
        </w:rPr>
        <w:t>A</w:t>
      </w:r>
      <w:r w:rsidR="00694B4A">
        <w:rPr>
          <w:i/>
          <w:iCs/>
        </w:rPr>
        <w:t xml:space="preserve">ssessment </w:t>
      </w:r>
      <w:r w:rsidR="00DF20C8">
        <w:rPr>
          <w:i/>
          <w:iCs/>
        </w:rPr>
        <w:t>M</w:t>
      </w:r>
      <w:r w:rsidR="00694B4A">
        <w:rPr>
          <w:i/>
          <w:iCs/>
        </w:rPr>
        <w:t>ethodology</w:t>
      </w:r>
      <w:r w:rsidR="00DC2723">
        <w:t>.</w:t>
      </w:r>
    </w:p>
    <w:p w14:paraId="61C97C18" w14:textId="3C62A662" w:rsidR="00D92AB4" w:rsidRDefault="00A132B8" w:rsidP="00A60468">
      <w:pPr>
        <w:pStyle w:val="Heading2"/>
        <w:keepNext/>
      </w:pPr>
      <w:r>
        <w:t>Issues considered</w:t>
      </w:r>
    </w:p>
    <w:p w14:paraId="55B04EDF" w14:textId="2C379747" w:rsidR="00123545" w:rsidRPr="00123545" w:rsidRDefault="007344BF" w:rsidP="00A60468">
      <w:pPr>
        <w:pStyle w:val="Heading3"/>
        <w:keepNext/>
      </w:pPr>
      <w:r w:rsidRPr="007344BF">
        <w:t>Additional costs due to above-average overcrowding</w:t>
      </w:r>
    </w:p>
    <w:p w14:paraId="585BEB75" w14:textId="0B698C67" w:rsidR="008675B1" w:rsidRPr="008675B1" w:rsidRDefault="00BC5AF6" w:rsidP="00082C2F">
      <w:pPr>
        <w:pStyle w:val="CGC2025ParaNumbers"/>
      </w:pPr>
      <w:r w:rsidRPr="001C4082">
        <w:t>In the Draft Report, the Commission proposed to change the housing assessment to an individuals-based assessment rather than the households</w:t>
      </w:r>
      <w:r w:rsidR="003F47E7" w:rsidRPr="001C4082">
        <w:noBreakHyphen/>
      </w:r>
      <w:r w:rsidRPr="001C4082">
        <w:t>based assessment from the 2020 Review. This was in response to concerns raised by the Northern</w:t>
      </w:r>
      <w:r w:rsidR="00CA0AFD" w:rsidRPr="001C4082">
        <w:t> </w:t>
      </w:r>
      <w:r w:rsidRPr="001C4082">
        <w:t>Territory that the assessment did not appropriately assess expense needs in states with above</w:t>
      </w:r>
      <w:r w:rsidR="00003AB5" w:rsidRPr="001C4082">
        <w:t>-</w:t>
      </w:r>
      <w:r w:rsidRPr="001C4082">
        <w:t>average overcrowding.</w:t>
      </w:r>
      <w:r w:rsidR="00407087" w:rsidRPr="001C4082">
        <w:t xml:space="preserve"> </w:t>
      </w:r>
      <w:r w:rsidR="0060693B" w:rsidRPr="001C4082">
        <w:t xml:space="preserve">Following state comments on the change to the housing assessment proposed in the </w:t>
      </w:r>
      <w:r w:rsidR="00432980" w:rsidRPr="001C4082">
        <w:t>D</w:t>
      </w:r>
      <w:r w:rsidR="0060693B" w:rsidRPr="001C4082">
        <w:t xml:space="preserve">raft </w:t>
      </w:r>
      <w:r w:rsidR="00432980" w:rsidRPr="001C4082">
        <w:t>R</w:t>
      </w:r>
      <w:r w:rsidR="0060693B" w:rsidRPr="001C4082">
        <w:t>eport, the Commission presented an alternative average household</w:t>
      </w:r>
      <w:r w:rsidR="0060693B" w:rsidRPr="0060693B">
        <w:t xml:space="preserve"> size method in </w:t>
      </w:r>
      <w:hyperlink r:id="rId15" w:history="1">
        <w:r w:rsidR="0060693B" w:rsidRPr="00963E92">
          <w:rPr>
            <w:rStyle w:val="Hyperlink"/>
          </w:rPr>
          <w:t xml:space="preserve">Significant </w:t>
        </w:r>
        <w:r w:rsidR="00952500" w:rsidRPr="00963E92">
          <w:rPr>
            <w:rStyle w:val="Hyperlink"/>
          </w:rPr>
          <w:t>c</w:t>
        </w:r>
        <w:r w:rsidR="0060693B" w:rsidRPr="00963E92">
          <w:rPr>
            <w:rStyle w:val="Hyperlink"/>
          </w:rPr>
          <w:t>hanges sin</w:t>
        </w:r>
        <w:r w:rsidR="00432980" w:rsidRPr="00963E92">
          <w:rPr>
            <w:rStyle w:val="Hyperlink"/>
          </w:rPr>
          <w:t>c</w:t>
        </w:r>
        <w:r w:rsidR="0060693B" w:rsidRPr="00963E92">
          <w:rPr>
            <w:rStyle w:val="Hyperlink"/>
          </w:rPr>
          <w:t>e the Draft Report</w:t>
        </w:r>
      </w:hyperlink>
      <w:r w:rsidR="00432980" w:rsidRPr="00963E92">
        <w:t>.</w:t>
      </w:r>
    </w:p>
    <w:p w14:paraId="0BB2E39D" w14:textId="62C3196A" w:rsidR="008675B1" w:rsidRPr="008675B1" w:rsidRDefault="008675B1" w:rsidP="008675B1">
      <w:pPr>
        <w:pStyle w:val="Heading4"/>
      </w:pPr>
      <w:r>
        <w:t>State views</w:t>
      </w:r>
    </w:p>
    <w:p w14:paraId="538786D0" w14:textId="4B27AE37" w:rsidR="00356456" w:rsidRDefault="00AF0BB5" w:rsidP="00356456">
      <w:pPr>
        <w:pStyle w:val="CGC2025ParaNumbers"/>
      </w:pPr>
      <w:r w:rsidRPr="00C46053">
        <w:t xml:space="preserve">Western Australia and the Northern Territory supported the </w:t>
      </w:r>
      <w:r>
        <w:t>proposal</w:t>
      </w:r>
      <w:r w:rsidR="00E22082">
        <w:t xml:space="preserve"> for an individuals</w:t>
      </w:r>
      <w:r w:rsidR="0095113F">
        <w:t>-based assessment</w:t>
      </w:r>
      <w:r w:rsidRPr="00C46053">
        <w:t>.</w:t>
      </w:r>
      <w:r w:rsidR="00662DE3">
        <w:t xml:space="preserve"> </w:t>
      </w:r>
      <w:r w:rsidR="00DE0946">
        <w:t>T</w:t>
      </w:r>
      <w:r w:rsidR="00356456">
        <w:t xml:space="preserve">he Northern Territory </w:t>
      </w:r>
      <w:r w:rsidR="00662DE3">
        <w:t>said</w:t>
      </w:r>
      <w:r w:rsidR="00356456">
        <w:t xml:space="preserve"> the </w:t>
      </w:r>
      <w:r w:rsidR="001C2D97">
        <w:t xml:space="preserve">household-based </w:t>
      </w:r>
      <w:r w:rsidR="001C2D97">
        <w:lastRenderedPageBreak/>
        <w:t>approach</w:t>
      </w:r>
      <w:r w:rsidR="00356456">
        <w:t xml:space="preserve"> reduces assessed housing </w:t>
      </w:r>
      <w:r w:rsidR="00EE417F">
        <w:t xml:space="preserve">expenses </w:t>
      </w:r>
      <w:r w:rsidR="00356456">
        <w:t>in states with above</w:t>
      </w:r>
      <w:r w:rsidR="000E7FE8">
        <w:noBreakHyphen/>
      </w:r>
      <w:r w:rsidR="00356456">
        <w:t xml:space="preserve">average overcrowding. The Northern Territory said because the national average use rates are applied to each state’s total households, a state with lower housing per capita, with higher overcrowding or homelessness rates, is apportioned less </w:t>
      </w:r>
      <w:r w:rsidR="00E769E0">
        <w:t>expenses per</w:t>
      </w:r>
      <w:r w:rsidR="00356456">
        <w:t xml:space="preserve"> capita. </w:t>
      </w:r>
    </w:p>
    <w:p w14:paraId="7205FD53" w14:textId="08950A5D" w:rsidR="00C46053" w:rsidRPr="00C46053" w:rsidRDefault="00C46053" w:rsidP="00C46053">
      <w:pPr>
        <w:pStyle w:val="CGC2025ParaNumbers"/>
      </w:pPr>
      <w:r w:rsidRPr="00C46053">
        <w:t xml:space="preserve">While </w:t>
      </w:r>
      <w:r w:rsidR="001E1287">
        <w:t xml:space="preserve">most </w:t>
      </w:r>
      <w:r w:rsidRPr="00C46053">
        <w:t>states accepted the conceptual case that overcrowding results in additional costs, most states did not support an individual</w:t>
      </w:r>
      <w:r w:rsidR="00600673">
        <w:t>s</w:t>
      </w:r>
      <w:r w:rsidR="001C2D97">
        <w:noBreakHyphen/>
      </w:r>
      <w:r w:rsidRPr="00C46053">
        <w:t xml:space="preserve">based method as proposed in the Draft Report. </w:t>
      </w:r>
      <w:r w:rsidR="00A13FCF">
        <w:t>They</w:t>
      </w:r>
      <w:r w:rsidRPr="00C46053">
        <w:t xml:space="preserve"> said it does not reflect what states do</w:t>
      </w:r>
      <w:r w:rsidR="00A13FCF">
        <w:t>, which is to</w:t>
      </w:r>
      <w:r w:rsidRPr="00C46053">
        <w:t xml:space="preserve"> provide social housing to households, not individuals. They also said social housing expenses do not increase in a linear way as household size increases, as implied by the individual</w:t>
      </w:r>
      <w:r w:rsidR="000409B8">
        <w:t>s</w:t>
      </w:r>
      <w:r w:rsidR="00FA0746">
        <w:noBreakHyphen/>
      </w:r>
      <w:r w:rsidRPr="00C46053">
        <w:t xml:space="preserve">based approach. </w:t>
      </w:r>
    </w:p>
    <w:p w14:paraId="22DA6950" w14:textId="339C56B5" w:rsidR="00356456" w:rsidRDefault="00356456" w:rsidP="00356456">
      <w:pPr>
        <w:pStyle w:val="CGC2025ParaNumbers"/>
      </w:pPr>
      <w:r>
        <w:t>New South Wales said an above</w:t>
      </w:r>
      <w:r w:rsidR="009A65E6">
        <w:t>-</w:t>
      </w:r>
      <w:r>
        <w:t>average</w:t>
      </w:r>
      <w:r w:rsidR="009A0527">
        <w:t>-</w:t>
      </w:r>
      <w:r>
        <w:t>sized household is not necessarily overcrowded</w:t>
      </w:r>
      <w:r w:rsidR="004D1AC8">
        <w:t xml:space="preserve"> and that the </w:t>
      </w:r>
      <w:r w:rsidR="00474BAC">
        <w:t>individual</w:t>
      </w:r>
      <w:r w:rsidR="000409B8">
        <w:t>s</w:t>
      </w:r>
      <w:r w:rsidR="00474BAC">
        <w:t xml:space="preserve">-based approach </w:t>
      </w:r>
      <w:r>
        <w:t xml:space="preserve">conflated the issue of household undercount with social housing overcrowding. New South Wales said the Commission should consider </w:t>
      </w:r>
      <w:r w:rsidR="00F13470">
        <w:t xml:space="preserve">including a </w:t>
      </w:r>
      <w:r>
        <w:t xml:space="preserve">cost weight for household size, though any cost weight </w:t>
      </w:r>
      <w:r w:rsidR="00B35EBA">
        <w:t xml:space="preserve">must </w:t>
      </w:r>
      <w:r>
        <w:t>be supported by data.</w:t>
      </w:r>
    </w:p>
    <w:p w14:paraId="52E58E03" w14:textId="45345136" w:rsidR="00963E56" w:rsidRPr="00963E56" w:rsidRDefault="00963E56" w:rsidP="00963E56">
      <w:pPr>
        <w:pStyle w:val="CGC2025ParaNumbers"/>
      </w:pPr>
      <w:r w:rsidRPr="00963E56">
        <w:t>In addition, New South Wales and Victoria presented data on the increasing share of single</w:t>
      </w:r>
      <w:r w:rsidR="000162D7">
        <w:t>-</w:t>
      </w:r>
      <w:r w:rsidRPr="00963E56">
        <w:t>person households in social housing and referenced analysis that showed single</w:t>
      </w:r>
      <w:r w:rsidR="000162D7">
        <w:t>-</w:t>
      </w:r>
      <w:r w:rsidRPr="00963E56">
        <w:t>person households incur higher costs for tenant-related service requests and other property maintenance and repair requests. They said these additional costs relate to the complex needs of tenants and complex needs are found at a disproportionately high rate amongst single</w:t>
      </w:r>
      <w:r w:rsidR="00315E67">
        <w:t>-</w:t>
      </w:r>
      <w:r w:rsidRPr="00963E56">
        <w:t>person households.</w:t>
      </w:r>
    </w:p>
    <w:p w14:paraId="13A7C4E0" w14:textId="108A6EA9" w:rsidR="00356456" w:rsidRDefault="00356456" w:rsidP="00356456">
      <w:pPr>
        <w:pStyle w:val="CGC2025ParaNumbers"/>
      </w:pPr>
      <w:r>
        <w:t>Victoria said a move to an individual</w:t>
      </w:r>
      <w:r w:rsidR="00773AAD">
        <w:t>s</w:t>
      </w:r>
      <w:r>
        <w:t>-based assessment is unnecessary as existing drivers in the housing assessment (for example, remoteness) are already appropriate proxies for overcrowding. Victoria also said larger households pay more in rent, resulting in higher revenue for the service provider. In most cases, this offsets any additional costs associated with extra tenants.</w:t>
      </w:r>
    </w:p>
    <w:p w14:paraId="3482CB0D" w14:textId="4B84B9CE" w:rsidR="002A7D51" w:rsidRPr="00DF3A85" w:rsidRDefault="002A7D51" w:rsidP="002A7D51">
      <w:pPr>
        <w:pStyle w:val="CGC2025ParaNumbers"/>
      </w:pPr>
      <w:r w:rsidRPr="00DF3A85">
        <w:t>Queensland said it accept</w:t>
      </w:r>
      <w:r w:rsidR="00922CB8">
        <w:t>ed</w:t>
      </w:r>
      <w:r w:rsidRPr="00DF3A85">
        <w:t xml:space="preserve"> that there is a conceptual case that a household approach does not adequately reflect the costs of addressing overcrowding, but it d</w:t>
      </w:r>
      <w:r>
        <w:t>id</w:t>
      </w:r>
      <w:r w:rsidRPr="00DF3A85">
        <w:t xml:space="preserve"> not support the method change. It said that further changes </w:t>
      </w:r>
      <w:r w:rsidR="00922CB8">
        <w:t xml:space="preserve">would </w:t>
      </w:r>
      <w:r w:rsidRPr="00DF3A85">
        <w:t>add to the complexity in an assessment which already has a very small impact o</w:t>
      </w:r>
      <w:r>
        <w:t>n</w:t>
      </w:r>
      <w:r w:rsidRPr="00DF3A85">
        <w:t xml:space="preserve"> GST distribution.</w:t>
      </w:r>
    </w:p>
    <w:p w14:paraId="18B48066" w14:textId="375F01EE" w:rsidR="002A7D51" w:rsidRPr="00D316FB" w:rsidRDefault="002A7D51" w:rsidP="002A7D51">
      <w:pPr>
        <w:pStyle w:val="CGC2025ParaNumbers"/>
      </w:pPr>
      <w:r w:rsidRPr="00D316FB">
        <w:t xml:space="preserve">South Australia said that the additional costs faced by the Northern Territory beyond what it needs to spend to provide the average standard of services should be addressed and funded outside the horizontal fiscal equalisation system. </w:t>
      </w:r>
      <w:r>
        <w:t>It</w:t>
      </w:r>
      <w:r w:rsidRPr="00D316FB">
        <w:t xml:space="preserve"> said this reflects that the objective of horizontal fiscal equalisation is to provide states with the capacity to provide the same standard of services. It said addressing overcrowding in the Northern Territory’s remote First Nations communities would require a higher</w:t>
      </w:r>
      <w:r>
        <w:noBreakHyphen/>
      </w:r>
      <w:r w:rsidRPr="00D316FB">
        <w:t>than</w:t>
      </w:r>
      <w:r>
        <w:noBreakHyphen/>
      </w:r>
      <w:r w:rsidRPr="00D316FB">
        <w:t>average standard of service, which is beyond the scope of horizontal fiscal equalisation.</w:t>
      </w:r>
    </w:p>
    <w:p w14:paraId="5495C1B9" w14:textId="0C6917D8" w:rsidR="000928EC" w:rsidRPr="009C30F8" w:rsidRDefault="00251DA9" w:rsidP="000928EC">
      <w:pPr>
        <w:pStyle w:val="CGC2025ParaNumbers"/>
      </w:pPr>
      <w:r>
        <w:lastRenderedPageBreak/>
        <w:t>T</w:t>
      </w:r>
      <w:r w:rsidR="000928EC" w:rsidRPr="007B51CD">
        <w:t>he Northern Territory said the purpose of horizontal fiscal equalisation is to provide states with the fiscal capacity to deliver an average standard of services to persons. A household approach would only be reasonable where overcrowding and non</w:t>
      </w:r>
      <w:r w:rsidR="000928EC">
        <w:noBreakHyphen/>
      </w:r>
      <w:r w:rsidR="000928EC" w:rsidRPr="007B51CD">
        <w:t>state housing stock per capita rates are equivalent between states and regions in states.</w:t>
      </w:r>
    </w:p>
    <w:p w14:paraId="638CABD0" w14:textId="32B901F7" w:rsidR="004C7402" w:rsidRDefault="00356456" w:rsidP="009C30F8">
      <w:pPr>
        <w:pStyle w:val="CGC2025ParaNumbers"/>
      </w:pPr>
      <w:r>
        <w:t>Victoria said the change to an individuals</w:t>
      </w:r>
      <w:r w:rsidR="007B51CD">
        <w:noBreakHyphen/>
      </w:r>
      <w:r>
        <w:t>based assessment would result in a change in GST distribution disproportionate to the size of the overcrowding problem. Victoria said it did not consider sufficient consultation had been conducted with states, given the magnitude of this change. South Australia and Tasmania suggested the issue should be considered further as part of the forward work program.</w:t>
      </w:r>
    </w:p>
    <w:p w14:paraId="01D175A0" w14:textId="0930D01C" w:rsidR="00CC6929" w:rsidRPr="001C4082" w:rsidRDefault="00CC6929" w:rsidP="00D03AD1">
      <w:pPr>
        <w:pStyle w:val="CGC2025ParaNumbers"/>
      </w:pPr>
      <w:r w:rsidRPr="001C4082">
        <w:t xml:space="preserve">Most states preferred the </w:t>
      </w:r>
      <w:r w:rsidR="00D03AD1" w:rsidRPr="001C4082">
        <w:t>average</w:t>
      </w:r>
      <w:r w:rsidR="00310A44">
        <w:t xml:space="preserve"> </w:t>
      </w:r>
      <w:r w:rsidR="00D03AD1" w:rsidRPr="001C4082">
        <w:t>household</w:t>
      </w:r>
      <w:r w:rsidR="00310A44">
        <w:t xml:space="preserve"> </w:t>
      </w:r>
      <w:r w:rsidR="00D03AD1" w:rsidRPr="001C4082">
        <w:t>size</w:t>
      </w:r>
      <w:r w:rsidR="00FB7C88" w:rsidRPr="001C4082">
        <w:noBreakHyphen/>
      </w:r>
      <w:r w:rsidR="00D03AD1" w:rsidRPr="001C4082">
        <w:t>based approach to the individuals</w:t>
      </w:r>
      <w:r w:rsidR="00FB7C88" w:rsidRPr="001C4082">
        <w:noBreakHyphen/>
        <w:t>based approach.</w:t>
      </w:r>
    </w:p>
    <w:p w14:paraId="15A83C3D" w14:textId="624E918A" w:rsidR="000E0163" w:rsidRPr="001C4082" w:rsidRDefault="00FB7C88" w:rsidP="00CB3A06">
      <w:pPr>
        <w:pStyle w:val="CGC2025ParaNumbers"/>
      </w:pPr>
      <w:r w:rsidRPr="001C4082">
        <w:t xml:space="preserve">Western Australia </w:t>
      </w:r>
      <w:r w:rsidR="000B5059" w:rsidRPr="001C4082">
        <w:t xml:space="preserve">said it </w:t>
      </w:r>
      <w:r w:rsidR="00412EA8" w:rsidRPr="001C4082">
        <w:t xml:space="preserve">did not support </w:t>
      </w:r>
      <w:r w:rsidR="000E0163" w:rsidRPr="001C4082">
        <w:t>the average</w:t>
      </w:r>
      <w:r w:rsidR="00DF56B9" w:rsidRPr="001C4082">
        <w:t xml:space="preserve"> </w:t>
      </w:r>
      <w:r w:rsidR="000E0163" w:rsidRPr="001C4082">
        <w:t>household size</w:t>
      </w:r>
      <w:r w:rsidR="00AB23CE">
        <w:t xml:space="preserve"> </w:t>
      </w:r>
      <w:r w:rsidR="00AB23CE" w:rsidRPr="001C4082">
        <w:t>approach</w:t>
      </w:r>
      <w:r w:rsidR="000E0163" w:rsidRPr="001C4082">
        <w:t xml:space="preserve"> as it would result in </w:t>
      </w:r>
      <w:r w:rsidR="00365D5D" w:rsidRPr="001C4082">
        <w:t xml:space="preserve">reduced </w:t>
      </w:r>
      <w:r w:rsidR="00BD7BBC" w:rsidRPr="001C4082">
        <w:t xml:space="preserve">assessed </w:t>
      </w:r>
      <w:r w:rsidR="00365D5D" w:rsidRPr="001C4082">
        <w:t xml:space="preserve">GST </w:t>
      </w:r>
      <w:r w:rsidR="00BD7BBC" w:rsidRPr="001C4082">
        <w:t>needs for</w:t>
      </w:r>
      <w:r w:rsidR="00365D5D" w:rsidRPr="001C4082">
        <w:t xml:space="preserve"> Western Australia even though it has the second highest rate of severe overcrowding.</w:t>
      </w:r>
    </w:p>
    <w:p w14:paraId="73D2C392" w14:textId="62F45FB7" w:rsidR="0088133C" w:rsidRPr="001C4082" w:rsidRDefault="00BD48D4" w:rsidP="001C4082">
      <w:pPr>
        <w:pStyle w:val="CGC2025ParaNumbers"/>
      </w:pPr>
      <w:r w:rsidRPr="001C4082">
        <w:t xml:space="preserve">The Northern </w:t>
      </w:r>
      <w:r w:rsidR="004C5C97" w:rsidRPr="001C4082">
        <w:t xml:space="preserve">Territory </w:t>
      </w:r>
      <w:r w:rsidR="00F308EC" w:rsidRPr="001C4082">
        <w:t xml:space="preserve">said the </w:t>
      </w:r>
      <w:r w:rsidR="00DF56B9" w:rsidRPr="001C4082">
        <w:t xml:space="preserve">average household size </w:t>
      </w:r>
      <w:r w:rsidR="00AB23CE" w:rsidRPr="001C4082">
        <w:t>approach</w:t>
      </w:r>
      <w:r w:rsidR="00AB23CE">
        <w:t xml:space="preserve"> </w:t>
      </w:r>
      <w:r w:rsidR="00F125BC" w:rsidRPr="001C4082">
        <w:t xml:space="preserve">results in </w:t>
      </w:r>
      <w:r w:rsidR="004844A0" w:rsidRPr="001C4082">
        <w:t>unintended consequences.</w:t>
      </w:r>
      <w:r w:rsidR="001B7FEC" w:rsidRPr="001C4082">
        <w:t xml:space="preserve"> </w:t>
      </w:r>
      <w:r w:rsidR="006B3320" w:rsidRPr="001C4082">
        <w:t>It said t</w:t>
      </w:r>
      <w:r w:rsidR="0026291C" w:rsidRPr="001C4082">
        <w:t>his is</w:t>
      </w:r>
      <w:r w:rsidR="00F125BC" w:rsidRPr="001C4082">
        <w:t xml:space="preserve"> </w:t>
      </w:r>
      <w:r w:rsidR="00016E4E" w:rsidRPr="001C4082">
        <w:t xml:space="preserve">because the Northern Territory </w:t>
      </w:r>
      <w:r w:rsidR="00D704FE" w:rsidRPr="001C4082">
        <w:t>has a large influence on the average house</w:t>
      </w:r>
      <w:r w:rsidR="006B3320" w:rsidRPr="001C4082">
        <w:t>h</w:t>
      </w:r>
      <w:r w:rsidR="003755F2" w:rsidRPr="001C4082">
        <w:t>old</w:t>
      </w:r>
      <w:r w:rsidR="00D704FE" w:rsidRPr="001C4082">
        <w:t xml:space="preserve"> size in </w:t>
      </w:r>
      <w:r w:rsidR="00024894" w:rsidRPr="001C4082">
        <w:t>the very remote, First Nation</w:t>
      </w:r>
      <w:r w:rsidR="4F578175" w:rsidRPr="001C4082">
        <w:t>s</w:t>
      </w:r>
      <w:r w:rsidR="00024894" w:rsidRPr="001C4082">
        <w:t>, low</w:t>
      </w:r>
      <w:r w:rsidR="00FC125B">
        <w:noBreakHyphen/>
      </w:r>
      <w:r w:rsidR="00024894" w:rsidRPr="001C4082">
        <w:t>income socio</w:t>
      </w:r>
      <w:r w:rsidR="00310A44">
        <w:noBreakHyphen/>
      </w:r>
      <w:r w:rsidR="00024894" w:rsidRPr="001C4082">
        <w:t xml:space="preserve">demographic group </w:t>
      </w:r>
      <w:r w:rsidR="0026291C" w:rsidRPr="001C4082">
        <w:t xml:space="preserve">and because </w:t>
      </w:r>
      <w:r w:rsidR="000C3CAA" w:rsidRPr="001C4082">
        <w:t xml:space="preserve">expenses to equalise the </w:t>
      </w:r>
      <w:r w:rsidR="003755F2" w:rsidRPr="001C4082">
        <w:t>Northern</w:t>
      </w:r>
      <w:r w:rsidR="00F66EF6" w:rsidRPr="001C4082">
        <w:t xml:space="preserve"> </w:t>
      </w:r>
      <w:r w:rsidR="000C3CAA" w:rsidRPr="001C4082">
        <w:t xml:space="preserve">Territory’s household size are limited to being drawn solely from the </w:t>
      </w:r>
      <w:r w:rsidR="007F7E7A" w:rsidRPr="001C4082">
        <w:t>very remote, First Nation</w:t>
      </w:r>
      <w:r w:rsidR="6D6E5A17" w:rsidRPr="001C4082">
        <w:t>s</w:t>
      </w:r>
      <w:r w:rsidR="007F7E7A" w:rsidRPr="001C4082">
        <w:t xml:space="preserve">, low-income </w:t>
      </w:r>
      <w:r w:rsidR="000C3CAA" w:rsidRPr="001C4082">
        <w:t>cohort</w:t>
      </w:r>
      <w:r w:rsidR="007F7E7A" w:rsidRPr="001C4082">
        <w:t>.</w:t>
      </w:r>
      <w:r w:rsidR="00EA708A" w:rsidRPr="001C4082">
        <w:t xml:space="preserve"> </w:t>
      </w:r>
    </w:p>
    <w:p w14:paraId="5738CBB4" w14:textId="5CAB1183" w:rsidR="00BD48D4" w:rsidRPr="001C4082" w:rsidRDefault="00BD64CD" w:rsidP="001C4082">
      <w:pPr>
        <w:pStyle w:val="CGC2025ParaNumbers"/>
      </w:pPr>
      <w:r w:rsidRPr="001C4082">
        <w:t xml:space="preserve">The Northern </w:t>
      </w:r>
      <w:r w:rsidR="0088308C" w:rsidRPr="001C4082">
        <w:t>Territory</w:t>
      </w:r>
      <w:r w:rsidR="00C26245" w:rsidRPr="001C4082">
        <w:t xml:space="preserve"> suggested </w:t>
      </w:r>
      <w:r w:rsidR="00A853A2" w:rsidRPr="001C4082">
        <w:t>the Commission</w:t>
      </w:r>
      <w:r w:rsidR="00816AB9" w:rsidRPr="001C4082">
        <w:t xml:space="preserve"> should</w:t>
      </w:r>
      <w:r w:rsidR="00A853A2" w:rsidRPr="001C4082">
        <w:t xml:space="preserve"> </w:t>
      </w:r>
      <w:r w:rsidR="00046381" w:rsidRPr="001C4082">
        <w:t xml:space="preserve">assess the Northern Territory </w:t>
      </w:r>
      <w:r w:rsidR="00F14163" w:rsidRPr="001C4082">
        <w:t>as needing to supply a higher rate of social houses to pr</w:t>
      </w:r>
      <w:r w:rsidR="00DA21E5" w:rsidRPr="001C4082">
        <w:t>ovide a similar average household size to other states</w:t>
      </w:r>
      <w:r w:rsidR="00994203" w:rsidRPr="001C4082">
        <w:t xml:space="preserve"> in the </w:t>
      </w:r>
      <w:bookmarkStart w:id="7" w:name="_Hlk185420319"/>
      <w:r w:rsidR="00994203" w:rsidRPr="001C4082">
        <w:t>very remote, First Nation</w:t>
      </w:r>
      <w:r w:rsidR="4A4D5E79" w:rsidRPr="001C4082">
        <w:t>s</w:t>
      </w:r>
      <w:r w:rsidR="00994203" w:rsidRPr="001C4082">
        <w:t>, low-income socio</w:t>
      </w:r>
      <w:r w:rsidR="00023C7A">
        <w:t>-</w:t>
      </w:r>
      <w:r w:rsidR="00994203" w:rsidRPr="001C4082">
        <w:t>demographic</w:t>
      </w:r>
      <w:bookmarkEnd w:id="7"/>
      <w:r w:rsidR="00994203" w:rsidRPr="001C4082">
        <w:t xml:space="preserve"> group. </w:t>
      </w:r>
      <w:r w:rsidR="00BE3F29" w:rsidRPr="001C4082">
        <w:t>This would inflate the national share of social households in t</w:t>
      </w:r>
      <w:r w:rsidR="0069536E" w:rsidRPr="001C4082">
        <w:t>his socio</w:t>
      </w:r>
      <w:r w:rsidR="00584933">
        <w:t>-</w:t>
      </w:r>
      <w:r w:rsidR="0069536E" w:rsidRPr="001C4082">
        <w:t>demographic group</w:t>
      </w:r>
      <w:r w:rsidR="00380F22" w:rsidRPr="001C4082">
        <w:t xml:space="preserve">, resulting in </w:t>
      </w:r>
      <w:r w:rsidR="0080714A" w:rsidRPr="001C4082">
        <w:t xml:space="preserve">additional </w:t>
      </w:r>
      <w:r w:rsidR="00A54793" w:rsidRPr="001C4082">
        <w:t xml:space="preserve">national </w:t>
      </w:r>
      <w:r w:rsidR="0080714A" w:rsidRPr="001C4082">
        <w:t xml:space="preserve">expenses being apportioned </w:t>
      </w:r>
      <w:r w:rsidR="00A54793" w:rsidRPr="001C4082">
        <w:t xml:space="preserve">to </w:t>
      </w:r>
      <w:r w:rsidR="003C6FDD" w:rsidRPr="001C4082">
        <w:t>the group</w:t>
      </w:r>
      <w:r w:rsidR="0082355C" w:rsidRPr="001C4082">
        <w:t>, which in turn would lead</w:t>
      </w:r>
      <w:r w:rsidR="00D72128" w:rsidRPr="001C4082">
        <w:t xml:space="preserve"> to states with a higher share of </w:t>
      </w:r>
      <w:r w:rsidR="00ED3193" w:rsidRPr="001C4082">
        <w:t xml:space="preserve">people in the </w:t>
      </w:r>
      <w:r w:rsidR="00D72128" w:rsidRPr="001C4082">
        <w:t>very remote, First Nation</w:t>
      </w:r>
      <w:r w:rsidR="2073733E" w:rsidRPr="001C4082">
        <w:t>s</w:t>
      </w:r>
      <w:r w:rsidR="00D72128" w:rsidRPr="001C4082">
        <w:t>, low-income socio</w:t>
      </w:r>
      <w:r w:rsidR="00A45D25">
        <w:t>-</w:t>
      </w:r>
      <w:r w:rsidR="00D72128" w:rsidRPr="001C4082">
        <w:t>demographic</w:t>
      </w:r>
      <w:r w:rsidR="00ED3193" w:rsidRPr="001C4082">
        <w:t xml:space="preserve"> group </w:t>
      </w:r>
      <w:r w:rsidR="0088133C" w:rsidRPr="001C4082">
        <w:t>being assessed to need more GST.</w:t>
      </w:r>
    </w:p>
    <w:p w14:paraId="6D1246B7" w14:textId="09017E60" w:rsidR="00F120D9" w:rsidRPr="008675B1" w:rsidRDefault="00F120D9" w:rsidP="00F120D9">
      <w:pPr>
        <w:pStyle w:val="Heading4"/>
      </w:pPr>
      <w:r>
        <w:t>Commission response</w:t>
      </w:r>
    </w:p>
    <w:p w14:paraId="7B87742C" w14:textId="320E9CF5" w:rsidR="00C42C2C" w:rsidRDefault="00246BDF" w:rsidP="00907D9C">
      <w:pPr>
        <w:pStyle w:val="CGC2025ParaNumbers"/>
      </w:pPr>
      <w:r>
        <w:t>The Commission accept</w:t>
      </w:r>
      <w:r w:rsidR="00835BC1">
        <w:t>ed</w:t>
      </w:r>
      <w:r>
        <w:t xml:space="preserve"> the conceptual case that overcrowding results in higher costs and that there is evidence that the extent of overcrowding is materially different between states.</w:t>
      </w:r>
    </w:p>
    <w:p w14:paraId="2214306D" w14:textId="683BF0C1" w:rsidR="00F64756" w:rsidRDefault="00F26D77" w:rsidP="00F26D77">
      <w:pPr>
        <w:pStyle w:val="CGC2025ParaNumbers"/>
      </w:pPr>
      <w:r w:rsidRPr="00F26D77">
        <w:t>The 2020</w:t>
      </w:r>
      <w:r w:rsidR="004A3FA9">
        <w:t> </w:t>
      </w:r>
      <w:r w:rsidRPr="00F26D77">
        <w:t>Review method apportions national</w:t>
      </w:r>
      <w:r w:rsidR="00DF02CB">
        <w:t xml:space="preserve"> </w:t>
      </w:r>
      <w:r w:rsidRPr="00F26D77">
        <w:t>average per household expenses and revenues by socio</w:t>
      </w:r>
      <w:r w:rsidR="00E57BFE">
        <w:t>-</w:t>
      </w:r>
      <w:r w:rsidRPr="00F26D77">
        <w:t>demographic group to states based on the number of households states have in each socio</w:t>
      </w:r>
      <w:r w:rsidR="004C3189">
        <w:t>-</w:t>
      </w:r>
      <w:r w:rsidRPr="00F26D77">
        <w:t xml:space="preserve">demographic group. </w:t>
      </w:r>
    </w:p>
    <w:p w14:paraId="7560DF10" w14:textId="7773D580" w:rsidR="000350A2" w:rsidRDefault="00F26D77" w:rsidP="00F26D77">
      <w:pPr>
        <w:pStyle w:val="CGC2025ParaNumbers"/>
      </w:pPr>
      <w:r w:rsidRPr="00F26D77">
        <w:t>However, there are some socio</w:t>
      </w:r>
      <w:r w:rsidR="00DD365F">
        <w:noBreakHyphen/>
      </w:r>
      <w:r w:rsidRPr="00F26D77">
        <w:t xml:space="preserve">demographic groups where a state’s share of households in the group differs substantially from its share of individuals. </w:t>
      </w:r>
      <w:proofErr w:type="gramStart"/>
      <w:r w:rsidRPr="00F26D77">
        <w:t>In particular, in</w:t>
      </w:r>
      <w:proofErr w:type="gramEnd"/>
      <w:r w:rsidRPr="00F26D77">
        <w:t xml:space="preserve"> very remote areas of the Northern Territory, its share of national households is significantly less than its share of individuals. This indicates that </w:t>
      </w:r>
      <w:r w:rsidRPr="00F26D77">
        <w:lastRenderedPageBreak/>
        <w:t>average household size in very remote areas of the Northern Territory is much larger than the national average. This appears to be due largely to the above-average household size of low</w:t>
      </w:r>
      <w:r w:rsidR="00500E4B">
        <w:t>-</w:t>
      </w:r>
      <w:r w:rsidRPr="00F26D77">
        <w:t>income First Nations households</w:t>
      </w:r>
      <w:r w:rsidR="000350A2" w:rsidRPr="003456E6">
        <w:t>.</w:t>
      </w:r>
    </w:p>
    <w:p w14:paraId="55DD004F" w14:textId="5858992B" w:rsidR="001F4890" w:rsidRDefault="00354BB4" w:rsidP="001C0903">
      <w:pPr>
        <w:pStyle w:val="CGC2025ParaNumbers"/>
      </w:pPr>
      <w:r>
        <w:t>As such, apportioning national average</w:t>
      </w:r>
      <w:r w:rsidR="00E65397">
        <w:t xml:space="preserve"> </w:t>
      </w:r>
      <w:r w:rsidR="00BC3FFD">
        <w:t xml:space="preserve">expenses </w:t>
      </w:r>
      <w:r w:rsidR="00B27D97">
        <w:t xml:space="preserve">by </w:t>
      </w:r>
      <w:r w:rsidR="006C5477">
        <w:t>states’ shares of households in each socio</w:t>
      </w:r>
      <w:r w:rsidR="008251F4">
        <w:noBreakHyphen/>
      </w:r>
      <w:r w:rsidR="006C5477">
        <w:t>demographic group produce</w:t>
      </w:r>
      <w:r w:rsidR="00C054C6">
        <w:t>s</w:t>
      </w:r>
      <w:r w:rsidR="006C5477">
        <w:t xml:space="preserve"> marke</w:t>
      </w:r>
      <w:r w:rsidR="00513924">
        <w:t>dly</w:t>
      </w:r>
      <w:r w:rsidR="006C5477">
        <w:t xml:space="preserve"> differen</w:t>
      </w:r>
      <w:r w:rsidR="00C53F5D">
        <w:t>t</w:t>
      </w:r>
      <w:r w:rsidR="006C5477">
        <w:t xml:space="preserve"> estimates of assessed expenses compared </w:t>
      </w:r>
      <w:r w:rsidR="00E06DE1">
        <w:t>with</w:t>
      </w:r>
      <w:r w:rsidR="006C5477">
        <w:t xml:space="preserve"> </w:t>
      </w:r>
      <w:r w:rsidR="00AB0710">
        <w:t>apportioning expenses based on</w:t>
      </w:r>
      <w:r w:rsidR="000463EA">
        <w:t xml:space="preserve"> states’ shares of individuals. </w:t>
      </w:r>
    </w:p>
    <w:p w14:paraId="2FB4E457" w14:textId="1EF389E1" w:rsidR="001C0903" w:rsidRDefault="003F4384" w:rsidP="00192935">
      <w:pPr>
        <w:pStyle w:val="CGC2025ParaNumbers"/>
      </w:pPr>
      <w:r>
        <w:t>In th</w:t>
      </w:r>
      <w:r w:rsidRPr="00CC2C0B">
        <w:t xml:space="preserve">e </w:t>
      </w:r>
      <w:r w:rsidRPr="00CC2C0B">
        <w:rPr>
          <w:i/>
          <w:iCs/>
        </w:rPr>
        <w:t xml:space="preserve">Significant Changes since </w:t>
      </w:r>
      <w:r w:rsidR="00B24CAB" w:rsidRPr="00CC2C0B">
        <w:rPr>
          <w:i/>
          <w:iCs/>
        </w:rPr>
        <w:t xml:space="preserve">the </w:t>
      </w:r>
      <w:r w:rsidRPr="00CC2C0B">
        <w:rPr>
          <w:i/>
          <w:iCs/>
        </w:rPr>
        <w:t>Draft Report</w:t>
      </w:r>
      <w:r w:rsidRPr="00CC2C0B">
        <w:t>, t</w:t>
      </w:r>
      <w:r>
        <w:t xml:space="preserve">he Commission </w:t>
      </w:r>
      <w:r w:rsidR="00713E5D">
        <w:t xml:space="preserve">outlined </w:t>
      </w:r>
      <w:r w:rsidR="005A21B7">
        <w:t>other limitation</w:t>
      </w:r>
      <w:r w:rsidR="00CE274A">
        <w:t>s</w:t>
      </w:r>
      <w:r w:rsidR="005A21B7">
        <w:t xml:space="preserve"> of the </w:t>
      </w:r>
      <w:r w:rsidR="004A3FA9">
        <w:t xml:space="preserve">2020 Review method </w:t>
      </w:r>
      <w:r w:rsidR="00D35C9B">
        <w:t>in taking account of differences in average rates of overcrowding between states.</w:t>
      </w:r>
      <w:r w:rsidR="001F4890">
        <w:t xml:space="preserve"> In particular,</w:t>
      </w:r>
      <w:r w:rsidR="00307BE3">
        <w:t xml:space="preserve"> the 2020 Review method includes a First Nations cost weight, which is intended to account for the difference in costs in servicing First Nations social housing compared </w:t>
      </w:r>
      <w:r w:rsidR="00B64520">
        <w:t>with</w:t>
      </w:r>
      <w:r w:rsidR="00307BE3">
        <w:t xml:space="preserve"> mainstream social housing. These additional costs may include those resulting from overcrowding and high mobility, but other factors could also be increasing costs. However, this national average cost weight is apportioned across states based on their count of First Nations households. If this household count is underestimated due to overcrowding, </w:t>
      </w:r>
      <w:r w:rsidR="0083225C">
        <w:t xml:space="preserve">assessed </w:t>
      </w:r>
      <w:r w:rsidR="00480D77">
        <w:t>GST needs will be understated</w:t>
      </w:r>
      <w:r w:rsidR="00307BE3">
        <w:t>.</w:t>
      </w:r>
    </w:p>
    <w:p w14:paraId="64078CCD" w14:textId="5048F1B2" w:rsidR="00684D91" w:rsidRPr="00684D91" w:rsidRDefault="00684D91" w:rsidP="00684D91">
      <w:pPr>
        <w:pStyle w:val="CGC2025ParaNumbers"/>
      </w:pPr>
      <w:r w:rsidRPr="00684D91">
        <w:t>The Commission agree</w:t>
      </w:r>
      <w:r w:rsidR="00835BC1">
        <w:t>d</w:t>
      </w:r>
      <w:r w:rsidRPr="00684D91">
        <w:t xml:space="preserve"> with those states that </w:t>
      </w:r>
      <w:r w:rsidR="001B29D0">
        <w:t>said</w:t>
      </w:r>
      <w:r w:rsidR="001B29D0" w:rsidRPr="00684D91">
        <w:t xml:space="preserve"> </w:t>
      </w:r>
      <w:r w:rsidRPr="00684D91">
        <w:t>it would be preferable to retain a method that more closely aligns with what states do, which is to provide services to households rather than individuals. In addition, the Commission recognise</w:t>
      </w:r>
      <w:r w:rsidR="00A520AE">
        <w:t>d</w:t>
      </w:r>
      <w:r w:rsidRPr="00684D91">
        <w:t xml:space="preserve"> that social housing expenses do not necessarily increase in a linear way as household size increases and there are a range of factors that affect the recurrent costs associated with social housing households.</w:t>
      </w:r>
    </w:p>
    <w:p w14:paraId="337FAED0" w14:textId="7B379118" w:rsidR="00FA25C6" w:rsidRDefault="00B30B20" w:rsidP="00BF6908">
      <w:pPr>
        <w:pStyle w:val="CGC2025ParaNumbers"/>
      </w:pPr>
      <w:bookmarkStart w:id="8" w:name="_Hlk184906852"/>
      <w:r w:rsidRPr="00B30B20">
        <w:t xml:space="preserve">In the </w:t>
      </w:r>
      <w:r w:rsidRPr="00357555">
        <w:rPr>
          <w:i/>
          <w:iCs/>
        </w:rPr>
        <w:t>Significant Changes since the Draft Report</w:t>
      </w:r>
      <w:r w:rsidRPr="00B30B20">
        <w:t>, the Commission</w:t>
      </w:r>
      <w:r>
        <w:t xml:space="preserve"> presented </w:t>
      </w:r>
      <w:r w:rsidR="0005297B">
        <w:t xml:space="preserve">an </w:t>
      </w:r>
      <w:r w:rsidR="001F1E15" w:rsidRPr="003D45C4">
        <w:rPr>
          <w:i/>
          <w:iCs/>
        </w:rPr>
        <w:t>average household size</w:t>
      </w:r>
      <w:r w:rsidR="001F1E15">
        <w:t xml:space="preserve"> method</w:t>
      </w:r>
      <w:bookmarkEnd w:id="8"/>
      <w:r w:rsidR="001F1E15">
        <w:t xml:space="preserve">. </w:t>
      </w:r>
      <w:r w:rsidR="00DC51C8">
        <w:t xml:space="preserve">In this approach, </w:t>
      </w:r>
      <w:r w:rsidR="00DD0FE1" w:rsidRPr="00DD0FE1">
        <w:t>the calculation of national average spending per household by socio</w:t>
      </w:r>
      <w:r w:rsidR="00330E29">
        <w:noBreakHyphen/>
      </w:r>
      <w:r w:rsidR="00DD0FE1" w:rsidRPr="00DD0FE1">
        <w:t>demographic group</w:t>
      </w:r>
      <w:r w:rsidR="00DC51C8">
        <w:t xml:space="preserve"> </w:t>
      </w:r>
      <w:r w:rsidR="009548A1">
        <w:t>is the same</w:t>
      </w:r>
      <w:r w:rsidR="009548A1" w:rsidRPr="009548A1">
        <w:t xml:space="preserve"> as the 2020</w:t>
      </w:r>
      <w:r w:rsidR="00D27F0D">
        <w:t> </w:t>
      </w:r>
      <w:r w:rsidR="009548A1" w:rsidRPr="009548A1">
        <w:t>Review method</w:t>
      </w:r>
      <w:r w:rsidR="00D27F0D">
        <w:t xml:space="preserve">. </w:t>
      </w:r>
      <w:r w:rsidR="00330E29">
        <w:t xml:space="preserve">However, </w:t>
      </w:r>
      <w:r w:rsidR="00BF6908" w:rsidRPr="00BF6908">
        <w:t xml:space="preserve">a different approach </w:t>
      </w:r>
      <w:r w:rsidR="00616F75">
        <w:t xml:space="preserve">is used </w:t>
      </w:r>
      <w:r w:rsidR="00BF6908" w:rsidRPr="00BF6908">
        <w:t>to apportioning expenses to states. Rather than using census</w:t>
      </w:r>
      <w:r w:rsidR="00616F75">
        <w:noBreakHyphen/>
      </w:r>
      <w:r w:rsidR="00BF6908" w:rsidRPr="00BF6908">
        <w:t xml:space="preserve">based household counts, a household count is </w:t>
      </w:r>
      <w:r w:rsidR="00616F75">
        <w:t>derived</w:t>
      </w:r>
      <w:r w:rsidR="00BF6908" w:rsidRPr="00BF6908">
        <w:t xml:space="preserve"> for each socio</w:t>
      </w:r>
      <w:r w:rsidR="00616F75">
        <w:noBreakHyphen/>
      </w:r>
      <w:r w:rsidR="00BF6908" w:rsidRPr="00BF6908">
        <w:t>demographic group in each state based on the national average household size in each socio</w:t>
      </w:r>
      <w:r w:rsidR="009D7096">
        <w:noBreakHyphen/>
      </w:r>
      <w:r w:rsidR="00BF6908" w:rsidRPr="00BF6908">
        <w:t>demographic group.</w:t>
      </w:r>
    </w:p>
    <w:p w14:paraId="700A33A2" w14:textId="2878B2E8" w:rsidR="00042EF8" w:rsidRDefault="00042EF8" w:rsidP="00042EF8">
      <w:pPr>
        <w:pStyle w:val="CGC2025ParaNumbers"/>
      </w:pPr>
      <w:r>
        <w:t>The Commission recognise</w:t>
      </w:r>
      <w:r w:rsidR="00C3470E">
        <w:t>s</w:t>
      </w:r>
      <w:r>
        <w:t xml:space="preserve"> that some issues remain with this approach. Average household size is being used as a proxy for overcrowding. This assumes average household size only differs across states within socio</w:t>
      </w:r>
      <w:r>
        <w:noBreakHyphen/>
        <w:t xml:space="preserve">demographic groups </w:t>
      </w:r>
      <w:proofErr w:type="gramStart"/>
      <w:r>
        <w:t>as a result of</w:t>
      </w:r>
      <w:proofErr w:type="gramEnd"/>
      <w:r>
        <w:t xml:space="preserve"> above</w:t>
      </w:r>
      <w:r>
        <w:noBreakHyphen/>
        <w:t>average overcrowding or above</w:t>
      </w:r>
      <w:r>
        <w:noBreakHyphen/>
        <w:t xml:space="preserve">average underutilisation. However, state average household size </w:t>
      </w:r>
      <w:r w:rsidRPr="004704EF">
        <w:t>could vary between states due to differences in the age structure or ethnic mix of state populations</w:t>
      </w:r>
      <w:r w:rsidR="00D83979">
        <w:t>,</w:t>
      </w:r>
      <w:r w:rsidRPr="004704EF">
        <w:t xml:space="preserve"> or differences in access to affordable housing.</w:t>
      </w:r>
      <w:r>
        <w:t xml:space="preserve"> </w:t>
      </w:r>
      <w:r w:rsidR="008C7730">
        <w:t>Also, the Commission notes that average expenses per social housing household can vary for reasons other than overcrowding rates, such as an above</w:t>
      </w:r>
      <w:r w:rsidR="008C7730">
        <w:noBreakHyphen/>
        <w:t>average prevalence of high</w:t>
      </w:r>
      <w:r w:rsidR="008C7730">
        <w:noBreakHyphen/>
        <w:t xml:space="preserve">cost tenants. </w:t>
      </w:r>
    </w:p>
    <w:p w14:paraId="38D48973" w14:textId="71CE6A63" w:rsidR="00532B34" w:rsidRPr="00241F93" w:rsidRDefault="00533566" w:rsidP="00241F93">
      <w:pPr>
        <w:pStyle w:val="CGC2025ParaNumbers"/>
      </w:pPr>
      <w:r w:rsidRPr="00241F93">
        <w:t>The Commission</w:t>
      </w:r>
      <w:r w:rsidR="000D0B2E" w:rsidRPr="00241F93">
        <w:t xml:space="preserve"> determines relative state </w:t>
      </w:r>
      <w:r w:rsidR="00530E8C" w:rsidRPr="00241F93">
        <w:t>expense</w:t>
      </w:r>
      <w:r w:rsidR="000D0B2E" w:rsidRPr="00241F93">
        <w:t xml:space="preserve"> needs for each </w:t>
      </w:r>
      <w:r w:rsidR="00DC2557" w:rsidRPr="00241F93">
        <w:t>socio</w:t>
      </w:r>
      <w:r w:rsidR="006F6976">
        <w:noBreakHyphen/>
      </w:r>
      <w:r w:rsidR="00DC2557" w:rsidRPr="00241F93">
        <w:t>demographic</w:t>
      </w:r>
      <w:r w:rsidR="000D0B2E" w:rsidRPr="00241F93">
        <w:t xml:space="preserve"> cohort </w:t>
      </w:r>
      <w:r w:rsidR="00D96246" w:rsidRPr="00241F93">
        <w:t xml:space="preserve">based on </w:t>
      </w:r>
      <w:r w:rsidR="00571DEE" w:rsidRPr="00241F93">
        <w:t xml:space="preserve">what states </w:t>
      </w:r>
      <w:proofErr w:type="gramStart"/>
      <w:r w:rsidR="00571DEE" w:rsidRPr="00241F93">
        <w:t>actually spend</w:t>
      </w:r>
      <w:proofErr w:type="gramEnd"/>
      <w:r w:rsidR="00571DEE" w:rsidRPr="00241F93">
        <w:t xml:space="preserve"> on each </w:t>
      </w:r>
      <w:r w:rsidR="00C752FC" w:rsidRPr="00241F93">
        <w:lastRenderedPageBreak/>
        <w:t>s</w:t>
      </w:r>
      <w:r w:rsidR="00936ADA" w:rsidRPr="00241F93">
        <w:t>ocio</w:t>
      </w:r>
      <w:r w:rsidR="0055681D">
        <w:noBreakHyphen/>
      </w:r>
      <w:r w:rsidR="00936ADA" w:rsidRPr="00241F93">
        <w:t>demographic</w:t>
      </w:r>
      <w:r w:rsidR="00C752FC" w:rsidRPr="00241F93">
        <w:t xml:space="preserve"> group</w:t>
      </w:r>
      <w:r w:rsidR="00D96246" w:rsidRPr="00241F93">
        <w:t xml:space="preserve">, and then </w:t>
      </w:r>
      <w:r w:rsidR="003A3692" w:rsidRPr="00241F93">
        <w:t>us</w:t>
      </w:r>
      <w:r w:rsidR="000A1128" w:rsidRPr="00241F93">
        <w:t>e</w:t>
      </w:r>
      <w:r w:rsidR="1ABD04D2" w:rsidRPr="00241F93">
        <w:t>s</w:t>
      </w:r>
      <w:r w:rsidR="003A3692" w:rsidRPr="00241F93">
        <w:t xml:space="preserve"> those expense</w:t>
      </w:r>
      <w:r w:rsidR="00C879A4" w:rsidRPr="00241F93">
        <w:t>s</w:t>
      </w:r>
      <w:r w:rsidR="003A3692" w:rsidRPr="00241F93">
        <w:t xml:space="preserve"> to </w:t>
      </w:r>
      <w:r w:rsidR="00D96246" w:rsidRPr="00241F93">
        <w:t>deriv</w:t>
      </w:r>
      <w:r w:rsidR="003A3692" w:rsidRPr="00241F93">
        <w:t xml:space="preserve">e </w:t>
      </w:r>
      <w:r w:rsidR="00D96246" w:rsidRPr="00241F93">
        <w:t>the n</w:t>
      </w:r>
      <w:r w:rsidR="00C752FC" w:rsidRPr="00241F93">
        <w:t>ational</w:t>
      </w:r>
      <w:r w:rsidR="00F71007" w:rsidRPr="00241F93">
        <w:t xml:space="preserve"> average </w:t>
      </w:r>
      <w:r w:rsidR="00A97340" w:rsidRPr="00241F93">
        <w:t xml:space="preserve">standard of service </w:t>
      </w:r>
      <w:r w:rsidR="00D96246" w:rsidRPr="00241F93">
        <w:t xml:space="preserve">for that cohort. </w:t>
      </w:r>
      <w:r w:rsidR="005C0050" w:rsidRPr="00241F93">
        <w:t>If the Commission were to derive an alternative average as suggest</w:t>
      </w:r>
      <w:r w:rsidR="00211FC5" w:rsidRPr="00241F93">
        <w:t>ed</w:t>
      </w:r>
      <w:r w:rsidR="005C0050" w:rsidRPr="00241F93">
        <w:t xml:space="preserve"> by the N</w:t>
      </w:r>
      <w:r w:rsidR="00225A4E" w:rsidRPr="00241F93">
        <w:t xml:space="preserve">orthern </w:t>
      </w:r>
      <w:r w:rsidR="005C0050" w:rsidRPr="00241F93">
        <w:t>T</w:t>
      </w:r>
      <w:r w:rsidR="00225A4E" w:rsidRPr="00241F93">
        <w:t>erritory,</w:t>
      </w:r>
      <w:r w:rsidR="005C0050" w:rsidRPr="00241F93">
        <w:t xml:space="preserve"> it would be akin to the </w:t>
      </w:r>
      <w:r w:rsidR="00225A4E" w:rsidRPr="00241F93">
        <w:t>C</w:t>
      </w:r>
      <w:r w:rsidR="005C0050" w:rsidRPr="00241F93">
        <w:t xml:space="preserve">ommission having a </w:t>
      </w:r>
      <w:r w:rsidR="00B31F5C" w:rsidRPr="00241F93">
        <w:t>judgment</w:t>
      </w:r>
      <w:r w:rsidR="005C0050" w:rsidRPr="00241F93">
        <w:t xml:space="preserve"> on what states should do</w:t>
      </w:r>
      <w:r w:rsidR="000543AB" w:rsidRPr="00241F93">
        <w:t xml:space="preserve">. </w:t>
      </w:r>
      <w:r w:rsidR="00130687" w:rsidRPr="00241F93">
        <w:t>T</w:t>
      </w:r>
      <w:r w:rsidR="000543AB" w:rsidRPr="00241F93">
        <w:t xml:space="preserve">he Commission </w:t>
      </w:r>
      <w:r w:rsidR="000B52D9" w:rsidRPr="00241F93">
        <w:t>consider</w:t>
      </w:r>
      <w:r w:rsidR="0082775A" w:rsidRPr="00241F93">
        <w:t>s</w:t>
      </w:r>
      <w:r w:rsidR="000B52D9" w:rsidRPr="00241F93">
        <w:t xml:space="preserve"> it </w:t>
      </w:r>
      <w:r w:rsidR="002D31E9" w:rsidRPr="00241F93">
        <w:t>should</w:t>
      </w:r>
      <w:r w:rsidR="000B52D9" w:rsidRPr="00241F93">
        <w:t xml:space="preserve"> retain a method that more closely aligns with what states do</w:t>
      </w:r>
      <w:r w:rsidR="0082775A" w:rsidRPr="00241F93">
        <w:t xml:space="preserve">. </w:t>
      </w:r>
    </w:p>
    <w:p w14:paraId="56DCCF51" w14:textId="0B986493" w:rsidR="00042EF8" w:rsidRPr="004C3EFE" w:rsidRDefault="00442562" w:rsidP="004505E8">
      <w:pPr>
        <w:pStyle w:val="CGC2025ParaNumbers"/>
      </w:pPr>
      <w:r>
        <w:t>Overall, t</w:t>
      </w:r>
      <w:r w:rsidR="00FB311D">
        <w:t xml:space="preserve">he </w:t>
      </w:r>
      <w:r w:rsidR="00193D30">
        <w:t xml:space="preserve">Commission considers the </w:t>
      </w:r>
      <w:r w:rsidR="00FB311D">
        <w:t xml:space="preserve">average </w:t>
      </w:r>
      <w:r w:rsidR="00682373">
        <w:t xml:space="preserve">household size method is a pragmatic approach which </w:t>
      </w:r>
      <w:r w:rsidR="0096272A">
        <w:t xml:space="preserve">better reflects what states do while balancing the need to address the most significant </w:t>
      </w:r>
      <w:r w:rsidR="0072602D">
        <w:t>problems with the 2020</w:t>
      </w:r>
      <w:r w:rsidR="000523ED">
        <w:t> </w:t>
      </w:r>
      <w:r w:rsidR="0072602D">
        <w:t>Review method rega</w:t>
      </w:r>
      <w:r w:rsidR="00F93BEF">
        <w:t>r</w:t>
      </w:r>
      <w:r w:rsidR="0072602D">
        <w:t>ding differences in severe overcrowding between states.</w:t>
      </w:r>
    </w:p>
    <w:p w14:paraId="37786D74" w14:textId="59822971" w:rsidR="00D2011C" w:rsidRPr="004C3EFE" w:rsidRDefault="00D2011C" w:rsidP="00556B07">
      <w:pPr>
        <w:pStyle w:val="Heading4"/>
      </w:pPr>
      <w:r w:rsidRPr="004C3EFE">
        <w:t xml:space="preserve">Commission </w:t>
      </w:r>
      <w:r w:rsidR="00705AE3" w:rsidRPr="004C3EFE">
        <w:t>decision</w:t>
      </w:r>
      <w:r w:rsidR="007561BE" w:rsidRPr="004C3EFE">
        <w:t xml:space="preserve"> </w:t>
      </w:r>
    </w:p>
    <w:p w14:paraId="03C5BA6B" w14:textId="1571F9F1" w:rsidR="006065CC" w:rsidRPr="006065CC" w:rsidRDefault="004F310E" w:rsidP="006065CC">
      <w:pPr>
        <w:pStyle w:val="CGC2025ParaNumbers"/>
      </w:pPr>
      <w:r w:rsidRPr="003B26A0">
        <w:t xml:space="preserve">The Commission </w:t>
      </w:r>
      <w:r w:rsidR="007E1D26" w:rsidRPr="003B26A0">
        <w:t>will</w:t>
      </w:r>
      <w:r w:rsidRPr="003B26A0">
        <w:t xml:space="preserve"> </w:t>
      </w:r>
      <w:r w:rsidR="006065CC" w:rsidRPr="006065CC">
        <w:t xml:space="preserve">assess net expenses for social housing </w:t>
      </w:r>
      <w:r w:rsidR="00F531FA">
        <w:t>using</w:t>
      </w:r>
      <w:r w:rsidR="000267CF">
        <w:t xml:space="preserve"> </w:t>
      </w:r>
      <w:r w:rsidR="006065CC" w:rsidRPr="006065CC">
        <w:t>an average household size</w:t>
      </w:r>
      <w:r w:rsidR="006065CC">
        <w:noBreakHyphen/>
      </w:r>
      <w:r w:rsidR="006065CC" w:rsidRPr="006065CC">
        <w:t xml:space="preserve">based approach. </w:t>
      </w:r>
    </w:p>
    <w:p w14:paraId="039B84EA" w14:textId="104B76D9" w:rsidR="005214F7" w:rsidRPr="003B26A0" w:rsidRDefault="00291647" w:rsidP="00291647">
      <w:pPr>
        <w:pStyle w:val="CGC2025ParaNumbers"/>
      </w:pPr>
      <w:r w:rsidRPr="00291647">
        <w:t>In preparation for the next review, the Commission will undertake further work to determine if there are alternative ways to more accurately measure the impact on expenses of differences in severe overcrowding between states.</w:t>
      </w:r>
    </w:p>
    <w:p w14:paraId="5F12B992" w14:textId="66B70A92" w:rsidR="00D2011C" w:rsidRPr="00816008" w:rsidRDefault="00DC2BDD" w:rsidP="00394432">
      <w:pPr>
        <w:pStyle w:val="Heading3"/>
      </w:pPr>
      <w:r>
        <w:t>Housing stress as a driver of need</w:t>
      </w:r>
    </w:p>
    <w:p w14:paraId="2A7059B1" w14:textId="3CA45853" w:rsidR="00CE2349" w:rsidRDefault="00E46C2F" w:rsidP="002C7F28">
      <w:pPr>
        <w:pStyle w:val="CGC2025ParaNumbers"/>
      </w:pPr>
      <w:r>
        <w:t xml:space="preserve">The Commission sought state views on </w:t>
      </w:r>
      <w:r w:rsidR="009F2687">
        <w:t xml:space="preserve">whether the </w:t>
      </w:r>
      <w:r w:rsidR="000A0B2B">
        <w:t>assessment remained fit for purpose</w:t>
      </w:r>
      <w:r w:rsidR="00C97511">
        <w:t>,</w:t>
      </w:r>
      <w:r w:rsidR="000A0B2B">
        <w:t xml:space="preserve"> given developments in the housing market</w:t>
      </w:r>
      <w:r w:rsidR="00746D8B">
        <w:t>.</w:t>
      </w:r>
      <w:r w:rsidR="003D3302">
        <w:t xml:space="preserve"> </w:t>
      </w:r>
      <w:r w:rsidR="005A60E0">
        <w:t>I</w:t>
      </w:r>
      <w:r w:rsidR="006A7776">
        <w:t>t proposed no changes to take account of recent market developments.</w:t>
      </w:r>
    </w:p>
    <w:p w14:paraId="4FD2DDB5" w14:textId="0D5FACAE" w:rsidR="00CE2349" w:rsidRPr="008675B1" w:rsidRDefault="00CE2349" w:rsidP="00CE2349">
      <w:pPr>
        <w:pStyle w:val="Heading4"/>
      </w:pPr>
      <w:r>
        <w:t>State views</w:t>
      </w:r>
    </w:p>
    <w:p w14:paraId="584689BF" w14:textId="37C4EE71" w:rsidR="00391023" w:rsidRDefault="00391023" w:rsidP="006E511F">
      <w:pPr>
        <w:pStyle w:val="CGC2025ParaNumbers"/>
        <w:tabs>
          <w:tab w:val="clear" w:pos="567"/>
        </w:tabs>
      </w:pPr>
      <w:r>
        <w:t>Most</w:t>
      </w:r>
      <w:r w:rsidR="00447253">
        <w:t xml:space="preserve"> </w:t>
      </w:r>
      <w:r w:rsidR="00D2334D">
        <w:t xml:space="preserve">states </w:t>
      </w:r>
      <w:r w:rsidR="00E72F6C">
        <w:t>said</w:t>
      </w:r>
      <w:r w:rsidR="00D2334D">
        <w:t xml:space="preserve"> that the housing assessment remain</w:t>
      </w:r>
      <w:r w:rsidR="00CD5329">
        <w:t>ed</w:t>
      </w:r>
      <w:r w:rsidR="00BA7285">
        <w:t xml:space="preserve"> </w:t>
      </w:r>
      <w:r w:rsidR="00AF7F9B">
        <w:t>fi</w:t>
      </w:r>
      <w:r w:rsidR="00244B18">
        <w:t>t</w:t>
      </w:r>
      <w:r w:rsidR="00AF7F9B">
        <w:t xml:space="preserve"> for purpose</w:t>
      </w:r>
      <w:r w:rsidR="00FD5DB3">
        <w:t>.</w:t>
      </w:r>
    </w:p>
    <w:p w14:paraId="01F1C60B" w14:textId="26F4850A" w:rsidR="00F1421A" w:rsidRPr="00F1421A" w:rsidRDefault="00F1421A" w:rsidP="006E511F">
      <w:pPr>
        <w:pStyle w:val="CGC2025ParaNumbers"/>
        <w:tabs>
          <w:tab w:val="clear" w:pos="567"/>
        </w:tabs>
      </w:pPr>
      <w:r>
        <w:t>New South Wales said the housing assessment should be revised to remove the use of socio–demographic drivers and instead directly assess the level of housing stress within each state. New South Wales said the demand for social housing derive</w:t>
      </w:r>
      <w:r w:rsidR="00197D85">
        <w:t>s</w:t>
      </w:r>
      <w:r>
        <w:t xml:space="preserve"> from an inability of households to find suitable private housing, not from the intrinsic characteristics of certain socio–economic groups within the community.</w:t>
      </w:r>
      <w:r w:rsidR="00E628AE">
        <w:t xml:space="preserve"> </w:t>
      </w:r>
      <w:r w:rsidR="0027683A">
        <w:t>Victoria said as housing affordability decline</w:t>
      </w:r>
      <w:r w:rsidR="008D3E3A">
        <w:t>d</w:t>
      </w:r>
      <w:r w:rsidR="0027683A">
        <w:t>, people require</w:t>
      </w:r>
      <w:r w:rsidR="008D3E3A">
        <w:t>d</w:t>
      </w:r>
      <w:r w:rsidR="0027683A">
        <w:t xml:space="preserve"> more support from governments to stay in housing and rely on public services more. </w:t>
      </w:r>
      <w:r w:rsidR="00AD1DDB">
        <w:t xml:space="preserve">New South Wales and </w:t>
      </w:r>
      <w:r w:rsidR="0027683A">
        <w:t xml:space="preserve">Victoria said this driver should be based on low-income households spending more than 30% of </w:t>
      </w:r>
      <w:r w:rsidR="00986D2A">
        <w:t xml:space="preserve">their </w:t>
      </w:r>
      <w:r w:rsidR="0027683A">
        <w:t>income on rent</w:t>
      </w:r>
      <w:r w:rsidR="00254D86">
        <w:t>.</w:t>
      </w:r>
    </w:p>
    <w:p w14:paraId="6790394D" w14:textId="2E4AF977" w:rsidR="00CE2349" w:rsidRPr="00F120D9" w:rsidRDefault="00837145" w:rsidP="00CE2349">
      <w:pPr>
        <w:pStyle w:val="CGC2025ParaNumbers"/>
      </w:pPr>
      <w:r>
        <w:rPr>
          <w:szCs w:val="20"/>
        </w:rPr>
        <w:t>New South Wales said th</w:t>
      </w:r>
      <w:r w:rsidR="00573335">
        <w:rPr>
          <w:szCs w:val="20"/>
        </w:rPr>
        <w:t>at the measure of socio</w:t>
      </w:r>
      <w:r w:rsidR="005A4203">
        <w:rPr>
          <w:szCs w:val="20"/>
        </w:rPr>
        <w:t>-</w:t>
      </w:r>
      <w:r w:rsidR="00573335">
        <w:rPr>
          <w:szCs w:val="20"/>
        </w:rPr>
        <w:t xml:space="preserve">economic status should take account of </w:t>
      </w:r>
      <w:r w:rsidR="00BA685A">
        <w:rPr>
          <w:szCs w:val="20"/>
        </w:rPr>
        <w:t xml:space="preserve">differences in housing costs </w:t>
      </w:r>
      <w:r w:rsidR="004B0441">
        <w:rPr>
          <w:szCs w:val="20"/>
        </w:rPr>
        <w:t>between states.</w:t>
      </w:r>
    </w:p>
    <w:p w14:paraId="22F322EE" w14:textId="77777777" w:rsidR="00CE2349" w:rsidRPr="008675B1" w:rsidRDefault="00CE2349" w:rsidP="00CE2349">
      <w:pPr>
        <w:pStyle w:val="Heading4"/>
      </w:pPr>
      <w:r>
        <w:t>Commission response</w:t>
      </w:r>
    </w:p>
    <w:p w14:paraId="648FC3C6" w14:textId="7EADF11E" w:rsidR="00CE2349" w:rsidRDefault="0034148E" w:rsidP="00AD59FE">
      <w:pPr>
        <w:pStyle w:val="CGC2025ParaNumbers"/>
      </w:pPr>
      <w:r>
        <w:t xml:space="preserve">While </w:t>
      </w:r>
      <w:r w:rsidR="00024AF7">
        <w:t>t</w:t>
      </w:r>
      <w:r w:rsidR="001F3952">
        <w:t xml:space="preserve">he </w:t>
      </w:r>
      <w:r w:rsidR="007D4BCA">
        <w:t>Commission agree</w:t>
      </w:r>
      <w:r w:rsidR="006B553F">
        <w:t>s</w:t>
      </w:r>
      <w:r w:rsidR="007D4BCA">
        <w:t xml:space="preserve"> that housing stress </w:t>
      </w:r>
      <w:r w:rsidR="00140BFC">
        <w:t>i</w:t>
      </w:r>
      <w:r w:rsidR="007D4BCA">
        <w:t>s a driver of demand for social housing</w:t>
      </w:r>
      <w:r w:rsidR="005435F6">
        <w:t>, it note</w:t>
      </w:r>
      <w:r w:rsidR="003F3276">
        <w:t>s</w:t>
      </w:r>
      <w:r w:rsidR="005435F6">
        <w:t xml:space="preserve"> that </w:t>
      </w:r>
      <w:r w:rsidR="007D4BCA">
        <w:t>increased demand d</w:t>
      </w:r>
      <w:r w:rsidR="00D13F94">
        <w:t>oes</w:t>
      </w:r>
      <w:r w:rsidR="007D4BCA">
        <w:t xml:space="preserve"> not necessarily lead to increased </w:t>
      </w:r>
      <w:r w:rsidR="00EF6F73">
        <w:t xml:space="preserve">state </w:t>
      </w:r>
      <w:r w:rsidR="007D4BCA">
        <w:t xml:space="preserve">provision of social housing. The Commission examined </w:t>
      </w:r>
      <w:r w:rsidR="00C80EBD">
        <w:t>the</w:t>
      </w:r>
      <w:r w:rsidR="007D4BCA">
        <w:t xml:space="preserve"> </w:t>
      </w:r>
      <w:r w:rsidR="00F64CC6">
        <w:t>available</w:t>
      </w:r>
      <w:r w:rsidR="00047CE6">
        <w:t xml:space="preserve"> data</w:t>
      </w:r>
      <w:r w:rsidR="00DF03F8">
        <w:t xml:space="preserve"> </w:t>
      </w:r>
      <w:r w:rsidR="0071098F">
        <w:t>(</w:t>
      </w:r>
      <w:r w:rsidR="00CA0E7C">
        <w:t>as discussed</w:t>
      </w:r>
      <w:r w:rsidR="00786524">
        <w:t xml:space="preserve"> in the </w:t>
      </w:r>
      <w:r w:rsidR="00786524" w:rsidRPr="001444A4">
        <w:rPr>
          <w:i/>
          <w:iCs/>
        </w:rPr>
        <w:t>Draft Report</w:t>
      </w:r>
      <w:r w:rsidR="00786524">
        <w:t>)</w:t>
      </w:r>
      <w:r w:rsidR="00F64CC6">
        <w:t>,</w:t>
      </w:r>
      <w:r w:rsidR="007D4BCA">
        <w:t xml:space="preserve"> </w:t>
      </w:r>
      <w:r w:rsidR="002616DC">
        <w:t>which</w:t>
      </w:r>
      <w:r w:rsidR="00C80EBD">
        <w:t xml:space="preserve"> did</w:t>
      </w:r>
      <w:r w:rsidR="007D4BCA">
        <w:t xml:space="preserve"> </w:t>
      </w:r>
      <w:r w:rsidR="00E138F0">
        <w:t>not present a compelling case for a</w:t>
      </w:r>
      <w:r w:rsidR="00C80EBD">
        <w:t xml:space="preserve"> </w:t>
      </w:r>
      <w:r w:rsidR="00E138F0">
        <w:lastRenderedPageBreak/>
        <w:t>relationship between housing stress and the provision of social housing</w:t>
      </w:r>
      <w:r w:rsidR="00F64CC6">
        <w:t xml:space="preserve"> at the national level. </w:t>
      </w:r>
      <w:r w:rsidR="009A18C7">
        <w:t>This may change</w:t>
      </w:r>
      <w:r w:rsidR="00DE3937">
        <w:t xml:space="preserve"> in the future. Commonwealth and state governments have </w:t>
      </w:r>
      <w:r w:rsidR="00084A73">
        <w:t xml:space="preserve">recently </w:t>
      </w:r>
      <w:r w:rsidR="00DE3937">
        <w:t>announced significant</w:t>
      </w:r>
      <w:r w:rsidR="00084A73">
        <w:t xml:space="preserve"> increases in funding for social</w:t>
      </w:r>
      <w:r w:rsidR="00E2797A">
        <w:t xml:space="preserve"> housing</w:t>
      </w:r>
      <w:r w:rsidR="000966A1">
        <w:t xml:space="preserve">. </w:t>
      </w:r>
      <w:r w:rsidR="00417828">
        <w:t xml:space="preserve">This issue </w:t>
      </w:r>
      <w:r w:rsidR="00ED3BD8">
        <w:t>will</w:t>
      </w:r>
      <w:r w:rsidR="00C32B28">
        <w:t xml:space="preserve"> be</w:t>
      </w:r>
      <w:r w:rsidR="00EC03A6">
        <w:t xml:space="preserve"> examined again </w:t>
      </w:r>
      <w:r w:rsidR="0026059B">
        <w:t>in the next review.</w:t>
      </w:r>
    </w:p>
    <w:p w14:paraId="74880103" w14:textId="18497B0A" w:rsidR="00F64CC6" w:rsidRPr="005250AF" w:rsidRDefault="007D3CD3" w:rsidP="00630566">
      <w:pPr>
        <w:pStyle w:val="CGC2025ParaNumbers"/>
      </w:pPr>
      <w:r>
        <w:t xml:space="preserve">While </w:t>
      </w:r>
      <w:r w:rsidR="00DC3D55">
        <w:t>New South Wales</w:t>
      </w:r>
      <w:r>
        <w:t xml:space="preserve"> suggested </w:t>
      </w:r>
      <w:r w:rsidR="00253A17">
        <w:t>an alternative measure of socio</w:t>
      </w:r>
      <w:r w:rsidR="00043A6D">
        <w:t xml:space="preserve">-economic status involving some combination of household income </w:t>
      </w:r>
      <w:r w:rsidR="00260985">
        <w:t>and cost in the housing assessment, states deter</w:t>
      </w:r>
      <w:r w:rsidR="00DF03F8">
        <w:t>m</w:t>
      </w:r>
      <w:r w:rsidR="00260985">
        <w:t xml:space="preserve">ine eligibility for social housing based </w:t>
      </w:r>
      <w:r w:rsidR="001F1963">
        <w:t xml:space="preserve">on </w:t>
      </w:r>
      <w:r w:rsidR="0028669A">
        <w:t xml:space="preserve">household income. </w:t>
      </w:r>
      <w:r w:rsidR="0041585E">
        <w:t>Therefore,</w:t>
      </w:r>
      <w:r w:rsidR="00E9162B">
        <w:t xml:space="preserve"> household income remain</w:t>
      </w:r>
      <w:r w:rsidR="003F3276">
        <w:t>s</w:t>
      </w:r>
      <w:r w:rsidR="00E9162B">
        <w:t xml:space="preserve"> the most appropriate measure of socio–economic status</w:t>
      </w:r>
      <w:r w:rsidR="006434DC">
        <w:t xml:space="preserve"> in the housing assessment</w:t>
      </w:r>
      <w:r w:rsidR="00630566">
        <w:t>.</w:t>
      </w:r>
    </w:p>
    <w:p w14:paraId="7A566F6C" w14:textId="717CBF1F" w:rsidR="00CE2349" w:rsidRPr="005250AF" w:rsidRDefault="00CE2349" w:rsidP="00CE2349">
      <w:pPr>
        <w:pStyle w:val="Heading4"/>
      </w:pPr>
      <w:r w:rsidRPr="005250AF">
        <w:t xml:space="preserve">Commission </w:t>
      </w:r>
      <w:r w:rsidR="00705AE3">
        <w:t>decision</w:t>
      </w:r>
      <w:r w:rsidR="00E961BD">
        <w:t xml:space="preserve"> </w:t>
      </w:r>
    </w:p>
    <w:p w14:paraId="581EE63C" w14:textId="77777777" w:rsidR="004D1486" w:rsidRDefault="00990CB5" w:rsidP="0056209B">
      <w:pPr>
        <w:pStyle w:val="CGC2025ParaNumbers"/>
      </w:pPr>
      <w:r>
        <w:t xml:space="preserve">The Commission </w:t>
      </w:r>
      <w:r w:rsidR="007E1D26">
        <w:t>will</w:t>
      </w:r>
      <w:r>
        <w:t xml:space="preserve"> </w:t>
      </w:r>
      <w:r w:rsidR="00342F72">
        <w:t>not</w:t>
      </w:r>
      <w:r w:rsidR="007E1D26">
        <w:t xml:space="preserve"> </w:t>
      </w:r>
      <w:r w:rsidR="00EE7E5A">
        <w:t xml:space="preserve">include housing stress as a driver of state spending on social housing because available data </w:t>
      </w:r>
      <w:r w:rsidR="00EE43C9">
        <w:t>d</w:t>
      </w:r>
      <w:r w:rsidR="006A25C8">
        <w:t>o</w:t>
      </w:r>
      <w:r w:rsidR="00EE43C9">
        <w:t xml:space="preserve"> not support a relationship between </w:t>
      </w:r>
      <w:r w:rsidR="00324397">
        <w:t xml:space="preserve">housing </w:t>
      </w:r>
      <w:r w:rsidR="00164B0D">
        <w:t>stress and the provision of social housing</w:t>
      </w:r>
      <w:r w:rsidR="00791C07">
        <w:t xml:space="preserve">. </w:t>
      </w:r>
    </w:p>
    <w:p w14:paraId="1F1B533C" w14:textId="4056810B" w:rsidR="007C42EC" w:rsidRPr="005250AF" w:rsidRDefault="00791C07" w:rsidP="0056209B">
      <w:pPr>
        <w:pStyle w:val="CGC2025ParaNumbers"/>
      </w:pPr>
      <w:r>
        <w:t xml:space="preserve">The Commission </w:t>
      </w:r>
      <w:r w:rsidR="000A5D1C">
        <w:t>will</w:t>
      </w:r>
      <w:r>
        <w:t xml:space="preserve"> not </w:t>
      </w:r>
      <w:r w:rsidR="00FC0056">
        <w:t>adjust</w:t>
      </w:r>
      <w:r w:rsidR="00E15FE5">
        <w:t xml:space="preserve"> the measure of socio</w:t>
      </w:r>
      <w:r w:rsidR="00CC2852">
        <w:t>-</w:t>
      </w:r>
      <w:r w:rsidR="00E15FE5">
        <w:t>economic status</w:t>
      </w:r>
      <w:r w:rsidR="00AB49F9">
        <w:t xml:space="preserve"> to </w:t>
      </w:r>
      <w:r w:rsidR="003D409B">
        <w:t xml:space="preserve">account for </w:t>
      </w:r>
      <w:r w:rsidR="007371A8">
        <w:t>housing costs</w:t>
      </w:r>
      <w:r w:rsidR="006E5E0B">
        <w:t xml:space="preserve"> given that states determine </w:t>
      </w:r>
      <w:r w:rsidR="0068720B">
        <w:t>the eligibility for social housing based on household income</w:t>
      </w:r>
      <w:r w:rsidR="00E15FE5">
        <w:t>.</w:t>
      </w:r>
    </w:p>
    <w:p w14:paraId="54FF82A2" w14:textId="6FF32F3A" w:rsidR="007F03FE" w:rsidRPr="00ED102F" w:rsidRDefault="006E1916" w:rsidP="004148B5">
      <w:pPr>
        <w:pStyle w:val="Heading3"/>
        <w:keepNext/>
      </w:pPr>
      <w:r>
        <w:t xml:space="preserve">Separate assessments of </w:t>
      </w:r>
      <w:r w:rsidR="00050843">
        <w:t>public and community housing</w:t>
      </w:r>
    </w:p>
    <w:p w14:paraId="54163CA8" w14:textId="47A1E274" w:rsidR="00CF4D4A" w:rsidRDefault="00B042D3" w:rsidP="00C601E3">
      <w:pPr>
        <w:pStyle w:val="CGC2025ParaNumbers"/>
      </w:pPr>
      <w:r w:rsidRPr="00E45D50">
        <w:t xml:space="preserve">The Commission </w:t>
      </w:r>
      <w:r w:rsidR="004C3D1B">
        <w:t xml:space="preserve">consulted states </w:t>
      </w:r>
      <w:r w:rsidR="00044B31">
        <w:t>on whether</w:t>
      </w:r>
      <w:r w:rsidRPr="00E45D50">
        <w:t xml:space="preserve"> separate assessments of public and community housing </w:t>
      </w:r>
      <w:r w:rsidR="00044B31">
        <w:t>would</w:t>
      </w:r>
      <w:r w:rsidRPr="00E45D50">
        <w:t xml:space="preserve"> better account for differences in costs to states of funding these alternative forms of social housing.</w:t>
      </w:r>
      <w:r>
        <w:t xml:space="preserve"> </w:t>
      </w:r>
      <w:r w:rsidR="003C0B28">
        <w:t>T</w:t>
      </w:r>
      <w:r w:rsidR="00B14336">
        <w:t xml:space="preserve">he Commission proposed to retain </w:t>
      </w:r>
      <w:r w:rsidR="00C601E3" w:rsidRPr="00C601E3">
        <w:rPr>
          <w:szCs w:val="20"/>
        </w:rPr>
        <w:t>a single social housing assessment</w:t>
      </w:r>
      <w:r w:rsidR="00C601E3">
        <w:rPr>
          <w:szCs w:val="20"/>
        </w:rPr>
        <w:t>.</w:t>
      </w:r>
    </w:p>
    <w:p w14:paraId="33B5D125" w14:textId="77777777" w:rsidR="00DF6B7E" w:rsidRPr="008675B1" w:rsidRDefault="00DF6B7E" w:rsidP="00DF6B7E">
      <w:pPr>
        <w:pStyle w:val="Heading4"/>
      </w:pPr>
      <w:r>
        <w:t>State views</w:t>
      </w:r>
    </w:p>
    <w:p w14:paraId="2AA50DFF" w14:textId="71DD5CD3" w:rsidR="005D6759" w:rsidRDefault="0073792A" w:rsidP="00F213CC">
      <w:pPr>
        <w:pStyle w:val="CGC2025ParaNumbers"/>
      </w:pPr>
      <w:r>
        <w:t>Some states said that the mix of public and community</w:t>
      </w:r>
      <w:r w:rsidR="008B4D41">
        <w:t xml:space="preserve"> housing</w:t>
      </w:r>
      <w:r>
        <w:t xml:space="preserve"> </w:t>
      </w:r>
      <w:r w:rsidR="00D3377F">
        <w:t>i</w:t>
      </w:r>
      <w:r>
        <w:t xml:space="preserve">s determined by a complex range of factors, </w:t>
      </w:r>
      <w:r w:rsidR="00D725CC">
        <w:t xml:space="preserve">and the differences in states’ </w:t>
      </w:r>
      <w:r w:rsidR="00A61708">
        <w:t>social</w:t>
      </w:r>
      <w:r w:rsidR="00D725CC">
        <w:t xml:space="preserve"> housing mix d</w:t>
      </w:r>
      <w:r w:rsidR="008E464A">
        <w:t>o</w:t>
      </w:r>
      <w:r w:rsidR="00D725CC">
        <w:t xml:space="preserve"> not reflect genuine difference</w:t>
      </w:r>
      <w:r w:rsidR="0481DE35">
        <w:t>s</w:t>
      </w:r>
      <w:r w:rsidR="00D725CC">
        <w:t xml:space="preserve"> in need.</w:t>
      </w:r>
      <w:r w:rsidR="00A61708">
        <w:t xml:space="preserve"> </w:t>
      </w:r>
    </w:p>
    <w:p w14:paraId="516B6CC7" w14:textId="4DD2863D" w:rsidR="00A61708" w:rsidRDefault="00B70D53" w:rsidP="0077172C">
      <w:pPr>
        <w:pStyle w:val="CGC2025ParaNumbers"/>
      </w:pPr>
      <w:r>
        <w:t>There was broad concern that</w:t>
      </w:r>
      <w:r w:rsidR="00DF70C8">
        <w:t xml:space="preserve"> the </w:t>
      </w:r>
      <w:r w:rsidR="00417AF6">
        <w:t xml:space="preserve">data on public and community housing expenses </w:t>
      </w:r>
      <w:r w:rsidR="00136FA6">
        <w:t>a</w:t>
      </w:r>
      <w:r w:rsidR="00014AD0">
        <w:t>re</w:t>
      </w:r>
      <w:r w:rsidR="00417AF6">
        <w:t xml:space="preserve"> not of sufficient quality to </w:t>
      </w:r>
      <w:r w:rsidR="0077172C">
        <w:t>support separate assessments.</w:t>
      </w:r>
    </w:p>
    <w:p w14:paraId="19088CD5" w14:textId="4ABD227B" w:rsidR="005D6759" w:rsidRPr="00F120D9" w:rsidRDefault="005D6759" w:rsidP="005D6759">
      <w:pPr>
        <w:pStyle w:val="CGC2025ParaNumbers"/>
        <w:tabs>
          <w:tab w:val="clear" w:pos="567"/>
        </w:tabs>
      </w:pPr>
      <w:r>
        <w:t>The Northern Territory said the Commission should recognise differing rates of Commonwealth Rent Assistance by state</w:t>
      </w:r>
      <w:r w:rsidR="007B26E2">
        <w:t>.</w:t>
      </w:r>
    </w:p>
    <w:p w14:paraId="6E541707" w14:textId="77777777" w:rsidR="00DF6B7E" w:rsidRPr="008675B1" w:rsidRDefault="00DF6B7E" w:rsidP="00DF6B7E">
      <w:pPr>
        <w:pStyle w:val="Heading4"/>
      </w:pPr>
      <w:r>
        <w:t>Commission response</w:t>
      </w:r>
    </w:p>
    <w:p w14:paraId="5C68B930" w14:textId="77777777" w:rsidR="007F2165" w:rsidRPr="00E45D50" w:rsidRDefault="007F2165" w:rsidP="007F2165">
      <w:pPr>
        <w:pStyle w:val="CGC2025ParaNumbers"/>
        <w:tabs>
          <w:tab w:val="clear" w:pos="567"/>
        </w:tabs>
        <w:rPr>
          <w:szCs w:val="20"/>
        </w:rPr>
      </w:pPr>
      <w:r w:rsidRPr="00E45D50">
        <w:rPr>
          <w:szCs w:val="20"/>
        </w:rPr>
        <w:t>Public housing is state owned and managed. It is mostly provided through state public non-financial corporations. Community housing is managed by not-for-profit organisations, which receive subsidies from state governments.</w:t>
      </w:r>
      <w:r>
        <w:rPr>
          <w:szCs w:val="20"/>
        </w:rPr>
        <w:t xml:space="preserve"> Community housing tenants are eligible to receive Commonwealth Rent Assistance whereas public housing tenants are not.</w:t>
      </w:r>
    </w:p>
    <w:p w14:paraId="02787938" w14:textId="31373361" w:rsidR="003C6BE6" w:rsidRDefault="00681C30" w:rsidP="004F3029">
      <w:pPr>
        <w:pStyle w:val="CGC2025ParaNumbers"/>
      </w:pPr>
      <w:r>
        <w:lastRenderedPageBreak/>
        <w:t>Not</w:t>
      </w:r>
      <w:r w:rsidR="00081C40">
        <w:t xml:space="preserve"> a</w:t>
      </w:r>
      <w:r w:rsidR="00FB6892">
        <w:t>ll states have the same capacity to choose the mix of public and community</w:t>
      </w:r>
      <w:r w:rsidR="00081C40">
        <w:t xml:space="preserve"> </w:t>
      </w:r>
      <w:r w:rsidR="00FB6892">
        <w:t>housing due to limited availability of community housing providers</w:t>
      </w:r>
      <w:r w:rsidR="00FB4B70">
        <w:t xml:space="preserve">. </w:t>
      </w:r>
      <w:r w:rsidR="009C65D7">
        <w:t xml:space="preserve">This may </w:t>
      </w:r>
      <w:r w:rsidR="4DABAC40">
        <w:t xml:space="preserve">be </w:t>
      </w:r>
      <w:r w:rsidR="00115132">
        <w:t>particu</w:t>
      </w:r>
      <w:r w:rsidR="009F654B">
        <w:t>larly the case in remote First Nations communities</w:t>
      </w:r>
      <w:r w:rsidR="00FB6892">
        <w:t xml:space="preserve">. </w:t>
      </w:r>
    </w:p>
    <w:p w14:paraId="2B044BF3" w14:textId="21A05CDE" w:rsidR="00DF6B7E" w:rsidRDefault="0052409B" w:rsidP="00E362B9">
      <w:pPr>
        <w:pStyle w:val="CGC2025ParaNumbers"/>
      </w:pPr>
      <w:r>
        <w:t xml:space="preserve">It </w:t>
      </w:r>
      <w:r w:rsidR="000D625D">
        <w:t>i</w:t>
      </w:r>
      <w:r>
        <w:t xml:space="preserve">s </w:t>
      </w:r>
      <w:r w:rsidR="00FB6892">
        <w:t xml:space="preserve">also </w:t>
      </w:r>
      <w:r w:rsidR="005E72C2">
        <w:t xml:space="preserve">not possible to reliably </w:t>
      </w:r>
      <w:r w:rsidR="0097783B">
        <w:t xml:space="preserve">separate </w:t>
      </w:r>
      <w:r w:rsidR="00ED4662">
        <w:t xml:space="preserve">public housing </w:t>
      </w:r>
      <w:r w:rsidR="00366366">
        <w:t xml:space="preserve">and community housing </w:t>
      </w:r>
      <w:r w:rsidR="00ED4662">
        <w:t>expenses</w:t>
      </w:r>
      <w:r w:rsidR="00E362B9">
        <w:t>.</w:t>
      </w:r>
    </w:p>
    <w:p w14:paraId="1D176A68" w14:textId="6B76B851" w:rsidR="00424B16" w:rsidRPr="005250AF" w:rsidRDefault="00424B16" w:rsidP="00C5639E">
      <w:pPr>
        <w:pStyle w:val="CGC2025ParaNumbers"/>
      </w:pPr>
      <w:r>
        <w:t xml:space="preserve">Using </w:t>
      </w:r>
      <w:r w:rsidR="00A831B2">
        <w:t xml:space="preserve">the </w:t>
      </w:r>
      <w:r w:rsidR="003A3AE2">
        <w:t xml:space="preserve">available </w:t>
      </w:r>
      <w:r w:rsidR="00A831B2">
        <w:t>data</w:t>
      </w:r>
      <w:r w:rsidR="00DF7D21">
        <w:t xml:space="preserve">, </w:t>
      </w:r>
      <w:r w:rsidR="00AB2AFE">
        <w:t>the materiality of separate assessments</w:t>
      </w:r>
      <w:r w:rsidR="00573CA1" w:rsidRPr="00573CA1">
        <w:t xml:space="preserve"> </w:t>
      </w:r>
      <w:r w:rsidR="00573CA1">
        <w:t>was tested</w:t>
      </w:r>
      <w:r w:rsidR="00AB2AFE">
        <w:t xml:space="preserve">. </w:t>
      </w:r>
      <w:r w:rsidR="00C00FAC">
        <w:t xml:space="preserve">There was </w:t>
      </w:r>
      <w:r w:rsidR="00AB2AFE">
        <w:t>a material reduction</w:t>
      </w:r>
      <w:r w:rsidR="001360E9">
        <w:t xml:space="preserve"> </w:t>
      </w:r>
      <w:r w:rsidR="00AB2AFE">
        <w:t xml:space="preserve">to </w:t>
      </w:r>
      <w:r w:rsidR="00D561BC">
        <w:t xml:space="preserve">assessed </w:t>
      </w:r>
      <w:r w:rsidR="00AB2AFE">
        <w:t xml:space="preserve">GST </w:t>
      </w:r>
      <w:r w:rsidR="00D561BC">
        <w:t>needs</w:t>
      </w:r>
      <w:r w:rsidR="00AB2AFE">
        <w:t xml:space="preserve"> for the Northern Territory</w:t>
      </w:r>
      <w:r w:rsidR="003A3AE2">
        <w:t>,</w:t>
      </w:r>
      <w:r w:rsidR="00AB2AFE">
        <w:t xml:space="preserve"> with limited </w:t>
      </w:r>
      <w:r w:rsidR="00C00FAC">
        <w:t xml:space="preserve">impacts for </w:t>
      </w:r>
      <w:r w:rsidR="00AB2AFE">
        <w:t>other states.</w:t>
      </w:r>
    </w:p>
    <w:p w14:paraId="2F578F67" w14:textId="59BD0338" w:rsidR="00DF6B7E" w:rsidRDefault="00DF6B7E" w:rsidP="0056209B">
      <w:pPr>
        <w:pStyle w:val="Heading4"/>
      </w:pPr>
      <w:r w:rsidRPr="005250AF">
        <w:t xml:space="preserve">Commission </w:t>
      </w:r>
      <w:r w:rsidR="00705AE3">
        <w:t>decision</w:t>
      </w:r>
    </w:p>
    <w:p w14:paraId="5C201657" w14:textId="76F9BA89" w:rsidR="005450CD" w:rsidRDefault="005450CD" w:rsidP="00FC692C">
      <w:pPr>
        <w:pStyle w:val="CGC2025ParaNumbers"/>
      </w:pPr>
      <w:r w:rsidRPr="005250AF">
        <w:t xml:space="preserve">The </w:t>
      </w:r>
      <w:r w:rsidR="00E23090">
        <w:t xml:space="preserve">Commission </w:t>
      </w:r>
      <w:r w:rsidR="007E1D26">
        <w:t>will</w:t>
      </w:r>
      <w:r w:rsidR="00E23090">
        <w:t xml:space="preserve"> retain </w:t>
      </w:r>
      <w:r w:rsidR="00CE1C11">
        <w:t xml:space="preserve">a single </w:t>
      </w:r>
      <w:r w:rsidR="00786414">
        <w:t xml:space="preserve">social housing </w:t>
      </w:r>
      <w:r w:rsidR="00CE1C11">
        <w:t>assessment</w:t>
      </w:r>
      <w:r w:rsidR="008D1EA9">
        <w:t xml:space="preserve"> as states do not have the same capacity to choose the mix of public and community housing</w:t>
      </w:r>
      <w:r w:rsidR="00CD299A">
        <w:t xml:space="preserve"> and separating expenses</w:t>
      </w:r>
      <w:r w:rsidR="00932E6F">
        <w:t xml:space="preserve"> for the 2 types of social housing cannot be done reliably.</w:t>
      </w:r>
    </w:p>
    <w:p w14:paraId="52E9C5CD" w14:textId="42783A60" w:rsidR="00BC38E4" w:rsidRPr="00ED102F" w:rsidRDefault="0056209B" w:rsidP="00BE1A8F">
      <w:pPr>
        <w:pStyle w:val="Heading3"/>
        <w:keepNext/>
      </w:pPr>
      <w:r>
        <w:t xml:space="preserve">Cost </w:t>
      </w:r>
      <w:r w:rsidR="00A3478D">
        <w:t xml:space="preserve">of servicing </w:t>
      </w:r>
      <w:r w:rsidR="000A1955">
        <w:t>tenants</w:t>
      </w:r>
      <w:r w:rsidR="00A3478D">
        <w:t xml:space="preserve"> with a disability </w:t>
      </w:r>
    </w:p>
    <w:p w14:paraId="6D56245C" w14:textId="5E267318" w:rsidR="00BC38E4" w:rsidRPr="00B95B2B" w:rsidRDefault="008D2181" w:rsidP="00B95B2B">
      <w:pPr>
        <w:pStyle w:val="CGC2025ParaNumbers"/>
        <w:rPr>
          <w:szCs w:val="20"/>
        </w:rPr>
      </w:pPr>
      <w:r>
        <w:t>T</w:t>
      </w:r>
      <w:r w:rsidR="00F20210" w:rsidRPr="007C3329">
        <w:t xml:space="preserve">he Commission </w:t>
      </w:r>
      <w:r w:rsidR="00AF013D">
        <w:t>consulted</w:t>
      </w:r>
      <w:r w:rsidR="00AF013D" w:rsidRPr="007C3329">
        <w:t xml:space="preserve"> </w:t>
      </w:r>
      <w:r w:rsidR="00F20210" w:rsidRPr="007C3329">
        <w:t>state</w:t>
      </w:r>
      <w:r w:rsidR="00A578DC">
        <w:t>s</w:t>
      </w:r>
      <w:r w:rsidR="00F20210" w:rsidRPr="007C3329">
        <w:t xml:space="preserve"> on whether </w:t>
      </w:r>
      <w:r w:rsidR="00714095" w:rsidRPr="007C3329">
        <w:t xml:space="preserve">data </w:t>
      </w:r>
      <w:r w:rsidR="00EE2C14">
        <w:t>w</w:t>
      </w:r>
      <w:r w:rsidR="00386B1E">
        <w:t>ere</w:t>
      </w:r>
      <w:r w:rsidR="00EE2C14">
        <w:t xml:space="preserve"> available</w:t>
      </w:r>
      <w:r w:rsidR="00714095" w:rsidRPr="007C3329">
        <w:t xml:space="preserve"> </w:t>
      </w:r>
      <w:r w:rsidR="00B66F1A" w:rsidRPr="007C3329">
        <w:t xml:space="preserve">to </w:t>
      </w:r>
      <w:r w:rsidR="00A275CA" w:rsidRPr="007C3329">
        <w:t>calculate</w:t>
      </w:r>
      <w:r w:rsidR="00714095" w:rsidRPr="007C3329">
        <w:t xml:space="preserve"> a cost weight for people </w:t>
      </w:r>
      <w:r w:rsidR="00361BDA" w:rsidRPr="007C3329">
        <w:t xml:space="preserve">in social housing </w:t>
      </w:r>
      <w:r w:rsidR="00714095" w:rsidRPr="007C3329">
        <w:t>with a disabil</w:t>
      </w:r>
      <w:r w:rsidR="00361BDA" w:rsidRPr="007C3329">
        <w:t>ity</w:t>
      </w:r>
      <w:r w:rsidR="00482390" w:rsidRPr="007C3329">
        <w:t>. It also asked</w:t>
      </w:r>
      <w:r w:rsidR="00814953" w:rsidRPr="007C3329">
        <w:t xml:space="preserve"> </w:t>
      </w:r>
      <w:r w:rsidR="008F10F1">
        <w:t xml:space="preserve">states </w:t>
      </w:r>
      <w:r w:rsidR="00814953" w:rsidRPr="007C3329">
        <w:t xml:space="preserve">whether new census data on </w:t>
      </w:r>
      <w:r w:rsidR="00CA35FE">
        <w:t xml:space="preserve">households with </w:t>
      </w:r>
      <w:r w:rsidR="00814953" w:rsidRPr="007C3329">
        <w:t>long</w:t>
      </w:r>
      <w:r w:rsidR="00807CA2">
        <w:t>-</w:t>
      </w:r>
      <w:r w:rsidR="00814953" w:rsidRPr="007C3329">
        <w:t xml:space="preserve">term health conditions </w:t>
      </w:r>
      <w:r w:rsidR="00C524BE" w:rsidRPr="007C3329">
        <w:t xml:space="preserve">could be used </w:t>
      </w:r>
      <w:r w:rsidR="00DF6BD4">
        <w:t xml:space="preserve">as a proxy </w:t>
      </w:r>
      <w:r w:rsidR="00C524BE" w:rsidRPr="007C3329">
        <w:t>to</w:t>
      </w:r>
      <w:r w:rsidR="00DB333C" w:rsidRPr="007C3329">
        <w:t xml:space="preserve"> identify</w:t>
      </w:r>
      <w:r w:rsidR="00814953" w:rsidRPr="007C3329">
        <w:t xml:space="preserve"> </w:t>
      </w:r>
      <w:r w:rsidR="00B84375">
        <w:t xml:space="preserve">social housing </w:t>
      </w:r>
      <w:r w:rsidR="00B71BC2" w:rsidRPr="007C3329">
        <w:t>tenants</w:t>
      </w:r>
      <w:r w:rsidR="00ED3C41">
        <w:t xml:space="preserve"> </w:t>
      </w:r>
      <w:r w:rsidR="00B84375">
        <w:t>requiring additional services.</w:t>
      </w:r>
      <w:r w:rsidR="00B71BC2" w:rsidRPr="007C3329">
        <w:t xml:space="preserve"> </w:t>
      </w:r>
      <w:r w:rsidR="00AE3615">
        <w:t>T</w:t>
      </w:r>
      <w:r w:rsidR="00B95B2B">
        <w:t xml:space="preserve">he Commission proposed </w:t>
      </w:r>
      <w:r w:rsidR="00B95B2B" w:rsidRPr="00B95B2B">
        <w:rPr>
          <w:szCs w:val="20"/>
        </w:rPr>
        <w:t>not to pursue the development of a high</w:t>
      </w:r>
      <w:r w:rsidR="00B95B2B">
        <w:rPr>
          <w:szCs w:val="20"/>
        </w:rPr>
        <w:noBreakHyphen/>
      </w:r>
      <w:r w:rsidR="00B95B2B" w:rsidRPr="00B95B2B">
        <w:rPr>
          <w:szCs w:val="20"/>
        </w:rPr>
        <w:t>cost tenant cost gradient</w:t>
      </w:r>
      <w:r w:rsidR="0059586F">
        <w:rPr>
          <w:szCs w:val="20"/>
        </w:rPr>
        <w:t>.</w:t>
      </w:r>
    </w:p>
    <w:p w14:paraId="41A97C4A" w14:textId="77777777" w:rsidR="00BE1A8F" w:rsidRPr="008675B1" w:rsidRDefault="00BE1A8F" w:rsidP="00BE1A8F">
      <w:pPr>
        <w:pStyle w:val="Heading4"/>
      </w:pPr>
      <w:r>
        <w:t>State views</w:t>
      </w:r>
    </w:p>
    <w:p w14:paraId="2BC8CB9B" w14:textId="5943CA7C" w:rsidR="00781260" w:rsidRDefault="00027921" w:rsidP="00243A09">
      <w:pPr>
        <w:pStyle w:val="CGC2025ParaNumbers"/>
      </w:pPr>
      <w:r>
        <w:t>Most states said</w:t>
      </w:r>
      <w:r w:rsidR="005A5435">
        <w:t xml:space="preserve"> census data on households with members that have long–term health conditions </w:t>
      </w:r>
      <w:r w:rsidR="00144DBD">
        <w:t>a</w:t>
      </w:r>
      <w:r w:rsidR="0019483E">
        <w:t xml:space="preserve">re not </w:t>
      </w:r>
      <w:r w:rsidR="005A5435">
        <w:t xml:space="preserve">a suitable proxy for </w:t>
      </w:r>
      <w:r w:rsidR="00532776">
        <w:t xml:space="preserve">social housing </w:t>
      </w:r>
      <w:r w:rsidR="005A5435">
        <w:t>households that have high</w:t>
      </w:r>
      <w:r w:rsidR="00F44CB4">
        <w:t>er</w:t>
      </w:r>
      <w:r w:rsidR="005A5435">
        <w:t xml:space="preserve"> service </w:t>
      </w:r>
      <w:r w:rsidR="00F44CB4">
        <w:t>costs</w:t>
      </w:r>
      <w:r w:rsidR="005A5435">
        <w:t>.</w:t>
      </w:r>
      <w:r w:rsidR="00E22ACC">
        <w:t xml:space="preserve"> </w:t>
      </w:r>
      <w:r w:rsidR="00781260">
        <w:t>Most states said they ha</w:t>
      </w:r>
      <w:r w:rsidR="001206AA">
        <w:t>d</w:t>
      </w:r>
      <w:r w:rsidR="00781260">
        <w:t xml:space="preserve"> limited or no data on the cost of servicing different household types.</w:t>
      </w:r>
    </w:p>
    <w:p w14:paraId="37635FFB" w14:textId="77777777" w:rsidR="00646DD0" w:rsidRPr="008675B1" w:rsidRDefault="00646DD0" w:rsidP="00646DD0">
      <w:pPr>
        <w:pStyle w:val="Heading4"/>
      </w:pPr>
      <w:r>
        <w:t>Commission response</w:t>
      </w:r>
    </w:p>
    <w:p w14:paraId="3D2F5E53" w14:textId="77777777" w:rsidR="008D2181" w:rsidRPr="008D2181" w:rsidRDefault="008D2181" w:rsidP="00646DD0">
      <w:pPr>
        <w:pStyle w:val="CGC2025ParaNumbers"/>
      </w:pPr>
      <w:r>
        <w:rPr>
          <w:szCs w:val="20"/>
        </w:rPr>
        <w:t>In previous reviews, some states said people</w:t>
      </w:r>
      <w:r w:rsidRPr="002703D2">
        <w:rPr>
          <w:szCs w:val="20"/>
        </w:rPr>
        <w:t xml:space="preserve"> with a disability require higher levels of servicing compared </w:t>
      </w:r>
      <w:r>
        <w:rPr>
          <w:szCs w:val="20"/>
        </w:rPr>
        <w:t xml:space="preserve">with </w:t>
      </w:r>
      <w:r w:rsidRPr="007C3329">
        <w:rPr>
          <w:szCs w:val="20"/>
        </w:rPr>
        <w:t>other social housing households</w:t>
      </w:r>
      <w:r>
        <w:rPr>
          <w:szCs w:val="20"/>
        </w:rPr>
        <w:t>. However, sufficiently comprehensive data on the use of social housing by people with a disability were not available.</w:t>
      </w:r>
    </w:p>
    <w:p w14:paraId="7A65E171" w14:textId="20A403E1" w:rsidR="00646DD0" w:rsidRDefault="00646DD0" w:rsidP="00646DD0">
      <w:pPr>
        <w:pStyle w:val="CGC2025ParaNumbers"/>
      </w:pPr>
      <w:r>
        <w:t xml:space="preserve">The Commission </w:t>
      </w:r>
      <w:r w:rsidR="003C3263">
        <w:t>recognises</w:t>
      </w:r>
      <w:r>
        <w:t xml:space="preserve"> that the census data </w:t>
      </w:r>
      <w:r w:rsidR="00684AE0">
        <w:t>a</w:t>
      </w:r>
      <w:r>
        <w:t>re not suitable for developing a cost weight for tenants with a disability and most states said they have limited or no data on the cost of servicing different household types.</w:t>
      </w:r>
    </w:p>
    <w:p w14:paraId="434F15B2" w14:textId="0AB50460" w:rsidR="00696FB5" w:rsidRDefault="00F71B5A" w:rsidP="00646DD0">
      <w:pPr>
        <w:pStyle w:val="CGC2025ParaNumbers"/>
      </w:pPr>
      <w:r>
        <w:t xml:space="preserve">The Commission accepted that insufficient data </w:t>
      </w:r>
      <w:r w:rsidR="00C57A1F">
        <w:t>a</w:t>
      </w:r>
      <w:r>
        <w:t xml:space="preserve">re available to estimate a cost weight or to identify the appropriate </w:t>
      </w:r>
      <w:r w:rsidR="00873269">
        <w:t>user group in each state.</w:t>
      </w:r>
    </w:p>
    <w:p w14:paraId="341AF9D3" w14:textId="77777777" w:rsidR="00C96479" w:rsidRDefault="00C96479" w:rsidP="00C96479">
      <w:pPr>
        <w:pStyle w:val="Heading4"/>
      </w:pPr>
      <w:r w:rsidRPr="005250AF">
        <w:lastRenderedPageBreak/>
        <w:t xml:space="preserve">Commission </w:t>
      </w:r>
      <w:r>
        <w:t xml:space="preserve">decision </w:t>
      </w:r>
    </w:p>
    <w:p w14:paraId="2F673D72" w14:textId="624F539A" w:rsidR="00C96479" w:rsidRDefault="00C96479" w:rsidP="00C96479">
      <w:pPr>
        <w:pStyle w:val="CGC2025ParaNumbers"/>
      </w:pPr>
      <w:r>
        <w:t xml:space="preserve">The Commission </w:t>
      </w:r>
      <w:r w:rsidR="007E1D26">
        <w:t>will</w:t>
      </w:r>
      <w:r>
        <w:t xml:space="preserve"> not </w:t>
      </w:r>
      <w:r w:rsidR="00D64B60">
        <w:t>introduce</w:t>
      </w:r>
      <w:r>
        <w:t xml:space="preserve"> a cost weight for people with a disability because reliable data </w:t>
      </w:r>
      <w:r w:rsidR="00C57A1F">
        <w:t>a</w:t>
      </w:r>
      <w:r>
        <w:t>re not available</w:t>
      </w:r>
      <w:r w:rsidR="00F33351">
        <w:t>.</w:t>
      </w:r>
    </w:p>
    <w:p w14:paraId="5CBE45A6" w14:textId="48C90AAE" w:rsidR="00BC38E4" w:rsidRPr="00ED102F" w:rsidRDefault="00E649FF" w:rsidP="00F349C9">
      <w:pPr>
        <w:pStyle w:val="Heading3"/>
        <w:keepNext/>
      </w:pPr>
      <w:r>
        <w:t>Regional cost gradient</w:t>
      </w:r>
    </w:p>
    <w:p w14:paraId="3F045328" w14:textId="63AB8768" w:rsidR="00EB190A" w:rsidRPr="007873BA" w:rsidRDefault="00EB190A" w:rsidP="007873BA">
      <w:pPr>
        <w:pStyle w:val="CGC2025ParaNumbers"/>
        <w:rPr>
          <w:szCs w:val="20"/>
        </w:rPr>
      </w:pPr>
      <w:r>
        <w:t xml:space="preserve">The Commission considered concerns raised by states </w:t>
      </w:r>
      <w:r w:rsidR="00B71FA4">
        <w:t xml:space="preserve">about </w:t>
      </w:r>
      <w:r>
        <w:t xml:space="preserve">the use of the general regional </w:t>
      </w:r>
      <w:r w:rsidR="00FD2421">
        <w:t xml:space="preserve">cost </w:t>
      </w:r>
      <w:r>
        <w:t>gradient in the housing assessment.</w:t>
      </w:r>
      <w:r w:rsidR="0010115F">
        <w:t xml:space="preserve"> </w:t>
      </w:r>
      <w:r w:rsidR="00114CC0">
        <w:t>The Commission</w:t>
      </w:r>
      <w:r w:rsidR="0010115F" w:rsidRPr="0010115F">
        <w:rPr>
          <w:szCs w:val="20"/>
        </w:rPr>
        <w:t xml:space="preserve"> propose</w:t>
      </w:r>
      <w:r w:rsidR="00543021">
        <w:rPr>
          <w:szCs w:val="20"/>
        </w:rPr>
        <w:t>d</w:t>
      </w:r>
      <w:r w:rsidR="0010115F" w:rsidRPr="0010115F">
        <w:rPr>
          <w:szCs w:val="20"/>
        </w:rPr>
        <w:t xml:space="preserve"> to retain the 2020 Review regional costs assessment </w:t>
      </w:r>
      <w:r w:rsidR="0010115F" w:rsidRPr="007873BA">
        <w:rPr>
          <w:szCs w:val="20"/>
        </w:rPr>
        <w:t>method</w:t>
      </w:r>
      <w:r w:rsidR="007873BA">
        <w:rPr>
          <w:szCs w:val="20"/>
        </w:rPr>
        <w:t>.</w:t>
      </w:r>
    </w:p>
    <w:p w14:paraId="1DE52D63" w14:textId="77777777" w:rsidR="000A38A3" w:rsidRPr="008675B1" w:rsidRDefault="000A38A3" w:rsidP="000A38A3">
      <w:pPr>
        <w:pStyle w:val="Heading4"/>
      </w:pPr>
      <w:r>
        <w:t>State views</w:t>
      </w:r>
    </w:p>
    <w:p w14:paraId="7C0AF2FF" w14:textId="4BC9463C" w:rsidR="000A38A3" w:rsidRPr="005454AC" w:rsidRDefault="00B74055" w:rsidP="000A38A3">
      <w:pPr>
        <w:pStyle w:val="CGC2025ParaNumbers"/>
      </w:pPr>
      <w:r>
        <w:rPr>
          <w:szCs w:val="20"/>
        </w:rPr>
        <w:t>Some states said the general regional cost gradient</w:t>
      </w:r>
      <w:r w:rsidR="00EE39C4">
        <w:rPr>
          <w:szCs w:val="20"/>
        </w:rPr>
        <w:t xml:space="preserve"> over</w:t>
      </w:r>
      <w:r w:rsidR="00445BCC">
        <w:rPr>
          <w:szCs w:val="20"/>
        </w:rPr>
        <w:t>state</w:t>
      </w:r>
      <w:r w:rsidR="00495F81">
        <w:rPr>
          <w:szCs w:val="20"/>
        </w:rPr>
        <w:t>s</w:t>
      </w:r>
      <w:r w:rsidR="00445BCC">
        <w:rPr>
          <w:szCs w:val="20"/>
        </w:rPr>
        <w:t xml:space="preserve"> </w:t>
      </w:r>
      <w:r w:rsidR="001C4AE2">
        <w:rPr>
          <w:szCs w:val="20"/>
        </w:rPr>
        <w:t>the additional cost</w:t>
      </w:r>
      <w:r w:rsidR="00D64165">
        <w:rPr>
          <w:szCs w:val="20"/>
        </w:rPr>
        <w:t>s of providing social housing services as remoteness increase</w:t>
      </w:r>
      <w:r w:rsidR="00165C59">
        <w:rPr>
          <w:szCs w:val="20"/>
        </w:rPr>
        <w:t>s</w:t>
      </w:r>
      <w:r w:rsidR="000027A8">
        <w:rPr>
          <w:szCs w:val="20"/>
        </w:rPr>
        <w:t>,</w:t>
      </w:r>
      <w:r w:rsidR="006624E8">
        <w:rPr>
          <w:szCs w:val="20"/>
        </w:rPr>
        <w:t xml:space="preserve"> </w:t>
      </w:r>
      <w:r w:rsidR="00EC1545">
        <w:rPr>
          <w:szCs w:val="20"/>
        </w:rPr>
        <w:t>while others said it understate</w:t>
      </w:r>
      <w:r w:rsidR="00165C59">
        <w:rPr>
          <w:szCs w:val="20"/>
        </w:rPr>
        <w:t>s</w:t>
      </w:r>
      <w:r w:rsidR="00EC1545">
        <w:rPr>
          <w:szCs w:val="20"/>
        </w:rPr>
        <w:t xml:space="preserve"> costs. States suggested the Commission develop a housing</w:t>
      </w:r>
      <w:r w:rsidR="00EC1545">
        <w:rPr>
          <w:szCs w:val="20"/>
        </w:rPr>
        <w:noBreakHyphen/>
        <w:t>specific regional cost gradient</w:t>
      </w:r>
      <w:r w:rsidR="00C543E7">
        <w:rPr>
          <w:szCs w:val="20"/>
        </w:rPr>
        <w:t>.</w:t>
      </w:r>
    </w:p>
    <w:p w14:paraId="5A72346B" w14:textId="03983A2D" w:rsidR="001F073F" w:rsidRPr="009862EB" w:rsidRDefault="001F073F" w:rsidP="001F073F">
      <w:pPr>
        <w:pStyle w:val="CGC2025ParaNumbers"/>
      </w:pPr>
      <w:r w:rsidRPr="009862EB">
        <w:t>Victoria acknowledge</w:t>
      </w:r>
      <w:r w:rsidR="00543021">
        <w:t>d</w:t>
      </w:r>
      <w:r w:rsidRPr="009862EB">
        <w:t xml:space="preserve"> that the data provided by </w:t>
      </w:r>
      <w:r w:rsidR="006371B1">
        <w:t>2</w:t>
      </w:r>
      <w:r w:rsidR="006371B1" w:rsidRPr="009862EB">
        <w:t xml:space="preserve"> </w:t>
      </w:r>
      <w:r w:rsidRPr="009862EB">
        <w:t>states is insufficient to develop a housing</w:t>
      </w:r>
      <w:r w:rsidR="00882DC8">
        <w:t>-</w:t>
      </w:r>
      <w:r w:rsidRPr="009862EB">
        <w:t>specific cost gradient but maintain</w:t>
      </w:r>
      <w:r w:rsidR="00B660B8">
        <w:t>ed</w:t>
      </w:r>
      <w:r w:rsidRPr="009862EB">
        <w:t xml:space="preserve"> that the data could still be used to test whether there is evidence to support a relationship between remoteness and costs.</w:t>
      </w:r>
    </w:p>
    <w:p w14:paraId="03441450" w14:textId="46FADC0B" w:rsidR="005454AC" w:rsidRPr="00D345D0" w:rsidRDefault="005454AC" w:rsidP="00D345D0">
      <w:pPr>
        <w:pStyle w:val="CGC2025ParaNumbers"/>
        <w:rPr>
          <w:szCs w:val="20"/>
        </w:rPr>
      </w:pPr>
      <w:r w:rsidRPr="009862EB">
        <w:t xml:space="preserve">Queensland said </w:t>
      </w:r>
      <w:r w:rsidR="00B71621" w:rsidRPr="009862EB">
        <w:t xml:space="preserve">the 25% discount to the </w:t>
      </w:r>
      <w:r w:rsidR="00DF2F1A" w:rsidRPr="009862EB">
        <w:t>general regional cost gradient should be removed</w:t>
      </w:r>
      <w:r w:rsidR="008147D8" w:rsidRPr="009862EB">
        <w:t xml:space="preserve"> because it is conceptually flawed</w:t>
      </w:r>
      <w:r w:rsidR="00220749">
        <w:t>.</w:t>
      </w:r>
      <w:r w:rsidR="008147D8" w:rsidRPr="009862EB">
        <w:t xml:space="preserve"> </w:t>
      </w:r>
      <w:r w:rsidR="00E80B2F">
        <w:t xml:space="preserve">Queensland said that </w:t>
      </w:r>
      <w:r w:rsidR="00D345D0" w:rsidRPr="00D345D0">
        <w:rPr>
          <w:szCs w:val="20"/>
        </w:rPr>
        <w:t>services assessed using the general</w:t>
      </w:r>
      <w:r w:rsidR="00062F6A">
        <w:rPr>
          <w:szCs w:val="20"/>
        </w:rPr>
        <w:t xml:space="preserve"> regional cost</w:t>
      </w:r>
      <w:r w:rsidR="00D345D0" w:rsidRPr="00D345D0">
        <w:rPr>
          <w:szCs w:val="20"/>
        </w:rPr>
        <w:t xml:space="preserve"> gradient usually have costs far exceeding the cost of services used to derive the general </w:t>
      </w:r>
      <w:r w:rsidR="00062F6A">
        <w:rPr>
          <w:szCs w:val="20"/>
        </w:rPr>
        <w:t xml:space="preserve">regional cost </w:t>
      </w:r>
      <w:r w:rsidR="00D345D0" w:rsidRPr="00D345D0">
        <w:rPr>
          <w:szCs w:val="20"/>
        </w:rPr>
        <w:t>gradient</w:t>
      </w:r>
      <w:r w:rsidR="007A32C6">
        <w:t xml:space="preserve">. Applying a discount therefore </w:t>
      </w:r>
      <w:r w:rsidR="00220749" w:rsidRPr="009862EB">
        <w:t>results in an underestimation of actual state need.</w:t>
      </w:r>
    </w:p>
    <w:p w14:paraId="258A8C11" w14:textId="4452F21F" w:rsidR="000377C0" w:rsidRPr="009862EB" w:rsidRDefault="000377C0" w:rsidP="00184FBB">
      <w:pPr>
        <w:pStyle w:val="CGC2025ParaNumbers"/>
      </w:pPr>
      <w:r>
        <w:t xml:space="preserve">Western Australia said </w:t>
      </w:r>
      <w:r w:rsidR="00F64AA0">
        <w:t xml:space="preserve">housing recurrent expenses should be disaggregated </w:t>
      </w:r>
      <w:r w:rsidR="00BF6DFC">
        <w:t>into maintenance expenses and other</w:t>
      </w:r>
      <w:r w:rsidR="7AFDE937">
        <w:t xml:space="preserve"> expenses</w:t>
      </w:r>
      <w:r w:rsidR="00FD306C">
        <w:t xml:space="preserve">. </w:t>
      </w:r>
      <w:r w:rsidR="06D9DEC4">
        <w:t xml:space="preserve">It said </w:t>
      </w:r>
      <w:r w:rsidR="5710622E">
        <w:t>t</w:t>
      </w:r>
      <w:r w:rsidR="00DF6582">
        <w:t>he Rawlinsons indices should be applied to the maintenance expenses</w:t>
      </w:r>
      <w:r w:rsidR="4965FBDD">
        <w:t xml:space="preserve"> and that </w:t>
      </w:r>
      <w:r w:rsidR="31D928C3">
        <w:t>o</w:t>
      </w:r>
      <w:r w:rsidR="00DF6582">
        <w:t>ther expense</w:t>
      </w:r>
      <w:r w:rsidR="00B3637D">
        <w:t>s</w:t>
      </w:r>
      <w:r w:rsidR="00DF6582">
        <w:t xml:space="preserve"> should be further disaggregated</w:t>
      </w:r>
      <w:r w:rsidR="00830561">
        <w:t>, with</w:t>
      </w:r>
      <w:r w:rsidR="00DF6582">
        <w:t xml:space="preserve"> </w:t>
      </w:r>
      <w:r w:rsidR="00830561">
        <w:t xml:space="preserve">expenses that would attract regional costs </w:t>
      </w:r>
      <w:proofErr w:type="gramStart"/>
      <w:r w:rsidR="00830561">
        <w:t>similar to</w:t>
      </w:r>
      <w:proofErr w:type="gramEnd"/>
      <w:r w:rsidR="00830561">
        <w:t xml:space="preserve"> main</w:t>
      </w:r>
      <w:r w:rsidR="00AF4223">
        <w:t>tenance also having the Rawlinsons</w:t>
      </w:r>
      <w:r w:rsidR="001E6EB7">
        <w:t xml:space="preserve"> </w:t>
      </w:r>
      <w:r w:rsidR="00B6145D">
        <w:t>indices</w:t>
      </w:r>
      <w:r w:rsidR="001E6EB7">
        <w:t xml:space="preserve"> applied.</w:t>
      </w:r>
    </w:p>
    <w:p w14:paraId="4B191E24" w14:textId="77777777" w:rsidR="000A38A3" w:rsidRPr="009862EB" w:rsidRDefault="000A38A3" w:rsidP="000A38A3">
      <w:pPr>
        <w:pStyle w:val="Heading4"/>
      </w:pPr>
      <w:r w:rsidRPr="009862EB">
        <w:t>Commission response</w:t>
      </w:r>
    </w:p>
    <w:p w14:paraId="347F3022" w14:textId="257D74E3" w:rsidR="000C1D56" w:rsidRPr="009862EB" w:rsidRDefault="000C1D56" w:rsidP="000C1D56">
      <w:pPr>
        <w:pStyle w:val="CGC2025ParaNumbers"/>
      </w:pPr>
      <w:r w:rsidRPr="009862EB">
        <w:rPr>
          <w:szCs w:val="20"/>
        </w:rPr>
        <w:t>The general regional cost gradient and Rawlinsons capital cost gradient are used to recognise the effects of remoteness on the cost of providing social housing services.</w:t>
      </w:r>
    </w:p>
    <w:p w14:paraId="2BB345CC" w14:textId="05EA4D8B" w:rsidR="00C81C05" w:rsidRPr="009862EB" w:rsidRDefault="000A38A3" w:rsidP="00D224D2">
      <w:pPr>
        <w:pStyle w:val="CGC2025ParaNumbers"/>
      </w:pPr>
      <w:r w:rsidRPr="009862EB">
        <w:t>T</w:t>
      </w:r>
      <w:r w:rsidR="002A7726" w:rsidRPr="009862EB">
        <w:t>he Commission asked states for data on the cost of providing social housing by region to derive a housing</w:t>
      </w:r>
      <w:r w:rsidR="00984061" w:rsidRPr="009862EB">
        <w:noBreakHyphen/>
      </w:r>
      <w:r w:rsidR="002A7726" w:rsidRPr="009862EB">
        <w:t>specific regional cost gradient</w:t>
      </w:r>
      <w:r w:rsidR="008A6B0E" w:rsidRPr="009862EB">
        <w:t>. O</w:t>
      </w:r>
      <w:r w:rsidR="0034244C" w:rsidRPr="009862EB">
        <w:t xml:space="preserve">nly </w:t>
      </w:r>
      <w:r w:rsidR="008A6B0E" w:rsidRPr="009862EB">
        <w:t>2</w:t>
      </w:r>
      <w:r w:rsidR="0034244C" w:rsidRPr="009862EB">
        <w:t xml:space="preserve"> states</w:t>
      </w:r>
      <w:r w:rsidR="00306B86" w:rsidRPr="009862EB">
        <w:t xml:space="preserve"> could provid</w:t>
      </w:r>
      <w:r w:rsidR="0003175A" w:rsidRPr="009862EB">
        <w:t>e</w:t>
      </w:r>
      <w:r w:rsidR="00306B86" w:rsidRPr="009862EB">
        <w:t xml:space="preserve"> t</w:t>
      </w:r>
      <w:r w:rsidR="0003175A" w:rsidRPr="009862EB">
        <w:t>he</w:t>
      </w:r>
      <w:r w:rsidR="00306B86" w:rsidRPr="009862EB">
        <w:t xml:space="preserve"> necessary data</w:t>
      </w:r>
      <w:r w:rsidR="00C55193" w:rsidRPr="009862EB">
        <w:t xml:space="preserve"> which </w:t>
      </w:r>
      <w:r w:rsidR="00CD009F" w:rsidRPr="009862EB">
        <w:t>showed costs increasing with remoteness</w:t>
      </w:r>
      <w:r w:rsidR="00B4152B" w:rsidRPr="009862EB">
        <w:t xml:space="preserve">, </w:t>
      </w:r>
      <w:r w:rsidR="00F913BC">
        <w:t>by</w:t>
      </w:r>
      <w:r w:rsidR="006A5650" w:rsidRPr="009862EB">
        <w:t xml:space="preserve"> more than </w:t>
      </w:r>
      <w:r w:rsidR="00F913BC">
        <w:t xml:space="preserve">for </w:t>
      </w:r>
      <w:r w:rsidR="006A5650" w:rsidRPr="009862EB">
        <w:t xml:space="preserve">the general regional </w:t>
      </w:r>
      <w:r w:rsidR="00641A66">
        <w:t xml:space="preserve">cost </w:t>
      </w:r>
      <w:r w:rsidR="006A5650" w:rsidRPr="009862EB">
        <w:t>gradient</w:t>
      </w:r>
      <w:r w:rsidR="00FF0058" w:rsidRPr="009862EB">
        <w:t xml:space="preserve">. </w:t>
      </w:r>
      <w:r w:rsidR="00E61ACE">
        <w:t>D</w:t>
      </w:r>
      <w:r w:rsidR="00B50219" w:rsidRPr="009862EB">
        <w:t xml:space="preserve">ata </w:t>
      </w:r>
      <w:r w:rsidR="00145785">
        <w:t xml:space="preserve">from 2 states is not </w:t>
      </w:r>
      <w:r w:rsidR="00C81C05" w:rsidRPr="009862EB">
        <w:t xml:space="preserve">sufficiently representative </w:t>
      </w:r>
      <w:r w:rsidR="00B50219" w:rsidRPr="009862EB">
        <w:t xml:space="preserve">for </w:t>
      </w:r>
      <w:r w:rsidR="00C81C05" w:rsidRPr="009862EB">
        <w:t xml:space="preserve">a robust estimate </w:t>
      </w:r>
      <w:r w:rsidR="00145785">
        <w:t xml:space="preserve">for </w:t>
      </w:r>
      <w:r w:rsidR="00960934">
        <w:t xml:space="preserve">all states </w:t>
      </w:r>
      <w:r w:rsidR="00C81C05" w:rsidRPr="009862EB">
        <w:t>of how costs change as remoteness increases.</w:t>
      </w:r>
    </w:p>
    <w:p w14:paraId="7CEFE97C" w14:textId="1D92DAAF" w:rsidR="00360A7A" w:rsidRPr="009862EB" w:rsidRDefault="00C06063" w:rsidP="00902FCC">
      <w:pPr>
        <w:pStyle w:val="CGC2025ParaNumbers"/>
      </w:pPr>
      <w:r w:rsidRPr="009862EB">
        <w:lastRenderedPageBreak/>
        <w:t xml:space="preserve">A discount of 25% is </w:t>
      </w:r>
      <w:r w:rsidR="002619FC">
        <w:t>applied</w:t>
      </w:r>
      <w:r w:rsidR="00502CEE" w:rsidRPr="009862EB">
        <w:t xml:space="preserve"> </w:t>
      </w:r>
      <w:r w:rsidR="00E61B9D">
        <w:t xml:space="preserve">to </w:t>
      </w:r>
      <w:r w:rsidRPr="009862EB">
        <w:t xml:space="preserve">the general </w:t>
      </w:r>
      <w:r w:rsidR="00062F6A">
        <w:t xml:space="preserve">regional cost </w:t>
      </w:r>
      <w:r w:rsidRPr="009862EB">
        <w:t>gradient, in recognition that the cost components used in the general</w:t>
      </w:r>
      <w:r w:rsidR="00F400E4">
        <w:t xml:space="preserve"> regional cost</w:t>
      </w:r>
      <w:r w:rsidRPr="009862EB">
        <w:t xml:space="preserve"> gradient are only a proxy for actual service costs.</w:t>
      </w:r>
    </w:p>
    <w:p w14:paraId="53F7F9FA" w14:textId="0AE32709" w:rsidR="00A750F2" w:rsidRPr="009862EB" w:rsidRDefault="002D5AE5" w:rsidP="00A750F2">
      <w:pPr>
        <w:pStyle w:val="CGC2025ParaNumbers"/>
      </w:pPr>
      <w:r w:rsidRPr="009862EB">
        <w:t xml:space="preserve">Tailoring the application of </w:t>
      </w:r>
      <w:r w:rsidR="00F85C82" w:rsidRPr="009862EB">
        <w:t xml:space="preserve">the Rawlinson’s and general regional cost gradients to subsets of </w:t>
      </w:r>
      <w:r w:rsidR="00BC17BC" w:rsidRPr="009862EB">
        <w:t xml:space="preserve">recurrent housing expenses would </w:t>
      </w:r>
      <w:r w:rsidR="00613E6D" w:rsidRPr="009862EB">
        <w:t>only be possible if states could</w:t>
      </w:r>
      <w:r w:rsidR="00CA05CE" w:rsidRPr="009862EB">
        <w:t xml:space="preserve"> provide the Commission with the disaggregated data</w:t>
      </w:r>
      <w:r w:rsidR="00613E6D" w:rsidRPr="009862EB">
        <w:t xml:space="preserve">. </w:t>
      </w:r>
    </w:p>
    <w:p w14:paraId="0B530C7E" w14:textId="570AF8D5" w:rsidR="000A38A3" w:rsidRPr="009862EB" w:rsidRDefault="000A38A3" w:rsidP="000A38A3">
      <w:pPr>
        <w:pStyle w:val="Heading4"/>
      </w:pPr>
      <w:r w:rsidRPr="009862EB">
        <w:t xml:space="preserve">Commission </w:t>
      </w:r>
      <w:r w:rsidR="00705AE3" w:rsidRPr="009862EB">
        <w:t>decision</w:t>
      </w:r>
      <w:r w:rsidR="009A1BBE" w:rsidRPr="009862EB">
        <w:t xml:space="preserve"> </w:t>
      </w:r>
    </w:p>
    <w:p w14:paraId="0C12FA65" w14:textId="6080916A" w:rsidR="000A38A3" w:rsidRPr="009862EB" w:rsidRDefault="000A38A3" w:rsidP="000A38A3">
      <w:pPr>
        <w:pStyle w:val="CGC2025ParaNumbers"/>
      </w:pPr>
      <w:r w:rsidRPr="009862EB">
        <w:t>T</w:t>
      </w:r>
      <w:r w:rsidR="00795515" w:rsidRPr="009862EB">
        <w:t xml:space="preserve">he Commission </w:t>
      </w:r>
      <w:r w:rsidR="00BF538C" w:rsidRPr="009862EB">
        <w:t>will</w:t>
      </w:r>
      <w:r w:rsidR="00795515" w:rsidRPr="009862EB">
        <w:t xml:space="preserve"> retain the</w:t>
      </w:r>
      <w:r w:rsidR="006F4B10" w:rsidRPr="009862EB">
        <w:t xml:space="preserve"> general regional cost gradient</w:t>
      </w:r>
      <w:r w:rsidR="00981C23" w:rsidRPr="009862EB">
        <w:t>, in combination with</w:t>
      </w:r>
      <w:r w:rsidR="00D8154C" w:rsidRPr="009862EB">
        <w:t xml:space="preserve"> the</w:t>
      </w:r>
      <w:r w:rsidR="00981C23" w:rsidRPr="009862EB">
        <w:t xml:space="preserve"> </w:t>
      </w:r>
      <w:r w:rsidR="00CD5BF6" w:rsidRPr="009862EB">
        <w:rPr>
          <w:szCs w:val="20"/>
        </w:rPr>
        <w:t>Rawlinsons capital cost gradient</w:t>
      </w:r>
      <w:r w:rsidR="00EE6680" w:rsidRPr="009862EB">
        <w:rPr>
          <w:szCs w:val="20"/>
        </w:rPr>
        <w:t>,</w:t>
      </w:r>
      <w:r w:rsidR="007722EC" w:rsidRPr="009862EB">
        <w:rPr>
          <w:szCs w:val="20"/>
        </w:rPr>
        <w:t xml:space="preserve"> </w:t>
      </w:r>
      <w:r w:rsidR="008A3370" w:rsidRPr="009862EB">
        <w:rPr>
          <w:szCs w:val="20"/>
        </w:rPr>
        <w:t xml:space="preserve">to </w:t>
      </w:r>
      <w:r w:rsidR="00F91D16" w:rsidRPr="009862EB">
        <w:rPr>
          <w:szCs w:val="20"/>
        </w:rPr>
        <w:t>recognise the effects of remoteness on the cost of providing social housing services</w:t>
      </w:r>
      <w:r w:rsidR="007722EC" w:rsidRPr="009862EB">
        <w:rPr>
          <w:szCs w:val="20"/>
        </w:rPr>
        <w:t>.</w:t>
      </w:r>
      <w:r w:rsidR="00D12C65">
        <w:rPr>
          <w:szCs w:val="20"/>
        </w:rPr>
        <w:t xml:space="preserve"> A discount of 25% will continue to be applied</w:t>
      </w:r>
      <w:r w:rsidR="008D7C54">
        <w:rPr>
          <w:szCs w:val="20"/>
        </w:rPr>
        <w:t xml:space="preserve"> </w:t>
      </w:r>
      <w:r w:rsidR="007946B2">
        <w:t xml:space="preserve">to </w:t>
      </w:r>
      <w:r w:rsidR="007946B2" w:rsidRPr="009862EB">
        <w:t>the general</w:t>
      </w:r>
      <w:r w:rsidR="001D40CC">
        <w:t xml:space="preserve"> regional cost</w:t>
      </w:r>
      <w:r w:rsidR="007946B2" w:rsidRPr="009862EB">
        <w:t xml:space="preserve"> gradient</w:t>
      </w:r>
      <w:r w:rsidR="007946B2">
        <w:t>.</w:t>
      </w:r>
    </w:p>
    <w:p w14:paraId="0B601527" w14:textId="2F9A54F1" w:rsidR="00E63A28" w:rsidRPr="009862EB" w:rsidRDefault="00E63A28" w:rsidP="00E63A28">
      <w:pPr>
        <w:pStyle w:val="Heading3"/>
      </w:pPr>
      <w:r w:rsidRPr="009862EB">
        <w:t>First Nations cost weight</w:t>
      </w:r>
      <w:r w:rsidR="00B735E1" w:rsidRPr="009862EB">
        <w:t>s – recurrent and capital assessments</w:t>
      </w:r>
    </w:p>
    <w:p w14:paraId="071E51BD" w14:textId="124280F7" w:rsidR="0036075B" w:rsidRPr="009862EB" w:rsidRDefault="0036075B" w:rsidP="00E63A28">
      <w:pPr>
        <w:pStyle w:val="CGC2025ParaNumbers"/>
      </w:pPr>
      <w:r w:rsidRPr="009862EB">
        <w:t xml:space="preserve">The Commission considered </w:t>
      </w:r>
      <w:r w:rsidR="00ED72E3">
        <w:t xml:space="preserve">state </w:t>
      </w:r>
      <w:r w:rsidRPr="009862EB">
        <w:t xml:space="preserve">concerns </w:t>
      </w:r>
      <w:r w:rsidR="007C7375">
        <w:t>with</w:t>
      </w:r>
      <w:r w:rsidRPr="009862EB">
        <w:t xml:space="preserve"> the </w:t>
      </w:r>
      <w:r w:rsidR="00DD6AC1" w:rsidRPr="009862EB">
        <w:t>First Nations cost weight</w:t>
      </w:r>
      <w:r w:rsidR="00ED36F2" w:rsidRPr="009862EB">
        <w:t>s</w:t>
      </w:r>
      <w:r w:rsidR="00DD6AC1" w:rsidRPr="009862EB">
        <w:t>.</w:t>
      </w:r>
      <w:r w:rsidR="00F31F14">
        <w:t xml:space="preserve"> </w:t>
      </w:r>
      <w:r w:rsidR="00365CF4">
        <w:t>The Commission</w:t>
      </w:r>
      <w:r w:rsidR="00F31F14">
        <w:t xml:space="preserve"> proposed </w:t>
      </w:r>
      <w:r w:rsidR="00365CF4">
        <w:t>retaining</w:t>
      </w:r>
      <w:r w:rsidR="00F31F14">
        <w:t xml:space="preserve"> the 2020 Review </w:t>
      </w:r>
      <w:r w:rsidR="00066BE5">
        <w:t xml:space="preserve">First Nations </w:t>
      </w:r>
      <w:r w:rsidR="00F31F14">
        <w:t>cost weights</w:t>
      </w:r>
      <w:r w:rsidR="00066BE5">
        <w:t xml:space="preserve"> </w:t>
      </w:r>
      <w:r w:rsidR="00066BE5" w:rsidRPr="009862EB">
        <w:t>used in the recurrent and capital assessments</w:t>
      </w:r>
      <w:r w:rsidR="00F31F14">
        <w:t>.</w:t>
      </w:r>
    </w:p>
    <w:p w14:paraId="66B28FBD" w14:textId="10232F39" w:rsidR="00DD6AC1" w:rsidRPr="009862EB" w:rsidRDefault="00662E5E" w:rsidP="00662E5E">
      <w:pPr>
        <w:pStyle w:val="Heading4"/>
      </w:pPr>
      <w:r w:rsidRPr="009862EB">
        <w:t>State views</w:t>
      </w:r>
    </w:p>
    <w:p w14:paraId="3D276893" w14:textId="6D8AA3A9" w:rsidR="00E63A28" w:rsidRPr="009862EB" w:rsidRDefault="00360026" w:rsidP="001B11A3">
      <w:pPr>
        <w:pStyle w:val="CGC2025ParaNumbers"/>
      </w:pPr>
      <w:r w:rsidRPr="009862EB">
        <w:t>Victoria</w:t>
      </w:r>
      <w:r w:rsidR="00E63A28" w:rsidRPr="009862EB">
        <w:t xml:space="preserve"> said the First Nations cost weight overstate</w:t>
      </w:r>
      <w:r w:rsidR="007D12A6" w:rsidRPr="009862EB">
        <w:t>d</w:t>
      </w:r>
      <w:r w:rsidR="00E63A28" w:rsidRPr="009862EB">
        <w:t xml:space="preserve"> the additional costs of providing social housing services to First Nations people, while </w:t>
      </w:r>
      <w:r w:rsidR="001C58F6" w:rsidRPr="009862EB">
        <w:t>Western Australia</w:t>
      </w:r>
      <w:r w:rsidR="00E63A28" w:rsidRPr="009862EB">
        <w:t xml:space="preserve"> said it understate</w:t>
      </w:r>
      <w:r w:rsidR="00E93C5E" w:rsidRPr="009862EB">
        <w:t>d</w:t>
      </w:r>
      <w:r w:rsidR="00E63A28" w:rsidRPr="009862EB">
        <w:t xml:space="preserve"> the costs. </w:t>
      </w:r>
    </w:p>
    <w:p w14:paraId="79CBE45C" w14:textId="1271E846" w:rsidR="009E19CF" w:rsidRPr="009862EB" w:rsidRDefault="009E19CF" w:rsidP="001B11A3">
      <w:pPr>
        <w:pStyle w:val="CGC2025ParaNumbers"/>
      </w:pPr>
      <w:r w:rsidRPr="009862EB">
        <w:t>Vic</w:t>
      </w:r>
      <w:r w:rsidR="0027476C" w:rsidRPr="009862EB">
        <w:t xml:space="preserve">toria said that the First Nations cost weight </w:t>
      </w:r>
      <w:r w:rsidR="0053709D" w:rsidRPr="009862EB">
        <w:t>reflected</w:t>
      </w:r>
      <w:r w:rsidR="00773CB6" w:rsidRPr="009862EB">
        <w:t xml:space="preserve"> in part </w:t>
      </w:r>
      <w:r w:rsidR="0053709D" w:rsidRPr="009862EB">
        <w:t>remoteness costs</w:t>
      </w:r>
      <w:r w:rsidR="00773CB6" w:rsidRPr="009862EB">
        <w:t xml:space="preserve"> associated with the provision of social housing services.</w:t>
      </w:r>
    </w:p>
    <w:p w14:paraId="2BE3B130" w14:textId="247D558F" w:rsidR="00E63A28" w:rsidRPr="009862EB" w:rsidRDefault="00E63A28" w:rsidP="001C58F6">
      <w:pPr>
        <w:pStyle w:val="CGC2025ParaNumbers"/>
      </w:pPr>
      <w:r w:rsidRPr="009862EB">
        <w:t xml:space="preserve">The Northern Territory said that the First Nations </w:t>
      </w:r>
      <w:r w:rsidR="00F01696" w:rsidRPr="009862EB">
        <w:t>cost</w:t>
      </w:r>
      <w:r w:rsidRPr="009862EB">
        <w:t xml:space="preserve"> </w:t>
      </w:r>
      <w:r w:rsidR="00F47A6B" w:rsidRPr="009862EB">
        <w:t xml:space="preserve">weight </w:t>
      </w:r>
      <w:r w:rsidRPr="009862EB">
        <w:t xml:space="preserve">in the housing investment assessment should be allowed to vary between jurisdictions and should be applied to all </w:t>
      </w:r>
      <w:r w:rsidR="00900AF3">
        <w:t xml:space="preserve">social housing </w:t>
      </w:r>
      <w:r w:rsidRPr="009862EB">
        <w:t xml:space="preserve">dwellings </w:t>
      </w:r>
      <w:r w:rsidR="00900AF3">
        <w:t xml:space="preserve">with </w:t>
      </w:r>
      <w:r w:rsidR="00900AF3" w:rsidRPr="009862EB">
        <w:t xml:space="preserve">First Nations </w:t>
      </w:r>
      <w:r w:rsidR="00900AF3">
        <w:t xml:space="preserve">people </w:t>
      </w:r>
      <w:r w:rsidRPr="009862EB">
        <w:t>in First Nations communities, homelands and town camps.</w:t>
      </w:r>
    </w:p>
    <w:p w14:paraId="6E7708ED" w14:textId="3394B380" w:rsidR="003D3DDC" w:rsidRPr="00F120D9" w:rsidRDefault="00BF50F8" w:rsidP="00BF50F8">
      <w:pPr>
        <w:pStyle w:val="Heading4"/>
      </w:pPr>
      <w:r>
        <w:t>Commission response</w:t>
      </w:r>
    </w:p>
    <w:p w14:paraId="629A1FDD" w14:textId="14938D36" w:rsidR="00780A96" w:rsidRPr="00731884" w:rsidRDefault="00780A96" w:rsidP="00780A96">
      <w:pPr>
        <w:pStyle w:val="CGC2025ParaNumbers"/>
      </w:pPr>
      <w:r w:rsidRPr="004735D1">
        <w:t xml:space="preserve">The provision of </w:t>
      </w:r>
      <w:r>
        <w:t xml:space="preserve">recurrent </w:t>
      </w:r>
      <w:r w:rsidRPr="004735D1">
        <w:t>social housing services to First Nations people has higher costs per household than for non-Indigenous households</w:t>
      </w:r>
      <w:r w:rsidR="00152DEB">
        <w:t>, possibly</w:t>
      </w:r>
      <w:r>
        <w:t xml:space="preserve"> due to </w:t>
      </w:r>
      <w:r w:rsidR="00440A86">
        <w:t xml:space="preserve">higher rates of </w:t>
      </w:r>
      <w:r>
        <w:t xml:space="preserve">overcrowding and the higher mobility of tenants. The assessment takes account of this </w:t>
      </w:r>
      <w:r w:rsidR="0082665D">
        <w:t xml:space="preserve">at the national level </w:t>
      </w:r>
      <w:r>
        <w:t xml:space="preserve">through a First </w:t>
      </w:r>
      <w:r w:rsidRPr="00731884">
        <w:t>Nations cost weight that is applied to First Nations people in all types of social housing.</w:t>
      </w:r>
    </w:p>
    <w:p w14:paraId="61891291" w14:textId="4D431F4E" w:rsidR="00780A96" w:rsidRPr="0030747B" w:rsidRDefault="00780A96" w:rsidP="0030747B">
      <w:pPr>
        <w:pStyle w:val="CGC2025ParaNumbers"/>
      </w:pPr>
      <w:r>
        <w:t>First Nations</w:t>
      </w:r>
      <w:r>
        <w:noBreakHyphen/>
        <w:t xml:space="preserve">specific social housing is often larger and </w:t>
      </w:r>
      <w:r w:rsidR="00585059">
        <w:t>more costly to fit out</w:t>
      </w:r>
      <w:r>
        <w:t xml:space="preserve"> than mainstream housing. </w:t>
      </w:r>
      <w:r w:rsidR="00537A65">
        <w:t xml:space="preserve">To account for </w:t>
      </w:r>
      <w:r w:rsidR="006A7A46">
        <w:t>the higher capital costs</w:t>
      </w:r>
      <w:r w:rsidR="00FA3429">
        <w:t xml:space="preserve">, </w:t>
      </w:r>
      <w:r w:rsidR="00B41FC7">
        <w:t>a</w:t>
      </w:r>
      <w:r w:rsidR="00FA3429">
        <w:t xml:space="preserve"> First Nations cost weight </w:t>
      </w:r>
      <w:r w:rsidR="00907881">
        <w:t xml:space="preserve">is also applied </w:t>
      </w:r>
      <w:r w:rsidR="00D20136">
        <w:t xml:space="preserve">in the </w:t>
      </w:r>
      <w:r w:rsidR="00930F8E">
        <w:t xml:space="preserve">social </w:t>
      </w:r>
      <w:r w:rsidR="0021275B">
        <w:t xml:space="preserve">housing </w:t>
      </w:r>
      <w:r w:rsidR="00D20136">
        <w:t>investment assessment</w:t>
      </w:r>
      <w:r w:rsidR="00737D4D">
        <w:t>.</w:t>
      </w:r>
      <w:r w:rsidR="0021275B">
        <w:t xml:space="preserve"> </w:t>
      </w:r>
      <w:r w:rsidR="00B971EB">
        <w:t>The</w:t>
      </w:r>
      <w:r w:rsidR="00680276">
        <w:t xml:space="preserve"> </w:t>
      </w:r>
      <w:r>
        <w:t>cost weight is used to scale</w:t>
      </w:r>
      <w:r w:rsidR="00CE0E92">
        <w:t xml:space="preserve"> </w:t>
      </w:r>
      <w:r>
        <w:t>up the number of people living in First Nations-specific social housing. A national average for the share of First Nations people living in First Nations-specific social housing is used in the calculation.</w:t>
      </w:r>
    </w:p>
    <w:p w14:paraId="2777AB42" w14:textId="6B6E02AE" w:rsidR="00706B80" w:rsidRPr="009862EB" w:rsidRDefault="00666805" w:rsidP="00B05EFC">
      <w:pPr>
        <w:pStyle w:val="CGC2025ParaNumbers"/>
      </w:pPr>
      <w:r w:rsidRPr="009862EB">
        <w:lastRenderedPageBreak/>
        <w:t>T</w:t>
      </w:r>
      <w:r w:rsidR="00E63A28" w:rsidRPr="009862EB">
        <w:t xml:space="preserve">he Commission used separate data sources to </w:t>
      </w:r>
      <w:r w:rsidRPr="009862EB">
        <w:t>re</w:t>
      </w:r>
      <w:r w:rsidRPr="009862EB">
        <w:noBreakHyphen/>
      </w:r>
      <w:r w:rsidR="00E63A28" w:rsidRPr="009862EB">
        <w:t xml:space="preserve">estimate a First Nations cost weight. One approach used data provided to the Commission by states. The other approach used data published in the </w:t>
      </w:r>
      <w:r w:rsidR="009F200E">
        <w:t xml:space="preserve">Productivity Commission’s </w:t>
      </w:r>
      <w:r w:rsidR="00E63A28" w:rsidRPr="009215FF">
        <w:rPr>
          <w:i/>
          <w:iCs/>
        </w:rPr>
        <w:t>Report on Government Services</w:t>
      </w:r>
      <w:r w:rsidR="00E63A28" w:rsidRPr="009862EB">
        <w:t xml:space="preserve">. Both approaches produced a similar result, which was also </w:t>
      </w:r>
      <w:proofErr w:type="gramStart"/>
      <w:r w:rsidR="00E63A28" w:rsidRPr="009862EB">
        <w:t>similar to</w:t>
      </w:r>
      <w:proofErr w:type="gramEnd"/>
      <w:r w:rsidR="00E63A28" w:rsidRPr="009862EB">
        <w:t xml:space="preserve"> the First Nations cost weight estimated for the 2020 Review. </w:t>
      </w:r>
    </w:p>
    <w:p w14:paraId="6E712D3E" w14:textId="3FFBAA2E" w:rsidR="00801AE9" w:rsidRDefault="00B05EFC" w:rsidP="00B05EFC">
      <w:pPr>
        <w:pStyle w:val="CGC2025ParaNumbers"/>
      </w:pPr>
      <w:r w:rsidRPr="009862EB">
        <w:t>Both approaches</w:t>
      </w:r>
      <w:r w:rsidR="00001453" w:rsidRPr="009862EB">
        <w:t xml:space="preserve"> </w:t>
      </w:r>
      <w:r w:rsidR="00C54582" w:rsidRPr="009862EB">
        <w:t xml:space="preserve">compare </w:t>
      </w:r>
      <w:r w:rsidR="007F17FF" w:rsidRPr="009862EB">
        <w:t xml:space="preserve">the </w:t>
      </w:r>
      <w:r w:rsidR="00771583" w:rsidRPr="009862EB">
        <w:t xml:space="preserve">average per capita costs </w:t>
      </w:r>
      <w:r w:rsidR="00C54582" w:rsidRPr="009862EB">
        <w:t>of mainstream and First Nation</w:t>
      </w:r>
      <w:r w:rsidR="00706B80" w:rsidRPr="009862EB">
        <w:t>s</w:t>
      </w:r>
      <w:r w:rsidR="00706B80" w:rsidRPr="009862EB">
        <w:noBreakHyphen/>
        <w:t>specific</w:t>
      </w:r>
      <w:r w:rsidR="00C54582" w:rsidRPr="009862EB">
        <w:t xml:space="preserve"> social housing</w:t>
      </w:r>
      <w:r w:rsidR="00F97FBF" w:rsidRPr="009862EB">
        <w:t xml:space="preserve">. The additional costs associated with delivering services in remote areas </w:t>
      </w:r>
      <w:r w:rsidR="00FF0E21" w:rsidRPr="009862EB">
        <w:t>are</w:t>
      </w:r>
      <w:r w:rsidR="00293C60" w:rsidRPr="009862EB">
        <w:t xml:space="preserve"> included in the numerator and the denominator</w:t>
      </w:r>
      <w:r w:rsidR="0042434B" w:rsidRPr="009862EB">
        <w:t>. The</w:t>
      </w:r>
      <w:r w:rsidR="00180FDD" w:rsidRPr="009862EB">
        <w:t xml:space="preserve"> difference in per capita costs </w:t>
      </w:r>
      <w:r w:rsidR="0042434B" w:rsidRPr="009862EB">
        <w:t xml:space="preserve">can therefore be attributed to </w:t>
      </w:r>
      <w:r w:rsidR="003A3296" w:rsidRPr="009862EB">
        <w:t xml:space="preserve">the additional costs associated with the provision of services </w:t>
      </w:r>
      <w:r w:rsidR="008D0A24" w:rsidRPr="009862EB">
        <w:t>for</w:t>
      </w:r>
      <w:r w:rsidR="003A3296" w:rsidRPr="009862EB">
        <w:t xml:space="preserve"> First Nations-specific </w:t>
      </w:r>
      <w:r w:rsidR="008D0A24" w:rsidRPr="009862EB">
        <w:t>social housing.</w:t>
      </w:r>
    </w:p>
    <w:p w14:paraId="16F0730C" w14:textId="5EACBCF7" w:rsidR="00C60491" w:rsidRPr="009862EB" w:rsidRDefault="00C60491" w:rsidP="00C60491">
      <w:pPr>
        <w:pStyle w:val="CGC2025ParaNumbers"/>
      </w:pPr>
      <w:r>
        <w:t xml:space="preserve">The Commission explored the use of national average shares of First Nations people living in First Nations-specific social housing, disaggregated by remoteness area. However, the Productivity Commission’s </w:t>
      </w:r>
      <w:r w:rsidRPr="00EC42A2">
        <w:rPr>
          <w:i/>
          <w:iCs/>
        </w:rPr>
        <w:t>Report on Government Services</w:t>
      </w:r>
      <w:r>
        <w:t xml:space="preserve"> data do not allow the data to be disaggregated in this way.</w:t>
      </w:r>
    </w:p>
    <w:p w14:paraId="3BE39E55" w14:textId="4240647D" w:rsidR="00E63A28" w:rsidRDefault="00E63A28" w:rsidP="008B49A3">
      <w:pPr>
        <w:pStyle w:val="CGC2025ParaNumbers"/>
      </w:pPr>
      <w:r w:rsidRPr="009862EB">
        <w:t xml:space="preserve">The changes proposed by the Northern Territory </w:t>
      </w:r>
      <w:r w:rsidR="004C2564" w:rsidRPr="009862EB">
        <w:t>could</w:t>
      </w:r>
      <w:r w:rsidRPr="009862EB">
        <w:t xml:space="preserve"> create an incentive for states</w:t>
      </w:r>
      <w:r>
        <w:t xml:space="preserve"> to rebalance their mix of mainstream and First Nations</w:t>
      </w:r>
      <w:r w:rsidR="00C94465">
        <w:noBreakHyphen/>
      </w:r>
      <w:r>
        <w:t>specific social housing.</w:t>
      </w:r>
      <w:r w:rsidR="008B49A3">
        <w:t xml:space="preserve"> In addition, t</w:t>
      </w:r>
      <w:r>
        <w:t xml:space="preserve">he First Nations cost weight is calculated based on differences in costs associated with mainstream and First Nations-specific housing. It would not be appropriate to apply this factor </w:t>
      </w:r>
      <w:r w:rsidR="00B4266B">
        <w:t>for</w:t>
      </w:r>
      <w:r>
        <w:t xml:space="preserve"> First Nations people living in mainstream housing. </w:t>
      </w:r>
    </w:p>
    <w:p w14:paraId="57156773" w14:textId="17A106E0" w:rsidR="00E63A28" w:rsidRDefault="008B49A3" w:rsidP="0097141D">
      <w:pPr>
        <w:pStyle w:val="Heading4"/>
      </w:pPr>
      <w:r>
        <w:t>Commission decision</w:t>
      </w:r>
    </w:p>
    <w:p w14:paraId="73B386D7" w14:textId="2F5BB7EC" w:rsidR="00FE4F91" w:rsidRDefault="00FE4F91" w:rsidP="0097141D">
      <w:pPr>
        <w:pStyle w:val="CGC2025ParaNumbers"/>
      </w:pPr>
      <w:r>
        <w:t xml:space="preserve">The Commission </w:t>
      </w:r>
      <w:r w:rsidR="00BF538C">
        <w:t>will</w:t>
      </w:r>
      <w:r>
        <w:t xml:space="preserve"> </w:t>
      </w:r>
      <w:r w:rsidR="00E63A28">
        <w:t>retain a First Nations cost weight of 1.2</w:t>
      </w:r>
      <w:r w:rsidR="00300998">
        <w:t xml:space="preserve"> in the social housing recurrent and investment assessments</w:t>
      </w:r>
      <w:r>
        <w:t>.</w:t>
      </w:r>
    </w:p>
    <w:p w14:paraId="6B2E9AFD" w14:textId="4E94FC93" w:rsidR="00E63A28" w:rsidRPr="005250AF" w:rsidRDefault="00FE4F91" w:rsidP="0097141D">
      <w:pPr>
        <w:pStyle w:val="CGC2025ParaNumbers"/>
      </w:pPr>
      <w:r>
        <w:t xml:space="preserve">The Commission </w:t>
      </w:r>
      <w:r w:rsidR="00222A79">
        <w:t>will</w:t>
      </w:r>
      <w:r>
        <w:t xml:space="preserve"> </w:t>
      </w:r>
      <w:r w:rsidR="00B94C59">
        <w:t xml:space="preserve">continue to </w:t>
      </w:r>
      <w:r w:rsidR="00E63A28">
        <w:t xml:space="preserve">use the national average </w:t>
      </w:r>
      <w:r w:rsidR="00DA15A2">
        <w:t>propo</w:t>
      </w:r>
      <w:r w:rsidR="006C2C61">
        <w:t>rtions</w:t>
      </w:r>
      <w:r w:rsidR="00DA15A2">
        <w:t xml:space="preserve"> </w:t>
      </w:r>
      <w:r w:rsidR="00E63A28">
        <w:t>of First Nations people living in First Nations-specific housing for the calculation of the capital stock factor for the investment assessment.</w:t>
      </w:r>
      <w:r w:rsidR="00B94C59">
        <w:t xml:space="preserve"> </w:t>
      </w:r>
      <w:r w:rsidR="00F23F9E">
        <w:t>The Commission</w:t>
      </w:r>
      <w:r w:rsidR="00AB044A">
        <w:t xml:space="preserve"> also decided to continue </w:t>
      </w:r>
      <w:r w:rsidR="00F326E8">
        <w:t xml:space="preserve">to apply this factor </w:t>
      </w:r>
      <w:r w:rsidR="00AB044A">
        <w:t xml:space="preserve">only </w:t>
      </w:r>
      <w:r w:rsidR="00F326E8">
        <w:t xml:space="preserve">to First Nations people living in </w:t>
      </w:r>
      <w:r w:rsidR="00077D9A">
        <w:t>First</w:t>
      </w:r>
      <w:r w:rsidR="00671488">
        <w:t xml:space="preserve"> </w:t>
      </w:r>
      <w:r w:rsidR="00077D9A">
        <w:t>Nations</w:t>
      </w:r>
      <w:r w:rsidR="00671488">
        <w:t>-</w:t>
      </w:r>
      <w:r w:rsidR="00077D9A">
        <w:t>specific</w:t>
      </w:r>
      <w:r w:rsidR="00F326E8">
        <w:t xml:space="preserve"> housing</w:t>
      </w:r>
      <w:r w:rsidR="00AB044A">
        <w:t>.</w:t>
      </w:r>
    </w:p>
    <w:p w14:paraId="5C5EE92D" w14:textId="16CA5067" w:rsidR="0061777D" w:rsidRDefault="0061777D" w:rsidP="0061777D">
      <w:pPr>
        <w:pStyle w:val="Heading3"/>
        <w:keepNext/>
      </w:pPr>
      <w:r>
        <w:t xml:space="preserve">Data </w:t>
      </w:r>
      <w:r w:rsidR="00C34D5B">
        <w:t>issues</w:t>
      </w:r>
    </w:p>
    <w:p w14:paraId="40245397" w14:textId="49FA649B" w:rsidR="0061777D" w:rsidRDefault="00927DA0" w:rsidP="006C7C2C">
      <w:pPr>
        <w:pStyle w:val="CGC2025ParaNumbers"/>
      </w:pPr>
      <w:r>
        <w:t xml:space="preserve">The Commission considered concerns raised by </w:t>
      </w:r>
      <w:r w:rsidR="00E52ECB">
        <w:t>s</w:t>
      </w:r>
      <w:r w:rsidR="0061777D" w:rsidRPr="002539A7">
        <w:t xml:space="preserve">tates </w:t>
      </w:r>
      <w:r w:rsidR="00E52ECB">
        <w:t>with</w:t>
      </w:r>
      <w:r w:rsidR="0061777D" w:rsidRPr="002539A7">
        <w:t xml:space="preserve"> expense and activity data.</w:t>
      </w:r>
      <w:r w:rsidR="006C7C2C">
        <w:t xml:space="preserve"> </w:t>
      </w:r>
      <w:r w:rsidR="00984C07">
        <w:t>T</w:t>
      </w:r>
      <w:r w:rsidR="006C7C2C">
        <w:t xml:space="preserve">he Commission proposed to </w:t>
      </w:r>
      <w:r w:rsidR="006C7C2C" w:rsidRPr="006C7C2C">
        <w:t>rebalance the social housing/non</w:t>
      </w:r>
      <w:r w:rsidR="00C0687C">
        <w:noBreakHyphen/>
      </w:r>
      <w:r w:rsidR="006C7C2C" w:rsidRPr="006C7C2C">
        <w:t>social housing split using Australian Institute of Health and Welfare data on social housing households</w:t>
      </w:r>
      <w:r w:rsidR="00C0687C">
        <w:t>.</w:t>
      </w:r>
    </w:p>
    <w:p w14:paraId="4CA7A571" w14:textId="77777777" w:rsidR="0061777D" w:rsidRPr="00503498" w:rsidRDefault="0061777D" w:rsidP="0061777D">
      <w:pPr>
        <w:pStyle w:val="Heading4"/>
      </w:pPr>
      <w:r w:rsidRPr="00503498">
        <w:t>State views</w:t>
      </w:r>
    </w:p>
    <w:p w14:paraId="5682B4DE" w14:textId="22AC4F05" w:rsidR="0061777D" w:rsidRPr="00503498" w:rsidRDefault="0061777D" w:rsidP="0061777D">
      <w:pPr>
        <w:pStyle w:val="CGC2025ParaNumbers"/>
      </w:pPr>
      <w:r w:rsidRPr="00503498">
        <w:t xml:space="preserve">Western Australia said the Commission should scale the census households count with Australian Institute of Health and Welfare data, which are considered more reliable and accurate. </w:t>
      </w:r>
      <w:r w:rsidR="00B15E5E" w:rsidRPr="00503498">
        <w:t xml:space="preserve">Queensland </w:t>
      </w:r>
      <w:r w:rsidR="001D21D5" w:rsidRPr="00503498">
        <w:t xml:space="preserve">did not support this adjustment </w:t>
      </w:r>
      <w:r w:rsidR="001F52DC" w:rsidRPr="00503498">
        <w:t xml:space="preserve">due to large differences between the </w:t>
      </w:r>
      <w:r w:rsidR="004A1698" w:rsidRPr="00503498">
        <w:t xml:space="preserve">2 datasets </w:t>
      </w:r>
      <w:r w:rsidR="001F52DC" w:rsidRPr="00503498">
        <w:t>in the count of social households in remote</w:t>
      </w:r>
      <w:r w:rsidR="004A1698" w:rsidRPr="00503498">
        <w:t xml:space="preserve"> </w:t>
      </w:r>
      <w:r w:rsidR="001F52DC" w:rsidRPr="00503498">
        <w:t>and very remote areas</w:t>
      </w:r>
      <w:r w:rsidR="004A1698" w:rsidRPr="00503498">
        <w:t>.</w:t>
      </w:r>
    </w:p>
    <w:p w14:paraId="6F619A2A" w14:textId="77777777" w:rsidR="0061777D" w:rsidRPr="00503498" w:rsidRDefault="0061777D" w:rsidP="0061777D">
      <w:pPr>
        <w:pStyle w:val="CGC2025ParaNumbers"/>
      </w:pPr>
      <w:r w:rsidRPr="00503498">
        <w:lastRenderedPageBreak/>
        <w:t xml:space="preserve">Victoria said the Commission’s method of imputing ‘not stated’ households in the census data was inappropriate and may introduce bias in the statistics. </w:t>
      </w:r>
    </w:p>
    <w:p w14:paraId="0E641E38" w14:textId="04AF6DD6" w:rsidR="0061777D" w:rsidRPr="00503498" w:rsidRDefault="0061777D" w:rsidP="0061777D">
      <w:pPr>
        <w:pStyle w:val="CGC2025ParaNumbers"/>
      </w:pPr>
      <w:r w:rsidRPr="00503498">
        <w:t xml:space="preserve">Some states said the social housing expenses and revenue data </w:t>
      </w:r>
      <w:r w:rsidR="001F0B80" w:rsidRPr="00503498">
        <w:t>were</w:t>
      </w:r>
      <w:r w:rsidRPr="00503498">
        <w:t xml:space="preserve"> not reported consistently.</w:t>
      </w:r>
    </w:p>
    <w:p w14:paraId="31E7FF9E" w14:textId="77777777" w:rsidR="0061777D" w:rsidRPr="008675B1" w:rsidRDefault="0061777D" w:rsidP="0061777D">
      <w:pPr>
        <w:pStyle w:val="Heading4"/>
      </w:pPr>
      <w:r>
        <w:t>Commission response</w:t>
      </w:r>
    </w:p>
    <w:p w14:paraId="2C462FDC" w14:textId="167C28B4" w:rsidR="0061777D" w:rsidRDefault="0061777D" w:rsidP="0061777D">
      <w:pPr>
        <w:pStyle w:val="CGC2025ParaNumbers"/>
      </w:pPr>
      <w:r>
        <w:t>There are reliability issues with both ABS census and Australian Institute of Health and Welfare data on households in social housing. To address concerns with the accuracy with which tenants categorise their landlord type in the census, the Commission rebalance</w:t>
      </w:r>
      <w:r w:rsidR="00D65842">
        <w:t>d</w:t>
      </w:r>
      <w:r>
        <w:t xml:space="preserve"> the social housing/non-social housing split using the Australian Institute of Health and Welfare data on social housing households. This </w:t>
      </w:r>
      <w:r w:rsidR="00D65842">
        <w:t>did</w:t>
      </w:r>
      <w:r>
        <w:t xml:space="preserve"> not affect the assessment of recurrent spending on social housing because shares of the socio–demographic groups in social housing </w:t>
      </w:r>
      <w:r w:rsidR="00D65842">
        <w:t>we</w:t>
      </w:r>
      <w:r>
        <w:t>re being adjusted by the same proportion. However, it affect</w:t>
      </w:r>
      <w:r w:rsidR="00D65842">
        <w:t>ed</w:t>
      </w:r>
      <w:r>
        <w:t xml:space="preserve"> the assessment of investment in social housing via a change to the capital stock factor. </w:t>
      </w:r>
    </w:p>
    <w:p w14:paraId="1BA6CE23" w14:textId="601CC08B" w:rsidR="0061777D" w:rsidRDefault="0061777D" w:rsidP="0061777D">
      <w:pPr>
        <w:pStyle w:val="CGC2025ParaNumbers"/>
      </w:pPr>
      <w:r>
        <w:t>The housing assessment measures the social housing use rates of socio</w:t>
      </w:r>
      <w:r w:rsidR="0090055C">
        <w:noBreakHyphen/>
      </w:r>
      <w:r>
        <w:t>demographic groups</w:t>
      </w:r>
      <w:r w:rsidR="00FE2A24">
        <w:t>. T</w:t>
      </w:r>
      <w:r>
        <w:t xml:space="preserve">o do this, the national total of </w:t>
      </w:r>
      <w:r w:rsidR="0052441D">
        <w:t>households</w:t>
      </w:r>
      <w:r>
        <w:t xml:space="preserve"> in each socio</w:t>
      </w:r>
      <w:r w:rsidR="0090055C">
        <w:noBreakHyphen/>
      </w:r>
      <w:r>
        <w:t xml:space="preserve">demographic group </w:t>
      </w:r>
      <w:r w:rsidR="00DF2BB4">
        <w:t>are</w:t>
      </w:r>
      <w:r>
        <w:t xml:space="preserve"> used to measure the rate at which each group use</w:t>
      </w:r>
      <w:r w:rsidR="009C5898">
        <w:t>d</w:t>
      </w:r>
      <w:r>
        <w:t xml:space="preserve"> social housing. Therefore, adjustments to include responses </w:t>
      </w:r>
      <w:bookmarkStart w:id="9" w:name="_Hlk173310292"/>
      <w:r>
        <w:t>that are ‘not stated’ or ‘not applicable’</w:t>
      </w:r>
      <w:bookmarkEnd w:id="9"/>
      <w:r>
        <w:t xml:space="preserve"> </w:t>
      </w:r>
      <w:r w:rsidR="004A21A1">
        <w:t>are</w:t>
      </w:r>
      <w:r>
        <w:t xml:space="preserve"> required to measure social housing use rates of each socio</w:t>
      </w:r>
      <w:r w:rsidR="00AE567F">
        <w:noBreakHyphen/>
      </w:r>
      <w:r>
        <w:t>demographic group.</w:t>
      </w:r>
    </w:p>
    <w:p w14:paraId="693EC591" w14:textId="5A8EDE42" w:rsidR="0061777D" w:rsidRDefault="0061777D" w:rsidP="0061777D">
      <w:pPr>
        <w:pStyle w:val="CGC2025ParaNumbers"/>
      </w:pPr>
      <w:r>
        <w:t xml:space="preserve">The Commission is aware of inconsistencies in how states report their expenses and revenues against </w:t>
      </w:r>
      <w:r w:rsidR="00D0048B">
        <w:t>classification of the functions of government</w:t>
      </w:r>
      <w:r w:rsidR="000F6679">
        <w:t>-Australia</w:t>
      </w:r>
      <w:r w:rsidR="00D0048B">
        <w:t xml:space="preserve"> </w:t>
      </w:r>
      <w:r w:rsidR="00606318">
        <w:t>(</w:t>
      </w:r>
      <w:r w:rsidR="00D0048B">
        <w:t>COFOG-A</w:t>
      </w:r>
      <w:r w:rsidR="00606318">
        <w:t>)</w:t>
      </w:r>
      <w:r w:rsidR="00D0048B">
        <w:t xml:space="preserve"> codes in </w:t>
      </w:r>
      <w:r>
        <w:t xml:space="preserve">Government Finance Statistics. Where the Commission can identify </w:t>
      </w:r>
      <w:r w:rsidR="00F95FC8">
        <w:t xml:space="preserve">material </w:t>
      </w:r>
      <w:r>
        <w:t xml:space="preserve">misreporting, it works with states to resolve the issues. </w:t>
      </w:r>
    </w:p>
    <w:p w14:paraId="282E3600" w14:textId="6D9DFE82" w:rsidR="0061777D" w:rsidRDefault="0061777D" w:rsidP="0061777D">
      <w:pPr>
        <w:pStyle w:val="CGC2025ParaNumbers"/>
      </w:pPr>
      <w:r>
        <w:t>One source of inconsistency is with the reporting of expenses on homelessness services. To support the assessment of homelessness services in the welfare</w:t>
      </w:r>
      <w:r w:rsidR="0086635E">
        <w:t xml:space="preserve"> assessment</w:t>
      </w:r>
      <w:r>
        <w:t>, states will provide data on expenses for homelessness services currently recorded against COFOG</w:t>
      </w:r>
      <w:r w:rsidR="006E47A5">
        <w:t>-A</w:t>
      </w:r>
      <w:r>
        <w:t xml:space="preserve"> codes that align with the housing category. These expenses will be </w:t>
      </w:r>
      <w:r w:rsidR="001A6EFA">
        <w:t xml:space="preserve">reclassified </w:t>
      </w:r>
      <w:r>
        <w:t>to the new homelessness component in the welfare category.</w:t>
      </w:r>
    </w:p>
    <w:p w14:paraId="0FDA6E2D" w14:textId="77777777" w:rsidR="0061777D" w:rsidRDefault="0061777D" w:rsidP="0061777D">
      <w:pPr>
        <w:pStyle w:val="Heading4"/>
      </w:pPr>
      <w:r w:rsidRPr="005250AF">
        <w:t xml:space="preserve">Commission </w:t>
      </w:r>
      <w:r>
        <w:t xml:space="preserve">decision </w:t>
      </w:r>
    </w:p>
    <w:p w14:paraId="49C17576" w14:textId="32E80905" w:rsidR="0061777D" w:rsidRDefault="0061777D" w:rsidP="0061777D">
      <w:pPr>
        <w:pStyle w:val="CGC2025ParaNumbers"/>
      </w:pPr>
      <w:r>
        <w:t xml:space="preserve">The Commission </w:t>
      </w:r>
      <w:r w:rsidR="00222A79">
        <w:t>will</w:t>
      </w:r>
      <w:r>
        <w:t>:</w:t>
      </w:r>
    </w:p>
    <w:p w14:paraId="1DC403CA" w14:textId="5158CF3E" w:rsidR="0061777D" w:rsidRDefault="0061777D" w:rsidP="0061777D">
      <w:pPr>
        <w:pStyle w:val="CGC2025Bullet1"/>
      </w:pPr>
      <w:bookmarkStart w:id="10" w:name="_Hlk178348141"/>
      <w:r>
        <w:t>rebalance the social housing/non</w:t>
      </w:r>
      <w:r>
        <w:noBreakHyphen/>
        <w:t xml:space="preserve">social housing split </w:t>
      </w:r>
      <w:r w:rsidR="00A7369B">
        <w:t>derived from</w:t>
      </w:r>
      <w:r w:rsidR="00DA504A">
        <w:t xml:space="preserve"> ABS Census data </w:t>
      </w:r>
      <w:r>
        <w:t>using Australian Institute of Health and Welfare data on social housing households</w:t>
      </w:r>
      <w:bookmarkEnd w:id="10"/>
    </w:p>
    <w:p w14:paraId="03D220A6" w14:textId="32F1F0C4" w:rsidR="0061777D" w:rsidRDefault="0061777D" w:rsidP="0061777D">
      <w:pPr>
        <w:pStyle w:val="CGC2025Bullet1"/>
      </w:pPr>
      <w:r>
        <w:t xml:space="preserve">continue to apportion census responses </w:t>
      </w:r>
      <w:r w:rsidRPr="009D7A61">
        <w:t>that are ‘not stated’ or ‘not applicable’</w:t>
      </w:r>
      <w:r>
        <w:t xml:space="preserve"> to relevant socio</w:t>
      </w:r>
      <w:r>
        <w:noBreakHyphen/>
        <w:t>demographic groups</w:t>
      </w:r>
      <w:r w:rsidR="00422553">
        <w:t>,</w:t>
      </w:r>
      <w:r>
        <w:t xml:space="preserve"> given the require</w:t>
      </w:r>
      <w:r w:rsidR="00883D75">
        <w:t xml:space="preserve">ment </w:t>
      </w:r>
      <w:r w:rsidR="00292D54">
        <w:t>to</w:t>
      </w:r>
      <w:r>
        <w:t xml:space="preserve"> </w:t>
      </w:r>
      <w:r w:rsidR="00292D54">
        <w:t xml:space="preserve">estimate </w:t>
      </w:r>
      <w:r>
        <w:t xml:space="preserve">social housing use rates </w:t>
      </w:r>
      <w:r w:rsidR="00292D54">
        <w:t>for</w:t>
      </w:r>
      <w:r>
        <w:t xml:space="preserve"> all households</w:t>
      </w:r>
    </w:p>
    <w:p w14:paraId="2F3B1FA0" w14:textId="28F607FD" w:rsidR="0061777D" w:rsidRDefault="0061777D" w:rsidP="0061777D">
      <w:pPr>
        <w:pStyle w:val="CGC2025Bullet1"/>
      </w:pPr>
      <w:r>
        <w:t xml:space="preserve">continue to work with states to improve the consistency of </w:t>
      </w:r>
      <w:r w:rsidR="005E4C56">
        <w:t xml:space="preserve">social housing </w:t>
      </w:r>
      <w:r>
        <w:t>expense and revenue reporting</w:t>
      </w:r>
      <w:r w:rsidR="00963DC3">
        <w:t xml:space="preserve"> in ABS Government </w:t>
      </w:r>
      <w:r w:rsidR="00A27E47">
        <w:t>Finance Statistics</w:t>
      </w:r>
      <w:r>
        <w:t>.</w:t>
      </w:r>
    </w:p>
    <w:p w14:paraId="33766848" w14:textId="534B3685" w:rsidR="00BC38E4" w:rsidRDefault="00130D24" w:rsidP="002539A7">
      <w:pPr>
        <w:pStyle w:val="Heading3"/>
        <w:keepNext/>
      </w:pPr>
      <w:r>
        <w:lastRenderedPageBreak/>
        <w:t>Assessment of expenses on head leasing and affordable housing</w:t>
      </w:r>
    </w:p>
    <w:p w14:paraId="062DEF07" w14:textId="67C950AE" w:rsidR="00130D24" w:rsidRDefault="00BD1B35" w:rsidP="00586A82">
      <w:pPr>
        <w:pStyle w:val="CGC2025ParaNumbers"/>
      </w:pPr>
      <w:r>
        <w:t>The Commission considered concerns raised by</w:t>
      </w:r>
      <w:r w:rsidR="00F81C9F">
        <w:t xml:space="preserve"> </w:t>
      </w:r>
      <w:r w:rsidR="002539A7">
        <w:t>states with the assessment of expenses on head leasing and affordable housing.</w:t>
      </w:r>
      <w:r w:rsidR="00BE1B32">
        <w:t xml:space="preserve"> </w:t>
      </w:r>
      <w:r w:rsidR="00E820BC">
        <w:t>The Commission</w:t>
      </w:r>
      <w:r w:rsidR="00632895">
        <w:t xml:space="preserve"> proposed no change </w:t>
      </w:r>
      <w:r w:rsidR="00435394">
        <w:t>but said it would work with states on this issue between reviews.</w:t>
      </w:r>
    </w:p>
    <w:p w14:paraId="3BFDB0F5" w14:textId="4588E3EA" w:rsidR="00122E51" w:rsidRDefault="00122E51" w:rsidP="00122E51">
      <w:pPr>
        <w:pStyle w:val="Heading4"/>
      </w:pPr>
      <w:r>
        <w:t>State views</w:t>
      </w:r>
    </w:p>
    <w:p w14:paraId="3DDCCD28" w14:textId="0068759A" w:rsidR="004458A3" w:rsidRDefault="00E25422" w:rsidP="000002C7">
      <w:pPr>
        <w:pStyle w:val="CGC2025ParaNumbers"/>
      </w:pPr>
      <w:r>
        <w:t xml:space="preserve">New South Wales said the Commission should separately take account of state expenses on social housing head leasing. </w:t>
      </w:r>
      <w:r w:rsidR="00CF7C62">
        <w:t>Private rental increases impact the costs of head leasing</w:t>
      </w:r>
      <w:r w:rsidR="00EE1CFF">
        <w:t>, with</w:t>
      </w:r>
      <w:r w:rsidR="00CF7C62">
        <w:t xml:space="preserve"> the cost of the head lease paid by the state government</w:t>
      </w:r>
      <w:r w:rsidR="00EE1CFF">
        <w:t xml:space="preserve"> </w:t>
      </w:r>
      <w:r w:rsidR="00CF7C62">
        <w:t>increas</w:t>
      </w:r>
      <w:r w:rsidR="000002C7">
        <w:t>ing</w:t>
      </w:r>
      <w:r w:rsidR="00CF7C62">
        <w:t xml:space="preserve"> in line with the private market. In contrast</w:t>
      </w:r>
      <w:r w:rsidR="000002C7">
        <w:t>,</w:t>
      </w:r>
      <w:r w:rsidR="00CF7C62">
        <w:t xml:space="preserve"> average state policy </w:t>
      </w:r>
      <w:r w:rsidR="00CD2777">
        <w:t>is</w:t>
      </w:r>
      <w:r w:rsidR="00CF7C62">
        <w:t xml:space="preserve"> to not increase social housing tenant rents at the same rate as the private market.</w:t>
      </w:r>
    </w:p>
    <w:p w14:paraId="78B372CA" w14:textId="374775CC" w:rsidR="00E5222D" w:rsidRDefault="00874545" w:rsidP="007510D7">
      <w:pPr>
        <w:pStyle w:val="CGC2025ParaNumbers"/>
      </w:pPr>
      <w:r>
        <w:t>Victoria and the ACT s</w:t>
      </w:r>
      <w:r w:rsidR="00E25422">
        <w:t>aid the Commission should explore a separate assessment of affordable housing</w:t>
      </w:r>
      <w:r w:rsidR="00062F94">
        <w:t xml:space="preserve"> given </w:t>
      </w:r>
      <w:r w:rsidR="00477BAF">
        <w:t xml:space="preserve">spending on this form of housing assistance </w:t>
      </w:r>
      <w:r w:rsidR="009F0E52">
        <w:t>wa</w:t>
      </w:r>
      <w:r w:rsidR="00477BAF">
        <w:t>s likely to increase</w:t>
      </w:r>
      <w:r w:rsidR="006041C6">
        <w:t xml:space="preserve"> to meet </w:t>
      </w:r>
      <w:r w:rsidR="00480897">
        <w:t xml:space="preserve">affordable housing </w:t>
      </w:r>
      <w:r w:rsidR="00F9516B">
        <w:t xml:space="preserve">commitments </w:t>
      </w:r>
      <w:r w:rsidR="00F6177B">
        <w:t>agreed to by state and Commonwealth governments</w:t>
      </w:r>
      <w:r w:rsidR="00E62637">
        <w:t>.</w:t>
      </w:r>
      <w:r w:rsidR="00D31546">
        <w:t xml:space="preserve"> Victoria said eligibility requirements </w:t>
      </w:r>
      <w:r w:rsidR="00305E6F">
        <w:t>a</w:t>
      </w:r>
      <w:r w:rsidR="00D31546">
        <w:t xml:space="preserve">re different </w:t>
      </w:r>
      <w:r w:rsidR="00D12892">
        <w:t>in affordable housing</w:t>
      </w:r>
      <w:r w:rsidR="00242180">
        <w:t>,</w:t>
      </w:r>
      <w:r w:rsidR="00D12892">
        <w:t xml:space="preserve"> </w:t>
      </w:r>
      <w:r w:rsidR="00D31546">
        <w:t xml:space="preserve">and </w:t>
      </w:r>
      <w:r w:rsidR="00242180">
        <w:t xml:space="preserve">that </w:t>
      </w:r>
      <w:r w:rsidR="00D31546">
        <w:t xml:space="preserve">rents </w:t>
      </w:r>
      <w:r w:rsidR="008D018E">
        <w:t>a</w:t>
      </w:r>
      <w:r w:rsidR="00D31546">
        <w:t xml:space="preserve">re tied to the market rate rather than </w:t>
      </w:r>
      <w:r w:rsidR="000865CE">
        <w:t xml:space="preserve">to </w:t>
      </w:r>
      <w:r w:rsidR="00D31546">
        <w:t>income as in social housing.</w:t>
      </w:r>
    </w:p>
    <w:p w14:paraId="31133BDC" w14:textId="77777777" w:rsidR="00122E51" w:rsidRPr="008675B1" w:rsidRDefault="00122E51" w:rsidP="00122E51">
      <w:pPr>
        <w:pStyle w:val="Heading4"/>
      </w:pPr>
      <w:r>
        <w:t>Commission response</w:t>
      </w:r>
    </w:p>
    <w:p w14:paraId="469AA035" w14:textId="77777777" w:rsidR="003358CF" w:rsidRDefault="003358CF" w:rsidP="003358CF">
      <w:pPr>
        <w:pStyle w:val="CGC2025ParaNumbers"/>
        <w:tabs>
          <w:tab w:val="clear" w:pos="567"/>
        </w:tabs>
      </w:pPr>
      <w:r>
        <w:t>Head leasing is an option used in both public and community housing, where a private rental property is leased by a provider of social housing and is then on-let to a social housing tenant.</w:t>
      </w:r>
    </w:p>
    <w:p w14:paraId="55E829DB" w14:textId="4F2D03EA" w:rsidR="003358CF" w:rsidRDefault="000F4D5A" w:rsidP="003358CF">
      <w:pPr>
        <w:pStyle w:val="CGC2025ParaNumbers"/>
      </w:pPr>
      <w:r>
        <w:t>A</w:t>
      </w:r>
      <w:r w:rsidR="003358CF">
        <w:t xml:space="preserve">ffordable housing </w:t>
      </w:r>
      <w:r w:rsidR="00692EDC">
        <w:t xml:space="preserve">measures </w:t>
      </w:r>
      <w:r w:rsidR="003358CF">
        <w:t xml:space="preserve">refer to </w:t>
      </w:r>
      <w:r w:rsidR="00021D30">
        <w:t>programs</w:t>
      </w:r>
      <w:r w:rsidR="00E90973">
        <w:t xml:space="preserve"> </w:t>
      </w:r>
      <w:r w:rsidR="003358CF">
        <w:t xml:space="preserve">to assist people </w:t>
      </w:r>
      <w:r w:rsidR="00471F0A">
        <w:t xml:space="preserve">to </w:t>
      </w:r>
      <w:r w:rsidR="003358CF">
        <w:t xml:space="preserve">find accommodation </w:t>
      </w:r>
      <w:r w:rsidR="0068676C">
        <w:t xml:space="preserve">including </w:t>
      </w:r>
      <w:r w:rsidR="003358CF">
        <w:t>social housing</w:t>
      </w:r>
      <w:r w:rsidR="0068676C">
        <w:t>,</w:t>
      </w:r>
      <w:r w:rsidR="003358CF">
        <w:t xml:space="preserve"> assistance to people in the private rental market</w:t>
      </w:r>
      <w:r w:rsidR="003A38A2">
        <w:t>,</w:t>
      </w:r>
      <w:r w:rsidR="003358CF">
        <w:t xml:space="preserve"> support and accommodation for people who are homeless or at risk of homelessness</w:t>
      </w:r>
      <w:r w:rsidR="003A38A2">
        <w:t>,</w:t>
      </w:r>
      <w:r w:rsidR="003358CF">
        <w:t xml:space="preserve"> and home purchase assistance.</w:t>
      </w:r>
    </w:p>
    <w:p w14:paraId="447450F9" w14:textId="628D687F" w:rsidR="00122E51" w:rsidRDefault="008B71CB" w:rsidP="00EF3B38">
      <w:pPr>
        <w:pStyle w:val="CGC2025ParaNumbers"/>
      </w:pPr>
      <w:r>
        <w:t xml:space="preserve">Separate </w:t>
      </w:r>
      <w:r w:rsidR="005F3F1F">
        <w:t>assessments of social housing head leasing expenses and affordable housing expenses</w:t>
      </w:r>
      <w:r>
        <w:t xml:space="preserve"> would require data</w:t>
      </w:r>
      <w:r w:rsidR="005F3F1F">
        <w:t xml:space="preserve"> on the amounts spent on these programs and on the socio</w:t>
      </w:r>
      <w:r w:rsidR="005F3F1F">
        <w:noBreakHyphen/>
        <w:t>demographic profile of the people being supported by these programs.</w:t>
      </w:r>
    </w:p>
    <w:p w14:paraId="1828A0E2" w14:textId="5419F108" w:rsidR="00C06767" w:rsidRDefault="0069281E" w:rsidP="00C06767">
      <w:pPr>
        <w:pStyle w:val="CGC2025ParaNumbers"/>
      </w:pPr>
      <w:r>
        <w:t>S</w:t>
      </w:r>
      <w:r w:rsidR="00C06767">
        <w:t xml:space="preserve">tates support the housing </w:t>
      </w:r>
      <w:r w:rsidR="000B3781">
        <w:t xml:space="preserve">requirements </w:t>
      </w:r>
      <w:r w:rsidR="00C06767">
        <w:t xml:space="preserve">of their residents in a variety of ways. </w:t>
      </w:r>
      <w:r>
        <w:t xml:space="preserve">The Commission </w:t>
      </w:r>
      <w:r w:rsidR="00C06767">
        <w:t xml:space="preserve">will work with states to determine whether a separate assessment of support for people in private accommodation should be implemented in </w:t>
      </w:r>
      <w:r w:rsidR="008A304A">
        <w:t>a</w:t>
      </w:r>
      <w:r w:rsidR="00C06767">
        <w:t xml:space="preserve"> future</w:t>
      </w:r>
      <w:r w:rsidR="008A304A">
        <w:t xml:space="preserve"> review</w:t>
      </w:r>
      <w:r w:rsidR="00C06767">
        <w:t>.</w:t>
      </w:r>
    </w:p>
    <w:p w14:paraId="18A80250" w14:textId="5AF8D99F" w:rsidR="00122E51" w:rsidRDefault="00122E51" w:rsidP="00122E51">
      <w:pPr>
        <w:pStyle w:val="Heading4"/>
      </w:pPr>
      <w:r w:rsidRPr="005250AF">
        <w:t xml:space="preserve">Commission </w:t>
      </w:r>
      <w:r w:rsidR="00705AE3">
        <w:t>decision</w:t>
      </w:r>
      <w:r>
        <w:t xml:space="preserve"> </w:t>
      </w:r>
    </w:p>
    <w:p w14:paraId="2C1C7B00" w14:textId="50047286" w:rsidR="00122E51" w:rsidRDefault="00EB69DD" w:rsidP="00295B4E">
      <w:pPr>
        <w:pStyle w:val="CGC2025ParaNumbers"/>
      </w:pPr>
      <w:r>
        <w:t>Given the absence of reliable data</w:t>
      </w:r>
      <w:r w:rsidR="0051676A">
        <w:t>, t</w:t>
      </w:r>
      <w:r w:rsidR="005F3F1F">
        <w:t xml:space="preserve">he Commission </w:t>
      </w:r>
      <w:r w:rsidR="00886188">
        <w:t>will</w:t>
      </w:r>
      <w:r w:rsidR="0051676A">
        <w:t xml:space="preserve"> not include a separate assessment of social </w:t>
      </w:r>
      <w:r w:rsidR="006F769E">
        <w:t xml:space="preserve">housing head leasing </w:t>
      </w:r>
      <w:r w:rsidR="004F1283">
        <w:t xml:space="preserve">or </w:t>
      </w:r>
      <w:r w:rsidR="00AD5733">
        <w:t xml:space="preserve">affordable housing </w:t>
      </w:r>
      <w:r w:rsidR="006F769E">
        <w:t xml:space="preserve">expenses. The Commission </w:t>
      </w:r>
      <w:r w:rsidR="005F3F1F">
        <w:t xml:space="preserve">will </w:t>
      </w:r>
      <w:r w:rsidR="004626A0">
        <w:t>monitor</w:t>
      </w:r>
      <w:r w:rsidR="004807B5">
        <w:t>, in consultation with the states,</w:t>
      </w:r>
      <w:r w:rsidR="005F3F1F">
        <w:t xml:space="preserve"> whether a separate assessment </w:t>
      </w:r>
      <w:r w:rsidR="006C2AF5">
        <w:t xml:space="preserve">of the costs of housing </w:t>
      </w:r>
      <w:r w:rsidR="005F3F1F">
        <w:t xml:space="preserve">people in private accommodation should be implemented in </w:t>
      </w:r>
      <w:r w:rsidR="008653CE">
        <w:t>a</w:t>
      </w:r>
      <w:r w:rsidR="005F3F1F">
        <w:t xml:space="preserve"> future</w:t>
      </w:r>
      <w:r w:rsidR="008653CE">
        <w:t xml:space="preserve"> review</w:t>
      </w:r>
      <w:r w:rsidR="005F3F1F">
        <w:t>.</w:t>
      </w:r>
    </w:p>
    <w:bookmarkEnd w:id="6"/>
    <w:p w14:paraId="70897794" w14:textId="77777777" w:rsidR="002D7729" w:rsidRDefault="002D7729" w:rsidP="002D7729">
      <w:pPr>
        <w:pStyle w:val="Heading3"/>
      </w:pPr>
      <w:r>
        <w:lastRenderedPageBreak/>
        <w:t>Culturally and linguistically diverse tenants</w:t>
      </w:r>
    </w:p>
    <w:p w14:paraId="30E9820E" w14:textId="19D84C50" w:rsidR="00B73860" w:rsidRPr="00B73860" w:rsidRDefault="001453C1" w:rsidP="00B73860">
      <w:pPr>
        <w:pStyle w:val="CGC2025ParaNumbers"/>
      </w:pPr>
      <w:r>
        <w:t xml:space="preserve">The Commission considered </w:t>
      </w:r>
      <w:r w:rsidR="00D61569">
        <w:t xml:space="preserve">views of states </w:t>
      </w:r>
      <w:r w:rsidR="0007224B">
        <w:t>to better account for the costs of providing</w:t>
      </w:r>
      <w:r w:rsidR="006950FA">
        <w:t xml:space="preserve"> social housing services to </w:t>
      </w:r>
      <w:r w:rsidR="00E143D6">
        <w:t>culturally and linguistically diverse tenants.</w:t>
      </w:r>
      <w:r w:rsidR="0087566D" w:rsidRPr="0087566D">
        <w:t xml:space="preserve"> </w:t>
      </w:r>
      <w:r w:rsidR="00E820BC">
        <w:t>The Commission</w:t>
      </w:r>
      <w:r w:rsidR="0087566D">
        <w:t xml:space="preserve"> proposed no change </w:t>
      </w:r>
      <w:r w:rsidR="00367444">
        <w:t xml:space="preserve">but said work on this issue </w:t>
      </w:r>
      <w:r w:rsidR="0087566D">
        <w:t xml:space="preserve">will be undertaken as part of </w:t>
      </w:r>
      <w:r w:rsidR="003950B1">
        <w:t>its</w:t>
      </w:r>
      <w:r w:rsidR="0087566D">
        <w:t xml:space="preserve"> forward work program</w:t>
      </w:r>
      <w:r w:rsidR="00367444">
        <w:t>.</w:t>
      </w:r>
    </w:p>
    <w:p w14:paraId="647A50DC" w14:textId="10BEE1FE" w:rsidR="00781546" w:rsidRDefault="00781546" w:rsidP="00781546">
      <w:pPr>
        <w:pStyle w:val="Heading4"/>
      </w:pPr>
      <w:r>
        <w:t>State views</w:t>
      </w:r>
    </w:p>
    <w:p w14:paraId="64BD5808" w14:textId="67C3FAD3" w:rsidR="002D7729" w:rsidRDefault="002D7729" w:rsidP="002D7729">
      <w:pPr>
        <w:pStyle w:val="CGC2025ParaNumbers"/>
      </w:pPr>
      <w:r>
        <w:t>New South Wales and Victoria said the Commission should introduce a driver of use and/or cost weights for culturally and linguistically diverse tenants.</w:t>
      </w:r>
    </w:p>
    <w:p w14:paraId="4EE72111" w14:textId="77777777" w:rsidR="002D7729" w:rsidRDefault="002D7729" w:rsidP="002D7729">
      <w:pPr>
        <w:pStyle w:val="Heading4"/>
      </w:pPr>
      <w:r>
        <w:t>Commission response</w:t>
      </w:r>
    </w:p>
    <w:p w14:paraId="13EC742D" w14:textId="0573DB0A" w:rsidR="002D7729" w:rsidRDefault="002D7729" w:rsidP="002D7729">
      <w:pPr>
        <w:pStyle w:val="CGC2025ParaNumbers"/>
        <w:tabs>
          <w:tab w:val="clear" w:pos="567"/>
        </w:tabs>
      </w:pPr>
      <w:r w:rsidRPr="009B2D15">
        <w:t>The</w:t>
      </w:r>
      <w:r w:rsidR="00D047D3">
        <w:t>re</w:t>
      </w:r>
      <w:r w:rsidRPr="009B2D15">
        <w:t xml:space="preserve"> is a conceptual case that people from different cultural backgrounds use social housing at different rates and have higher costs when they do.</w:t>
      </w:r>
      <w:r>
        <w:t xml:space="preserve"> However, a substantial amount of work is required to develop, test and consult with states on a potential </w:t>
      </w:r>
      <w:r w:rsidR="006F7C91">
        <w:t xml:space="preserve">culturally and </w:t>
      </w:r>
      <w:r w:rsidR="00C01CCC">
        <w:t>linguistically diverse</w:t>
      </w:r>
      <w:r w:rsidR="006F7C91">
        <w:t xml:space="preserve"> </w:t>
      </w:r>
      <w:r>
        <w:t>driver for the housing assessment. This includes developing an appropriate definition of cultural and linguistical diversity</w:t>
      </w:r>
      <w:r w:rsidR="00F031BD">
        <w:t xml:space="preserve"> in the </w:t>
      </w:r>
      <w:r w:rsidR="008837B3">
        <w:t>housing context</w:t>
      </w:r>
      <w:r>
        <w:t xml:space="preserve">. </w:t>
      </w:r>
    </w:p>
    <w:p w14:paraId="7131A482" w14:textId="77777777" w:rsidR="002D7729" w:rsidRDefault="002D7729" w:rsidP="002D7729">
      <w:pPr>
        <w:pStyle w:val="Heading4"/>
      </w:pPr>
      <w:r>
        <w:t>Commission decision</w:t>
      </w:r>
    </w:p>
    <w:p w14:paraId="1880F7FB" w14:textId="329B190E" w:rsidR="002D7729" w:rsidRDefault="002D7729" w:rsidP="002D7729">
      <w:pPr>
        <w:pStyle w:val="CGC2025ParaNumbers"/>
      </w:pPr>
      <w:r>
        <w:t>Consideration of how cultural and linguistic diversity affects state service costs will be undertaken as part of the Commission’s forward work program</w:t>
      </w:r>
      <w:r w:rsidR="00923A81">
        <w:t>.</w:t>
      </w:r>
    </w:p>
    <w:p w14:paraId="5C08697E" w14:textId="2DA78FC2" w:rsidR="00D60495" w:rsidRDefault="00D60495" w:rsidP="00D60495">
      <w:pPr>
        <w:pStyle w:val="Heading3"/>
      </w:pPr>
      <w:r>
        <w:t>Older tenants</w:t>
      </w:r>
    </w:p>
    <w:p w14:paraId="553C7C89" w14:textId="4B37A6AB" w:rsidR="00B43CD4" w:rsidRPr="00B43CD4" w:rsidRDefault="00B43CD4" w:rsidP="00040ED0">
      <w:pPr>
        <w:pStyle w:val="CGC2025ParaNumbers"/>
      </w:pPr>
      <w:r>
        <w:t xml:space="preserve">The Commission considered </w:t>
      </w:r>
      <w:r w:rsidR="00FB4ACA">
        <w:t xml:space="preserve">views of states </w:t>
      </w:r>
      <w:r w:rsidR="00BD3BE4" w:rsidRPr="00BD3BE4">
        <w:t>to better account for the costs of providing social housing services to</w:t>
      </w:r>
      <w:r w:rsidR="00BD3BE4">
        <w:t xml:space="preserve"> tenants of different ages.</w:t>
      </w:r>
      <w:r w:rsidR="00734090">
        <w:t xml:space="preserve"> </w:t>
      </w:r>
      <w:r w:rsidR="003950B1">
        <w:t>The Commission</w:t>
      </w:r>
      <w:r w:rsidR="0060752C">
        <w:t xml:space="preserve"> proposed no change</w:t>
      </w:r>
      <w:r w:rsidR="00040ED0">
        <w:t xml:space="preserve"> but said </w:t>
      </w:r>
      <w:r w:rsidR="005672D6">
        <w:t xml:space="preserve">it </w:t>
      </w:r>
      <w:r w:rsidR="00040ED0" w:rsidRPr="00040ED0">
        <w:t xml:space="preserve">will work with the states </w:t>
      </w:r>
      <w:r w:rsidR="007E57E5">
        <w:t xml:space="preserve">on the issue </w:t>
      </w:r>
      <w:r w:rsidR="00040ED0" w:rsidRPr="00040ED0">
        <w:t>between reviews</w:t>
      </w:r>
      <w:r w:rsidR="007E57E5">
        <w:t>.</w:t>
      </w:r>
    </w:p>
    <w:p w14:paraId="49C3DF43" w14:textId="77777777" w:rsidR="00D60495" w:rsidRPr="00E83FBB" w:rsidRDefault="00D60495" w:rsidP="00D60495">
      <w:pPr>
        <w:pStyle w:val="Heading4"/>
      </w:pPr>
      <w:r>
        <w:t>State views</w:t>
      </w:r>
    </w:p>
    <w:p w14:paraId="7A58FB08" w14:textId="704BDD6C" w:rsidR="00D60495" w:rsidRDefault="00D60495" w:rsidP="00D60495">
      <w:pPr>
        <w:pStyle w:val="CGC2025ParaNumbers"/>
      </w:pPr>
      <w:r>
        <w:t>New South Wales said the Commission should investigate the materiality of including social housing tenant age as a driver of service costs and</w:t>
      </w:r>
      <w:r w:rsidR="0049474F">
        <w:t>/</w:t>
      </w:r>
      <w:r>
        <w:t>or investigate a cost weight for older tenants.</w:t>
      </w:r>
    </w:p>
    <w:p w14:paraId="42A35F1D" w14:textId="77777777" w:rsidR="00D60495" w:rsidRPr="008675B1" w:rsidRDefault="00D60495" w:rsidP="00D60495">
      <w:pPr>
        <w:pStyle w:val="Heading4"/>
      </w:pPr>
      <w:r>
        <w:t>Commission response</w:t>
      </w:r>
    </w:p>
    <w:p w14:paraId="1084A318" w14:textId="2CD28908" w:rsidR="00D60495" w:rsidRDefault="00D60495" w:rsidP="00D60495">
      <w:pPr>
        <w:pStyle w:val="CGC2025ParaNumbers"/>
      </w:pPr>
      <w:bookmarkStart w:id="11" w:name="_Hlk173762377"/>
      <w:r>
        <w:t xml:space="preserve">The development of an age-based driver or cost weight </w:t>
      </w:r>
      <w:r w:rsidR="00D8441E">
        <w:t>would</w:t>
      </w:r>
      <w:r>
        <w:t xml:space="preserve"> </w:t>
      </w:r>
      <w:r w:rsidR="00CB3847">
        <w:t>require</w:t>
      </w:r>
      <w:r>
        <w:t xml:space="preserve"> reliable data on the additional social housing costs associated with older tenants. The Commission will work with the states between reviews to determine if such data are available.</w:t>
      </w:r>
      <w:bookmarkEnd w:id="11"/>
    </w:p>
    <w:p w14:paraId="4B71951A" w14:textId="77777777" w:rsidR="00D60495" w:rsidRDefault="00D60495" w:rsidP="00D60495">
      <w:pPr>
        <w:pStyle w:val="Heading4"/>
      </w:pPr>
      <w:r w:rsidRPr="005250AF">
        <w:lastRenderedPageBreak/>
        <w:t xml:space="preserve">Commission </w:t>
      </w:r>
      <w:r>
        <w:t xml:space="preserve">decision </w:t>
      </w:r>
    </w:p>
    <w:p w14:paraId="2143E220" w14:textId="71DDA2DE" w:rsidR="008A57DF" w:rsidRPr="00E849FE" w:rsidRDefault="00D60495" w:rsidP="00E849FE">
      <w:pPr>
        <w:pStyle w:val="CGC2025ParaNumbers"/>
      </w:pPr>
      <w:r>
        <w:t xml:space="preserve">The Commission </w:t>
      </w:r>
      <w:r w:rsidR="00886188">
        <w:t>will</w:t>
      </w:r>
      <w:r>
        <w:t xml:space="preserve"> not incorporate an age-based driver or cost weight. </w:t>
      </w:r>
      <w:r w:rsidR="004A3923">
        <w:t xml:space="preserve">The Commission </w:t>
      </w:r>
      <w:bookmarkStart w:id="12" w:name="_Hlk178348443"/>
      <w:r w:rsidR="004A3923">
        <w:t xml:space="preserve">will work with the states between reviews </w:t>
      </w:r>
      <w:bookmarkEnd w:id="12"/>
      <w:r w:rsidR="004A3923">
        <w:t xml:space="preserve">to determine if data </w:t>
      </w:r>
      <w:r w:rsidR="00F63719" w:rsidRPr="00F63719">
        <w:t xml:space="preserve">on the additional social housing costs associated with older tenants </w:t>
      </w:r>
      <w:r w:rsidR="004A3923">
        <w:t>are available.</w:t>
      </w:r>
    </w:p>
    <w:p w14:paraId="30ADFD27" w14:textId="7ABE42C7" w:rsidR="00D675EE" w:rsidRDefault="00054EFE" w:rsidP="00D675EE">
      <w:pPr>
        <w:pStyle w:val="Heading2"/>
      </w:pPr>
      <w:r>
        <w:t>GST</w:t>
      </w:r>
      <w:r w:rsidR="0087295E">
        <w:t xml:space="preserve"> impacts of method changes</w:t>
      </w:r>
    </w:p>
    <w:p w14:paraId="2D0EF121" w14:textId="773C02DA" w:rsidR="003B2B3B" w:rsidRDefault="00BD1981" w:rsidP="00D30914">
      <w:pPr>
        <w:pStyle w:val="CGC2025ParaNumbers"/>
        <w:keepNext/>
      </w:pPr>
      <w:r>
        <w:t>The impact on the GST distribution from the method changes is shown in Table 1</w:t>
      </w:r>
      <w:r w:rsidR="00F9115A">
        <w:t>.</w:t>
      </w:r>
    </w:p>
    <w:p w14:paraId="068E30DE" w14:textId="1AFF4B3D" w:rsidR="00B36F30" w:rsidRDefault="00332AFB" w:rsidP="004E134D">
      <w:pPr>
        <w:pStyle w:val="CGC2025Caption"/>
        <w:tabs>
          <w:tab w:val="left" w:pos="1134"/>
        </w:tabs>
      </w:pPr>
      <w:r w:rsidRPr="003E7491">
        <w:t>Table 1</w:t>
      </w:r>
      <w:r w:rsidR="004B6A3B" w:rsidRPr="003E7491">
        <w:tab/>
        <w:t xml:space="preserve">Impact on GST distribution of method changes, housing, </w:t>
      </w:r>
      <w:r w:rsidR="003B2B3B">
        <w:t>2024–25 to </w:t>
      </w:r>
      <w:r w:rsidR="004B6A3B" w:rsidRPr="003E7491">
        <w:t>2025–26</w:t>
      </w:r>
    </w:p>
    <w:tbl>
      <w:tblPr>
        <w:tblW w:w="8940" w:type="dxa"/>
        <w:tblLook w:val="04A0" w:firstRow="1" w:lastRow="0" w:firstColumn="1" w:lastColumn="0" w:noHBand="0" w:noVBand="1"/>
      </w:tblPr>
      <w:tblGrid>
        <w:gridCol w:w="3160"/>
        <w:gridCol w:w="640"/>
        <w:gridCol w:w="640"/>
        <w:gridCol w:w="640"/>
        <w:gridCol w:w="640"/>
        <w:gridCol w:w="640"/>
        <w:gridCol w:w="640"/>
        <w:gridCol w:w="640"/>
        <w:gridCol w:w="640"/>
        <w:gridCol w:w="660"/>
      </w:tblGrid>
      <w:tr w:rsidR="00A03620" w:rsidRPr="00A03620" w14:paraId="214F60FD" w14:textId="77777777" w:rsidTr="00A03620">
        <w:trPr>
          <w:trHeight w:val="552"/>
        </w:trPr>
        <w:tc>
          <w:tcPr>
            <w:tcW w:w="3160" w:type="dxa"/>
            <w:tcBorders>
              <w:top w:val="nil"/>
              <w:left w:val="nil"/>
              <w:bottom w:val="nil"/>
              <w:right w:val="nil"/>
            </w:tcBorders>
            <w:shd w:val="clear" w:color="000000" w:fill="006991"/>
            <w:vAlign w:val="center"/>
            <w:hideMark/>
          </w:tcPr>
          <w:p w14:paraId="278CBC17" w14:textId="77777777" w:rsidR="00A03620" w:rsidRPr="00A03620" w:rsidRDefault="00A03620" w:rsidP="00A03620">
            <w:pPr>
              <w:tabs>
                <w:tab w:val="clear" w:pos="567"/>
              </w:tabs>
              <w:spacing w:before="0" w:line="240" w:lineRule="auto"/>
              <w:rPr>
                <w:rFonts w:ascii="Open Sans Semibold" w:eastAsia="Times New Roman" w:hAnsi="Open Sans Semibold" w:cs="Open Sans Semibold"/>
                <w:color w:val="FFFFFF"/>
                <w:sz w:val="16"/>
                <w:szCs w:val="16"/>
                <w:lang w:eastAsia="en-AU"/>
              </w:rPr>
            </w:pPr>
            <w:r w:rsidRPr="00A03620">
              <w:rPr>
                <w:rFonts w:ascii="Open Sans Semibold" w:eastAsia="Times New Roman" w:hAnsi="Open Sans Semibold" w:cs="Open Sans Semibold"/>
                <w:color w:val="FFFFFF"/>
                <w:sz w:val="16"/>
                <w:szCs w:val="16"/>
                <w:lang w:eastAsia="en-AU"/>
              </w:rPr>
              <w:t> </w:t>
            </w:r>
          </w:p>
        </w:tc>
        <w:tc>
          <w:tcPr>
            <w:tcW w:w="640" w:type="dxa"/>
            <w:tcBorders>
              <w:top w:val="nil"/>
              <w:left w:val="nil"/>
              <w:bottom w:val="nil"/>
              <w:right w:val="nil"/>
            </w:tcBorders>
            <w:shd w:val="clear" w:color="000000" w:fill="006991"/>
            <w:vAlign w:val="center"/>
            <w:hideMark/>
          </w:tcPr>
          <w:p w14:paraId="5D18817D" w14:textId="77777777" w:rsidR="00A03620" w:rsidRPr="00A03620" w:rsidRDefault="00A03620" w:rsidP="00A03620">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A03620">
              <w:rPr>
                <w:rFonts w:ascii="Open Sans Semibold" w:eastAsia="Times New Roman" w:hAnsi="Open Sans Semibold" w:cs="Open Sans Semibold"/>
                <w:color w:val="FFFFFF"/>
                <w:sz w:val="16"/>
                <w:szCs w:val="16"/>
                <w:lang w:eastAsia="en-AU"/>
              </w:rPr>
              <w:t>NSW</w:t>
            </w:r>
          </w:p>
        </w:tc>
        <w:tc>
          <w:tcPr>
            <w:tcW w:w="640" w:type="dxa"/>
            <w:tcBorders>
              <w:top w:val="nil"/>
              <w:left w:val="nil"/>
              <w:bottom w:val="nil"/>
              <w:right w:val="nil"/>
            </w:tcBorders>
            <w:shd w:val="clear" w:color="000000" w:fill="006991"/>
            <w:vAlign w:val="center"/>
            <w:hideMark/>
          </w:tcPr>
          <w:p w14:paraId="102C8F06" w14:textId="77777777" w:rsidR="00A03620" w:rsidRPr="00A03620" w:rsidRDefault="00A03620" w:rsidP="00A03620">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A03620">
              <w:rPr>
                <w:rFonts w:ascii="Open Sans Semibold" w:eastAsia="Times New Roman" w:hAnsi="Open Sans Semibold" w:cs="Open Sans Semibold"/>
                <w:color w:val="FFFFFF"/>
                <w:sz w:val="16"/>
                <w:szCs w:val="16"/>
                <w:lang w:eastAsia="en-AU"/>
              </w:rPr>
              <w:t>Vic</w:t>
            </w:r>
          </w:p>
        </w:tc>
        <w:tc>
          <w:tcPr>
            <w:tcW w:w="640" w:type="dxa"/>
            <w:tcBorders>
              <w:top w:val="nil"/>
              <w:left w:val="nil"/>
              <w:bottom w:val="nil"/>
              <w:right w:val="nil"/>
            </w:tcBorders>
            <w:shd w:val="clear" w:color="000000" w:fill="006991"/>
            <w:vAlign w:val="center"/>
            <w:hideMark/>
          </w:tcPr>
          <w:p w14:paraId="1877A143" w14:textId="77777777" w:rsidR="00A03620" w:rsidRPr="00A03620" w:rsidRDefault="00A03620" w:rsidP="00A03620">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A03620">
              <w:rPr>
                <w:rFonts w:ascii="Open Sans Semibold" w:eastAsia="Times New Roman" w:hAnsi="Open Sans Semibold" w:cs="Open Sans Semibold"/>
                <w:color w:val="FFFFFF"/>
                <w:sz w:val="16"/>
                <w:szCs w:val="16"/>
                <w:lang w:eastAsia="en-AU"/>
              </w:rPr>
              <w:t>Qld</w:t>
            </w:r>
          </w:p>
        </w:tc>
        <w:tc>
          <w:tcPr>
            <w:tcW w:w="640" w:type="dxa"/>
            <w:tcBorders>
              <w:top w:val="nil"/>
              <w:left w:val="nil"/>
              <w:bottom w:val="nil"/>
              <w:right w:val="nil"/>
            </w:tcBorders>
            <w:shd w:val="clear" w:color="000000" w:fill="006991"/>
            <w:vAlign w:val="center"/>
            <w:hideMark/>
          </w:tcPr>
          <w:p w14:paraId="40725724" w14:textId="77777777" w:rsidR="00A03620" w:rsidRPr="00A03620" w:rsidRDefault="00A03620" w:rsidP="00A03620">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A03620">
              <w:rPr>
                <w:rFonts w:ascii="Open Sans Semibold" w:eastAsia="Times New Roman" w:hAnsi="Open Sans Semibold" w:cs="Open Sans Semibold"/>
                <w:color w:val="FFFFFF"/>
                <w:sz w:val="16"/>
                <w:szCs w:val="16"/>
                <w:lang w:eastAsia="en-AU"/>
              </w:rPr>
              <w:t>WA</w:t>
            </w:r>
          </w:p>
        </w:tc>
        <w:tc>
          <w:tcPr>
            <w:tcW w:w="640" w:type="dxa"/>
            <w:tcBorders>
              <w:top w:val="nil"/>
              <w:left w:val="nil"/>
              <w:bottom w:val="nil"/>
              <w:right w:val="nil"/>
            </w:tcBorders>
            <w:shd w:val="clear" w:color="000000" w:fill="006991"/>
            <w:vAlign w:val="center"/>
            <w:hideMark/>
          </w:tcPr>
          <w:p w14:paraId="7D85C4B6" w14:textId="77777777" w:rsidR="00A03620" w:rsidRPr="00A03620" w:rsidRDefault="00A03620" w:rsidP="00A03620">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A03620">
              <w:rPr>
                <w:rFonts w:ascii="Open Sans Semibold" w:eastAsia="Times New Roman" w:hAnsi="Open Sans Semibold" w:cs="Open Sans Semibold"/>
                <w:color w:val="FFFFFF"/>
                <w:sz w:val="16"/>
                <w:szCs w:val="16"/>
                <w:lang w:eastAsia="en-AU"/>
              </w:rPr>
              <w:t>SA</w:t>
            </w:r>
          </w:p>
        </w:tc>
        <w:tc>
          <w:tcPr>
            <w:tcW w:w="640" w:type="dxa"/>
            <w:tcBorders>
              <w:top w:val="nil"/>
              <w:left w:val="nil"/>
              <w:bottom w:val="nil"/>
              <w:right w:val="nil"/>
            </w:tcBorders>
            <w:shd w:val="clear" w:color="000000" w:fill="006991"/>
            <w:vAlign w:val="center"/>
            <w:hideMark/>
          </w:tcPr>
          <w:p w14:paraId="0FD862A5" w14:textId="77777777" w:rsidR="00A03620" w:rsidRPr="00A03620" w:rsidRDefault="00A03620" w:rsidP="00A03620">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A03620">
              <w:rPr>
                <w:rFonts w:ascii="Open Sans Semibold" w:eastAsia="Times New Roman" w:hAnsi="Open Sans Semibold" w:cs="Open Sans Semibold"/>
                <w:color w:val="FFFFFF"/>
                <w:sz w:val="16"/>
                <w:szCs w:val="16"/>
                <w:lang w:eastAsia="en-AU"/>
              </w:rPr>
              <w:t>Tas</w:t>
            </w:r>
          </w:p>
        </w:tc>
        <w:tc>
          <w:tcPr>
            <w:tcW w:w="640" w:type="dxa"/>
            <w:tcBorders>
              <w:top w:val="nil"/>
              <w:left w:val="nil"/>
              <w:bottom w:val="nil"/>
              <w:right w:val="nil"/>
            </w:tcBorders>
            <w:shd w:val="clear" w:color="000000" w:fill="006991"/>
            <w:vAlign w:val="center"/>
            <w:hideMark/>
          </w:tcPr>
          <w:p w14:paraId="7B4D1666" w14:textId="77777777" w:rsidR="00A03620" w:rsidRPr="00A03620" w:rsidRDefault="00A03620" w:rsidP="00A03620">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A03620">
              <w:rPr>
                <w:rFonts w:ascii="Open Sans Semibold" w:eastAsia="Times New Roman" w:hAnsi="Open Sans Semibold" w:cs="Open Sans Semibold"/>
                <w:color w:val="FFFFFF"/>
                <w:sz w:val="16"/>
                <w:szCs w:val="16"/>
                <w:lang w:eastAsia="en-AU"/>
              </w:rPr>
              <w:t>ACT</w:t>
            </w:r>
          </w:p>
        </w:tc>
        <w:tc>
          <w:tcPr>
            <w:tcW w:w="640" w:type="dxa"/>
            <w:tcBorders>
              <w:top w:val="nil"/>
              <w:left w:val="nil"/>
              <w:bottom w:val="nil"/>
              <w:right w:val="nil"/>
            </w:tcBorders>
            <w:shd w:val="clear" w:color="000000" w:fill="006991"/>
            <w:vAlign w:val="center"/>
            <w:hideMark/>
          </w:tcPr>
          <w:p w14:paraId="57614BAD" w14:textId="77777777" w:rsidR="00A03620" w:rsidRPr="00A03620" w:rsidRDefault="00A03620" w:rsidP="00A03620">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A03620">
              <w:rPr>
                <w:rFonts w:ascii="Open Sans Semibold" w:eastAsia="Times New Roman" w:hAnsi="Open Sans Semibold" w:cs="Open Sans Semibold"/>
                <w:color w:val="FFFFFF"/>
                <w:sz w:val="16"/>
                <w:szCs w:val="16"/>
                <w:lang w:eastAsia="en-AU"/>
              </w:rPr>
              <w:t>NT</w:t>
            </w:r>
          </w:p>
        </w:tc>
        <w:tc>
          <w:tcPr>
            <w:tcW w:w="660" w:type="dxa"/>
            <w:tcBorders>
              <w:top w:val="nil"/>
              <w:left w:val="nil"/>
              <w:bottom w:val="nil"/>
              <w:right w:val="nil"/>
            </w:tcBorders>
            <w:shd w:val="clear" w:color="000000" w:fill="006991"/>
            <w:vAlign w:val="center"/>
            <w:hideMark/>
          </w:tcPr>
          <w:p w14:paraId="4AA1192B" w14:textId="77777777" w:rsidR="00A03620" w:rsidRPr="00A03620" w:rsidRDefault="00A03620" w:rsidP="00A03620">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A03620">
              <w:rPr>
                <w:rFonts w:ascii="Open Sans Semibold" w:eastAsia="Times New Roman" w:hAnsi="Open Sans Semibold" w:cs="Open Sans Semibold"/>
                <w:color w:val="FFFFFF"/>
                <w:sz w:val="16"/>
                <w:szCs w:val="16"/>
                <w:lang w:eastAsia="en-AU"/>
              </w:rPr>
              <w:t>Total effect</w:t>
            </w:r>
          </w:p>
        </w:tc>
      </w:tr>
      <w:tr w:rsidR="00A03620" w:rsidRPr="00A03620" w14:paraId="617C6FD4" w14:textId="77777777" w:rsidTr="00A03620">
        <w:trPr>
          <w:trHeight w:val="259"/>
        </w:trPr>
        <w:tc>
          <w:tcPr>
            <w:tcW w:w="3160" w:type="dxa"/>
            <w:tcBorders>
              <w:top w:val="single" w:sz="4" w:space="0" w:color="ADD6EA"/>
              <w:left w:val="nil"/>
              <w:bottom w:val="nil"/>
              <w:right w:val="nil"/>
            </w:tcBorders>
            <w:shd w:val="clear" w:color="000000" w:fill="B6D5E4"/>
            <w:vAlign w:val="center"/>
            <w:hideMark/>
          </w:tcPr>
          <w:p w14:paraId="7D487FA1" w14:textId="77777777" w:rsidR="00A03620" w:rsidRPr="00A03620" w:rsidRDefault="00A03620" w:rsidP="00A03620">
            <w:pPr>
              <w:tabs>
                <w:tab w:val="clear" w:pos="567"/>
              </w:tabs>
              <w:spacing w:before="0" w:line="240" w:lineRule="auto"/>
              <w:rPr>
                <w:rFonts w:ascii="Open Sans Semibold" w:eastAsia="Times New Roman" w:hAnsi="Open Sans Semibold" w:cs="Open Sans Semibold"/>
                <w:color w:val="000000"/>
                <w:sz w:val="16"/>
                <w:szCs w:val="16"/>
                <w:lang w:eastAsia="en-AU"/>
              </w:rPr>
            </w:pPr>
            <w:r w:rsidRPr="00A03620">
              <w:rPr>
                <w:rFonts w:ascii="Open Sans Semibold" w:eastAsia="Times New Roman" w:hAnsi="Open Sans Semibold" w:cs="Open Sans Semibold"/>
                <w:color w:val="000000"/>
                <w:sz w:val="16"/>
                <w:szCs w:val="16"/>
                <w:lang w:eastAsia="en-AU"/>
              </w:rPr>
              <w:t> </w:t>
            </w:r>
          </w:p>
        </w:tc>
        <w:tc>
          <w:tcPr>
            <w:tcW w:w="640" w:type="dxa"/>
            <w:tcBorders>
              <w:top w:val="single" w:sz="4" w:space="0" w:color="ADD6EA"/>
              <w:left w:val="nil"/>
              <w:bottom w:val="nil"/>
              <w:right w:val="nil"/>
            </w:tcBorders>
            <w:shd w:val="clear" w:color="000000" w:fill="B6D5E4"/>
            <w:vAlign w:val="center"/>
            <w:hideMark/>
          </w:tcPr>
          <w:p w14:paraId="61554CC1" w14:textId="77777777" w:rsidR="00A03620" w:rsidRPr="00A03620" w:rsidRDefault="00A03620" w:rsidP="00A03620">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03620">
              <w:rPr>
                <w:rFonts w:ascii="Open Sans Semibold" w:eastAsia="Times New Roman" w:hAnsi="Open Sans Semibold" w:cs="Open Sans Semibold"/>
                <w:color w:val="000000"/>
                <w:sz w:val="16"/>
                <w:szCs w:val="16"/>
                <w:lang w:eastAsia="en-AU"/>
              </w:rPr>
              <w:t>$m</w:t>
            </w:r>
          </w:p>
        </w:tc>
        <w:tc>
          <w:tcPr>
            <w:tcW w:w="640" w:type="dxa"/>
            <w:tcBorders>
              <w:top w:val="single" w:sz="4" w:space="0" w:color="ADD6EA"/>
              <w:left w:val="nil"/>
              <w:bottom w:val="nil"/>
              <w:right w:val="nil"/>
            </w:tcBorders>
            <w:shd w:val="clear" w:color="000000" w:fill="B6D5E4"/>
            <w:vAlign w:val="center"/>
            <w:hideMark/>
          </w:tcPr>
          <w:p w14:paraId="206E7F54" w14:textId="77777777" w:rsidR="00A03620" w:rsidRPr="00A03620" w:rsidRDefault="00A03620" w:rsidP="00A03620">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03620">
              <w:rPr>
                <w:rFonts w:ascii="Open Sans Semibold" w:eastAsia="Times New Roman" w:hAnsi="Open Sans Semibold" w:cs="Open Sans Semibold"/>
                <w:color w:val="000000"/>
                <w:sz w:val="16"/>
                <w:szCs w:val="16"/>
                <w:lang w:eastAsia="en-AU"/>
              </w:rPr>
              <w:t>$m</w:t>
            </w:r>
          </w:p>
        </w:tc>
        <w:tc>
          <w:tcPr>
            <w:tcW w:w="640" w:type="dxa"/>
            <w:tcBorders>
              <w:top w:val="single" w:sz="4" w:space="0" w:color="ADD6EA"/>
              <w:left w:val="nil"/>
              <w:bottom w:val="nil"/>
              <w:right w:val="nil"/>
            </w:tcBorders>
            <w:shd w:val="clear" w:color="000000" w:fill="B6D5E4"/>
            <w:vAlign w:val="center"/>
            <w:hideMark/>
          </w:tcPr>
          <w:p w14:paraId="4A176C9E" w14:textId="77777777" w:rsidR="00A03620" w:rsidRPr="00A03620" w:rsidRDefault="00A03620" w:rsidP="00A03620">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03620">
              <w:rPr>
                <w:rFonts w:ascii="Open Sans Semibold" w:eastAsia="Times New Roman" w:hAnsi="Open Sans Semibold" w:cs="Open Sans Semibold"/>
                <w:color w:val="000000"/>
                <w:sz w:val="16"/>
                <w:szCs w:val="16"/>
                <w:lang w:eastAsia="en-AU"/>
              </w:rPr>
              <w:t>$m</w:t>
            </w:r>
          </w:p>
        </w:tc>
        <w:tc>
          <w:tcPr>
            <w:tcW w:w="640" w:type="dxa"/>
            <w:tcBorders>
              <w:top w:val="single" w:sz="4" w:space="0" w:color="ADD6EA"/>
              <w:left w:val="nil"/>
              <w:bottom w:val="nil"/>
              <w:right w:val="nil"/>
            </w:tcBorders>
            <w:shd w:val="clear" w:color="000000" w:fill="B6D5E4"/>
            <w:vAlign w:val="center"/>
            <w:hideMark/>
          </w:tcPr>
          <w:p w14:paraId="7FAEBE97" w14:textId="77777777" w:rsidR="00A03620" w:rsidRPr="00A03620" w:rsidRDefault="00A03620" w:rsidP="00A03620">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03620">
              <w:rPr>
                <w:rFonts w:ascii="Open Sans Semibold" w:eastAsia="Times New Roman" w:hAnsi="Open Sans Semibold" w:cs="Open Sans Semibold"/>
                <w:color w:val="000000"/>
                <w:sz w:val="16"/>
                <w:szCs w:val="16"/>
                <w:lang w:eastAsia="en-AU"/>
              </w:rPr>
              <w:t>$m</w:t>
            </w:r>
          </w:p>
        </w:tc>
        <w:tc>
          <w:tcPr>
            <w:tcW w:w="640" w:type="dxa"/>
            <w:tcBorders>
              <w:top w:val="single" w:sz="4" w:space="0" w:color="ADD6EA"/>
              <w:left w:val="nil"/>
              <w:bottom w:val="nil"/>
              <w:right w:val="nil"/>
            </w:tcBorders>
            <w:shd w:val="clear" w:color="000000" w:fill="B6D5E4"/>
            <w:vAlign w:val="center"/>
            <w:hideMark/>
          </w:tcPr>
          <w:p w14:paraId="6DD294D9" w14:textId="77777777" w:rsidR="00A03620" w:rsidRPr="00A03620" w:rsidRDefault="00A03620" w:rsidP="00A03620">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03620">
              <w:rPr>
                <w:rFonts w:ascii="Open Sans Semibold" w:eastAsia="Times New Roman" w:hAnsi="Open Sans Semibold" w:cs="Open Sans Semibold"/>
                <w:color w:val="000000"/>
                <w:sz w:val="16"/>
                <w:szCs w:val="16"/>
                <w:lang w:eastAsia="en-AU"/>
              </w:rPr>
              <w:t>$m</w:t>
            </w:r>
          </w:p>
        </w:tc>
        <w:tc>
          <w:tcPr>
            <w:tcW w:w="640" w:type="dxa"/>
            <w:tcBorders>
              <w:top w:val="single" w:sz="4" w:space="0" w:color="ADD6EA"/>
              <w:left w:val="nil"/>
              <w:bottom w:val="nil"/>
              <w:right w:val="nil"/>
            </w:tcBorders>
            <w:shd w:val="clear" w:color="000000" w:fill="B6D5E4"/>
            <w:vAlign w:val="center"/>
            <w:hideMark/>
          </w:tcPr>
          <w:p w14:paraId="42A53B8C" w14:textId="77777777" w:rsidR="00A03620" w:rsidRPr="00A03620" w:rsidRDefault="00A03620" w:rsidP="00A03620">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03620">
              <w:rPr>
                <w:rFonts w:ascii="Open Sans Semibold" w:eastAsia="Times New Roman" w:hAnsi="Open Sans Semibold" w:cs="Open Sans Semibold"/>
                <w:color w:val="000000"/>
                <w:sz w:val="16"/>
                <w:szCs w:val="16"/>
                <w:lang w:eastAsia="en-AU"/>
              </w:rPr>
              <w:t>$m</w:t>
            </w:r>
          </w:p>
        </w:tc>
        <w:tc>
          <w:tcPr>
            <w:tcW w:w="640" w:type="dxa"/>
            <w:tcBorders>
              <w:top w:val="single" w:sz="4" w:space="0" w:color="ADD6EA"/>
              <w:left w:val="nil"/>
              <w:bottom w:val="nil"/>
              <w:right w:val="nil"/>
            </w:tcBorders>
            <w:shd w:val="clear" w:color="000000" w:fill="B6D5E4"/>
            <w:vAlign w:val="center"/>
            <w:hideMark/>
          </w:tcPr>
          <w:p w14:paraId="57EA474B" w14:textId="77777777" w:rsidR="00A03620" w:rsidRPr="00A03620" w:rsidRDefault="00A03620" w:rsidP="00A03620">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03620">
              <w:rPr>
                <w:rFonts w:ascii="Open Sans Semibold" w:eastAsia="Times New Roman" w:hAnsi="Open Sans Semibold" w:cs="Open Sans Semibold"/>
                <w:color w:val="000000"/>
                <w:sz w:val="16"/>
                <w:szCs w:val="16"/>
                <w:lang w:eastAsia="en-AU"/>
              </w:rPr>
              <w:t>$m</w:t>
            </w:r>
          </w:p>
        </w:tc>
        <w:tc>
          <w:tcPr>
            <w:tcW w:w="640" w:type="dxa"/>
            <w:tcBorders>
              <w:top w:val="single" w:sz="4" w:space="0" w:color="ADD6EA"/>
              <w:left w:val="nil"/>
              <w:bottom w:val="nil"/>
              <w:right w:val="nil"/>
            </w:tcBorders>
            <w:shd w:val="clear" w:color="000000" w:fill="B6D5E4"/>
            <w:vAlign w:val="center"/>
            <w:hideMark/>
          </w:tcPr>
          <w:p w14:paraId="51BDF57E" w14:textId="77777777" w:rsidR="00A03620" w:rsidRPr="00A03620" w:rsidRDefault="00A03620" w:rsidP="00A03620">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03620">
              <w:rPr>
                <w:rFonts w:ascii="Open Sans Semibold" w:eastAsia="Times New Roman" w:hAnsi="Open Sans Semibold" w:cs="Open Sans Semibold"/>
                <w:color w:val="000000"/>
                <w:sz w:val="16"/>
                <w:szCs w:val="16"/>
                <w:lang w:eastAsia="en-AU"/>
              </w:rPr>
              <w:t>$m</w:t>
            </w:r>
          </w:p>
        </w:tc>
        <w:tc>
          <w:tcPr>
            <w:tcW w:w="660" w:type="dxa"/>
            <w:tcBorders>
              <w:top w:val="single" w:sz="4" w:space="0" w:color="ADD6EA"/>
              <w:left w:val="nil"/>
              <w:bottom w:val="nil"/>
              <w:right w:val="nil"/>
            </w:tcBorders>
            <w:shd w:val="clear" w:color="000000" w:fill="B6D5E4"/>
            <w:vAlign w:val="center"/>
            <w:hideMark/>
          </w:tcPr>
          <w:p w14:paraId="7F7FB62A" w14:textId="77777777" w:rsidR="00A03620" w:rsidRPr="00A03620" w:rsidRDefault="00A03620" w:rsidP="00A03620">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03620">
              <w:rPr>
                <w:rFonts w:ascii="Open Sans Semibold" w:eastAsia="Times New Roman" w:hAnsi="Open Sans Semibold" w:cs="Open Sans Semibold"/>
                <w:color w:val="000000"/>
                <w:sz w:val="16"/>
                <w:szCs w:val="16"/>
                <w:lang w:eastAsia="en-AU"/>
              </w:rPr>
              <w:t>$m</w:t>
            </w:r>
          </w:p>
        </w:tc>
      </w:tr>
      <w:tr w:rsidR="00A03620" w:rsidRPr="00A03620" w14:paraId="2F31E2AB" w14:textId="77777777" w:rsidTr="00A03620">
        <w:trPr>
          <w:trHeight w:val="315"/>
        </w:trPr>
        <w:tc>
          <w:tcPr>
            <w:tcW w:w="3160" w:type="dxa"/>
            <w:tcBorders>
              <w:top w:val="single" w:sz="4" w:space="0" w:color="ADD6EA"/>
              <w:left w:val="nil"/>
              <w:bottom w:val="nil"/>
              <w:right w:val="nil"/>
            </w:tcBorders>
            <w:shd w:val="clear" w:color="000000" w:fill="FFFFFF"/>
            <w:vAlign w:val="center"/>
            <w:hideMark/>
          </w:tcPr>
          <w:p w14:paraId="7DDAFA8B" w14:textId="77777777" w:rsidR="00A03620" w:rsidRPr="00A03620" w:rsidRDefault="00A03620" w:rsidP="00A03620">
            <w:pPr>
              <w:tabs>
                <w:tab w:val="clear" w:pos="567"/>
              </w:tabs>
              <w:spacing w:before="0" w:line="240" w:lineRule="auto"/>
              <w:rPr>
                <w:rFonts w:eastAsia="Times New Roman" w:cs="Open Sans Light"/>
                <w:color w:val="000000"/>
                <w:sz w:val="16"/>
                <w:szCs w:val="16"/>
                <w:lang w:eastAsia="en-AU"/>
              </w:rPr>
            </w:pPr>
            <w:r w:rsidRPr="00A03620">
              <w:rPr>
                <w:rFonts w:eastAsia="Times New Roman" w:cs="Open Sans Light"/>
                <w:color w:val="000000"/>
                <w:sz w:val="16"/>
                <w:szCs w:val="16"/>
                <w:lang w:eastAsia="en-AU"/>
              </w:rPr>
              <w:t>Average household size model</w:t>
            </w:r>
          </w:p>
        </w:tc>
        <w:tc>
          <w:tcPr>
            <w:tcW w:w="640" w:type="dxa"/>
            <w:tcBorders>
              <w:top w:val="single" w:sz="4" w:space="0" w:color="ADD6EA"/>
              <w:left w:val="nil"/>
              <w:bottom w:val="nil"/>
              <w:right w:val="nil"/>
            </w:tcBorders>
            <w:shd w:val="clear" w:color="000000" w:fill="FFFFFF"/>
            <w:vAlign w:val="center"/>
            <w:hideMark/>
          </w:tcPr>
          <w:p w14:paraId="54CAA13A" w14:textId="77777777" w:rsidR="00A03620" w:rsidRPr="00A03620" w:rsidRDefault="00A03620" w:rsidP="00A03620">
            <w:pPr>
              <w:tabs>
                <w:tab w:val="clear" w:pos="567"/>
              </w:tabs>
              <w:spacing w:before="0" w:line="240" w:lineRule="auto"/>
              <w:jc w:val="right"/>
              <w:rPr>
                <w:rFonts w:eastAsia="Times New Roman" w:cs="Open Sans Light"/>
                <w:color w:val="000000"/>
                <w:sz w:val="16"/>
                <w:szCs w:val="16"/>
                <w:lang w:eastAsia="en-AU"/>
              </w:rPr>
            </w:pPr>
            <w:r w:rsidRPr="00A03620">
              <w:rPr>
                <w:rFonts w:eastAsia="Times New Roman" w:cs="Open Sans Light"/>
                <w:color w:val="000000"/>
                <w:sz w:val="16"/>
                <w:szCs w:val="16"/>
                <w:lang w:eastAsia="en-AU"/>
              </w:rPr>
              <w:t>16</w:t>
            </w:r>
          </w:p>
        </w:tc>
        <w:tc>
          <w:tcPr>
            <w:tcW w:w="640" w:type="dxa"/>
            <w:tcBorders>
              <w:top w:val="single" w:sz="4" w:space="0" w:color="ADD6EA"/>
              <w:left w:val="nil"/>
              <w:bottom w:val="nil"/>
              <w:right w:val="nil"/>
            </w:tcBorders>
            <w:shd w:val="clear" w:color="000000" w:fill="FFFFFF"/>
            <w:vAlign w:val="center"/>
            <w:hideMark/>
          </w:tcPr>
          <w:p w14:paraId="7C981C49" w14:textId="77777777" w:rsidR="00A03620" w:rsidRPr="00A03620" w:rsidRDefault="00A03620" w:rsidP="00A03620">
            <w:pPr>
              <w:tabs>
                <w:tab w:val="clear" w:pos="567"/>
              </w:tabs>
              <w:spacing w:before="0" w:line="240" w:lineRule="auto"/>
              <w:jc w:val="right"/>
              <w:rPr>
                <w:rFonts w:eastAsia="Times New Roman" w:cs="Open Sans Light"/>
                <w:color w:val="000000"/>
                <w:sz w:val="16"/>
                <w:szCs w:val="16"/>
                <w:lang w:eastAsia="en-AU"/>
              </w:rPr>
            </w:pPr>
            <w:r w:rsidRPr="00A03620">
              <w:rPr>
                <w:rFonts w:eastAsia="Times New Roman" w:cs="Open Sans Light"/>
                <w:color w:val="000000"/>
                <w:sz w:val="16"/>
                <w:szCs w:val="16"/>
                <w:lang w:eastAsia="en-AU"/>
              </w:rPr>
              <w:t>-11</w:t>
            </w:r>
          </w:p>
        </w:tc>
        <w:tc>
          <w:tcPr>
            <w:tcW w:w="640" w:type="dxa"/>
            <w:tcBorders>
              <w:top w:val="single" w:sz="4" w:space="0" w:color="ADD6EA"/>
              <w:left w:val="nil"/>
              <w:bottom w:val="nil"/>
              <w:right w:val="nil"/>
            </w:tcBorders>
            <w:shd w:val="clear" w:color="000000" w:fill="FFFFFF"/>
            <w:vAlign w:val="center"/>
            <w:hideMark/>
          </w:tcPr>
          <w:p w14:paraId="72822423" w14:textId="77777777" w:rsidR="00A03620" w:rsidRPr="00A03620" w:rsidRDefault="00A03620" w:rsidP="00A03620">
            <w:pPr>
              <w:tabs>
                <w:tab w:val="clear" w:pos="567"/>
              </w:tabs>
              <w:spacing w:before="0" w:line="240" w:lineRule="auto"/>
              <w:jc w:val="right"/>
              <w:rPr>
                <w:rFonts w:eastAsia="Times New Roman" w:cs="Open Sans Light"/>
                <w:color w:val="000000"/>
                <w:sz w:val="16"/>
                <w:szCs w:val="16"/>
                <w:lang w:eastAsia="en-AU"/>
              </w:rPr>
            </w:pPr>
            <w:r w:rsidRPr="00A03620">
              <w:rPr>
                <w:rFonts w:eastAsia="Times New Roman" w:cs="Open Sans Light"/>
                <w:color w:val="000000"/>
                <w:sz w:val="16"/>
                <w:szCs w:val="16"/>
                <w:lang w:eastAsia="en-AU"/>
              </w:rPr>
              <w:t>1</w:t>
            </w:r>
          </w:p>
        </w:tc>
        <w:tc>
          <w:tcPr>
            <w:tcW w:w="640" w:type="dxa"/>
            <w:tcBorders>
              <w:top w:val="single" w:sz="4" w:space="0" w:color="ADD6EA"/>
              <w:left w:val="nil"/>
              <w:bottom w:val="nil"/>
              <w:right w:val="nil"/>
            </w:tcBorders>
            <w:shd w:val="clear" w:color="000000" w:fill="FFFFFF"/>
            <w:vAlign w:val="center"/>
            <w:hideMark/>
          </w:tcPr>
          <w:p w14:paraId="05B14A3B" w14:textId="77777777" w:rsidR="00A03620" w:rsidRPr="00A03620" w:rsidRDefault="00A03620" w:rsidP="00A03620">
            <w:pPr>
              <w:tabs>
                <w:tab w:val="clear" w:pos="567"/>
              </w:tabs>
              <w:spacing w:before="0" w:line="240" w:lineRule="auto"/>
              <w:jc w:val="right"/>
              <w:rPr>
                <w:rFonts w:eastAsia="Times New Roman" w:cs="Open Sans Light"/>
                <w:color w:val="000000"/>
                <w:sz w:val="16"/>
                <w:szCs w:val="16"/>
                <w:lang w:eastAsia="en-AU"/>
              </w:rPr>
            </w:pPr>
            <w:r w:rsidRPr="00A03620">
              <w:rPr>
                <w:rFonts w:eastAsia="Times New Roman" w:cs="Open Sans Light"/>
                <w:color w:val="000000"/>
                <w:sz w:val="16"/>
                <w:szCs w:val="16"/>
                <w:lang w:eastAsia="en-AU"/>
              </w:rPr>
              <w:t>-29</w:t>
            </w:r>
          </w:p>
        </w:tc>
        <w:tc>
          <w:tcPr>
            <w:tcW w:w="640" w:type="dxa"/>
            <w:tcBorders>
              <w:top w:val="single" w:sz="4" w:space="0" w:color="ADD6EA"/>
              <w:left w:val="nil"/>
              <w:bottom w:val="nil"/>
              <w:right w:val="nil"/>
            </w:tcBorders>
            <w:shd w:val="clear" w:color="000000" w:fill="FFFFFF"/>
            <w:vAlign w:val="center"/>
            <w:hideMark/>
          </w:tcPr>
          <w:p w14:paraId="7D79621E" w14:textId="77777777" w:rsidR="00A03620" w:rsidRPr="00A03620" w:rsidRDefault="00A03620" w:rsidP="00A03620">
            <w:pPr>
              <w:tabs>
                <w:tab w:val="clear" w:pos="567"/>
              </w:tabs>
              <w:spacing w:before="0" w:line="240" w:lineRule="auto"/>
              <w:jc w:val="right"/>
              <w:rPr>
                <w:rFonts w:eastAsia="Times New Roman" w:cs="Open Sans Light"/>
                <w:color w:val="000000"/>
                <w:sz w:val="16"/>
                <w:szCs w:val="16"/>
                <w:lang w:eastAsia="en-AU"/>
              </w:rPr>
            </w:pPr>
            <w:r w:rsidRPr="00A03620">
              <w:rPr>
                <w:rFonts w:eastAsia="Times New Roman" w:cs="Open Sans Light"/>
                <w:color w:val="000000"/>
                <w:sz w:val="16"/>
                <w:szCs w:val="16"/>
                <w:lang w:eastAsia="en-AU"/>
              </w:rPr>
              <w:t>-13</w:t>
            </w:r>
          </w:p>
        </w:tc>
        <w:tc>
          <w:tcPr>
            <w:tcW w:w="640" w:type="dxa"/>
            <w:tcBorders>
              <w:top w:val="single" w:sz="4" w:space="0" w:color="ADD6EA"/>
              <w:left w:val="nil"/>
              <w:bottom w:val="nil"/>
              <w:right w:val="nil"/>
            </w:tcBorders>
            <w:shd w:val="clear" w:color="000000" w:fill="FFFFFF"/>
            <w:vAlign w:val="center"/>
            <w:hideMark/>
          </w:tcPr>
          <w:p w14:paraId="34B60AF1" w14:textId="77777777" w:rsidR="00A03620" w:rsidRPr="00A03620" w:rsidRDefault="00A03620" w:rsidP="00A03620">
            <w:pPr>
              <w:tabs>
                <w:tab w:val="clear" w:pos="567"/>
              </w:tabs>
              <w:spacing w:before="0" w:line="240" w:lineRule="auto"/>
              <w:jc w:val="right"/>
              <w:rPr>
                <w:rFonts w:eastAsia="Times New Roman" w:cs="Open Sans Light"/>
                <w:color w:val="000000"/>
                <w:sz w:val="16"/>
                <w:szCs w:val="16"/>
                <w:lang w:eastAsia="en-AU"/>
              </w:rPr>
            </w:pPr>
            <w:r w:rsidRPr="00A03620">
              <w:rPr>
                <w:rFonts w:eastAsia="Times New Roman" w:cs="Open Sans Light"/>
                <w:color w:val="000000"/>
                <w:sz w:val="16"/>
                <w:szCs w:val="16"/>
                <w:lang w:eastAsia="en-AU"/>
              </w:rPr>
              <w:t>-1</w:t>
            </w:r>
          </w:p>
        </w:tc>
        <w:tc>
          <w:tcPr>
            <w:tcW w:w="640" w:type="dxa"/>
            <w:tcBorders>
              <w:top w:val="single" w:sz="4" w:space="0" w:color="ADD6EA"/>
              <w:left w:val="nil"/>
              <w:bottom w:val="nil"/>
              <w:right w:val="nil"/>
            </w:tcBorders>
            <w:shd w:val="clear" w:color="000000" w:fill="FFFFFF"/>
            <w:vAlign w:val="center"/>
            <w:hideMark/>
          </w:tcPr>
          <w:p w14:paraId="46CE84B6" w14:textId="77777777" w:rsidR="00A03620" w:rsidRPr="00A03620" w:rsidRDefault="00A03620" w:rsidP="00A03620">
            <w:pPr>
              <w:tabs>
                <w:tab w:val="clear" w:pos="567"/>
              </w:tabs>
              <w:spacing w:before="0" w:line="240" w:lineRule="auto"/>
              <w:jc w:val="right"/>
              <w:rPr>
                <w:rFonts w:eastAsia="Times New Roman" w:cs="Open Sans Light"/>
                <w:color w:val="000000"/>
                <w:sz w:val="16"/>
                <w:szCs w:val="16"/>
                <w:lang w:eastAsia="en-AU"/>
              </w:rPr>
            </w:pPr>
            <w:r w:rsidRPr="00A03620">
              <w:rPr>
                <w:rFonts w:eastAsia="Times New Roman" w:cs="Open Sans Light"/>
                <w:color w:val="000000"/>
                <w:sz w:val="16"/>
                <w:szCs w:val="16"/>
                <w:lang w:eastAsia="en-AU"/>
              </w:rPr>
              <w:t>-1</w:t>
            </w:r>
          </w:p>
        </w:tc>
        <w:tc>
          <w:tcPr>
            <w:tcW w:w="640" w:type="dxa"/>
            <w:tcBorders>
              <w:top w:val="single" w:sz="4" w:space="0" w:color="ADD6EA"/>
              <w:left w:val="nil"/>
              <w:bottom w:val="nil"/>
              <w:right w:val="nil"/>
            </w:tcBorders>
            <w:shd w:val="clear" w:color="000000" w:fill="FFFFFF"/>
            <w:vAlign w:val="center"/>
            <w:hideMark/>
          </w:tcPr>
          <w:p w14:paraId="7BC606B1" w14:textId="77777777" w:rsidR="00A03620" w:rsidRPr="00A03620" w:rsidRDefault="00A03620" w:rsidP="00A03620">
            <w:pPr>
              <w:tabs>
                <w:tab w:val="clear" w:pos="567"/>
              </w:tabs>
              <w:spacing w:before="0" w:line="240" w:lineRule="auto"/>
              <w:jc w:val="right"/>
              <w:rPr>
                <w:rFonts w:eastAsia="Times New Roman" w:cs="Open Sans Light"/>
                <w:color w:val="000000"/>
                <w:sz w:val="16"/>
                <w:szCs w:val="16"/>
                <w:lang w:eastAsia="en-AU"/>
              </w:rPr>
            </w:pPr>
            <w:r w:rsidRPr="00A03620">
              <w:rPr>
                <w:rFonts w:eastAsia="Times New Roman" w:cs="Open Sans Light"/>
                <w:color w:val="000000"/>
                <w:sz w:val="16"/>
                <w:szCs w:val="16"/>
                <w:lang w:eastAsia="en-AU"/>
              </w:rPr>
              <w:t>39</w:t>
            </w:r>
          </w:p>
        </w:tc>
        <w:tc>
          <w:tcPr>
            <w:tcW w:w="660" w:type="dxa"/>
            <w:tcBorders>
              <w:top w:val="single" w:sz="4" w:space="0" w:color="ADD6EA"/>
              <w:left w:val="nil"/>
              <w:bottom w:val="nil"/>
              <w:right w:val="nil"/>
            </w:tcBorders>
            <w:shd w:val="clear" w:color="000000" w:fill="FFFFFF"/>
            <w:vAlign w:val="center"/>
            <w:hideMark/>
          </w:tcPr>
          <w:p w14:paraId="76FBA690" w14:textId="77777777" w:rsidR="00A03620" w:rsidRPr="00A03620" w:rsidRDefault="00A03620" w:rsidP="00A03620">
            <w:pPr>
              <w:tabs>
                <w:tab w:val="clear" w:pos="567"/>
              </w:tabs>
              <w:spacing w:before="0" w:line="240" w:lineRule="auto"/>
              <w:jc w:val="right"/>
              <w:rPr>
                <w:rFonts w:eastAsia="Times New Roman" w:cs="Open Sans Light"/>
                <w:color w:val="000000"/>
                <w:sz w:val="16"/>
                <w:szCs w:val="16"/>
                <w:lang w:eastAsia="en-AU"/>
              </w:rPr>
            </w:pPr>
            <w:r w:rsidRPr="00A03620">
              <w:rPr>
                <w:rFonts w:eastAsia="Times New Roman" w:cs="Open Sans Light"/>
                <w:color w:val="000000"/>
                <w:sz w:val="16"/>
                <w:szCs w:val="16"/>
                <w:lang w:eastAsia="en-AU"/>
              </w:rPr>
              <w:t>56</w:t>
            </w:r>
          </w:p>
        </w:tc>
      </w:tr>
      <w:tr w:rsidR="00A03620" w:rsidRPr="00A03620" w14:paraId="6360A803" w14:textId="77777777" w:rsidTr="00A03620">
        <w:trPr>
          <w:trHeight w:val="315"/>
        </w:trPr>
        <w:tc>
          <w:tcPr>
            <w:tcW w:w="3160" w:type="dxa"/>
            <w:tcBorders>
              <w:top w:val="single" w:sz="4" w:space="0" w:color="ADD6EA"/>
              <w:left w:val="nil"/>
              <w:bottom w:val="nil"/>
              <w:right w:val="nil"/>
            </w:tcBorders>
            <w:shd w:val="clear" w:color="000000" w:fill="FFFFFF"/>
            <w:vAlign w:val="center"/>
            <w:hideMark/>
          </w:tcPr>
          <w:p w14:paraId="27D17371" w14:textId="77777777" w:rsidR="00A03620" w:rsidRPr="00A03620" w:rsidRDefault="00A03620" w:rsidP="00A03620">
            <w:pPr>
              <w:tabs>
                <w:tab w:val="clear" w:pos="567"/>
              </w:tabs>
              <w:spacing w:before="0" w:line="240" w:lineRule="auto"/>
              <w:rPr>
                <w:rFonts w:eastAsia="Times New Roman" w:cs="Open Sans Light"/>
                <w:color w:val="000000"/>
                <w:sz w:val="16"/>
                <w:szCs w:val="16"/>
                <w:lang w:eastAsia="en-AU"/>
              </w:rPr>
            </w:pPr>
            <w:r w:rsidRPr="00A03620">
              <w:rPr>
                <w:rFonts w:eastAsia="Times New Roman" w:cs="Open Sans Light"/>
                <w:color w:val="000000"/>
                <w:sz w:val="16"/>
                <w:szCs w:val="16"/>
                <w:lang w:eastAsia="en-AU"/>
              </w:rPr>
              <w:t>Spending allocated to homelessness</w:t>
            </w:r>
          </w:p>
        </w:tc>
        <w:tc>
          <w:tcPr>
            <w:tcW w:w="640" w:type="dxa"/>
            <w:tcBorders>
              <w:top w:val="single" w:sz="4" w:space="0" w:color="ADD6EA"/>
              <w:left w:val="nil"/>
              <w:bottom w:val="nil"/>
              <w:right w:val="nil"/>
            </w:tcBorders>
            <w:shd w:val="clear" w:color="000000" w:fill="FFFFFF"/>
            <w:vAlign w:val="center"/>
            <w:hideMark/>
          </w:tcPr>
          <w:p w14:paraId="29468E2B" w14:textId="77777777" w:rsidR="00A03620" w:rsidRPr="00A03620" w:rsidRDefault="00A03620" w:rsidP="00A03620">
            <w:pPr>
              <w:tabs>
                <w:tab w:val="clear" w:pos="567"/>
              </w:tabs>
              <w:spacing w:before="0" w:line="240" w:lineRule="auto"/>
              <w:jc w:val="right"/>
              <w:rPr>
                <w:rFonts w:eastAsia="Times New Roman" w:cs="Open Sans Light"/>
                <w:color w:val="000000"/>
                <w:sz w:val="16"/>
                <w:szCs w:val="16"/>
                <w:lang w:eastAsia="en-AU"/>
              </w:rPr>
            </w:pPr>
            <w:r w:rsidRPr="00A03620">
              <w:rPr>
                <w:rFonts w:eastAsia="Times New Roman" w:cs="Open Sans Light"/>
                <w:color w:val="000000"/>
                <w:sz w:val="16"/>
                <w:szCs w:val="16"/>
                <w:lang w:eastAsia="en-AU"/>
              </w:rPr>
              <w:t>5</w:t>
            </w:r>
          </w:p>
        </w:tc>
        <w:tc>
          <w:tcPr>
            <w:tcW w:w="640" w:type="dxa"/>
            <w:tcBorders>
              <w:top w:val="single" w:sz="4" w:space="0" w:color="ADD6EA"/>
              <w:left w:val="nil"/>
              <w:bottom w:val="nil"/>
              <w:right w:val="nil"/>
            </w:tcBorders>
            <w:shd w:val="clear" w:color="000000" w:fill="FFFFFF"/>
            <w:vAlign w:val="center"/>
            <w:hideMark/>
          </w:tcPr>
          <w:p w14:paraId="12C8D27A" w14:textId="77777777" w:rsidR="00A03620" w:rsidRPr="00A03620" w:rsidRDefault="00A03620" w:rsidP="00A03620">
            <w:pPr>
              <w:tabs>
                <w:tab w:val="clear" w:pos="567"/>
              </w:tabs>
              <w:spacing w:before="0" w:line="240" w:lineRule="auto"/>
              <w:jc w:val="right"/>
              <w:rPr>
                <w:rFonts w:eastAsia="Times New Roman" w:cs="Open Sans Light"/>
                <w:color w:val="000000"/>
                <w:sz w:val="16"/>
                <w:szCs w:val="16"/>
                <w:lang w:eastAsia="en-AU"/>
              </w:rPr>
            </w:pPr>
            <w:r w:rsidRPr="00A03620">
              <w:rPr>
                <w:rFonts w:eastAsia="Times New Roman" w:cs="Open Sans Light"/>
                <w:color w:val="000000"/>
                <w:sz w:val="16"/>
                <w:szCs w:val="16"/>
                <w:lang w:eastAsia="en-AU"/>
              </w:rPr>
              <w:t>12</w:t>
            </w:r>
          </w:p>
        </w:tc>
        <w:tc>
          <w:tcPr>
            <w:tcW w:w="640" w:type="dxa"/>
            <w:tcBorders>
              <w:top w:val="single" w:sz="4" w:space="0" w:color="ADD6EA"/>
              <w:left w:val="nil"/>
              <w:bottom w:val="nil"/>
              <w:right w:val="nil"/>
            </w:tcBorders>
            <w:shd w:val="clear" w:color="000000" w:fill="FFFFFF"/>
            <w:vAlign w:val="center"/>
            <w:hideMark/>
          </w:tcPr>
          <w:p w14:paraId="3D3F5768" w14:textId="77777777" w:rsidR="00A03620" w:rsidRPr="00A03620" w:rsidRDefault="00A03620" w:rsidP="00A03620">
            <w:pPr>
              <w:tabs>
                <w:tab w:val="clear" w:pos="567"/>
              </w:tabs>
              <w:spacing w:before="0" w:line="240" w:lineRule="auto"/>
              <w:jc w:val="right"/>
              <w:rPr>
                <w:rFonts w:eastAsia="Times New Roman" w:cs="Open Sans Light"/>
                <w:color w:val="000000"/>
                <w:sz w:val="16"/>
                <w:szCs w:val="16"/>
                <w:lang w:eastAsia="en-AU"/>
              </w:rPr>
            </w:pPr>
            <w:r w:rsidRPr="00A03620">
              <w:rPr>
                <w:rFonts w:eastAsia="Times New Roman" w:cs="Open Sans Light"/>
                <w:color w:val="000000"/>
                <w:sz w:val="16"/>
                <w:szCs w:val="16"/>
                <w:lang w:eastAsia="en-AU"/>
              </w:rPr>
              <w:t>-4</w:t>
            </w:r>
          </w:p>
        </w:tc>
        <w:tc>
          <w:tcPr>
            <w:tcW w:w="640" w:type="dxa"/>
            <w:tcBorders>
              <w:top w:val="single" w:sz="4" w:space="0" w:color="ADD6EA"/>
              <w:left w:val="nil"/>
              <w:bottom w:val="nil"/>
              <w:right w:val="nil"/>
            </w:tcBorders>
            <w:shd w:val="clear" w:color="000000" w:fill="FFFFFF"/>
            <w:vAlign w:val="center"/>
            <w:hideMark/>
          </w:tcPr>
          <w:p w14:paraId="4208F664" w14:textId="77777777" w:rsidR="00A03620" w:rsidRPr="00A03620" w:rsidRDefault="00A03620" w:rsidP="00A03620">
            <w:pPr>
              <w:tabs>
                <w:tab w:val="clear" w:pos="567"/>
              </w:tabs>
              <w:spacing w:before="0" w:line="240" w:lineRule="auto"/>
              <w:jc w:val="right"/>
              <w:rPr>
                <w:rFonts w:eastAsia="Times New Roman" w:cs="Open Sans Light"/>
                <w:color w:val="000000"/>
                <w:sz w:val="16"/>
                <w:szCs w:val="16"/>
                <w:lang w:eastAsia="en-AU"/>
              </w:rPr>
            </w:pPr>
            <w:r w:rsidRPr="00A03620">
              <w:rPr>
                <w:rFonts w:eastAsia="Times New Roman" w:cs="Open Sans Light"/>
                <w:color w:val="000000"/>
                <w:sz w:val="16"/>
                <w:szCs w:val="16"/>
                <w:lang w:eastAsia="en-AU"/>
              </w:rPr>
              <w:t>-6</w:t>
            </w:r>
          </w:p>
        </w:tc>
        <w:tc>
          <w:tcPr>
            <w:tcW w:w="640" w:type="dxa"/>
            <w:tcBorders>
              <w:top w:val="single" w:sz="4" w:space="0" w:color="ADD6EA"/>
              <w:left w:val="nil"/>
              <w:bottom w:val="nil"/>
              <w:right w:val="nil"/>
            </w:tcBorders>
            <w:shd w:val="clear" w:color="000000" w:fill="FFFFFF"/>
            <w:vAlign w:val="center"/>
            <w:hideMark/>
          </w:tcPr>
          <w:p w14:paraId="6CE12A59" w14:textId="77777777" w:rsidR="00A03620" w:rsidRPr="00A03620" w:rsidRDefault="00A03620" w:rsidP="00A03620">
            <w:pPr>
              <w:tabs>
                <w:tab w:val="clear" w:pos="567"/>
              </w:tabs>
              <w:spacing w:before="0" w:line="240" w:lineRule="auto"/>
              <w:jc w:val="right"/>
              <w:rPr>
                <w:rFonts w:eastAsia="Times New Roman" w:cs="Open Sans Light"/>
                <w:color w:val="000000"/>
                <w:sz w:val="16"/>
                <w:szCs w:val="16"/>
                <w:lang w:eastAsia="en-AU"/>
              </w:rPr>
            </w:pPr>
            <w:r w:rsidRPr="00A03620">
              <w:rPr>
                <w:rFonts w:eastAsia="Times New Roman" w:cs="Open Sans Light"/>
                <w:color w:val="000000"/>
                <w:sz w:val="16"/>
                <w:szCs w:val="16"/>
                <w:lang w:eastAsia="en-AU"/>
              </w:rPr>
              <w:t>-2</w:t>
            </w:r>
          </w:p>
        </w:tc>
        <w:tc>
          <w:tcPr>
            <w:tcW w:w="640" w:type="dxa"/>
            <w:tcBorders>
              <w:top w:val="single" w:sz="4" w:space="0" w:color="ADD6EA"/>
              <w:left w:val="nil"/>
              <w:bottom w:val="nil"/>
              <w:right w:val="nil"/>
            </w:tcBorders>
            <w:shd w:val="clear" w:color="000000" w:fill="FFFFFF"/>
            <w:vAlign w:val="center"/>
            <w:hideMark/>
          </w:tcPr>
          <w:p w14:paraId="1522983D" w14:textId="77777777" w:rsidR="00A03620" w:rsidRPr="00A03620" w:rsidRDefault="00A03620" w:rsidP="00A03620">
            <w:pPr>
              <w:tabs>
                <w:tab w:val="clear" w:pos="567"/>
              </w:tabs>
              <w:spacing w:before="0" w:line="240" w:lineRule="auto"/>
              <w:jc w:val="right"/>
              <w:rPr>
                <w:rFonts w:eastAsia="Times New Roman" w:cs="Open Sans Light"/>
                <w:color w:val="000000"/>
                <w:sz w:val="16"/>
                <w:szCs w:val="16"/>
                <w:lang w:eastAsia="en-AU"/>
              </w:rPr>
            </w:pPr>
            <w:r w:rsidRPr="00A03620">
              <w:rPr>
                <w:rFonts w:eastAsia="Times New Roman" w:cs="Open Sans Light"/>
                <w:color w:val="000000"/>
                <w:sz w:val="16"/>
                <w:szCs w:val="16"/>
                <w:lang w:eastAsia="en-AU"/>
              </w:rPr>
              <w:t>0</w:t>
            </w:r>
          </w:p>
        </w:tc>
        <w:tc>
          <w:tcPr>
            <w:tcW w:w="640" w:type="dxa"/>
            <w:tcBorders>
              <w:top w:val="single" w:sz="4" w:space="0" w:color="ADD6EA"/>
              <w:left w:val="nil"/>
              <w:bottom w:val="nil"/>
              <w:right w:val="nil"/>
            </w:tcBorders>
            <w:shd w:val="clear" w:color="000000" w:fill="FFFFFF"/>
            <w:vAlign w:val="center"/>
            <w:hideMark/>
          </w:tcPr>
          <w:p w14:paraId="6B371208" w14:textId="77777777" w:rsidR="00A03620" w:rsidRPr="00A03620" w:rsidRDefault="00A03620" w:rsidP="00A03620">
            <w:pPr>
              <w:tabs>
                <w:tab w:val="clear" w:pos="567"/>
              </w:tabs>
              <w:spacing w:before="0" w:line="240" w:lineRule="auto"/>
              <w:jc w:val="right"/>
              <w:rPr>
                <w:rFonts w:eastAsia="Times New Roman" w:cs="Open Sans Light"/>
                <w:color w:val="000000"/>
                <w:sz w:val="16"/>
                <w:szCs w:val="16"/>
                <w:lang w:eastAsia="en-AU"/>
              </w:rPr>
            </w:pPr>
            <w:r w:rsidRPr="00A03620">
              <w:rPr>
                <w:rFonts w:eastAsia="Times New Roman" w:cs="Open Sans Light"/>
                <w:color w:val="000000"/>
                <w:sz w:val="16"/>
                <w:szCs w:val="16"/>
                <w:lang w:eastAsia="en-AU"/>
              </w:rPr>
              <w:t>2</w:t>
            </w:r>
          </w:p>
        </w:tc>
        <w:tc>
          <w:tcPr>
            <w:tcW w:w="640" w:type="dxa"/>
            <w:tcBorders>
              <w:top w:val="single" w:sz="4" w:space="0" w:color="ADD6EA"/>
              <w:left w:val="nil"/>
              <w:bottom w:val="nil"/>
              <w:right w:val="nil"/>
            </w:tcBorders>
            <w:shd w:val="clear" w:color="000000" w:fill="FFFFFF"/>
            <w:vAlign w:val="center"/>
            <w:hideMark/>
          </w:tcPr>
          <w:p w14:paraId="3ABBADC0" w14:textId="77777777" w:rsidR="00A03620" w:rsidRPr="00A03620" w:rsidRDefault="00A03620" w:rsidP="00A03620">
            <w:pPr>
              <w:tabs>
                <w:tab w:val="clear" w:pos="567"/>
              </w:tabs>
              <w:spacing w:before="0" w:line="240" w:lineRule="auto"/>
              <w:jc w:val="right"/>
              <w:rPr>
                <w:rFonts w:eastAsia="Times New Roman" w:cs="Open Sans Light"/>
                <w:color w:val="000000"/>
                <w:sz w:val="16"/>
                <w:szCs w:val="16"/>
                <w:lang w:eastAsia="en-AU"/>
              </w:rPr>
            </w:pPr>
            <w:r w:rsidRPr="00A03620">
              <w:rPr>
                <w:rFonts w:eastAsia="Times New Roman" w:cs="Open Sans Light"/>
                <w:color w:val="000000"/>
                <w:sz w:val="16"/>
                <w:szCs w:val="16"/>
                <w:lang w:eastAsia="en-AU"/>
              </w:rPr>
              <w:t>-7</w:t>
            </w:r>
          </w:p>
        </w:tc>
        <w:tc>
          <w:tcPr>
            <w:tcW w:w="660" w:type="dxa"/>
            <w:tcBorders>
              <w:top w:val="single" w:sz="4" w:space="0" w:color="ADD6EA"/>
              <w:left w:val="nil"/>
              <w:bottom w:val="nil"/>
              <w:right w:val="nil"/>
            </w:tcBorders>
            <w:shd w:val="clear" w:color="000000" w:fill="FFFFFF"/>
            <w:vAlign w:val="center"/>
            <w:hideMark/>
          </w:tcPr>
          <w:p w14:paraId="4D056781" w14:textId="77777777" w:rsidR="00A03620" w:rsidRPr="00A03620" w:rsidRDefault="00A03620" w:rsidP="00A03620">
            <w:pPr>
              <w:tabs>
                <w:tab w:val="clear" w:pos="567"/>
              </w:tabs>
              <w:spacing w:before="0" w:line="240" w:lineRule="auto"/>
              <w:jc w:val="right"/>
              <w:rPr>
                <w:rFonts w:eastAsia="Times New Roman" w:cs="Open Sans Light"/>
                <w:color w:val="000000"/>
                <w:sz w:val="16"/>
                <w:szCs w:val="16"/>
                <w:lang w:eastAsia="en-AU"/>
              </w:rPr>
            </w:pPr>
            <w:r w:rsidRPr="00A03620">
              <w:rPr>
                <w:rFonts w:eastAsia="Times New Roman" w:cs="Open Sans Light"/>
                <w:color w:val="000000"/>
                <w:sz w:val="16"/>
                <w:szCs w:val="16"/>
                <w:lang w:eastAsia="en-AU"/>
              </w:rPr>
              <w:t>18</w:t>
            </w:r>
          </w:p>
        </w:tc>
      </w:tr>
      <w:tr w:rsidR="00A03620" w:rsidRPr="00A03620" w14:paraId="49CB69DC" w14:textId="77777777" w:rsidTr="00A03620">
        <w:trPr>
          <w:trHeight w:val="315"/>
        </w:trPr>
        <w:tc>
          <w:tcPr>
            <w:tcW w:w="3160" w:type="dxa"/>
            <w:tcBorders>
              <w:top w:val="single" w:sz="4" w:space="0" w:color="ADD6EA"/>
              <w:left w:val="nil"/>
              <w:bottom w:val="nil"/>
              <w:right w:val="nil"/>
            </w:tcBorders>
            <w:shd w:val="clear" w:color="000000" w:fill="D6E7F0"/>
            <w:vAlign w:val="center"/>
            <w:hideMark/>
          </w:tcPr>
          <w:p w14:paraId="0E1A675D" w14:textId="77777777" w:rsidR="00A03620" w:rsidRPr="00A03620" w:rsidRDefault="00A03620" w:rsidP="00A03620">
            <w:pPr>
              <w:tabs>
                <w:tab w:val="clear" w:pos="567"/>
              </w:tabs>
              <w:spacing w:before="0" w:line="240" w:lineRule="auto"/>
              <w:rPr>
                <w:rFonts w:ascii="Open Sans Semibold" w:eastAsia="Times New Roman" w:hAnsi="Open Sans Semibold" w:cs="Open Sans Semibold"/>
                <w:color w:val="000000"/>
                <w:sz w:val="16"/>
                <w:szCs w:val="16"/>
                <w:lang w:eastAsia="en-AU"/>
              </w:rPr>
            </w:pPr>
            <w:r w:rsidRPr="00A03620">
              <w:rPr>
                <w:rFonts w:ascii="Open Sans Semibold" w:eastAsia="Times New Roman" w:hAnsi="Open Sans Semibold" w:cs="Open Sans Semibold"/>
                <w:color w:val="000000"/>
                <w:sz w:val="16"/>
                <w:szCs w:val="16"/>
                <w:lang w:eastAsia="en-AU"/>
              </w:rPr>
              <w:t>Total</w:t>
            </w:r>
          </w:p>
        </w:tc>
        <w:tc>
          <w:tcPr>
            <w:tcW w:w="640" w:type="dxa"/>
            <w:tcBorders>
              <w:top w:val="single" w:sz="4" w:space="0" w:color="ADD6EA"/>
              <w:left w:val="nil"/>
              <w:bottom w:val="nil"/>
              <w:right w:val="nil"/>
            </w:tcBorders>
            <w:shd w:val="clear" w:color="000000" w:fill="D6E7F0"/>
            <w:vAlign w:val="center"/>
            <w:hideMark/>
          </w:tcPr>
          <w:p w14:paraId="25FC2052" w14:textId="77777777" w:rsidR="00A03620" w:rsidRPr="00A03620" w:rsidRDefault="00A03620" w:rsidP="00A03620">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03620">
              <w:rPr>
                <w:rFonts w:ascii="Open Sans Semibold" w:eastAsia="Times New Roman" w:hAnsi="Open Sans Semibold" w:cs="Open Sans Semibold"/>
                <w:color w:val="000000"/>
                <w:sz w:val="16"/>
                <w:szCs w:val="16"/>
                <w:lang w:eastAsia="en-AU"/>
              </w:rPr>
              <w:t>22</w:t>
            </w:r>
          </w:p>
        </w:tc>
        <w:tc>
          <w:tcPr>
            <w:tcW w:w="640" w:type="dxa"/>
            <w:tcBorders>
              <w:top w:val="single" w:sz="4" w:space="0" w:color="ADD6EA"/>
              <w:left w:val="nil"/>
              <w:bottom w:val="nil"/>
              <w:right w:val="nil"/>
            </w:tcBorders>
            <w:shd w:val="clear" w:color="000000" w:fill="D6E7F0"/>
            <w:vAlign w:val="center"/>
            <w:hideMark/>
          </w:tcPr>
          <w:p w14:paraId="5470B2D8" w14:textId="77777777" w:rsidR="00A03620" w:rsidRPr="00A03620" w:rsidRDefault="00A03620" w:rsidP="00A03620">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03620">
              <w:rPr>
                <w:rFonts w:ascii="Open Sans Semibold" w:eastAsia="Times New Roman" w:hAnsi="Open Sans Semibold" w:cs="Open Sans Semibold"/>
                <w:color w:val="000000"/>
                <w:sz w:val="16"/>
                <w:szCs w:val="16"/>
                <w:lang w:eastAsia="en-AU"/>
              </w:rPr>
              <w:t>1</w:t>
            </w:r>
          </w:p>
        </w:tc>
        <w:tc>
          <w:tcPr>
            <w:tcW w:w="640" w:type="dxa"/>
            <w:tcBorders>
              <w:top w:val="single" w:sz="4" w:space="0" w:color="ADD6EA"/>
              <w:left w:val="nil"/>
              <w:bottom w:val="nil"/>
              <w:right w:val="nil"/>
            </w:tcBorders>
            <w:shd w:val="clear" w:color="000000" w:fill="D6E7F0"/>
            <w:vAlign w:val="center"/>
            <w:hideMark/>
          </w:tcPr>
          <w:p w14:paraId="0289E622" w14:textId="77777777" w:rsidR="00A03620" w:rsidRPr="00A03620" w:rsidRDefault="00A03620" w:rsidP="00A03620">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03620">
              <w:rPr>
                <w:rFonts w:ascii="Open Sans Semibold" w:eastAsia="Times New Roman" w:hAnsi="Open Sans Semibold" w:cs="Open Sans Semibold"/>
                <w:color w:val="000000"/>
                <w:sz w:val="16"/>
                <w:szCs w:val="16"/>
                <w:lang w:eastAsia="en-AU"/>
              </w:rPr>
              <w:t>-3</w:t>
            </w:r>
          </w:p>
        </w:tc>
        <w:tc>
          <w:tcPr>
            <w:tcW w:w="640" w:type="dxa"/>
            <w:tcBorders>
              <w:top w:val="single" w:sz="4" w:space="0" w:color="ADD6EA"/>
              <w:left w:val="nil"/>
              <w:bottom w:val="nil"/>
              <w:right w:val="nil"/>
            </w:tcBorders>
            <w:shd w:val="clear" w:color="000000" w:fill="D6E7F0"/>
            <w:vAlign w:val="center"/>
            <w:hideMark/>
          </w:tcPr>
          <w:p w14:paraId="7F4E5BC6" w14:textId="77777777" w:rsidR="00A03620" w:rsidRPr="00A03620" w:rsidRDefault="00A03620" w:rsidP="00A03620">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03620">
              <w:rPr>
                <w:rFonts w:ascii="Open Sans Semibold" w:eastAsia="Times New Roman" w:hAnsi="Open Sans Semibold" w:cs="Open Sans Semibold"/>
                <w:color w:val="000000"/>
                <w:sz w:val="16"/>
                <w:szCs w:val="16"/>
                <w:lang w:eastAsia="en-AU"/>
              </w:rPr>
              <w:t>-35</w:t>
            </w:r>
          </w:p>
        </w:tc>
        <w:tc>
          <w:tcPr>
            <w:tcW w:w="640" w:type="dxa"/>
            <w:tcBorders>
              <w:top w:val="single" w:sz="4" w:space="0" w:color="ADD6EA"/>
              <w:left w:val="nil"/>
              <w:bottom w:val="nil"/>
              <w:right w:val="nil"/>
            </w:tcBorders>
            <w:shd w:val="clear" w:color="000000" w:fill="D6E7F0"/>
            <w:vAlign w:val="center"/>
            <w:hideMark/>
          </w:tcPr>
          <w:p w14:paraId="7C23A853" w14:textId="77777777" w:rsidR="00A03620" w:rsidRPr="00A03620" w:rsidRDefault="00A03620" w:rsidP="00A03620">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03620">
              <w:rPr>
                <w:rFonts w:ascii="Open Sans Semibold" w:eastAsia="Times New Roman" w:hAnsi="Open Sans Semibold" w:cs="Open Sans Semibold"/>
                <w:color w:val="000000"/>
                <w:sz w:val="16"/>
                <w:szCs w:val="16"/>
                <w:lang w:eastAsia="en-AU"/>
              </w:rPr>
              <w:t>-16</w:t>
            </w:r>
          </w:p>
        </w:tc>
        <w:tc>
          <w:tcPr>
            <w:tcW w:w="640" w:type="dxa"/>
            <w:tcBorders>
              <w:top w:val="single" w:sz="4" w:space="0" w:color="ADD6EA"/>
              <w:left w:val="nil"/>
              <w:bottom w:val="nil"/>
              <w:right w:val="nil"/>
            </w:tcBorders>
            <w:shd w:val="clear" w:color="000000" w:fill="D6E7F0"/>
            <w:vAlign w:val="center"/>
            <w:hideMark/>
          </w:tcPr>
          <w:p w14:paraId="7EFD708F" w14:textId="77777777" w:rsidR="00A03620" w:rsidRPr="00A03620" w:rsidRDefault="00A03620" w:rsidP="00A03620">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03620">
              <w:rPr>
                <w:rFonts w:ascii="Open Sans Semibold" w:eastAsia="Times New Roman" w:hAnsi="Open Sans Semibold" w:cs="Open Sans Semibold"/>
                <w:color w:val="000000"/>
                <w:sz w:val="16"/>
                <w:szCs w:val="16"/>
                <w:lang w:eastAsia="en-AU"/>
              </w:rPr>
              <w:t>-1</w:t>
            </w:r>
          </w:p>
        </w:tc>
        <w:tc>
          <w:tcPr>
            <w:tcW w:w="640" w:type="dxa"/>
            <w:tcBorders>
              <w:top w:val="single" w:sz="4" w:space="0" w:color="ADD6EA"/>
              <w:left w:val="nil"/>
              <w:bottom w:val="nil"/>
              <w:right w:val="nil"/>
            </w:tcBorders>
            <w:shd w:val="clear" w:color="000000" w:fill="D6E7F0"/>
            <w:vAlign w:val="center"/>
            <w:hideMark/>
          </w:tcPr>
          <w:p w14:paraId="5BD41A41" w14:textId="77777777" w:rsidR="00A03620" w:rsidRPr="00A03620" w:rsidRDefault="00A03620" w:rsidP="00A03620">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03620">
              <w:rPr>
                <w:rFonts w:ascii="Open Sans Semibold" w:eastAsia="Times New Roman" w:hAnsi="Open Sans Semibold" w:cs="Open Sans Semibold"/>
                <w:color w:val="000000"/>
                <w:sz w:val="16"/>
                <w:szCs w:val="16"/>
                <w:lang w:eastAsia="en-AU"/>
              </w:rPr>
              <w:t>0</w:t>
            </w:r>
          </w:p>
        </w:tc>
        <w:tc>
          <w:tcPr>
            <w:tcW w:w="640" w:type="dxa"/>
            <w:tcBorders>
              <w:top w:val="single" w:sz="4" w:space="0" w:color="ADD6EA"/>
              <w:left w:val="nil"/>
              <w:bottom w:val="nil"/>
              <w:right w:val="nil"/>
            </w:tcBorders>
            <w:shd w:val="clear" w:color="000000" w:fill="D6E7F0"/>
            <w:vAlign w:val="center"/>
            <w:hideMark/>
          </w:tcPr>
          <w:p w14:paraId="730016A3" w14:textId="77777777" w:rsidR="00A03620" w:rsidRPr="00A03620" w:rsidRDefault="00A03620" w:rsidP="00A03620">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03620">
              <w:rPr>
                <w:rFonts w:ascii="Open Sans Semibold" w:eastAsia="Times New Roman" w:hAnsi="Open Sans Semibold" w:cs="Open Sans Semibold"/>
                <w:color w:val="000000"/>
                <w:sz w:val="16"/>
                <w:szCs w:val="16"/>
                <w:lang w:eastAsia="en-AU"/>
              </w:rPr>
              <w:t>32</w:t>
            </w:r>
          </w:p>
        </w:tc>
        <w:tc>
          <w:tcPr>
            <w:tcW w:w="660" w:type="dxa"/>
            <w:tcBorders>
              <w:top w:val="single" w:sz="4" w:space="0" w:color="ADD6EA"/>
              <w:left w:val="nil"/>
              <w:bottom w:val="nil"/>
              <w:right w:val="nil"/>
            </w:tcBorders>
            <w:shd w:val="clear" w:color="000000" w:fill="D6E7F0"/>
            <w:vAlign w:val="center"/>
            <w:hideMark/>
          </w:tcPr>
          <w:p w14:paraId="6571620D" w14:textId="77777777" w:rsidR="00A03620" w:rsidRPr="00A03620" w:rsidRDefault="00A03620" w:rsidP="00A03620">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03620">
              <w:rPr>
                <w:rFonts w:ascii="Open Sans Semibold" w:eastAsia="Times New Roman" w:hAnsi="Open Sans Semibold" w:cs="Open Sans Semibold"/>
                <w:color w:val="000000"/>
                <w:sz w:val="16"/>
                <w:szCs w:val="16"/>
                <w:lang w:eastAsia="en-AU"/>
              </w:rPr>
              <w:t>54</w:t>
            </w:r>
          </w:p>
        </w:tc>
      </w:tr>
      <w:tr w:rsidR="00A03620" w:rsidRPr="00A03620" w14:paraId="315C3FD4" w14:textId="77777777" w:rsidTr="00A03620">
        <w:trPr>
          <w:trHeight w:val="259"/>
        </w:trPr>
        <w:tc>
          <w:tcPr>
            <w:tcW w:w="3160" w:type="dxa"/>
            <w:tcBorders>
              <w:top w:val="single" w:sz="4" w:space="0" w:color="ADD6EA"/>
              <w:left w:val="nil"/>
              <w:bottom w:val="nil"/>
              <w:right w:val="nil"/>
            </w:tcBorders>
            <w:shd w:val="clear" w:color="000000" w:fill="B6D5E4"/>
            <w:vAlign w:val="center"/>
            <w:hideMark/>
          </w:tcPr>
          <w:p w14:paraId="1BA8EE4C" w14:textId="77777777" w:rsidR="00A03620" w:rsidRPr="00A03620" w:rsidRDefault="00A03620" w:rsidP="00A03620">
            <w:pPr>
              <w:tabs>
                <w:tab w:val="clear" w:pos="567"/>
              </w:tabs>
              <w:spacing w:before="0" w:line="240" w:lineRule="auto"/>
              <w:rPr>
                <w:rFonts w:ascii="Open Sans Semibold" w:eastAsia="Times New Roman" w:hAnsi="Open Sans Semibold" w:cs="Open Sans Semibold"/>
                <w:color w:val="000000"/>
                <w:sz w:val="16"/>
                <w:szCs w:val="16"/>
                <w:lang w:eastAsia="en-AU"/>
              </w:rPr>
            </w:pPr>
            <w:r w:rsidRPr="00A03620">
              <w:rPr>
                <w:rFonts w:ascii="Open Sans Semibold" w:eastAsia="Times New Roman" w:hAnsi="Open Sans Semibold" w:cs="Open Sans Semibold"/>
                <w:color w:val="000000"/>
                <w:sz w:val="16"/>
                <w:szCs w:val="16"/>
                <w:lang w:eastAsia="en-AU"/>
              </w:rPr>
              <w:t> </w:t>
            </w:r>
          </w:p>
        </w:tc>
        <w:tc>
          <w:tcPr>
            <w:tcW w:w="640" w:type="dxa"/>
            <w:tcBorders>
              <w:top w:val="single" w:sz="4" w:space="0" w:color="ADD6EA"/>
              <w:left w:val="nil"/>
              <w:bottom w:val="nil"/>
              <w:right w:val="nil"/>
            </w:tcBorders>
            <w:shd w:val="clear" w:color="000000" w:fill="B6D5E4"/>
            <w:vAlign w:val="center"/>
            <w:hideMark/>
          </w:tcPr>
          <w:p w14:paraId="3ACA9720" w14:textId="77777777" w:rsidR="00A03620" w:rsidRPr="00A03620" w:rsidRDefault="00A03620" w:rsidP="00A03620">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03620">
              <w:rPr>
                <w:rFonts w:ascii="Open Sans Semibold" w:eastAsia="Times New Roman" w:hAnsi="Open Sans Semibold" w:cs="Open Sans Semibold"/>
                <w:color w:val="000000"/>
                <w:sz w:val="16"/>
                <w:szCs w:val="16"/>
                <w:lang w:eastAsia="en-AU"/>
              </w:rPr>
              <w:t>$pc</w:t>
            </w:r>
          </w:p>
        </w:tc>
        <w:tc>
          <w:tcPr>
            <w:tcW w:w="640" w:type="dxa"/>
            <w:tcBorders>
              <w:top w:val="single" w:sz="4" w:space="0" w:color="ADD6EA"/>
              <w:left w:val="nil"/>
              <w:bottom w:val="nil"/>
              <w:right w:val="nil"/>
            </w:tcBorders>
            <w:shd w:val="clear" w:color="000000" w:fill="B6D5E4"/>
            <w:vAlign w:val="center"/>
            <w:hideMark/>
          </w:tcPr>
          <w:p w14:paraId="09148557" w14:textId="77777777" w:rsidR="00A03620" w:rsidRPr="00A03620" w:rsidRDefault="00A03620" w:rsidP="00A03620">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03620">
              <w:rPr>
                <w:rFonts w:ascii="Open Sans Semibold" w:eastAsia="Times New Roman" w:hAnsi="Open Sans Semibold" w:cs="Open Sans Semibold"/>
                <w:color w:val="000000"/>
                <w:sz w:val="16"/>
                <w:szCs w:val="16"/>
                <w:lang w:eastAsia="en-AU"/>
              </w:rPr>
              <w:t>$pc</w:t>
            </w:r>
          </w:p>
        </w:tc>
        <w:tc>
          <w:tcPr>
            <w:tcW w:w="640" w:type="dxa"/>
            <w:tcBorders>
              <w:top w:val="single" w:sz="4" w:space="0" w:color="ADD6EA"/>
              <w:left w:val="nil"/>
              <w:bottom w:val="nil"/>
              <w:right w:val="nil"/>
            </w:tcBorders>
            <w:shd w:val="clear" w:color="000000" w:fill="B6D5E4"/>
            <w:vAlign w:val="center"/>
            <w:hideMark/>
          </w:tcPr>
          <w:p w14:paraId="734BFE7E" w14:textId="77777777" w:rsidR="00A03620" w:rsidRPr="00A03620" w:rsidRDefault="00A03620" w:rsidP="00A03620">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03620">
              <w:rPr>
                <w:rFonts w:ascii="Open Sans Semibold" w:eastAsia="Times New Roman" w:hAnsi="Open Sans Semibold" w:cs="Open Sans Semibold"/>
                <w:color w:val="000000"/>
                <w:sz w:val="16"/>
                <w:szCs w:val="16"/>
                <w:lang w:eastAsia="en-AU"/>
              </w:rPr>
              <w:t>$pc</w:t>
            </w:r>
          </w:p>
        </w:tc>
        <w:tc>
          <w:tcPr>
            <w:tcW w:w="640" w:type="dxa"/>
            <w:tcBorders>
              <w:top w:val="single" w:sz="4" w:space="0" w:color="ADD6EA"/>
              <w:left w:val="nil"/>
              <w:bottom w:val="nil"/>
              <w:right w:val="nil"/>
            </w:tcBorders>
            <w:shd w:val="clear" w:color="000000" w:fill="B6D5E4"/>
            <w:vAlign w:val="center"/>
            <w:hideMark/>
          </w:tcPr>
          <w:p w14:paraId="456F2833" w14:textId="77777777" w:rsidR="00A03620" w:rsidRPr="00A03620" w:rsidRDefault="00A03620" w:rsidP="00A03620">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03620">
              <w:rPr>
                <w:rFonts w:ascii="Open Sans Semibold" w:eastAsia="Times New Roman" w:hAnsi="Open Sans Semibold" w:cs="Open Sans Semibold"/>
                <w:color w:val="000000"/>
                <w:sz w:val="16"/>
                <w:szCs w:val="16"/>
                <w:lang w:eastAsia="en-AU"/>
              </w:rPr>
              <w:t>$pc</w:t>
            </w:r>
          </w:p>
        </w:tc>
        <w:tc>
          <w:tcPr>
            <w:tcW w:w="640" w:type="dxa"/>
            <w:tcBorders>
              <w:top w:val="single" w:sz="4" w:space="0" w:color="ADD6EA"/>
              <w:left w:val="nil"/>
              <w:bottom w:val="nil"/>
              <w:right w:val="nil"/>
            </w:tcBorders>
            <w:shd w:val="clear" w:color="000000" w:fill="B6D5E4"/>
            <w:vAlign w:val="center"/>
            <w:hideMark/>
          </w:tcPr>
          <w:p w14:paraId="54661341" w14:textId="77777777" w:rsidR="00A03620" w:rsidRPr="00A03620" w:rsidRDefault="00A03620" w:rsidP="00A03620">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03620">
              <w:rPr>
                <w:rFonts w:ascii="Open Sans Semibold" w:eastAsia="Times New Roman" w:hAnsi="Open Sans Semibold" w:cs="Open Sans Semibold"/>
                <w:color w:val="000000"/>
                <w:sz w:val="16"/>
                <w:szCs w:val="16"/>
                <w:lang w:eastAsia="en-AU"/>
              </w:rPr>
              <w:t>$pc</w:t>
            </w:r>
          </w:p>
        </w:tc>
        <w:tc>
          <w:tcPr>
            <w:tcW w:w="640" w:type="dxa"/>
            <w:tcBorders>
              <w:top w:val="single" w:sz="4" w:space="0" w:color="ADD6EA"/>
              <w:left w:val="nil"/>
              <w:bottom w:val="nil"/>
              <w:right w:val="nil"/>
            </w:tcBorders>
            <w:shd w:val="clear" w:color="000000" w:fill="B6D5E4"/>
            <w:vAlign w:val="center"/>
            <w:hideMark/>
          </w:tcPr>
          <w:p w14:paraId="6AFD7F93" w14:textId="77777777" w:rsidR="00A03620" w:rsidRPr="00A03620" w:rsidRDefault="00A03620" w:rsidP="00A03620">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03620">
              <w:rPr>
                <w:rFonts w:ascii="Open Sans Semibold" w:eastAsia="Times New Roman" w:hAnsi="Open Sans Semibold" w:cs="Open Sans Semibold"/>
                <w:color w:val="000000"/>
                <w:sz w:val="16"/>
                <w:szCs w:val="16"/>
                <w:lang w:eastAsia="en-AU"/>
              </w:rPr>
              <w:t>$pc</w:t>
            </w:r>
          </w:p>
        </w:tc>
        <w:tc>
          <w:tcPr>
            <w:tcW w:w="640" w:type="dxa"/>
            <w:tcBorders>
              <w:top w:val="single" w:sz="4" w:space="0" w:color="ADD6EA"/>
              <w:left w:val="nil"/>
              <w:bottom w:val="nil"/>
              <w:right w:val="nil"/>
            </w:tcBorders>
            <w:shd w:val="clear" w:color="000000" w:fill="B6D5E4"/>
            <w:vAlign w:val="center"/>
            <w:hideMark/>
          </w:tcPr>
          <w:p w14:paraId="1A1417E0" w14:textId="77777777" w:rsidR="00A03620" w:rsidRPr="00A03620" w:rsidRDefault="00A03620" w:rsidP="00A03620">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03620">
              <w:rPr>
                <w:rFonts w:ascii="Open Sans Semibold" w:eastAsia="Times New Roman" w:hAnsi="Open Sans Semibold" w:cs="Open Sans Semibold"/>
                <w:color w:val="000000"/>
                <w:sz w:val="16"/>
                <w:szCs w:val="16"/>
                <w:lang w:eastAsia="en-AU"/>
              </w:rPr>
              <w:t>$pc</w:t>
            </w:r>
          </w:p>
        </w:tc>
        <w:tc>
          <w:tcPr>
            <w:tcW w:w="640" w:type="dxa"/>
            <w:tcBorders>
              <w:top w:val="single" w:sz="4" w:space="0" w:color="ADD6EA"/>
              <w:left w:val="nil"/>
              <w:bottom w:val="nil"/>
              <w:right w:val="nil"/>
            </w:tcBorders>
            <w:shd w:val="clear" w:color="000000" w:fill="B6D5E4"/>
            <w:vAlign w:val="center"/>
            <w:hideMark/>
          </w:tcPr>
          <w:p w14:paraId="0FE4AE64" w14:textId="77777777" w:rsidR="00A03620" w:rsidRPr="00A03620" w:rsidRDefault="00A03620" w:rsidP="00A03620">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03620">
              <w:rPr>
                <w:rFonts w:ascii="Open Sans Semibold" w:eastAsia="Times New Roman" w:hAnsi="Open Sans Semibold" w:cs="Open Sans Semibold"/>
                <w:color w:val="000000"/>
                <w:sz w:val="16"/>
                <w:szCs w:val="16"/>
                <w:lang w:eastAsia="en-AU"/>
              </w:rPr>
              <w:t>$pc</w:t>
            </w:r>
          </w:p>
        </w:tc>
        <w:tc>
          <w:tcPr>
            <w:tcW w:w="660" w:type="dxa"/>
            <w:tcBorders>
              <w:top w:val="single" w:sz="4" w:space="0" w:color="ADD6EA"/>
              <w:left w:val="nil"/>
              <w:bottom w:val="nil"/>
              <w:right w:val="nil"/>
            </w:tcBorders>
            <w:shd w:val="clear" w:color="000000" w:fill="B6D5E4"/>
            <w:vAlign w:val="center"/>
            <w:hideMark/>
          </w:tcPr>
          <w:p w14:paraId="5302E6C7" w14:textId="77777777" w:rsidR="00A03620" w:rsidRPr="00A03620" w:rsidRDefault="00A03620" w:rsidP="00A03620">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03620">
              <w:rPr>
                <w:rFonts w:ascii="Open Sans Semibold" w:eastAsia="Times New Roman" w:hAnsi="Open Sans Semibold" w:cs="Open Sans Semibold"/>
                <w:color w:val="000000"/>
                <w:sz w:val="16"/>
                <w:szCs w:val="16"/>
                <w:lang w:eastAsia="en-AU"/>
              </w:rPr>
              <w:t>$pc</w:t>
            </w:r>
          </w:p>
        </w:tc>
      </w:tr>
      <w:tr w:rsidR="00A03620" w:rsidRPr="00A03620" w14:paraId="46899BBF" w14:textId="77777777" w:rsidTr="00A03620">
        <w:trPr>
          <w:trHeight w:val="315"/>
        </w:trPr>
        <w:tc>
          <w:tcPr>
            <w:tcW w:w="3160" w:type="dxa"/>
            <w:tcBorders>
              <w:top w:val="single" w:sz="4" w:space="0" w:color="ADD6EA"/>
              <w:left w:val="nil"/>
              <w:bottom w:val="nil"/>
              <w:right w:val="nil"/>
            </w:tcBorders>
            <w:shd w:val="clear" w:color="000000" w:fill="FFFFFF"/>
            <w:vAlign w:val="center"/>
            <w:hideMark/>
          </w:tcPr>
          <w:p w14:paraId="3B097232" w14:textId="77777777" w:rsidR="00A03620" w:rsidRPr="00A03620" w:rsidRDefault="00A03620" w:rsidP="00A03620">
            <w:pPr>
              <w:tabs>
                <w:tab w:val="clear" w:pos="567"/>
              </w:tabs>
              <w:spacing w:before="0" w:line="240" w:lineRule="auto"/>
              <w:rPr>
                <w:rFonts w:eastAsia="Times New Roman" w:cs="Open Sans Light"/>
                <w:color w:val="000000"/>
                <w:sz w:val="16"/>
                <w:szCs w:val="16"/>
                <w:lang w:eastAsia="en-AU"/>
              </w:rPr>
            </w:pPr>
            <w:r w:rsidRPr="00A03620">
              <w:rPr>
                <w:rFonts w:eastAsia="Times New Roman" w:cs="Open Sans Light"/>
                <w:color w:val="000000"/>
                <w:sz w:val="16"/>
                <w:szCs w:val="16"/>
                <w:lang w:eastAsia="en-AU"/>
              </w:rPr>
              <w:t>Average household size model</w:t>
            </w:r>
          </w:p>
        </w:tc>
        <w:tc>
          <w:tcPr>
            <w:tcW w:w="640" w:type="dxa"/>
            <w:tcBorders>
              <w:top w:val="single" w:sz="4" w:space="0" w:color="ADD6EA"/>
              <w:left w:val="nil"/>
              <w:bottom w:val="nil"/>
              <w:right w:val="nil"/>
            </w:tcBorders>
            <w:shd w:val="clear" w:color="000000" w:fill="FFFFFF"/>
            <w:vAlign w:val="center"/>
            <w:hideMark/>
          </w:tcPr>
          <w:p w14:paraId="746EBB42" w14:textId="77777777" w:rsidR="00A03620" w:rsidRPr="00A03620" w:rsidRDefault="00A03620" w:rsidP="00A03620">
            <w:pPr>
              <w:tabs>
                <w:tab w:val="clear" w:pos="567"/>
              </w:tabs>
              <w:spacing w:before="0" w:line="240" w:lineRule="auto"/>
              <w:jc w:val="right"/>
              <w:rPr>
                <w:rFonts w:eastAsia="Times New Roman" w:cs="Open Sans Light"/>
                <w:color w:val="000000"/>
                <w:sz w:val="16"/>
                <w:szCs w:val="16"/>
                <w:lang w:eastAsia="en-AU"/>
              </w:rPr>
            </w:pPr>
            <w:r w:rsidRPr="00A03620">
              <w:rPr>
                <w:rFonts w:eastAsia="Times New Roman" w:cs="Open Sans Light"/>
                <w:color w:val="000000"/>
                <w:sz w:val="16"/>
                <w:szCs w:val="16"/>
                <w:lang w:eastAsia="en-AU"/>
              </w:rPr>
              <w:t>2</w:t>
            </w:r>
          </w:p>
        </w:tc>
        <w:tc>
          <w:tcPr>
            <w:tcW w:w="640" w:type="dxa"/>
            <w:tcBorders>
              <w:top w:val="single" w:sz="4" w:space="0" w:color="ADD6EA"/>
              <w:left w:val="nil"/>
              <w:bottom w:val="nil"/>
              <w:right w:val="nil"/>
            </w:tcBorders>
            <w:shd w:val="clear" w:color="000000" w:fill="FFFFFF"/>
            <w:vAlign w:val="center"/>
            <w:hideMark/>
          </w:tcPr>
          <w:p w14:paraId="5712BDAC" w14:textId="77777777" w:rsidR="00A03620" w:rsidRPr="00A03620" w:rsidRDefault="00A03620" w:rsidP="00A03620">
            <w:pPr>
              <w:tabs>
                <w:tab w:val="clear" w:pos="567"/>
              </w:tabs>
              <w:spacing w:before="0" w:line="240" w:lineRule="auto"/>
              <w:jc w:val="right"/>
              <w:rPr>
                <w:rFonts w:eastAsia="Times New Roman" w:cs="Open Sans Light"/>
                <w:color w:val="000000"/>
                <w:sz w:val="16"/>
                <w:szCs w:val="16"/>
                <w:lang w:eastAsia="en-AU"/>
              </w:rPr>
            </w:pPr>
            <w:r w:rsidRPr="00A03620">
              <w:rPr>
                <w:rFonts w:eastAsia="Times New Roman" w:cs="Open Sans Light"/>
                <w:color w:val="000000"/>
                <w:sz w:val="16"/>
                <w:szCs w:val="16"/>
                <w:lang w:eastAsia="en-AU"/>
              </w:rPr>
              <w:t>-2</w:t>
            </w:r>
          </w:p>
        </w:tc>
        <w:tc>
          <w:tcPr>
            <w:tcW w:w="640" w:type="dxa"/>
            <w:tcBorders>
              <w:top w:val="single" w:sz="4" w:space="0" w:color="ADD6EA"/>
              <w:left w:val="nil"/>
              <w:bottom w:val="nil"/>
              <w:right w:val="nil"/>
            </w:tcBorders>
            <w:shd w:val="clear" w:color="000000" w:fill="FFFFFF"/>
            <w:vAlign w:val="center"/>
            <w:hideMark/>
          </w:tcPr>
          <w:p w14:paraId="05036281" w14:textId="77777777" w:rsidR="00A03620" w:rsidRPr="00A03620" w:rsidRDefault="00A03620" w:rsidP="00A03620">
            <w:pPr>
              <w:tabs>
                <w:tab w:val="clear" w:pos="567"/>
              </w:tabs>
              <w:spacing w:before="0" w:line="240" w:lineRule="auto"/>
              <w:jc w:val="right"/>
              <w:rPr>
                <w:rFonts w:eastAsia="Times New Roman" w:cs="Open Sans Light"/>
                <w:color w:val="000000"/>
                <w:sz w:val="16"/>
                <w:szCs w:val="16"/>
                <w:lang w:eastAsia="en-AU"/>
              </w:rPr>
            </w:pPr>
            <w:r w:rsidRPr="00A03620">
              <w:rPr>
                <w:rFonts w:eastAsia="Times New Roman" w:cs="Open Sans Light"/>
                <w:color w:val="000000"/>
                <w:sz w:val="16"/>
                <w:szCs w:val="16"/>
                <w:lang w:eastAsia="en-AU"/>
              </w:rPr>
              <w:t>0</w:t>
            </w:r>
          </w:p>
        </w:tc>
        <w:tc>
          <w:tcPr>
            <w:tcW w:w="640" w:type="dxa"/>
            <w:tcBorders>
              <w:top w:val="single" w:sz="4" w:space="0" w:color="ADD6EA"/>
              <w:left w:val="nil"/>
              <w:bottom w:val="nil"/>
              <w:right w:val="nil"/>
            </w:tcBorders>
            <w:shd w:val="clear" w:color="000000" w:fill="FFFFFF"/>
            <w:vAlign w:val="center"/>
            <w:hideMark/>
          </w:tcPr>
          <w:p w14:paraId="6DE69B5E" w14:textId="77777777" w:rsidR="00A03620" w:rsidRPr="00A03620" w:rsidRDefault="00A03620" w:rsidP="00A03620">
            <w:pPr>
              <w:tabs>
                <w:tab w:val="clear" w:pos="567"/>
              </w:tabs>
              <w:spacing w:before="0" w:line="240" w:lineRule="auto"/>
              <w:jc w:val="right"/>
              <w:rPr>
                <w:rFonts w:eastAsia="Times New Roman" w:cs="Open Sans Light"/>
                <w:color w:val="000000"/>
                <w:sz w:val="16"/>
                <w:szCs w:val="16"/>
                <w:lang w:eastAsia="en-AU"/>
              </w:rPr>
            </w:pPr>
            <w:r w:rsidRPr="00A03620">
              <w:rPr>
                <w:rFonts w:eastAsia="Times New Roman" w:cs="Open Sans Light"/>
                <w:color w:val="000000"/>
                <w:sz w:val="16"/>
                <w:szCs w:val="16"/>
                <w:lang w:eastAsia="en-AU"/>
              </w:rPr>
              <w:t>-10</w:t>
            </w:r>
          </w:p>
        </w:tc>
        <w:tc>
          <w:tcPr>
            <w:tcW w:w="640" w:type="dxa"/>
            <w:tcBorders>
              <w:top w:val="single" w:sz="4" w:space="0" w:color="ADD6EA"/>
              <w:left w:val="nil"/>
              <w:bottom w:val="nil"/>
              <w:right w:val="nil"/>
            </w:tcBorders>
            <w:shd w:val="clear" w:color="000000" w:fill="FFFFFF"/>
            <w:vAlign w:val="center"/>
            <w:hideMark/>
          </w:tcPr>
          <w:p w14:paraId="42E3614E" w14:textId="77777777" w:rsidR="00A03620" w:rsidRPr="00A03620" w:rsidRDefault="00A03620" w:rsidP="00A03620">
            <w:pPr>
              <w:tabs>
                <w:tab w:val="clear" w:pos="567"/>
              </w:tabs>
              <w:spacing w:before="0" w:line="240" w:lineRule="auto"/>
              <w:jc w:val="right"/>
              <w:rPr>
                <w:rFonts w:eastAsia="Times New Roman" w:cs="Open Sans Light"/>
                <w:color w:val="000000"/>
                <w:sz w:val="16"/>
                <w:szCs w:val="16"/>
                <w:lang w:eastAsia="en-AU"/>
              </w:rPr>
            </w:pPr>
            <w:r w:rsidRPr="00A03620">
              <w:rPr>
                <w:rFonts w:eastAsia="Times New Roman" w:cs="Open Sans Light"/>
                <w:color w:val="000000"/>
                <w:sz w:val="16"/>
                <w:szCs w:val="16"/>
                <w:lang w:eastAsia="en-AU"/>
              </w:rPr>
              <w:t>-7</w:t>
            </w:r>
          </w:p>
        </w:tc>
        <w:tc>
          <w:tcPr>
            <w:tcW w:w="640" w:type="dxa"/>
            <w:tcBorders>
              <w:top w:val="single" w:sz="4" w:space="0" w:color="ADD6EA"/>
              <w:left w:val="nil"/>
              <w:bottom w:val="nil"/>
              <w:right w:val="nil"/>
            </w:tcBorders>
            <w:shd w:val="clear" w:color="000000" w:fill="FFFFFF"/>
            <w:vAlign w:val="center"/>
            <w:hideMark/>
          </w:tcPr>
          <w:p w14:paraId="2818C66D" w14:textId="77777777" w:rsidR="00A03620" w:rsidRPr="00A03620" w:rsidRDefault="00A03620" w:rsidP="00A03620">
            <w:pPr>
              <w:tabs>
                <w:tab w:val="clear" w:pos="567"/>
              </w:tabs>
              <w:spacing w:before="0" w:line="240" w:lineRule="auto"/>
              <w:jc w:val="right"/>
              <w:rPr>
                <w:rFonts w:eastAsia="Times New Roman" w:cs="Open Sans Light"/>
                <w:color w:val="000000"/>
                <w:sz w:val="16"/>
                <w:szCs w:val="16"/>
                <w:lang w:eastAsia="en-AU"/>
              </w:rPr>
            </w:pPr>
            <w:r w:rsidRPr="00A03620">
              <w:rPr>
                <w:rFonts w:eastAsia="Times New Roman" w:cs="Open Sans Light"/>
                <w:color w:val="000000"/>
                <w:sz w:val="16"/>
                <w:szCs w:val="16"/>
                <w:lang w:eastAsia="en-AU"/>
              </w:rPr>
              <w:t>-2</w:t>
            </w:r>
          </w:p>
        </w:tc>
        <w:tc>
          <w:tcPr>
            <w:tcW w:w="640" w:type="dxa"/>
            <w:tcBorders>
              <w:top w:val="single" w:sz="4" w:space="0" w:color="ADD6EA"/>
              <w:left w:val="nil"/>
              <w:bottom w:val="nil"/>
              <w:right w:val="nil"/>
            </w:tcBorders>
            <w:shd w:val="clear" w:color="000000" w:fill="FFFFFF"/>
            <w:vAlign w:val="center"/>
            <w:hideMark/>
          </w:tcPr>
          <w:p w14:paraId="59811C50" w14:textId="77777777" w:rsidR="00A03620" w:rsidRPr="00A03620" w:rsidRDefault="00A03620" w:rsidP="00A03620">
            <w:pPr>
              <w:tabs>
                <w:tab w:val="clear" w:pos="567"/>
              </w:tabs>
              <w:spacing w:before="0" w:line="240" w:lineRule="auto"/>
              <w:jc w:val="right"/>
              <w:rPr>
                <w:rFonts w:eastAsia="Times New Roman" w:cs="Open Sans Light"/>
                <w:color w:val="000000"/>
                <w:sz w:val="16"/>
                <w:szCs w:val="16"/>
                <w:lang w:eastAsia="en-AU"/>
              </w:rPr>
            </w:pPr>
            <w:r w:rsidRPr="00A03620">
              <w:rPr>
                <w:rFonts w:eastAsia="Times New Roman" w:cs="Open Sans Light"/>
                <w:color w:val="000000"/>
                <w:sz w:val="16"/>
                <w:szCs w:val="16"/>
                <w:lang w:eastAsia="en-AU"/>
              </w:rPr>
              <w:t>-2</w:t>
            </w:r>
          </w:p>
        </w:tc>
        <w:tc>
          <w:tcPr>
            <w:tcW w:w="640" w:type="dxa"/>
            <w:tcBorders>
              <w:top w:val="single" w:sz="4" w:space="0" w:color="ADD6EA"/>
              <w:left w:val="nil"/>
              <w:bottom w:val="nil"/>
              <w:right w:val="nil"/>
            </w:tcBorders>
            <w:shd w:val="clear" w:color="000000" w:fill="FFFFFF"/>
            <w:vAlign w:val="center"/>
            <w:hideMark/>
          </w:tcPr>
          <w:p w14:paraId="4928054D" w14:textId="77777777" w:rsidR="00A03620" w:rsidRPr="00A03620" w:rsidRDefault="00A03620" w:rsidP="00A03620">
            <w:pPr>
              <w:tabs>
                <w:tab w:val="clear" w:pos="567"/>
              </w:tabs>
              <w:spacing w:before="0" w:line="240" w:lineRule="auto"/>
              <w:jc w:val="right"/>
              <w:rPr>
                <w:rFonts w:eastAsia="Times New Roman" w:cs="Open Sans Light"/>
                <w:color w:val="000000"/>
                <w:sz w:val="16"/>
                <w:szCs w:val="16"/>
                <w:lang w:eastAsia="en-AU"/>
              </w:rPr>
            </w:pPr>
            <w:r w:rsidRPr="00A03620">
              <w:rPr>
                <w:rFonts w:eastAsia="Times New Roman" w:cs="Open Sans Light"/>
                <w:color w:val="000000"/>
                <w:sz w:val="16"/>
                <w:szCs w:val="16"/>
                <w:lang w:eastAsia="en-AU"/>
              </w:rPr>
              <w:t>150</w:t>
            </w:r>
          </w:p>
        </w:tc>
        <w:tc>
          <w:tcPr>
            <w:tcW w:w="660" w:type="dxa"/>
            <w:tcBorders>
              <w:top w:val="single" w:sz="4" w:space="0" w:color="ADD6EA"/>
              <w:left w:val="nil"/>
              <w:bottom w:val="nil"/>
              <w:right w:val="nil"/>
            </w:tcBorders>
            <w:shd w:val="clear" w:color="000000" w:fill="FFFFFF"/>
            <w:vAlign w:val="center"/>
            <w:hideMark/>
          </w:tcPr>
          <w:p w14:paraId="1F602574" w14:textId="77777777" w:rsidR="00A03620" w:rsidRPr="00A03620" w:rsidRDefault="00A03620" w:rsidP="00A03620">
            <w:pPr>
              <w:tabs>
                <w:tab w:val="clear" w:pos="567"/>
              </w:tabs>
              <w:spacing w:before="0" w:line="240" w:lineRule="auto"/>
              <w:jc w:val="right"/>
              <w:rPr>
                <w:rFonts w:eastAsia="Times New Roman" w:cs="Open Sans Light"/>
                <w:color w:val="000000"/>
                <w:sz w:val="16"/>
                <w:szCs w:val="16"/>
                <w:lang w:eastAsia="en-AU"/>
              </w:rPr>
            </w:pPr>
            <w:r w:rsidRPr="00A03620">
              <w:rPr>
                <w:rFonts w:eastAsia="Times New Roman" w:cs="Open Sans Light"/>
                <w:color w:val="000000"/>
                <w:sz w:val="16"/>
                <w:szCs w:val="16"/>
                <w:lang w:eastAsia="en-AU"/>
              </w:rPr>
              <w:t>2</w:t>
            </w:r>
          </w:p>
        </w:tc>
      </w:tr>
      <w:tr w:rsidR="00A03620" w:rsidRPr="00A03620" w14:paraId="27DD35A8" w14:textId="77777777" w:rsidTr="00A03620">
        <w:trPr>
          <w:trHeight w:val="315"/>
        </w:trPr>
        <w:tc>
          <w:tcPr>
            <w:tcW w:w="3160" w:type="dxa"/>
            <w:tcBorders>
              <w:top w:val="single" w:sz="4" w:space="0" w:color="ADD6EA"/>
              <w:left w:val="nil"/>
              <w:bottom w:val="nil"/>
              <w:right w:val="nil"/>
            </w:tcBorders>
            <w:shd w:val="clear" w:color="000000" w:fill="FFFFFF"/>
            <w:vAlign w:val="center"/>
            <w:hideMark/>
          </w:tcPr>
          <w:p w14:paraId="2828C89A" w14:textId="77777777" w:rsidR="00A03620" w:rsidRPr="00A03620" w:rsidRDefault="00A03620" w:rsidP="00A03620">
            <w:pPr>
              <w:tabs>
                <w:tab w:val="clear" w:pos="567"/>
              </w:tabs>
              <w:spacing w:before="0" w:line="240" w:lineRule="auto"/>
              <w:rPr>
                <w:rFonts w:eastAsia="Times New Roman" w:cs="Open Sans Light"/>
                <w:color w:val="000000"/>
                <w:sz w:val="16"/>
                <w:szCs w:val="16"/>
                <w:lang w:eastAsia="en-AU"/>
              </w:rPr>
            </w:pPr>
            <w:r w:rsidRPr="00A03620">
              <w:rPr>
                <w:rFonts w:eastAsia="Times New Roman" w:cs="Open Sans Light"/>
                <w:color w:val="000000"/>
                <w:sz w:val="16"/>
                <w:szCs w:val="16"/>
                <w:lang w:eastAsia="en-AU"/>
              </w:rPr>
              <w:t>Spending allocated to homelessness</w:t>
            </w:r>
          </w:p>
        </w:tc>
        <w:tc>
          <w:tcPr>
            <w:tcW w:w="640" w:type="dxa"/>
            <w:tcBorders>
              <w:top w:val="single" w:sz="4" w:space="0" w:color="ADD6EA"/>
              <w:left w:val="nil"/>
              <w:bottom w:val="nil"/>
              <w:right w:val="nil"/>
            </w:tcBorders>
            <w:shd w:val="clear" w:color="000000" w:fill="FFFFFF"/>
            <w:vAlign w:val="center"/>
            <w:hideMark/>
          </w:tcPr>
          <w:p w14:paraId="3FA48A19" w14:textId="77777777" w:rsidR="00A03620" w:rsidRPr="00A03620" w:rsidRDefault="00A03620" w:rsidP="00A03620">
            <w:pPr>
              <w:tabs>
                <w:tab w:val="clear" w:pos="567"/>
              </w:tabs>
              <w:spacing w:before="0" w:line="240" w:lineRule="auto"/>
              <w:jc w:val="right"/>
              <w:rPr>
                <w:rFonts w:eastAsia="Times New Roman" w:cs="Open Sans Light"/>
                <w:color w:val="000000"/>
                <w:sz w:val="16"/>
                <w:szCs w:val="16"/>
                <w:lang w:eastAsia="en-AU"/>
              </w:rPr>
            </w:pPr>
            <w:r w:rsidRPr="00A03620">
              <w:rPr>
                <w:rFonts w:eastAsia="Times New Roman" w:cs="Open Sans Light"/>
                <w:color w:val="000000"/>
                <w:sz w:val="16"/>
                <w:szCs w:val="16"/>
                <w:lang w:eastAsia="en-AU"/>
              </w:rPr>
              <w:t>1</w:t>
            </w:r>
          </w:p>
        </w:tc>
        <w:tc>
          <w:tcPr>
            <w:tcW w:w="640" w:type="dxa"/>
            <w:tcBorders>
              <w:top w:val="single" w:sz="4" w:space="0" w:color="ADD6EA"/>
              <w:left w:val="nil"/>
              <w:bottom w:val="nil"/>
              <w:right w:val="nil"/>
            </w:tcBorders>
            <w:shd w:val="clear" w:color="000000" w:fill="FFFFFF"/>
            <w:vAlign w:val="center"/>
            <w:hideMark/>
          </w:tcPr>
          <w:p w14:paraId="2652A5DE" w14:textId="77777777" w:rsidR="00A03620" w:rsidRPr="00A03620" w:rsidRDefault="00A03620" w:rsidP="00A03620">
            <w:pPr>
              <w:tabs>
                <w:tab w:val="clear" w:pos="567"/>
              </w:tabs>
              <w:spacing w:before="0" w:line="240" w:lineRule="auto"/>
              <w:jc w:val="right"/>
              <w:rPr>
                <w:rFonts w:eastAsia="Times New Roman" w:cs="Open Sans Light"/>
                <w:color w:val="000000"/>
                <w:sz w:val="16"/>
                <w:szCs w:val="16"/>
                <w:lang w:eastAsia="en-AU"/>
              </w:rPr>
            </w:pPr>
            <w:r w:rsidRPr="00A03620">
              <w:rPr>
                <w:rFonts w:eastAsia="Times New Roman" w:cs="Open Sans Light"/>
                <w:color w:val="000000"/>
                <w:sz w:val="16"/>
                <w:szCs w:val="16"/>
                <w:lang w:eastAsia="en-AU"/>
              </w:rPr>
              <w:t>2</w:t>
            </w:r>
          </w:p>
        </w:tc>
        <w:tc>
          <w:tcPr>
            <w:tcW w:w="640" w:type="dxa"/>
            <w:tcBorders>
              <w:top w:val="single" w:sz="4" w:space="0" w:color="ADD6EA"/>
              <w:left w:val="nil"/>
              <w:bottom w:val="nil"/>
              <w:right w:val="nil"/>
            </w:tcBorders>
            <w:shd w:val="clear" w:color="000000" w:fill="FFFFFF"/>
            <w:vAlign w:val="center"/>
            <w:hideMark/>
          </w:tcPr>
          <w:p w14:paraId="4BB205BF" w14:textId="77777777" w:rsidR="00A03620" w:rsidRPr="00A03620" w:rsidRDefault="00A03620" w:rsidP="00A03620">
            <w:pPr>
              <w:tabs>
                <w:tab w:val="clear" w:pos="567"/>
              </w:tabs>
              <w:spacing w:before="0" w:line="240" w:lineRule="auto"/>
              <w:jc w:val="right"/>
              <w:rPr>
                <w:rFonts w:eastAsia="Times New Roman" w:cs="Open Sans Light"/>
                <w:color w:val="000000"/>
                <w:sz w:val="16"/>
                <w:szCs w:val="16"/>
                <w:lang w:eastAsia="en-AU"/>
              </w:rPr>
            </w:pPr>
            <w:r w:rsidRPr="00A03620">
              <w:rPr>
                <w:rFonts w:eastAsia="Times New Roman" w:cs="Open Sans Light"/>
                <w:color w:val="000000"/>
                <w:sz w:val="16"/>
                <w:szCs w:val="16"/>
                <w:lang w:eastAsia="en-AU"/>
              </w:rPr>
              <w:t>-1</w:t>
            </w:r>
          </w:p>
        </w:tc>
        <w:tc>
          <w:tcPr>
            <w:tcW w:w="640" w:type="dxa"/>
            <w:tcBorders>
              <w:top w:val="single" w:sz="4" w:space="0" w:color="ADD6EA"/>
              <w:left w:val="nil"/>
              <w:bottom w:val="nil"/>
              <w:right w:val="nil"/>
            </w:tcBorders>
            <w:shd w:val="clear" w:color="000000" w:fill="FFFFFF"/>
            <w:vAlign w:val="center"/>
            <w:hideMark/>
          </w:tcPr>
          <w:p w14:paraId="079350E6" w14:textId="77777777" w:rsidR="00A03620" w:rsidRPr="00A03620" w:rsidRDefault="00A03620" w:rsidP="00A03620">
            <w:pPr>
              <w:tabs>
                <w:tab w:val="clear" w:pos="567"/>
              </w:tabs>
              <w:spacing w:before="0" w:line="240" w:lineRule="auto"/>
              <w:jc w:val="right"/>
              <w:rPr>
                <w:rFonts w:eastAsia="Times New Roman" w:cs="Open Sans Light"/>
                <w:color w:val="000000"/>
                <w:sz w:val="16"/>
                <w:szCs w:val="16"/>
                <w:lang w:eastAsia="en-AU"/>
              </w:rPr>
            </w:pPr>
            <w:r w:rsidRPr="00A03620">
              <w:rPr>
                <w:rFonts w:eastAsia="Times New Roman" w:cs="Open Sans Light"/>
                <w:color w:val="000000"/>
                <w:sz w:val="16"/>
                <w:szCs w:val="16"/>
                <w:lang w:eastAsia="en-AU"/>
              </w:rPr>
              <w:t>-2</w:t>
            </w:r>
          </w:p>
        </w:tc>
        <w:tc>
          <w:tcPr>
            <w:tcW w:w="640" w:type="dxa"/>
            <w:tcBorders>
              <w:top w:val="single" w:sz="4" w:space="0" w:color="ADD6EA"/>
              <w:left w:val="nil"/>
              <w:bottom w:val="nil"/>
              <w:right w:val="nil"/>
            </w:tcBorders>
            <w:shd w:val="clear" w:color="000000" w:fill="FFFFFF"/>
            <w:vAlign w:val="center"/>
            <w:hideMark/>
          </w:tcPr>
          <w:p w14:paraId="3993393C" w14:textId="77777777" w:rsidR="00A03620" w:rsidRPr="00A03620" w:rsidRDefault="00A03620" w:rsidP="00A03620">
            <w:pPr>
              <w:tabs>
                <w:tab w:val="clear" w:pos="567"/>
              </w:tabs>
              <w:spacing w:before="0" w:line="240" w:lineRule="auto"/>
              <w:jc w:val="right"/>
              <w:rPr>
                <w:rFonts w:eastAsia="Times New Roman" w:cs="Open Sans Light"/>
                <w:color w:val="000000"/>
                <w:sz w:val="16"/>
                <w:szCs w:val="16"/>
                <w:lang w:eastAsia="en-AU"/>
              </w:rPr>
            </w:pPr>
            <w:r w:rsidRPr="00A03620">
              <w:rPr>
                <w:rFonts w:eastAsia="Times New Roman" w:cs="Open Sans Light"/>
                <w:color w:val="000000"/>
                <w:sz w:val="16"/>
                <w:szCs w:val="16"/>
                <w:lang w:eastAsia="en-AU"/>
              </w:rPr>
              <w:t>-1</w:t>
            </w:r>
          </w:p>
        </w:tc>
        <w:tc>
          <w:tcPr>
            <w:tcW w:w="640" w:type="dxa"/>
            <w:tcBorders>
              <w:top w:val="single" w:sz="4" w:space="0" w:color="ADD6EA"/>
              <w:left w:val="nil"/>
              <w:bottom w:val="nil"/>
              <w:right w:val="nil"/>
            </w:tcBorders>
            <w:shd w:val="clear" w:color="000000" w:fill="FFFFFF"/>
            <w:vAlign w:val="center"/>
            <w:hideMark/>
          </w:tcPr>
          <w:p w14:paraId="600776AE" w14:textId="77777777" w:rsidR="00A03620" w:rsidRPr="00A03620" w:rsidRDefault="00A03620" w:rsidP="00A03620">
            <w:pPr>
              <w:tabs>
                <w:tab w:val="clear" w:pos="567"/>
              </w:tabs>
              <w:spacing w:before="0" w:line="240" w:lineRule="auto"/>
              <w:jc w:val="right"/>
              <w:rPr>
                <w:rFonts w:eastAsia="Times New Roman" w:cs="Open Sans Light"/>
                <w:color w:val="000000"/>
                <w:sz w:val="16"/>
                <w:szCs w:val="16"/>
                <w:lang w:eastAsia="en-AU"/>
              </w:rPr>
            </w:pPr>
            <w:r w:rsidRPr="00A03620">
              <w:rPr>
                <w:rFonts w:eastAsia="Times New Roman" w:cs="Open Sans Light"/>
                <w:color w:val="000000"/>
                <w:sz w:val="16"/>
                <w:szCs w:val="16"/>
                <w:lang w:eastAsia="en-AU"/>
              </w:rPr>
              <w:t>0</w:t>
            </w:r>
          </w:p>
        </w:tc>
        <w:tc>
          <w:tcPr>
            <w:tcW w:w="640" w:type="dxa"/>
            <w:tcBorders>
              <w:top w:val="single" w:sz="4" w:space="0" w:color="ADD6EA"/>
              <w:left w:val="nil"/>
              <w:bottom w:val="nil"/>
              <w:right w:val="nil"/>
            </w:tcBorders>
            <w:shd w:val="clear" w:color="000000" w:fill="FFFFFF"/>
            <w:vAlign w:val="center"/>
            <w:hideMark/>
          </w:tcPr>
          <w:p w14:paraId="1960E0C8" w14:textId="77777777" w:rsidR="00A03620" w:rsidRPr="00A03620" w:rsidRDefault="00A03620" w:rsidP="00A03620">
            <w:pPr>
              <w:tabs>
                <w:tab w:val="clear" w:pos="567"/>
              </w:tabs>
              <w:spacing w:before="0" w:line="240" w:lineRule="auto"/>
              <w:jc w:val="right"/>
              <w:rPr>
                <w:rFonts w:eastAsia="Times New Roman" w:cs="Open Sans Light"/>
                <w:color w:val="000000"/>
                <w:sz w:val="16"/>
                <w:szCs w:val="16"/>
                <w:lang w:eastAsia="en-AU"/>
              </w:rPr>
            </w:pPr>
            <w:r w:rsidRPr="00A03620">
              <w:rPr>
                <w:rFonts w:eastAsia="Times New Roman" w:cs="Open Sans Light"/>
                <w:color w:val="000000"/>
                <w:sz w:val="16"/>
                <w:szCs w:val="16"/>
                <w:lang w:eastAsia="en-AU"/>
              </w:rPr>
              <w:t>3</w:t>
            </w:r>
          </w:p>
        </w:tc>
        <w:tc>
          <w:tcPr>
            <w:tcW w:w="640" w:type="dxa"/>
            <w:tcBorders>
              <w:top w:val="single" w:sz="4" w:space="0" w:color="ADD6EA"/>
              <w:left w:val="nil"/>
              <w:bottom w:val="nil"/>
              <w:right w:val="nil"/>
            </w:tcBorders>
            <w:shd w:val="clear" w:color="000000" w:fill="FFFFFF"/>
            <w:vAlign w:val="center"/>
            <w:hideMark/>
          </w:tcPr>
          <w:p w14:paraId="349C1DE4" w14:textId="77777777" w:rsidR="00A03620" w:rsidRPr="00A03620" w:rsidRDefault="00A03620" w:rsidP="00A03620">
            <w:pPr>
              <w:tabs>
                <w:tab w:val="clear" w:pos="567"/>
              </w:tabs>
              <w:spacing w:before="0" w:line="240" w:lineRule="auto"/>
              <w:jc w:val="right"/>
              <w:rPr>
                <w:rFonts w:eastAsia="Times New Roman" w:cs="Open Sans Light"/>
                <w:color w:val="000000"/>
                <w:sz w:val="16"/>
                <w:szCs w:val="16"/>
                <w:lang w:eastAsia="en-AU"/>
              </w:rPr>
            </w:pPr>
            <w:r w:rsidRPr="00A03620">
              <w:rPr>
                <w:rFonts w:eastAsia="Times New Roman" w:cs="Open Sans Light"/>
                <w:color w:val="000000"/>
                <w:sz w:val="16"/>
                <w:szCs w:val="16"/>
                <w:lang w:eastAsia="en-AU"/>
              </w:rPr>
              <w:t>-26</w:t>
            </w:r>
          </w:p>
        </w:tc>
        <w:tc>
          <w:tcPr>
            <w:tcW w:w="660" w:type="dxa"/>
            <w:tcBorders>
              <w:top w:val="single" w:sz="4" w:space="0" w:color="ADD6EA"/>
              <w:left w:val="nil"/>
              <w:bottom w:val="nil"/>
              <w:right w:val="nil"/>
            </w:tcBorders>
            <w:shd w:val="clear" w:color="000000" w:fill="FFFFFF"/>
            <w:vAlign w:val="center"/>
            <w:hideMark/>
          </w:tcPr>
          <w:p w14:paraId="6433875F" w14:textId="77777777" w:rsidR="00A03620" w:rsidRPr="00A03620" w:rsidRDefault="00A03620" w:rsidP="00A03620">
            <w:pPr>
              <w:tabs>
                <w:tab w:val="clear" w:pos="567"/>
              </w:tabs>
              <w:spacing w:before="0" w:line="240" w:lineRule="auto"/>
              <w:jc w:val="right"/>
              <w:rPr>
                <w:rFonts w:eastAsia="Times New Roman" w:cs="Open Sans Light"/>
                <w:color w:val="000000"/>
                <w:sz w:val="16"/>
                <w:szCs w:val="16"/>
                <w:lang w:eastAsia="en-AU"/>
              </w:rPr>
            </w:pPr>
            <w:r w:rsidRPr="00A03620">
              <w:rPr>
                <w:rFonts w:eastAsia="Times New Roman" w:cs="Open Sans Light"/>
                <w:color w:val="000000"/>
                <w:sz w:val="16"/>
                <w:szCs w:val="16"/>
                <w:lang w:eastAsia="en-AU"/>
              </w:rPr>
              <w:t>1</w:t>
            </w:r>
          </w:p>
        </w:tc>
      </w:tr>
      <w:tr w:rsidR="00A03620" w:rsidRPr="00A03620" w14:paraId="7D5BCB3E" w14:textId="77777777" w:rsidTr="00A03620">
        <w:trPr>
          <w:trHeight w:val="315"/>
        </w:trPr>
        <w:tc>
          <w:tcPr>
            <w:tcW w:w="3160" w:type="dxa"/>
            <w:tcBorders>
              <w:top w:val="single" w:sz="4" w:space="0" w:color="ADD6EA"/>
              <w:left w:val="nil"/>
              <w:bottom w:val="single" w:sz="4" w:space="0" w:color="ADD6EA"/>
              <w:right w:val="nil"/>
            </w:tcBorders>
            <w:shd w:val="clear" w:color="000000" w:fill="D6E7F0"/>
            <w:vAlign w:val="center"/>
            <w:hideMark/>
          </w:tcPr>
          <w:p w14:paraId="6C604851" w14:textId="77777777" w:rsidR="00A03620" w:rsidRPr="00A03620" w:rsidRDefault="00A03620" w:rsidP="00A03620">
            <w:pPr>
              <w:tabs>
                <w:tab w:val="clear" w:pos="567"/>
              </w:tabs>
              <w:spacing w:before="0" w:line="240" w:lineRule="auto"/>
              <w:rPr>
                <w:rFonts w:ascii="Open Sans Semibold" w:eastAsia="Times New Roman" w:hAnsi="Open Sans Semibold" w:cs="Open Sans Semibold"/>
                <w:color w:val="000000"/>
                <w:sz w:val="16"/>
                <w:szCs w:val="16"/>
                <w:lang w:eastAsia="en-AU"/>
              </w:rPr>
            </w:pPr>
            <w:r w:rsidRPr="00A03620">
              <w:rPr>
                <w:rFonts w:ascii="Open Sans Semibold" w:eastAsia="Times New Roman" w:hAnsi="Open Sans Semibold" w:cs="Open Sans Semibold"/>
                <w:color w:val="000000"/>
                <w:sz w:val="16"/>
                <w:szCs w:val="16"/>
                <w:lang w:eastAsia="en-AU"/>
              </w:rPr>
              <w:t>Total</w:t>
            </w:r>
          </w:p>
        </w:tc>
        <w:tc>
          <w:tcPr>
            <w:tcW w:w="640" w:type="dxa"/>
            <w:tcBorders>
              <w:top w:val="single" w:sz="4" w:space="0" w:color="ADD6EA"/>
              <w:left w:val="nil"/>
              <w:bottom w:val="single" w:sz="4" w:space="0" w:color="ADD6EA"/>
              <w:right w:val="nil"/>
            </w:tcBorders>
            <w:shd w:val="clear" w:color="000000" w:fill="D6E7F0"/>
            <w:vAlign w:val="center"/>
            <w:hideMark/>
          </w:tcPr>
          <w:p w14:paraId="44C346E8" w14:textId="77777777" w:rsidR="00A03620" w:rsidRPr="00A03620" w:rsidRDefault="00A03620" w:rsidP="00A03620">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03620">
              <w:rPr>
                <w:rFonts w:ascii="Open Sans Semibold" w:eastAsia="Times New Roman" w:hAnsi="Open Sans Semibold" w:cs="Open Sans Semibold"/>
                <w:color w:val="000000"/>
                <w:sz w:val="16"/>
                <w:szCs w:val="16"/>
                <w:lang w:eastAsia="en-AU"/>
              </w:rPr>
              <w:t>2</w:t>
            </w:r>
          </w:p>
        </w:tc>
        <w:tc>
          <w:tcPr>
            <w:tcW w:w="640" w:type="dxa"/>
            <w:tcBorders>
              <w:top w:val="single" w:sz="4" w:space="0" w:color="ADD6EA"/>
              <w:left w:val="nil"/>
              <w:bottom w:val="single" w:sz="4" w:space="0" w:color="ADD6EA"/>
              <w:right w:val="nil"/>
            </w:tcBorders>
            <w:shd w:val="clear" w:color="000000" w:fill="D6E7F0"/>
            <w:vAlign w:val="center"/>
            <w:hideMark/>
          </w:tcPr>
          <w:p w14:paraId="12841950" w14:textId="77777777" w:rsidR="00A03620" w:rsidRPr="00A03620" w:rsidRDefault="00A03620" w:rsidP="00A03620">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03620">
              <w:rPr>
                <w:rFonts w:ascii="Open Sans Semibold" w:eastAsia="Times New Roman" w:hAnsi="Open Sans Semibold" w:cs="Open Sans Semibold"/>
                <w:color w:val="000000"/>
                <w:sz w:val="16"/>
                <w:szCs w:val="16"/>
                <w:lang w:eastAsia="en-AU"/>
              </w:rPr>
              <w:t>0</w:t>
            </w:r>
          </w:p>
        </w:tc>
        <w:tc>
          <w:tcPr>
            <w:tcW w:w="640" w:type="dxa"/>
            <w:tcBorders>
              <w:top w:val="single" w:sz="4" w:space="0" w:color="ADD6EA"/>
              <w:left w:val="nil"/>
              <w:bottom w:val="single" w:sz="4" w:space="0" w:color="ADD6EA"/>
              <w:right w:val="nil"/>
            </w:tcBorders>
            <w:shd w:val="clear" w:color="000000" w:fill="D6E7F0"/>
            <w:vAlign w:val="center"/>
            <w:hideMark/>
          </w:tcPr>
          <w:p w14:paraId="70CBBC2B" w14:textId="77777777" w:rsidR="00A03620" w:rsidRPr="00A03620" w:rsidRDefault="00A03620" w:rsidP="00A03620">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03620">
              <w:rPr>
                <w:rFonts w:ascii="Open Sans Semibold" w:eastAsia="Times New Roman" w:hAnsi="Open Sans Semibold" w:cs="Open Sans Semibold"/>
                <w:color w:val="000000"/>
                <w:sz w:val="16"/>
                <w:szCs w:val="16"/>
                <w:lang w:eastAsia="en-AU"/>
              </w:rPr>
              <w:t>0</w:t>
            </w:r>
          </w:p>
        </w:tc>
        <w:tc>
          <w:tcPr>
            <w:tcW w:w="640" w:type="dxa"/>
            <w:tcBorders>
              <w:top w:val="single" w:sz="4" w:space="0" w:color="ADD6EA"/>
              <w:left w:val="nil"/>
              <w:bottom w:val="single" w:sz="4" w:space="0" w:color="ADD6EA"/>
              <w:right w:val="nil"/>
            </w:tcBorders>
            <w:shd w:val="clear" w:color="000000" w:fill="D6E7F0"/>
            <w:vAlign w:val="center"/>
            <w:hideMark/>
          </w:tcPr>
          <w:p w14:paraId="52FEC0F8" w14:textId="77777777" w:rsidR="00A03620" w:rsidRPr="00A03620" w:rsidRDefault="00A03620" w:rsidP="00A03620">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03620">
              <w:rPr>
                <w:rFonts w:ascii="Open Sans Semibold" w:eastAsia="Times New Roman" w:hAnsi="Open Sans Semibold" w:cs="Open Sans Semibold"/>
                <w:color w:val="000000"/>
                <w:sz w:val="16"/>
                <w:szCs w:val="16"/>
                <w:lang w:eastAsia="en-AU"/>
              </w:rPr>
              <w:t>-12</w:t>
            </w:r>
          </w:p>
        </w:tc>
        <w:tc>
          <w:tcPr>
            <w:tcW w:w="640" w:type="dxa"/>
            <w:tcBorders>
              <w:top w:val="single" w:sz="4" w:space="0" w:color="ADD6EA"/>
              <w:left w:val="nil"/>
              <w:bottom w:val="single" w:sz="4" w:space="0" w:color="ADD6EA"/>
              <w:right w:val="nil"/>
            </w:tcBorders>
            <w:shd w:val="clear" w:color="000000" w:fill="D6E7F0"/>
            <w:vAlign w:val="center"/>
            <w:hideMark/>
          </w:tcPr>
          <w:p w14:paraId="123DD3F8" w14:textId="77777777" w:rsidR="00A03620" w:rsidRPr="00A03620" w:rsidRDefault="00A03620" w:rsidP="00A03620">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03620">
              <w:rPr>
                <w:rFonts w:ascii="Open Sans Semibold" w:eastAsia="Times New Roman" w:hAnsi="Open Sans Semibold" w:cs="Open Sans Semibold"/>
                <w:color w:val="000000"/>
                <w:sz w:val="16"/>
                <w:szCs w:val="16"/>
                <w:lang w:eastAsia="en-AU"/>
              </w:rPr>
              <w:t>-8</w:t>
            </w:r>
          </w:p>
        </w:tc>
        <w:tc>
          <w:tcPr>
            <w:tcW w:w="640" w:type="dxa"/>
            <w:tcBorders>
              <w:top w:val="single" w:sz="4" w:space="0" w:color="ADD6EA"/>
              <w:left w:val="nil"/>
              <w:bottom w:val="single" w:sz="4" w:space="0" w:color="ADD6EA"/>
              <w:right w:val="nil"/>
            </w:tcBorders>
            <w:shd w:val="clear" w:color="000000" w:fill="D6E7F0"/>
            <w:vAlign w:val="center"/>
            <w:hideMark/>
          </w:tcPr>
          <w:p w14:paraId="68F99DD1" w14:textId="77777777" w:rsidR="00A03620" w:rsidRPr="00A03620" w:rsidRDefault="00A03620" w:rsidP="00A03620">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03620">
              <w:rPr>
                <w:rFonts w:ascii="Open Sans Semibold" w:eastAsia="Times New Roman" w:hAnsi="Open Sans Semibold" w:cs="Open Sans Semibold"/>
                <w:color w:val="000000"/>
                <w:sz w:val="16"/>
                <w:szCs w:val="16"/>
                <w:lang w:eastAsia="en-AU"/>
              </w:rPr>
              <w:t>-2</w:t>
            </w:r>
          </w:p>
        </w:tc>
        <w:tc>
          <w:tcPr>
            <w:tcW w:w="640" w:type="dxa"/>
            <w:tcBorders>
              <w:top w:val="single" w:sz="4" w:space="0" w:color="ADD6EA"/>
              <w:left w:val="nil"/>
              <w:bottom w:val="single" w:sz="4" w:space="0" w:color="ADD6EA"/>
              <w:right w:val="nil"/>
            </w:tcBorders>
            <w:shd w:val="clear" w:color="000000" w:fill="D6E7F0"/>
            <w:vAlign w:val="center"/>
            <w:hideMark/>
          </w:tcPr>
          <w:p w14:paraId="4B285B21" w14:textId="77777777" w:rsidR="00A03620" w:rsidRPr="00A03620" w:rsidRDefault="00A03620" w:rsidP="00A03620">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03620">
              <w:rPr>
                <w:rFonts w:ascii="Open Sans Semibold" w:eastAsia="Times New Roman" w:hAnsi="Open Sans Semibold" w:cs="Open Sans Semibold"/>
                <w:color w:val="000000"/>
                <w:sz w:val="16"/>
                <w:szCs w:val="16"/>
                <w:lang w:eastAsia="en-AU"/>
              </w:rPr>
              <w:t>1</w:t>
            </w:r>
          </w:p>
        </w:tc>
        <w:tc>
          <w:tcPr>
            <w:tcW w:w="640" w:type="dxa"/>
            <w:tcBorders>
              <w:top w:val="single" w:sz="4" w:space="0" w:color="ADD6EA"/>
              <w:left w:val="nil"/>
              <w:bottom w:val="single" w:sz="4" w:space="0" w:color="ADD6EA"/>
              <w:right w:val="nil"/>
            </w:tcBorders>
            <w:shd w:val="clear" w:color="000000" w:fill="D6E7F0"/>
            <w:vAlign w:val="center"/>
            <w:hideMark/>
          </w:tcPr>
          <w:p w14:paraId="663CD2A8" w14:textId="77777777" w:rsidR="00A03620" w:rsidRPr="00A03620" w:rsidRDefault="00A03620" w:rsidP="00A03620">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03620">
              <w:rPr>
                <w:rFonts w:ascii="Open Sans Semibold" w:eastAsia="Times New Roman" w:hAnsi="Open Sans Semibold" w:cs="Open Sans Semibold"/>
                <w:color w:val="000000"/>
                <w:sz w:val="16"/>
                <w:szCs w:val="16"/>
                <w:lang w:eastAsia="en-AU"/>
              </w:rPr>
              <w:t>124</w:t>
            </w:r>
          </w:p>
        </w:tc>
        <w:tc>
          <w:tcPr>
            <w:tcW w:w="660" w:type="dxa"/>
            <w:tcBorders>
              <w:top w:val="single" w:sz="4" w:space="0" w:color="ADD6EA"/>
              <w:left w:val="nil"/>
              <w:bottom w:val="single" w:sz="4" w:space="0" w:color="ADD6EA"/>
              <w:right w:val="nil"/>
            </w:tcBorders>
            <w:shd w:val="clear" w:color="000000" w:fill="D6E7F0"/>
            <w:vAlign w:val="center"/>
            <w:hideMark/>
          </w:tcPr>
          <w:p w14:paraId="466A76C9" w14:textId="77777777" w:rsidR="00A03620" w:rsidRPr="00A03620" w:rsidRDefault="00A03620" w:rsidP="00A03620">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03620">
              <w:rPr>
                <w:rFonts w:ascii="Open Sans Semibold" w:eastAsia="Times New Roman" w:hAnsi="Open Sans Semibold" w:cs="Open Sans Semibold"/>
                <w:color w:val="000000"/>
                <w:sz w:val="16"/>
                <w:szCs w:val="16"/>
                <w:lang w:eastAsia="en-AU"/>
              </w:rPr>
              <w:t>2</w:t>
            </w:r>
          </w:p>
        </w:tc>
      </w:tr>
    </w:tbl>
    <w:p w14:paraId="49947304" w14:textId="4FF86A45" w:rsidR="00F9115A" w:rsidRDefault="009D570C" w:rsidP="009D570C">
      <w:pPr>
        <w:pStyle w:val="CGC2025TableNote"/>
      </w:pPr>
      <w:r w:rsidRPr="009D570C">
        <w:t>Note: Changes to the wage costs assessment are not included. They are shown in the wage costs chapter</w:t>
      </w:r>
      <w:r w:rsidR="00D03B69">
        <w:t xml:space="preserve"> of </w:t>
      </w:r>
      <w:r w:rsidR="00D03B69">
        <w:rPr>
          <w:i/>
          <w:iCs/>
        </w:rPr>
        <w:t xml:space="preserve">Review </w:t>
      </w:r>
      <w:r w:rsidR="00C96DA5">
        <w:rPr>
          <w:i/>
          <w:iCs/>
        </w:rPr>
        <w:t>O</w:t>
      </w:r>
      <w:r w:rsidR="00D03B69">
        <w:rPr>
          <w:i/>
          <w:iCs/>
        </w:rPr>
        <w:t>utcomes</w:t>
      </w:r>
      <w:r w:rsidRPr="009D570C">
        <w:t>.</w:t>
      </w:r>
    </w:p>
    <w:p w14:paraId="46716128" w14:textId="77777777" w:rsidR="00BC1499" w:rsidRDefault="00BC1499" w:rsidP="00BC1499">
      <w:pPr>
        <w:pStyle w:val="CGC2025ParaNumbers"/>
      </w:pPr>
      <w:r>
        <w:t xml:space="preserve">Adopting the average </w:t>
      </w:r>
      <w:r w:rsidRPr="00EE213A">
        <w:t>household</w:t>
      </w:r>
      <w:r>
        <w:t xml:space="preserve"> size model increased the assessed GST needs of states with above-average household size and vice versa. (Table 2 compares state average household size with the national average for each socio</w:t>
      </w:r>
      <w:r>
        <w:noBreakHyphen/>
        <w:t>demographic group.)</w:t>
      </w:r>
    </w:p>
    <w:p w14:paraId="7708A6F9" w14:textId="77777777" w:rsidR="00616838" w:rsidRDefault="00616838" w:rsidP="00616838">
      <w:pPr>
        <w:pStyle w:val="CGC2025ParaNumbers"/>
      </w:pPr>
      <w:r>
        <w:t>The reclassification of homelessness service expenses from the housing category to the new homelessness component in the welfare category reduced the expenses assessed in the social housing component. Reducing social housing expenses increased the assessed GST needs of New South Wales, Victoria and the ACT due to their below-average spending needs.</w:t>
      </w:r>
    </w:p>
    <w:p w14:paraId="25DC5432" w14:textId="59D5CC2E" w:rsidR="00616838" w:rsidRDefault="00616838" w:rsidP="00616838">
      <w:pPr>
        <w:pStyle w:val="CGC2025ParaNumbers"/>
        <w:tabs>
          <w:tab w:val="clear" w:pos="567"/>
        </w:tabs>
      </w:pPr>
      <w:r>
        <w:t xml:space="preserve">The changes to the general regional cost gradient are explained in the geography chapter of </w:t>
      </w:r>
      <w:r>
        <w:rPr>
          <w:i/>
          <w:iCs/>
        </w:rPr>
        <w:t xml:space="preserve">Review </w:t>
      </w:r>
      <w:r w:rsidR="00CC1E08">
        <w:rPr>
          <w:i/>
          <w:iCs/>
        </w:rPr>
        <w:t>O</w:t>
      </w:r>
      <w:r>
        <w:rPr>
          <w:i/>
          <w:iCs/>
        </w:rPr>
        <w:t>utcomes</w:t>
      </w:r>
      <w:r>
        <w:t>. The changes increased the assessed GST needs of states with a larger share of their population in more remote areas. This effect is not separately identified in Table 1.</w:t>
      </w:r>
    </w:p>
    <w:p w14:paraId="23935493" w14:textId="3D4DB61A" w:rsidR="00D0167D" w:rsidRDefault="00D0167D">
      <w:pPr>
        <w:tabs>
          <w:tab w:val="clear" w:pos="567"/>
        </w:tabs>
        <w:spacing w:before="0" w:after="200" w:line="276" w:lineRule="auto"/>
        <w:rPr>
          <w:rFonts w:ascii="Work Sans" w:hAnsi="Work Sans"/>
          <w:sz w:val="14"/>
        </w:rPr>
      </w:pPr>
      <w:r>
        <w:br w:type="page"/>
      </w:r>
    </w:p>
    <w:p w14:paraId="6CAA03EF" w14:textId="3068C256" w:rsidR="009A3A07" w:rsidRDefault="006503E8" w:rsidP="004E134D">
      <w:pPr>
        <w:pStyle w:val="CGC2025Caption"/>
        <w:tabs>
          <w:tab w:val="left" w:pos="1134"/>
        </w:tabs>
      </w:pPr>
      <w:r>
        <w:lastRenderedPageBreak/>
        <w:t>Table 2</w:t>
      </w:r>
      <w:r>
        <w:tab/>
      </w:r>
      <w:r w:rsidR="00CD6D82">
        <w:t>Average household size, state and national</w:t>
      </w:r>
      <w:r w:rsidR="00542E7F">
        <w:t>,</w:t>
      </w:r>
      <w:r w:rsidR="00CD6D82">
        <w:t xml:space="preserve"> by socio-demographic group</w:t>
      </w:r>
    </w:p>
    <w:tbl>
      <w:tblPr>
        <w:tblW w:w="0" w:type="auto"/>
        <w:tblLook w:val="04A0" w:firstRow="1" w:lastRow="0" w:firstColumn="1" w:lastColumn="0" w:noHBand="0" w:noVBand="1"/>
      </w:tblPr>
      <w:tblGrid>
        <w:gridCol w:w="2102"/>
        <w:gridCol w:w="1400"/>
        <w:gridCol w:w="1071"/>
        <w:gridCol w:w="581"/>
        <w:gridCol w:w="440"/>
        <w:gridCol w:w="487"/>
        <w:gridCol w:w="474"/>
        <w:gridCol w:w="437"/>
        <w:gridCol w:w="478"/>
        <w:gridCol w:w="514"/>
        <w:gridCol w:w="437"/>
        <w:gridCol w:w="605"/>
      </w:tblGrid>
      <w:tr w:rsidR="006503E8" w:rsidRPr="00672110" w14:paraId="69B7F0C5" w14:textId="77777777" w:rsidTr="00437294">
        <w:trPr>
          <w:trHeight w:val="675"/>
        </w:trPr>
        <w:tc>
          <w:tcPr>
            <w:tcW w:w="2127" w:type="dxa"/>
            <w:tcBorders>
              <w:top w:val="nil"/>
              <w:left w:val="nil"/>
              <w:bottom w:val="nil"/>
              <w:right w:val="nil"/>
            </w:tcBorders>
            <w:shd w:val="clear" w:color="000000" w:fill="006991"/>
            <w:vAlign w:val="center"/>
            <w:hideMark/>
          </w:tcPr>
          <w:p w14:paraId="5442A5FD" w14:textId="77777777" w:rsidR="00672110" w:rsidRPr="00672110" w:rsidRDefault="00672110" w:rsidP="00672110">
            <w:pPr>
              <w:tabs>
                <w:tab w:val="clear" w:pos="567"/>
              </w:tabs>
              <w:spacing w:before="0" w:line="240" w:lineRule="auto"/>
              <w:rPr>
                <w:rFonts w:ascii="Open Sans Semibold" w:eastAsia="Times New Roman" w:hAnsi="Open Sans Semibold" w:cs="Open Sans Semibold"/>
                <w:color w:val="FFFFFF"/>
                <w:sz w:val="16"/>
                <w:szCs w:val="16"/>
                <w:lang w:eastAsia="en-AU"/>
              </w:rPr>
            </w:pPr>
            <w:r w:rsidRPr="00672110">
              <w:rPr>
                <w:rFonts w:ascii="Open Sans Semibold" w:eastAsia="Times New Roman" w:hAnsi="Open Sans Semibold" w:cs="Open Sans Semibold"/>
                <w:color w:val="FFFFFF"/>
                <w:sz w:val="16"/>
                <w:szCs w:val="16"/>
                <w:lang w:eastAsia="en-AU"/>
              </w:rPr>
              <w:t> </w:t>
            </w:r>
          </w:p>
        </w:tc>
        <w:tc>
          <w:tcPr>
            <w:tcW w:w="1417" w:type="dxa"/>
            <w:tcBorders>
              <w:top w:val="nil"/>
              <w:left w:val="nil"/>
              <w:bottom w:val="nil"/>
              <w:right w:val="nil"/>
            </w:tcBorders>
            <w:shd w:val="clear" w:color="000000" w:fill="006991"/>
            <w:vAlign w:val="center"/>
            <w:hideMark/>
          </w:tcPr>
          <w:p w14:paraId="1BE6ADDC" w14:textId="77777777" w:rsidR="00672110" w:rsidRPr="00672110" w:rsidRDefault="00672110" w:rsidP="00672110">
            <w:pPr>
              <w:tabs>
                <w:tab w:val="clear" w:pos="567"/>
              </w:tabs>
              <w:spacing w:before="0" w:line="240" w:lineRule="auto"/>
              <w:rPr>
                <w:rFonts w:ascii="Open Sans Semibold" w:eastAsia="Times New Roman" w:hAnsi="Open Sans Semibold" w:cs="Open Sans Semibold"/>
                <w:color w:val="FFFFFF"/>
                <w:sz w:val="16"/>
                <w:szCs w:val="16"/>
                <w:lang w:eastAsia="en-AU"/>
              </w:rPr>
            </w:pPr>
            <w:r w:rsidRPr="00672110">
              <w:rPr>
                <w:rFonts w:ascii="Open Sans Semibold" w:eastAsia="Times New Roman" w:hAnsi="Open Sans Semibold" w:cs="Open Sans Semibold"/>
                <w:color w:val="FFFFFF"/>
                <w:sz w:val="16"/>
                <w:szCs w:val="16"/>
                <w:lang w:eastAsia="en-AU"/>
              </w:rPr>
              <w:t> </w:t>
            </w:r>
          </w:p>
        </w:tc>
        <w:tc>
          <w:tcPr>
            <w:tcW w:w="1029" w:type="dxa"/>
            <w:tcBorders>
              <w:top w:val="nil"/>
              <w:left w:val="nil"/>
              <w:bottom w:val="nil"/>
              <w:right w:val="nil"/>
            </w:tcBorders>
            <w:shd w:val="clear" w:color="000000" w:fill="006991"/>
            <w:vAlign w:val="center"/>
            <w:hideMark/>
          </w:tcPr>
          <w:p w14:paraId="7BA88751" w14:textId="77777777" w:rsidR="00672110" w:rsidRPr="00672110" w:rsidRDefault="00672110" w:rsidP="00672110">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672110">
              <w:rPr>
                <w:rFonts w:ascii="Open Sans Semibold" w:eastAsia="Times New Roman" w:hAnsi="Open Sans Semibold" w:cs="Open Sans Semibold"/>
                <w:color w:val="FFFFFF"/>
                <w:sz w:val="16"/>
                <w:szCs w:val="16"/>
                <w:lang w:eastAsia="en-AU"/>
              </w:rPr>
              <w:t> </w:t>
            </w:r>
          </w:p>
        </w:tc>
        <w:tc>
          <w:tcPr>
            <w:tcW w:w="4453" w:type="dxa"/>
            <w:gridSpan w:val="9"/>
            <w:tcBorders>
              <w:top w:val="nil"/>
              <w:left w:val="nil"/>
              <w:bottom w:val="single" w:sz="4" w:space="0" w:color="ADD6EA"/>
              <w:right w:val="nil"/>
            </w:tcBorders>
            <w:shd w:val="clear" w:color="000000" w:fill="006991"/>
            <w:vAlign w:val="center"/>
            <w:hideMark/>
          </w:tcPr>
          <w:p w14:paraId="0B5C29B0" w14:textId="7FE8F71C" w:rsidR="00672110" w:rsidRPr="00672110" w:rsidRDefault="007C492A" w:rsidP="00672110">
            <w:pPr>
              <w:tabs>
                <w:tab w:val="clear" w:pos="567"/>
              </w:tabs>
              <w:spacing w:before="0" w:line="240" w:lineRule="auto"/>
              <w:jc w:val="center"/>
              <w:rPr>
                <w:rFonts w:ascii="Open Sans Semibold" w:eastAsia="Times New Roman" w:hAnsi="Open Sans Semibold" w:cs="Open Sans Semibold"/>
                <w:color w:val="FFFFFF"/>
                <w:sz w:val="16"/>
                <w:szCs w:val="16"/>
                <w:lang w:eastAsia="en-AU"/>
              </w:rPr>
            </w:pPr>
            <w:r>
              <w:rPr>
                <w:rFonts w:ascii="Open Sans Semibold" w:eastAsia="Times New Roman" w:hAnsi="Open Sans Semibold" w:cs="Open Sans Semibold"/>
                <w:color w:val="FFFFFF"/>
                <w:sz w:val="16"/>
                <w:szCs w:val="16"/>
                <w:lang w:eastAsia="en-AU"/>
              </w:rPr>
              <w:t>Average Household Size</w:t>
            </w:r>
            <w:r w:rsidR="00672110" w:rsidRPr="00672110">
              <w:rPr>
                <w:rFonts w:ascii="Open Sans Semibold" w:eastAsia="Times New Roman" w:hAnsi="Open Sans Semibold" w:cs="Open Sans Semibold"/>
                <w:color w:val="FFFFFF"/>
                <w:sz w:val="16"/>
                <w:szCs w:val="16"/>
                <w:lang w:eastAsia="en-AU"/>
              </w:rPr>
              <w:t>, 2021</w:t>
            </w:r>
            <w:r w:rsidR="00B76F0A">
              <w:rPr>
                <w:rFonts w:ascii="Open Sans Semibold" w:eastAsia="Times New Roman" w:hAnsi="Open Sans Semibold" w:cs="Open Sans Semibold"/>
                <w:color w:val="FFFFFF"/>
                <w:sz w:val="16"/>
                <w:szCs w:val="16"/>
                <w:lang w:eastAsia="en-AU"/>
              </w:rPr>
              <w:t>–</w:t>
            </w:r>
            <w:r w:rsidR="00672110" w:rsidRPr="00672110">
              <w:rPr>
                <w:rFonts w:ascii="Open Sans Semibold" w:eastAsia="Times New Roman" w:hAnsi="Open Sans Semibold" w:cs="Open Sans Semibold"/>
                <w:color w:val="FFFFFF"/>
                <w:sz w:val="16"/>
                <w:szCs w:val="16"/>
                <w:lang w:eastAsia="en-AU"/>
              </w:rPr>
              <w:t>22</w:t>
            </w:r>
          </w:p>
        </w:tc>
      </w:tr>
      <w:tr w:rsidR="00672110" w:rsidRPr="00672110" w14:paraId="5C3A72CC" w14:textId="77777777" w:rsidTr="00437294">
        <w:trPr>
          <w:trHeight w:val="319"/>
        </w:trPr>
        <w:tc>
          <w:tcPr>
            <w:tcW w:w="2127" w:type="dxa"/>
            <w:tcBorders>
              <w:top w:val="single" w:sz="4" w:space="0" w:color="ADD6EA"/>
              <w:left w:val="nil"/>
              <w:bottom w:val="nil"/>
              <w:right w:val="nil"/>
            </w:tcBorders>
            <w:shd w:val="clear" w:color="000000" w:fill="D6E7F0"/>
            <w:vAlign w:val="bottom"/>
            <w:hideMark/>
          </w:tcPr>
          <w:p w14:paraId="509C995F" w14:textId="77777777" w:rsidR="00672110" w:rsidRPr="00672110" w:rsidRDefault="00672110" w:rsidP="00672110">
            <w:pPr>
              <w:tabs>
                <w:tab w:val="clear" w:pos="567"/>
              </w:tabs>
              <w:spacing w:before="0" w:line="240" w:lineRule="auto"/>
              <w:rPr>
                <w:rFonts w:ascii="Open Sans Semibold" w:eastAsia="Times New Roman" w:hAnsi="Open Sans Semibold" w:cs="Open Sans Semibold"/>
                <w:color w:val="000000"/>
                <w:sz w:val="16"/>
                <w:szCs w:val="16"/>
                <w:lang w:eastAsia="en-AU"/>
              </w:rPr>
            </w:pPr>
            <w:r w:rsidRPr="00672110">
              <w:rPr>
                <w:rFonts w:ascii="Open Sans Semibold" w:eastAsia="Times New Roman" w:hAnsi="Open Sans Semibold" w:cs="Open Sans Semibold"/>
                <w:color w:val="000000"/>
                <w:sz w:val="16"/>
                <w:szCs w:val="16"/>
                <w:lang w:eastAsia="en-AU"/>
              </w:rPr>
              <w:t>Remoteness</w:t>
            </w:r>
          </w:p>
        </w:tc>
        <w:tc>
          <w:tcPr>
            <w:tcW w:w="1417" w:type="dxa"/>
            <w:tcBorders>
              <w:top w:val="single" w:sz="4" w:space="0" w:color="ADD6EA"/>
              <w:left w:val="nil"/>
              <w:bottom w:val="nil"/>
              <w:right w:val="nil"/>
            </w:tcBorders>
            <w:shd w:val="clear" w:color="000000" w:fill="D6E7F0"/>
            <w:vAlign w:val="bottom"/>
            <w:hideMark/>
          </w:tcPr>
          <w:p w14:paraId="22B4A941" w14:textId="77777777" w:rsidR="00672110" w:rsidRPr="00672110" w:rsidRDefault="00672110" w:rsidP="009F4FD3">
            <w:pPr>
              <w:tabs>
                <w:tab w:val="clear" w:pos="567"/>
              </w:tabs>
              <w:spacing w:before="0" w:line="240" w:lineRule="auto"/>
              <w:rPr>
                <w:rFonts w:ascii="Open Sans Semibold" w:eastAsia="Times New Roman" w:hAnsi="Open Sans Semibold" w:cs="Open Sans Semibold"/>
                <w:color w:val="000000"/>
                <w:sz w:val="16"/>
                <w:szCs w:val="16"/>
                <w:lang w:eastAsia="en-AU"/>
              </w:rPr>
            </w:pPr>
            <w:r w:rsidRPr="00672110">
              <w:rPr>
                <w:rFonts w:ascii="Open Sans Semibold" w:eastAsia="Times New Roman" w:hAnsi="Open Sans Semibold" w:cs="Open Sans Semibold"/>
                <w:color w:val="000000"/>
                <w:sz w:val="16"/>
                <w:szCs w:val="16"/>
                <w:lang w:eastAsia="en-AU"/>
              </w:rPr>
              <w:t>SES</w:t>
            </w:r>
          </w:p>
        </w:tc>
        <w:tc>
          <w:tcPr>
            <w:tcW w:w="1029" w:type="dxa"/>
            <w:tcBorders>
              <w:top w:val="single" w:sz="4" w:space="0" w:color="ADD6EA"/>
              <w:left w:val="nil"/>
              <w:bottom w:val="nil"/>
              <w:right w:val="nil"/>
            </w:tcBorders>
            <w:shd w:val="clear" w:color="000000" w:fill="D6E7F0"/>
            <w:vAlign w:val="bottom"/>
            <w:hideMark/>
          </w:tcPr>
          <w:p w14:paraId="07CDF0FE" w14:textId="7BE2C48E" w:rsidR="00672110" w:rsidRPr="00672110" w:rsidRDefault="00672110" w:rsidP="00D0167D">
            <w:pPr>
              <w:tabs>
                <w:tab w:val="clear" w:pos="567"/>
              </w:tabs>
              <w:spacing w:before="0" w:line="240" w:lineRule="auto"/>
              <w:rPr>
                <w:rFonts w:ascii="Open Sans Semibold" w:eastAsia="Times New Roman" w:hAnsi="Open Sans Semibold" w:cs="Open Sans Semibold"/>
                <w:color w:val="000000"/>
                <w:sz w:val="16"/>
                <w:szCs w:val="16"/>
                <w:lang w:eastAsia="en-AU"/>
              </w:rPr>
            </w:pPr>
            <w:r w:rsidRPr="00672110">
              <w:rPr>
                <w:rFonts w:ascii="Open Sans Semibold" w:eastAsia="Times New Roman" w:hAnsi="Open Sans Semibold" w:cs="Open Sans Semibold"/>
                <w:color w:val="000000"/>
                <w:sz w:val="16"/>
                <w:szCs w:val="16"/>
                <w:lang w:eastAsia="en-AU"/>
              </w:rPr>
              <w:t>Indigenous</w:t>
            </w:r>
            <w:r w:rsidR="003A00F8">
              <w:rPr>
                <w:rFonts w:ascii="Open Sans Semibold" w:eastAsia="Times New Roman" w:hAnsi="Open Sans Semibold" w:cs="Open Sans Semibold"/>
                <w:color w:val="000000"/>
                <w:sz w:val="16"/>
                <w:szCs w:val="16"/>
                <w:lang w:eastAsia="en-AU"/>
              </w:rPr>
              <w:t xml:space="preserve"> Status</w:t>
            </w:r>
          </w:p>
        </w:tc>
        <w:tc>
          <w:tcPr>
            <w:tcW w:w="581" w:type="dxa"/>
            <w:tcBorders>
              <w:top w:val="nil"/>
              <w:left w:val="nil"/>
              <w:bottom w:val="nil"/>
              <w:right w:val="nil"/>
            </w:tcBorders>
            <w:shd w:val="clear" w:color="000000" w:fill="D6E7F0"/>
            <w:vAlign w:val="bottom"/>
            <w:hideMark/>
          </w:tcPr>
          <w:p w14:paraId="02A2F39A" w14:textId="77777777" w:rsidR="00672110" w:rsidRPr="00672110" w:rsidRDefault="00672110" w:rsidP="00672110">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672110">
              <w:rPr>
                <w:rFonts w:ascii="Open Sans Semibold" w:eastAsia="Times New Roman" w:hAnsi="Open Sans Semibold" w:cs="Open Sans Semibold"/>
                <w:color w:val="000000"/>
                <w:sz w:val="16"/>
                <w:szCs w:val="16"/>
                <w:lang w:eastAsia="en-AU"/>
              </w:rPr>
              <w:t>NSW</w:t>
            </w:r>
          </w:p>
        </w:tc>
        <w:tc>
          <w:tcPr>
            <w:tcW w:w="0" w:type="auto"/>
            <w:tcBorders>
              <w:top w:val="nil"/>
              <w:left w:val="nil"/>
              <w:bottom w:val="nil"/>
              <w:right w:val="nil"/>
            </w:tcBorders>
            <w:shd w:val="clear" w:color="000000" w:fill="D6E7F0"/>
            <w:vAlign w:val="bottom"/>
            <w:hideMark/>
          </w:tcPr>
          <w:p w14:paraId="40681EAE" w14:textId="77777777" w:rsidR="00672110" w:rsidRPr="00672110" w:rsidRDefault="00672110" w:rsidP="00672110">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672110">
              <w:rPr>
                <w:rFonts w:ascii="Open Sans Semibold" w:eastAsia="Times New Roman" w:hAnsi="Open Sans Semibold" w:cs="Open Sans Semibold"/>
                <w:color w:val="000000"/>
                <w:sz w:val="16"/>
                <w:szCs w:val="16"/>
                <w:lang w:eastAsia="en-AU"/>
              </w:rPr>
              <w:t>Vic</w:t>
            </w:r>
          </w:p>
        </w:tc>
        <w:tc>
          <w:tcPr>
            <w:tcW w:w="0" w:type="auto"/>
            <w:tcBorders>
              <w:top w:val="nil"/>
              <w:left w:val="nil"/>
              <w:bottom w:val="nil"/>
              <w:right w:val="nil"/>
            </w:tcBorders>
            <w:shd w:val="clear" w:color="000000" w:fill="D6E7F0"/>
            <w:vAlign w:val="bottom"/>
            <w:hideMark/>
          </w:tcPr>
          <w:p w14:paraId="756DDAD8" w14:textId="77777777" w:rsidR="00672110" w:rsidRPr="00672110" w:rsidRDefault="00672110" w:rsidP="00672110">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672110">
              <w:rPr>
                <w:rFonts w:ascii="Open Sans Semibold" w:eastAsia="Times New Roman" w:hAnsi="Open Sans Semibold" w:cs="Open Sans Semibold"/>
                <w:color w:val="000000"/>
                <w:sz w:val="16"/>
                <w:szCs w:val="16"/>
                <w:lang w:eastAsia="en-AU"/>
              </w:rPr>
              <w:t>Qld</w:t>
            </w:r>
          </w:p>
        </w:tc>
        <w:tc>
          <w:tcPr>
            <w:tcW w:w="0" w:type="auto"/>
            <w:tcBorders>
              <w:top w:val="nil"/>
              <w:left w:val="nil"/>
              <w:bottom w:val="nil"/>
              <w:right w:val="nil"/>
            </w:tcBorders>
            <w:shd w:val="clear" w:color="000000" w:fill="D6E7F0"/>
            <w:vAlign w:val="bottom"/>
            <w:hideMark/>
          </w:tcPr>
          <w:p w14:paraId="127174F3" w14:textId="77777777" w:rsidR="00672110" w:rsidRPr="00672110" w:rsidRDefault="00672110" w:rsidP="00672110">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672110">
              <w:rPr>
                <w:rFonts w:ascii="Open Sans Semibold" w:eastAsia="Times New Roman" w:hAnsi="Open Sans Semibold" w:cs="Open Sans Semibold"/>
                <w:color w:val="000000"/>
                <w:sz w:val="16"/>
                <w:szCs w:val="16"/>
                <w:lang w:eastAsia="en-AU"/>
              </w:rPr>
              <w:t>WA</w:t>
            </w:r>
          </w:p>
        </w:tc>
        <w:tc>
          <w:tcPr>
            <w:tcW w:w="0" w:type="auto"/>
            <w:tcBorders>
              <w:top w:val="nil"/>
              <w:left w:val="nil"/>
              <w:bottom w:val="nil"/>
              <w:right w:val="nil"/>
            </w:tcBorders>
            <w:shd w:val="clear" w:color="000000" w:fill="D6E7F0"/>
            <w:vAlign w:val="bottom"/>
            <w:hideMark/>
          </w:tcPr>
          <w:p w14:paraId="25A05815" w14:textId="77777777" w:rsidR="00672110" w:rsidRPr="00672110" w:rsidRDefault="00672110" w:rsidP="00672110">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672110">
              <w:rPr>
                <w:rFonts w:ascii="Open Sans Semibold" w:eastAsia="Times New Roman" w:hAnsi="Open Sans Semibold" w:cs="Open Sans Semibold"/>
                <w:color w:val="000000"/>
                <w:sz w:val="16"/>
                <w:szCs w:val="16"/>
                <w:lang w:eastAsia="en-AU"/>
              </w:rPr>
              <w:t>SA</w:t>
            </w:r>
          </w:p>
        </w:tc>
        <w:tc>
          <w:tcPr>
            <w:tcW w:w="0" w:type="auto"/>
            <w:tcBorders>
              <w:top w:val="nil"/>
              <w:left w:val="nil"/>
              <w:bottom w:val="nil"/>
              <w:right w:val="nil"/>
            </w:tcBorders>
            <w:shd w:val="clear" w:color="000000" w:fill="D6E7F0"/>
            <w:vAlign w:val="bottom"/>
            <w:hideMark/>
          </w:tcPr>
          <w:p w14:paraId="135FF440" w14:textId="77777777" w:rsidR="00672110" w:rsidRPr="00672110" w:rsidRDefault="00672110" w:rsidP="00672110">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672110">
              <w:rPr>
                <w:rFonts w:ascii="Open Sans Semibold" w:eastAsia="Times New Roman" w:hAnsi="Open Sans Semibold" w:cs="Open Sans Semibold"/>
                <w:color w:val="000000"/>
                <w:sz w:val="16"/>
                <w:szCs w:val="16"/>
                <w:lang w:eastAsia="en-AU"/>
              </w:rPr>
              <w:t>Tas</w:t>
            </w:r>
          </w:p>
        </w:tc>
        <w:tc>
          <w:tcPr>
            <w:tcW w:w="0" w:type="auto"/>
            <w:tcBorders>
              <w:top w:val="nil"/>
              <w:left w:val="nil"/>
              <w:bottom w:val="nil"/>
              <w:right w:val="nil"/>
            </w:tcBorders>
            <w:shd w:val="clear" w:color="000000" w:fill="D6E7F0"/>
            <w:vAlign w:val="bottom"/>
            <w:hideMark/>
          </w:tcPr>
          <w:p w14:paraId="6329EDD3" w14:textId="77777777" w:rsidR="00672110" w:rsidRPr="00672110" w:rsidRDefault="00672110" w:rsidP="00672110">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672110">
              <w:rPr>
                <w:rFonts w:ascii="Open Sans Semibold" w:eastAsia="Times New Roman" w:hAnsi="Open Sans Semibold" w:cs="Open Sans Semibold"/>
                <w:color w:val="000000"/>
                <w:sz w:val="16"/>
                <w:szCs w:val="16"/>
                <w:lang w:eastAsia="en-AU"/>
              </w:rPr>
              <w:t>ACT</w:t>
            </w:r>
          </w:p>
        </w:tc>
        <w:tc>
          <w:tcPr>
            <w:tcW w:w="0" w:type="auto"/>
            <w:tcBorders>
              <w:top w:val="nil"/>
              <w:left w:val="nil"/>
              <w:bottom w:val="nil"/>
              <w:right w:val="nil"/>
            </w:tcBorders>
            <w:shd w:val="clear" w:color="000000" w:fill="D6E7F0"/>
            <w:vAlign w:val="bottom"/>
            <w:hideMark/>
          </w:tcPr>
          <w:p w14:paraId="5A95A8CB" w14:textId="77777777" w:rsidR="00672110" w:rsidRPr="00672110" w:rsidRDefault="00672110" w:rsidP="00672110">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672110">
              <w:rPr>
                <w:rFonts w:ascii="Open Sans Semibold" w:eastAsia="Times New Roman" w:hAnsi="Open Sans Semibold" w:cs="Open Sans Semibold"/>
                <w:color w:val="000000"/>
                <w:sz w:val="16"/>
                <w:szCs w:val="16"/>
                <w:lang w:eastAsia="en-AU"/>
              </w:rPr>
              <w:t>NT</w:t>
            </w:r>
          </w:p>
        </w:tc>
        <w:tc>
          <w:tcPr>
            <w:tcW w:w="0" w:type="auto"/>
            <w:tcBorders>
              <w:top w:val="nil"/>
              <w:left w:val="nil"/>
              <w:bottom w:val="nil"/>
              <w:right w:val="nil"/>
            </w:tcBorders>
            <w:shd w:val="clear" w:color="000000" w:fill="D6E7F0"/>
            <w:vAlign w:val="bottom"/>
            <w:hideMark/>
          </w:tcPr>
          <w:p w14:paraId="3A79583A" w14:textId="77777777" w:rsidR="00672110" w:rsidRPr="00672110" w:rsidRDefault="00672110" w:rsidP="00672110">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672110">
              <w:rPr>
                <w:rFonts w:ascii="Open Sans Semibold" w:eastAsia="Times New Roman" w:hAnsi="Open Sans Semibold" w:cs="Open Sans Semibold"/>
                <w:color w:val="000000"/>
                <w:sz w:val="16"/>
                <w:szCs w:val="16"/>
                <w:lang w:eastAsia="en-AU"/>
              </w:rPr>
              <w:t>Total</w:t>
            </w:r>
          </w:p>
        </w:tc>
      </w:tr>
      <w:tr w:rsidR="00672110" w:rsidRPr="00672110" w14:paraId="718BBAC0" w14:textId="77777777" w:rsidTr="00437294">
        <w:trPr>
          <w:trHeight w:val="319"/>
        </w:trPr>
        <w:tc>
          <w:tcPr>
            <w:tcW w:w="2127" w:type="dxa"/>
            <w:tcBorders>
              <w:top w:val="single" w:sz="4" w:space="0" w:color="ADD6EA"/>
              <w:left w:val="nil"/>
              <w:bottom w:val="nil"/>
              <w:right w:val="nil"/>
            </w:tcBorders>
            <w:shd w:val="clear" w:color="000000" w:fill="FFFFFF"/>
            <w:vAlign w:val="bottom"/>
            <w:hideMark/>
          </w:tcPr>
          <w:p w14:paraId="4952F21F" w14:textId="77777777" w:rsidR="00672110" w:rsidRPr="00672110" w:rsidRDefault="00672110" w:rsidP="00672110">
            <w:pPr>
              <w:tabs>
                <w:tab w:val="clear" w:pos="567"/>
              </w:tabs>
              <w:spacing w:before="0" w:line="240" w:lineRule="auto"/>
              <w:rPr>
                <w:rFonts w:eastAsia="Times New Roman" w:cs="Open Sans Light"/>
                <w:color w:val="000000"/>
                <w:sz w:val="16"/>
                <w:szCs w:val="16"/>
                <w:lang w:eastAsia="en-AU"/>
              </w:rPr>
            </w:pPr>
            <w:r w:rsidRPr="00672110">
              <w:rPr>
                <w:rFonts w:eastAsia="Times New Roman" w:cs="Open Sans Light"/>
                <w:color w:val="000000"/>
                <w:sz w:val="16"/>
                <w:szCs w:val="16"/>
                <w:lang w:eastAsia="en-AU"/>
              </w:rPr>
              <w:t>1.Major cities of Australia</w:t>
            </w:r>
          </w:p>
        </w:tc>
        <w:tc>
          <w:tcPr>
            <w:tcW w:w="1417" w:type="dxa"/>
            <w:tcBorders>
              <w:top w:val="single" w:sz="4" w:space="0" w:color="ADD6EA"/>
              <w:left w:val="nil"/>
              <w:bottom w:val="nil"/>
              <w:right w:val="nil"/>
            </w:tcBorders>
            <w:shd w:val="clear" w:color="000000" w:fill="FFFFFF"/>
            <w:vAlign w:val="bottom"/>
            <w:hideMark/>
          </w:tcPr>
          <w:p w14:paraId="0E1F6C53" w14:textId="32594EF5" w:rsidR="00672110" w:rsidRPr="00672110" w:rsidRDefault="007455F6" w:rsidP="009F4FD3">
            <w:pPr>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 xml:space="preserve">1. </w:t>
            </w:r>
            <w:r w:rsidR="00672110" w:rsidRPr="00672110">
              <w:rPr>
                <w:rFonts w:eastAsia="Times New Roman" w:cs="Open Sans Light"/>
                <w:color w:val="000000"/>
                <w:sz w:val="16"/>
                <w:szCs w:val="16"/>
                <w:lang w:eastAsia="en-AU"/>
              </w:rPr>
              <w:t>Low-income</w:t>
            </w:r>
          </w:p>
        </w:tc>
        <w:tc>
          <w:tcPr>
            <w:tcW w:w="1029" w:type="dxa"/>
            <w:tcBorders>
              <w:top w:val="single" w:sz="4" w:space="0" w:color="ADD6EA"/>
              <w:left w:val="nil"/>
              <w:bottom w:val="nil"/>
              <w:right w:val="nil"/>
            </w:tcBorders>
            <w:shd w:val="clear" w:color="000000" w:fill="FFFFFF"/>
            <w:vAlign w:val="bottom"/>
            <w:hideMark/>
          </w:tcPr>
          <w:p w14:paraId="668B768E" w14:textId="771269A1" w:rsidR="00672110" w:rsidRPr="00672110" w:rsidRDefault="00672110" w:rsidP="00D0167D">
            <w:pPr>
              <w:tabs>
                <w:tab w:val="clear" w:pos="567"/>
              </w:tabs>
              <w:spacing w:before="0" w:line="240" w:lineRule="auto"/>
              <w:rPr>
                <w:rFonts w:eastAsia="Times New Roman" w:cs="Open Sans Light"/>
                <w:color w:val="000000"/>
                <w:sz w:val="16"/>
                <w:szCs w:val="16"/>
                <w:lang w:eastAsia="en-AU"/>
              </w:rPr>
            </w:pPr>
            <w:r w:rsidRPr="00672110">
              <w:rPr>
                <w:rFonts w:eastAsia="Times New Roman" w:cs="Open Sans Light"/>
                <w:color w:val="000000"/>
                <w:sz w:val="16"/>
                <w:szCs w:val="16"/>
                <w:lang w:eastAsia="en-AU"/>
              </w:rPr>
              <w:t>1.</w:t>
            </w:r>
            <w:r w:rsidR="003A00F8">
              <w:rPr>
                <w:rFonts w:eastAsia="Times New Roman" w:cs="Open Sans Light"/>
                <w:color w:val="000000"/>
                <w:sz w:val="16"/>
                <w:szCs w:val="16"/>
                <w:lang w:eastAsia="en-AU"/>
              </w:rPr>
              <w:t>First</w:t>
            </w:r>
            <w:r w:rsidR="003709C5">
              <w:rPr>
                <w:rFonts w:eastAsia="Times New Roman" w:cs="Open Sans Light"/>
                <w:color w:val="000000"/>
                <w:sz w:val="16"/>
                <w:szCs w:val="16"/>
                <w:lang w:eastAsia="en-AU"/>
              </w:rPr>
              <w:t xml:space="preserve"> Nations</w:t>
            </w:r>
          </w:p>
        </w:tc>
        <w:tc>
          <w:tcPr>
            <w:tcW w:w="581" w:type="dxa"/>
            <w:tcBorders>
              <w:top w:val="single" w:sz="4" w:space="0" w:color="ADD6EA"/>
              <w:left w:val="nil"/>
              <w:bottom w:val="nil"/>
              <w:right w:val="nil"/>
            </w:tcBorders>
            <w:shd w:val="clear" w:color="000000" w:fill="FFFFFF"/>
            <w:vAlign w:val="bottom"/>
            <w:hideMark/>
          </w:tcPr>
          <w:p w14:paraId="0F500D97"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2.1</w:t>
            </w:r>
          </w:p>
        </w:tc>
        <w:tc>
          <w:tcPr>
            <w:tcW w:w="0" w:type="auto"/>
            <w:tcBorders>
              <w:top w:val="single" w:sz="4" w:space="0" w:color="ADD6EA"/>
              <w:left w:val="nil"/>
              <w:bottom w:val="nil"/>
              <w:right w:val="nil"/>
            </w:tcBorders>
            <w:shd w:val="clear" w:color="000000" w:fill="FFFFFF"/>
            <w:vAlign w:val="bottom"/>
            <w:hideMark/>
          </w:tcPr>
          <w:p w14:paraId="0D2611D5"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1.9</w:t>
            </w:r>
          </w:p>
        </w:tc>
        <w:tc>
          <w:tcPr>
            <w:tcW w:w="0" w:type="auto"/>
            <w:tcBorders>
              <w:top w:val="single" w:sz="4" w:space="0" w:color="ADD6EA"/>
              <w:left w:val="nil"/>
              <w:bottom w:val="nil"/>
              <w:right w:val="nil"/>
            </w:tcBorders>
            <w:shd w:val="clear" w:color="000000" w:fill="FFFFFF"/>
            <w:vAlign w:val="bottom"/>
            <w:hideMark/>
          </w:tcPr>
          <w:p w14:paraId="0886BFCB"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2.2</w:t>
            </w:r>
          </w:p>
        </w:tc>
        <w:tc>
          <w:tcPr>
            <w:tcW w:w="0" w:type="auto"/>
            <w:tcBorders>
              <w:top w:val="single" w:sz="4" w:space="0" w:color="ADD6EA"/>
              <w:left w:val="nil"/>
              <w:bottom w:val="nil"/>
              <w:right w:val="nil"/>
            </w:tcBorders>
            <w:shd w:val="clear" w:color="000000" w:fill="FFFFFF"/>
            <w:vAlign w:val="bottom"/>
            <w:hideMark/>
          </w:tcPr>
          <w:p w14:paraId="3478970E"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2.4</w:t>
            </w:r>
          </w:p>
        </w:tc>
        <w:tc>
          <w:tcPr>
            <w:tcW w:w="0" w:type="auto"/>
            <w:tcBorders>
              <w:top w:val="single" w:sz="4" w:space="0" w:color="ADD6EA"/>
              <w:left w:val="nil"/>
              <w:bottom w:val="nil"/>
              <w:right w:val="nil"/>
            </w:tcBorders>
            <w:shd w:val="clear" w:color="000000" w:fill="FFFFFF"/>
            <w:vAlign w:val="bottom"/>
            <w:hideMark/>
          </w:tcPr>
          <w:p w14:paraId="1147B26E"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2.0</w:t>
            </w:r>
          </w:p>
        </w:tc>
        <w:tc>
          <w:tcPr>
            <w:tcW w:w="0" w:type="auto"/>
            <w:tcBorders>
              <w:top w:val="single" w:sz="4" w:space="0" w:color="ADD6EA"/>
              <w:left w:val="nil"/>
              <w:bottom w:val="nil"/>
              <w:right w:val="nil"/>
            </w:tcBorders>
            <w:shd w:val="clear" w:color="000000" w:fill="FFFFFF"/>
            <w:vAlign w:val="bottom"/>
            <w:hideMark/>
          </w:tcPr>
          <w:p w14:paraId="0694DE3C"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0.0</w:t>
            </w:r>
          </w:p>
        </w:tc>
        <w:tc>
          <w:tcPr>
            <w:tcW w:w="0" w:type="auto"/>
            <w:tcBorders>
              <w:top w:val="single" w:sz="4" w:space="0" w:color="ADD6EA"/>
              <w:left w:val="nil"/>
              <w:bottom w:val="nil"/>
              <w:right w:val="nil"/>
            </w:tcBorders>
            <w:shd w:val="clear" w:color="000000" w:fill="FFFFFF"/>
            <w:vAlign w:val="bottom"/>
            <w:hideMark/>
          </w:tcPr>
          <w:p w14:paraId="181E6716"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2.1</w:t>
            </w:r>
          </w:p>
        </w:tc>
        <w:tc>
          <w:tcPr>
            <w:tcW w:w="0" w:type="auto"/>
            <w:tcBorders>
              <w:top w:val="single" w:sz="4" w:space="0" w:color="ADD6EA"/>
              <w:left w:val="nil"/>
              <w:bottom w:val="nil"/>
              <w:right w:val="nil"/>
            </w:tcBorders>
            <w:shd w:val="clear" w:color="000000" w:fill="FFFFFF"/>
            <w:vAlign w:val="bottom"/>
            <w:hideMark/>
          </w:tcPr>
          <w:p w14:paraId="61656ED0"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0.0</w:t>
            </w:r>
          </w:p>
        </w:tc>
        <w:tc>
          <w:tcPr>
            <w:tcW w:w="0" w:type="auto"/>
            <w:tcBorders>
              <w:top w:val="single" w:sz="4" w:space="0" w:color="ADD6EA"/>
              <w:left w:val="nil"/>
              <w:bottom w:val="nil"/>
              <w:right w:val="nil"/>
            </w:tcBorders>
            <w:shd w:val="clear" w:color="000000" w:fill="FFFFFF"/>
            <w:vAlign w:val="bottom"/>
            <w:hideMark/>
          </w:tcPr>
          <w:p w14:paraId="0B5907C5"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2.2</w:t>
            </w:r>
          </w:p>
        </w:tc>
      </w:tr>
      <w:tr w:rsidR="00672110" w:rsidRPr="00672110" w14:paraId="2EAEE9A4" w14:textId="77777777" w:rsidTr="00437294">
        <w:trPr>
          <w:trHeight w:val="319"/>
        </w:trPr>
        <w:tc>
          <w:tcPr>
            <w:tcW w:w="2127" w:type="dxa"/>
            <w:tcBorders>
              <w:top w:val="single" w:sz="4" w:space="0" w:color="ADD6EA"/>
              <w:left w:val="nil"/>
              <w:bottom w:val="nil"/>
              <w:right w:val="nil"/>
            </w:tcBorders>
            <w:shd w:val="clear" w:color="000000" w:fill="FFFFFF"/>
            <w:vAlign w:val="bottom"/>
            <w:hideMark/>
          </w:tcPr>
          <w:p w14:paraId="18883BB5" w14:textId="77777777" w:rsidR="00672110" w:rsidRPr="00672110" w:rsidRDefault="00672110" w:rsidP="00672110">
            <w:pPr>
              <w:tabs>
                <w:tab w:val="clear" w:pos="567"/>
              </w:tabs>
              <w:spacing w:before="0" w:line="240" w:lineRule="auto"/>
              <w:rPr>
                <w:rFonts w:eastAsia="Times New Roman" w:cs="Open Sans Light"/>
                <w:color w:val="000000"/>
                <w:sz w:val="16"/>
                <w:szCs w:val="16"/>
                <w:lang w:eastAsia="en-AU"/>
              </w:rPr>
            </w:pPr>
            <w:r w:rsidRPr="00672110">
              <w:rPr>
                <w:rFonts w:eastAsia="Times New Roman" w:cs="Open Sans Light"/>
                <w:color w:val="000000"/>
                <w:sz w:val="16"/>
                <w:szCs w:val="16"/>
                <w:lang w:eastAsia="en-AU"/>
              </w:rPr>
              <w:t>1.Major cities of Australia</w:t>
            </w:r>
          </w:p>
        </w:tc>
        <w:tc>
          <w:tcPr>
            <w:tcW w:w="1417" w:type="dxa"/>
            <w:tcBorders>
              <w:top w:val="single" w:sz="4" w:space="0" w:color="ADD6EA"/>
              <w:left w:val="nil"/>
              <w:bottom w:val="nil"/>
              <w:right w:val="nil"/>
            </w:tcBorders>
            <w:shd w:val="clear" w:color="000000" w:fill="FFFFFF"/>
            <w:vAlign w:val="bottom"/>
            <w:hideMark/>
          </w:tcPr>
          <w:p w14:paraId="3D674E38" w14:textId="77777777" w:rsidR="00672110" w:rsidRPr="00672110" w:rsidRDefault="00672110" w:rsidP="009F4FD3">
            <w:pPr>
              <w:tabs>
                <w:tab w:val="clear" w:pos="567"/>
              </w:tabs>
              <w:spacing w:before="0" w:line="240" w:lineRule="auto"/>
              <w:rPr>
                <w:rFonts w:eastAsia="Times New Roman" w:cs="Open Sans Light"/>
                <w:color w:val="000000"/>
                <w:sz w:val="16"/>
                <w:szCs w:val="16"/>
                <w:lang w:eastAsia="en-AU"/>
              </w:rPr>
            </w:pPr>
            <w:r w:rsidRPr="00672110">
              <w:rPr>
                <w:rFonts w:eastAsia="Times New Roman" w:cs="Open Sans Light"/>
                <w:color w:val="000000"/>
                <w:sz w:val="16"/>
                <w:szCs w:val="16"/>
                <w:lang w:eastAsia="en-AU"/>
              </w:rPr>
              <w:t>1. Low-income</w:t>
            </w:r>
          </w:p>
        </w:tc>
        <w:tc>
          <w:tcPr>
            <w:tcW w:w="1029" w:type="dxa"/>
            <w:tcBorders>
              <w:top w:val="single" w:sz="4" w:space="0" w:color="ADD6EA"/>
              <w:left w:val="nil"/>
              <w:bottom w:val="nil"/>
              <w:right w:val="nil"/>
            </w:tcBorders>
            <w:shd w:val="clear" w:color="000000" w:fill="FFFFFF"/>
            <w:vAlign w:val="bottom"/>
            <w:hideMark/>
          </w:tcPr>
          <w:p w14:paraId="3F308E6A" w14:textId="77777777" w:rsidR="00672110" w:rsidRPr="00672110" w:rsidRDefault="00672110" w:rsidP="00D0167D">
            <w:pPr>
              <w:tabs>
                <w:tab w:val="clear" w:pos="567"/>
              </w:tabs>
              <w:spacing w:before="0" w:line="240" w:lineRule="auto"/>
              <w:rPr>
                <w:rFonts w:eastAsia="Times New Roman" w:cs="Open Sans Light"/>
                <w:color w:val="000000"/>
                <w:sz w:val="16"/>
                <w:szCs w:val="16"/>
                <w:lang w:eastAsia="en-AU"/>
              </w:rPr>
            </w:pPr>
            <w:r w:rsidRPr="00672110">
              <w:rPr>
                <w:rFonts w:eastAsia="Times New Roman" w:cs="Open Sans Light"/>
                <w:color w:val="000000"/>
                <w:sz w:val="16"/>
                <w:szCs w:val="16"/>
                <w:lang w:eastAsia="en-AU"/>
              </w:rPr>
              <w:t>2.Non-Indigenous</w:t>
            </w:r>
          </w:p>
        </w:tc>
        <w:tc>
          <w:tcPr>
            <w:tcW w:w="581" w:type="dxa"/>
            <w:tcBorders>
              <w:top w:val="single" w:sz="4" w:space="0" w:color="ADD6EA"/>
              <w:left w:val="nil"/>
              <w:bottom w:val="nil"/>
              <w:right w:val="nil"/>
            </w:tcBorders>
            <w:shd w:val="clear" w:color="000000" w:fill="FFFFFF"/>
            <w:vAlign w:val="bottom"/>
            <w:hideMark/>
          </w:tcPr>
          <w:p w14:paraId="44D44AB4"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2.2</w:t>
            </w:r>
          </w:p>
        </w:tc>
        <w:tc>
          <w:tcPr>
            <w:tcW w:w="0" w:type="auto"/>
            <w:tcBorders>
              <w:top w:val="single" w:sz="4" w:space="0" w:color="ADD6EA"/>
              <w:left w:val="nil"/>
              <w:bottom w:val="nil"/>
              <w:right w:val="nil"/>
            </w:tcBorders>
            <w:shd w:val="clear" w:color="000000" w:fill="FFFFFF"/>
            <w:vAlign w:val="bottom"/>
            <w:hideMark/>
          </w:tcPr>
          <w:p w14:paraId="1F42BF33"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2.3</w:t>
            </w:r>
          </w:p>
        </w:tc>
        <w:tc>
          <w:tcPr>
            <w:tcW w:w="0" w:type="auto"/>
            <w:tcBorders>
              <w:top w:val="single" w:sz="4" w:space="0" w:color="ADD6EA"/>
              <w:left w:val="nil"/>
              <w:bottom w:val="nil"/>
              <w:right w:val="nil"/>
            </w:tcBorders>
            <w:shd w:val="clear" w:color="000000" w:fill="FFFFFF"/>
            <w:vAlign w:val="bottom"/>
            <w:hideMark/>
          </w:tcPr>
          <w:p w14:paraId="5EADB8E7"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2.2</w:t>
            </w:r>
          </w:p>
        </w:tc>
        <w:tc>
          <w:tcPr>
            <w:tcW w:w="0" w:type="auto"/>
            <w:tcBorders>
              <w:top w:val="single" w:sz="4" w:space="0" w:color="ADD6EA"/>
              <w:left w:val="nil"/>
              <w:bottom w:val="nil"/>
              <w:right w:val="nil"/>
            </w:tcBorders>
            <w:shd w:val="clear" w:color="000000" w:fill="FFFFFF"/>
            <w:vAlign w:val="bottom"/>
            <w:hideMark/>
          </w:tcPr>
          <w:p w14:paraId="499B6AA8"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2.1</w:t>
            </w:r>
          </w:p>
        </w:tc>
        <w:tc>
          <w:tcPr>
            <w:tcW w:w="0" w:type="auto"/>
            <w:tcBorders>
              <w:top w:val="single" w:sz="4" w:space="0" w:color="ADD6EA"/>
              <w:left w:val="nil"/>
              <w:bottom w:val="nil"/>
              <w:right w:val="nil"/>
            </w:tcBorders>
            <w:shd w:val="clear" w:color="000000" w:fill="FFFFFF"/>
            <w:vAlign w:val="bottom"/>
            <w:hideMark/>
          </w:tcPr>
          <w:p w14:paraId="6A5788B8"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2.0</w:t>
            </w:r>
          </w:p>
        </w:tc>
        <w:tc>
          <w:tcPr>
            <w:tcW w:w="0" w:type="auto"/>
            <w:tcBorders>
              <w:top w:val="single" w:sz="4" w:space="0" w:color="ADD6EA"/>
              <w:left w:val="nil"/>
              <w:bottom w:val="nil"/>
              <w:right w:val="nil"/>
            </w:tcBorders>
            <w:shd w:val="clear" w:color="000000" w:fill="FFFFFF"/>
            <w:vAlign w:val="bottom"/>
            <w:hideMark/>
          </w:tcPr>
          <w:p w14:paraId="3B24E4F1"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0.0</w:t>
            </w:r>
          </w:p>
        </w:tc>
        <w:tc>
          <w:tcPr>
            <w:tcW w:w="0" w:type="auto"/>
            <w:tcBorders>
              <w:top w:val="single" w:sz="4" w:space="0" w:color="ADD6EA"/>
              <w:left w:val="nil"/>
              <w:bottom w:val="nil"/>
              <w:right w:val="nil"/>
            </w:tcBorders>
            <w:shd w:val="clear" w:color="000000" w:fill="FFFFFF"/>
            <w:vAlign w:val="bottom"/>
            <w:hideMark/>
          </w:tcPr>
          <w:p w14:paraId="116FD32F"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2.0</w:t>
            </w:r>
          </w:p>
        </w:tc>
        <w:tc>
          <w:tcPr>
            <w:tcW w:w="0" w:type="auto"/>
            <w:tcBorders>
              <w:top w:val="single" w:sz="4" w:space="0" w:color="ADD6EA"/>
              <w:left w:val="nil"/>
              <w:bottom w:val="nil"/>
              <w:right w:val="nil"/>
            </w:tcBorders>
            <w:shd w:val="clear" w:color="000000" w:fill="FFFFFF"/>
            <w:vAlign w:val="bottom"/>
            <w:hideMark/>
          </w:tcPr>
          <w:p w14:paraId="0A057F8E"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0.0</w:t>
            </w:r>
          </w:p>
        </w:tc>
        <w:tc>
          <w:tcPr>
            <w:tcW w:w="0" w:type="auto"/>
            <w:tcBorders>
              <w:top w:val="single" w:sz="4" w:space="0" w:color="ADD6EA"/>
              <w:left w:val="nil"/>
              <w:bottom w:val="nil"/>
              <w:right w:val="nil"/>
            </w:tcBorders>
            <w:shd w:val="clear" w:color="000000" w:fill="FFFFFF"/>
            <w:vAlign w:val="bottom"/>
            <w:hideMark/>
          </w:tcPr>
          <w:p w14:paraId="0FFB1706"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2.2</w:t>
            </w:r>
          </w:p>
        </w:tc>
      </w:tr>
      <w:tr w:rsidR="00672110" w:rsidRPr="00672110" w14:paraId="17B7604D" w14:textId="77777777" w:rsidTr="00437294">
        <w:trPr>
          <w:trHeight w:val="319"/>
        </w:trPr>
        <w:tc>
          <w:tcPr>
            <w:tcW w:w="2127" w:type="dxa"/>
            <w:tcBorders>
              <w:top w:val="single" w:sz="4" w:space="0" w:color="ADD6EA"/>
              <w:left w:val="nil"/>
              <w:bottom w:val="nil"/>
              <w:right w:val="nil"/>
            </w:tcBorders>
            <w:shd w:val="clear" w:color="000000" w:fill="FFFFFF"/>
            <w:vAlign w:val="bottom"/>
            <w:hideMark/>
          </w:tcPr>
          <w:p w14:paraId="074615B8" w14:textId="77777777" w:rsidR="00672110" w:rsidRPr="00672110" w:rsidRDefault="00672110" w:rsidP="00672110">
            <w:pPr>
              <w:tabs>
                <w:tab w:val="clear" w:pos="567"/>
              </w:tabs>
              <w:spacing w:before="0" w:line="240" w:lineRule="auto"/>
              <w:rPr>
                <w:rFonts w:eastAsia="Times New Roman" w:cs="Open Sans Light"/>
                <w:color w:val="000000"/>
                <w:sz w:val="16"/>
                <w:szCs w:val="16"/>
                <w:lang w:eastAsia="en-AU"/>
              </w:rPr>
            </w:pPr>
            <w:r w:rsidRPr="00672110">
              <w:rPr>
                <w:rFonts w:eastAsia="Times New Roman" w:cs="Open Sans Light"/>
                <w:color w:val="000000"/>
                <w:sz w:val="16"/>
                <w:szCs w:val="16"/>
                <w:lang w:eastAsia="en-AU"/>
              </w:rPr>
              <w:t>1.Major cities of Australia</w:t>
            </w:r>
          </w:p>
        </w:tc>
        <w:tc>
          <w:tcPr>
            <w:tcW w:w="1417" w:type="dxa"/>
            <w:tcBorders>
              <w:top w:val="single" w:sz="4" w:space="0" w:color="ADD6EA"/>
              <w:left w:val="nil"/>
              <w:bottom w:val="nil"/>
              <w:right w:val="nil"/>
            </w:tcBorders>
            <w:shd w:val="clear" w:color="000000" w:fill="FFFFFF"/>
            <w:vAlign w:val="bottom"/>
            <w:hideMark/>
          </w:tcPr>
          <w:p w14:paraId="26BBDEDB" w14:textId="77777777" w:rsidR="00672110" w:rsidRPr="00672110" w:rsidRDefault="00672110" w:rsidP="009F4FD3">
            <w:pPr>
              <w:tabs>
                <w:tab w:val="clear" w:pos="567"/>
              </w:tabs>
              <w:spacing w:before="0" w:line="240" w:lineRule="auto"/>
              <w:rPr>
                <w:rFonts w:eastAsia="Times New Roman" w:cs="Open Sans Light"/>
                <w:color w:val="000000"/>
                <w:sz w:val="16"/>
                <w:szCs w:val="16"/>
                <w:lang w:eastAsia="en-AU"/>
              </w:rPr>
            </w:pPr>
            <w:r w:rsidRPr="00672110">
              <w:rPr>
                <w:rFonts w:eastAsia="Times New Roman" w:cs="Open Sans Light"/>
                <w:color w:val="000000"/>
                <w:sz w:val="16"/>
                <w:szCs w:val="16"/>
                <w:lang w:eastAsia="en-AU"/>
              </w:rPr>
              <w:t>2. High-income</w:t>
            </w:r>
          </w:p>
        </w:tc>
        <w:tc>
          <w:tcPr>
            <w:tcW w:w="1029" w:type="dxa"/>
            <w:tcBorders>
              <w:top w:val="single" w:sz="4" w:space="0" w:color="ADD6EA"/>
              <w:left w:val="nil"/>
              <w:bottom w:val="nil"/>
              <w:right w:val="nil"/>
            </w:tcBorders>
            <w:shd w:val="clear" w:color="000000" w:fill="FFFFFF"/>
            <w:vAlign w:val="bottom"/>
            <w:hideMark/>
          </w:tcPr>
          <w:p w14:paraId="10613514" w14:textId="4B05D4B9" w:rsidR="00672110" w:rsidRPr="00672110" w:rsidRDefault="003709C5" w:rsidP="00D0167D">
            <w:pPr>
              <w:tabs>
                <w:tab w:val="clear" w:pos="567"/>
              </w:tabs>
              <w:spacing w:before="0" w:line="240" w:lineRule="auto"/>
              <w:rPr>
                <w:rFonts w:eastAsia="Times New Roman" w:cs="Open Sans Light"/>
                <w:color w:val="000000"/>
                <w:sz w:val="16"/>
                <w:szCs w:val="16"/>
                <w:lang w:eastAsia="en-AU"/>
              </w:rPr>
            </w:pPr>
            <w:r w:rsidRPr="003709C5">
              <w:rPr>
                <w:rFonts w:eastAsia="Times New Roman" w:cs="Open Sans Light"/>
                <w:color w:val="000000"/>
                <w:sz w:val="16"/>
                <w:szCs w:val="16"/>
                <w:lang w:eastAsia="en-AU"/>
              </w:rPr>
              <w:t>1.First Nations</w:t>
            </w:r>
          </w:p>
        </w:tc>
        <w:tc>
          <w:tcPr>
            <w:tcW w:w="581" w:type="dxa"/>
            <w:tcBorders>
              <w:top w:val="single" w:sz="4" w:space="0" w:color="ADD6EA"/>
              <w:left w:val="nil"/>
              <w:bottom w:val="nil"/>
              <w:right w:val="nil"/>
            </w:tcBorders>
            <w:shd w:val="clear" w:color="000000" w:fill="FFFFFF"/>
            <w:vAlign w:val="bottom"/>
            <w:hideMark/>
          </w:tcPr>
          <w:p w14:paraId="7C3DF89C"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1.9</w:t>
            </w:r>
          </w:p>
        </w:tc>
        <w:tc>
          <w:tcPr>
            <w:tcW w:w="0" w:type="auto"/>
            <w:tcBorders>
              <w:top w:val="single" w:sz="4" w:space="0" w:color="ADD6EA"/>
              <w:left w:val="nil"/>
              <w:bottom w:val="nil"/>
              <w:right w:val="nil"/>
            </w:tcBorders>
            <w:shd w:val="clear" w:color="000000" w:fill="FFFFFF"/>
            <w:vAlign w:val="bottom"/>
            <w:hideMark/>
          </w:tcPr>
          <w:p w14:paraId="70776949"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1.7</w:t>
            </w:r>
          </w:p>
        </w:tc>
        <w:tc>
          <w:tcPr>
            <w:tcW w:w="0" w:type="auto"/>
            <w:tcBorders>
              <w:top w:val="single" w:sz="4" w:space="0" w:color="ADD6EA"/>
              <w:left w:val="nil"/>
              <w:bottom w:val="nil"/>
              <w:right w:val="nil"/>
            </w:tcBorders>
            <w:shd w:val="clear" w:color="000000" w:fill="FFFFFF"/>
            <w:vAlign w:val="bottom"/>
            <w:hideMark/>
          </w:tcPr>
          <w:p w14:paraId="300F1606"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1.9</w:t>
            </w:r>
          </w:p>
        </w:tc>
        <w:tc>
          <w:tcPr>
            <w:tcW w:w="0" w:type="auto"/>
            <w:tcBorders>
              <w:top w:val="single" w:sz="4" w:space="0" w:color="ADD6EA"/>
              <w:left w:val="nil"/>
              <w:bottom w:val="nil"/>
              <w:right w:val="nil"/>
            </w:tcBorders>
            <w:shd w:val="clear" w:color="000000" w:fill="FFFFFF"/>
            <w:vAlign w:val="bottom"/>
            <w:hideMark/>
          </w:tcPr>
          <w:p w14:paraId="4DCCAB70"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2.0</w:t>
            </w:r>
          </w:p>
        </w:tc>
        <w:tc>
          <w:tcPr>
            <w:tcW w:w="0" w:type="auto"/>
            <w:tcBorders>
              <w:top w:val="single" w:sz="4" w:space="0" w:color="ADD6EA"/>
              <w:left w:val="nil"/>
              <w:bottom w:val="nil"/>
              <w:right w:val="nil"/>
            </w:tcBorders>
            <w:shd w:val="clear" w:color="000000" w:fill="FFFFFF"/>
            <w:vAlign w:val="bottom"/>
            <w:hideMark/>
          </w:tcPr>
          <w:p w14:paraId="3FD9B790"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1.8</w:t>
            </w:r>
          </w:p>
        </w:tc>
        <w:tc>
          <w:tcPr>
            <w:tcW w:w="0" w:type="auto"/>
            <w:tcBorders>
              <w:top w:val="single" w:sz="4" w:space="0" w:color="ADD6EA"/>
              <w:left w:val="nil"/>
              <w:bottom w:val="nil"/>
              <w:right w:val="nil"/>
            </w:tcBorders>
            <w:shd w:val="clear" w:color="000000" w:fill="FFFFFF"/>
            <w:vAlign w:val="bottom"/>
            <w:hideMark/>
          </w:tcPr>
          <w:p w14:paraId="1E63DAEB"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0.0</w:t>
            </w:r>
          </w:p>
        </w:tc>
        <w:tc>
          <w:tcPr>
            <w:tcW w:w="0" w:type="auto"/>
            <w:tcBorders>
              <w:top w:val="single" w:sz="4" w:space="0" w:color="ADD6EA"/>
              <w:left w:val="nil"/>
              <w:bottom w:val="nil"/>
              <w:right w:val="nil"/>
            </w:tcBorders>
            <w:shd w:val="clear" w:color="000000" w:fill="FFFFFF"/>
            <w:vAlign w:val="bottom"/>
            <w:hideMark/>
          </w:tcPr>
          <w:p w14:paraId="77D22769"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1.8</w:t>
            </w:r>
          </w:p>
        </w:tc>
        <w:tc>
          <w:tcPr>
            <w:tcW w:w="0" w:type="auto"/>
            <w:tcBorders>
              <w:top w:val="single" w:sz="4" w:space="0" w:color="ADD6EA"/>
              <w:left w:val="nil"/>
              <w:bottom w:val="nil"/>
              <w:right w:val="nil"/>
            </w:tcBorders>
            <w:shd w:val="clear" w:color="000000" w:fill="FFFFFF"/>
            <w:vAlign w:val="bottom"/>
            <w:hideMark/>
          </w:tcPr>
          <w:p w14:paraId="543ED045"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0.0</w:t>
            </w:r>
          </w:p>
        </w:tc>
        <w:tc>
          <w:tcPr>
            <w:tcW w:w="0" w:type="auto"/>
            <w:tcBorders>
              <w:top w:val="single" w:sz="4" w:space="0" w:color="ADD6EA"/>
              <w:left w:val="nil"/>
              <w:bottom w:val="nil"/>
              <w:right w:val="nil"/>
            </w:tcBorders>
            <w:shd w:val="clear" w:color="000000" w:fill="FFFFFF"/>
            <w:vAlign w:val="bottom"/>
            <w:hideMark/>
          </w:tcPr>
          <w:p w14:paraId="08C8BAEA"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1.9</w:t>
            </w:r>
          </w:p>
        </w:tc>
      </w:tr>
      <w:tr w:rsidR="00672110" w:rsidRPr="00672110" w14:paraId="7E09349E" w14:textId="77777777" w:rsidTr="00437294">
        <w:trPr>
          <w:trHeight w:val="319"/>
        </w:trPr>
        <w:tc>
          <w:tcPr>
            <w:tcW w:w="2127" w:type="dxa"/>
            <w:tcBorders>
              <w:top w:val="single" w:sz="4" w:space="0" w:color="ADD6EA"/>
              <w:left w:val="nil"/>
              <w:bottom w:val="nil"/>
              <w:right w:val="nil"/>
            </w:tcBorders>
            <w:shd w:val="clear" w:color="000000" w:fill="FFFFFF"/>
            <w:vAlign w:val="bottom"/>
            <w:hideMark/>
          </w:tcPr>
          <w:p w14:paraId="70F633C6" w14:textId="77777777" w:rsidR="00672110" w:rsidRPr="00672110" w:rsidRDefault="00672110" w:rsidP="00672110">
            <w:pPr>
              <w:tabs>
                <w:tab w:val="clear" w:pos="567"/>
              </w:tabs>
              <w:spacing w:before="0" w:line="240" w:lineRule="auto"/>
              <w:rPr>
                <w:rFonts w:eastAsia="Times New Roman" w:cs="Open Sans Light"/>
                <w:color w:val="000000"/>
                <w:sz w:val="16"/>
                <w:szCs w:val="16"/>
                <w:lang w:eastAsia="en-AU"/>
              </w:rPr>
            </w:pPr>
            <w:r w:rsidRPr="00672110">
              <w:rPr>
                <w:rFonts w:eastAsia="Times New Roman" w:cs="Open Sans Light"/>
                <w:color w:val="000000"/>
                <w:sz w:val="16"/>
                <w:szCs w:val="16"/>
                <w:lang w:eastAsia="en-AU"/>
              </w:rPr>
              <w:t>1.Major cities of Australia</w:t>
            </w:r>
          </w:p>
        </w:tc>
        <w:tc>
          <w:tcPr>
            <w:tcW w:w="1417" w:type="dxa"/>
            <w:tcBorders>
              <w:top w:val="single" w:sz="4" w:space="0" w:color="ADD6EA"/>
              <w:left w:val="nil"/>
              <w:bottom w:val="nil"/>
              <w:right w:val="nil"/>
            </w:tcBorders>
            <w:shd w:val="clear" w:color="000000" w:fill="FFFFFF"/>
            <w:vAlign w:val="bottom"/>
            <w:hideMark/>
          </w:tcPr>
          <w:p w14:paraId="302D2FE9" w14:textId="77777777" w:rsidR="00672110" w:rsidRPr="00672110" w:rsidRDefault="00672110" w:rsidP="009F4FD3">
            <w:pPr>
              <w:tabs>
                <w:tab w:val="clear" w:pos="567"/>
              </w:tabs>
              <w:spacing w:before="0" w:line="240" w:lineRule="auto"/>
              <w:rPr>
                <w:rFonts w:eastAsia="Times New Roman" w:cs="Open Sans Light"/>
                <w:color w:val="000000"/>
                <w:sz w:val="16"/>
                <w:szCs w:val="16"/>
                <w:lang w:eastAsia="en-AU"/>
              </w:rPr>
            </w:pPr>
            <w:r w:rsidRPr="00672110">
              <w:rPr>
                <w:rFonts w:eastAsia="Times New Roman" w:cs="Open Sans Light"/>
                <w:color w:val="000000"/>
                <w:sz w:val="16"/>
                <w:szCs w:val="16"/>
                <w:lang w:eastAsia="en-AU"/>
              </w:rPr>
              <w:t>2. High-income</w:t>
            </w:r>
          </w:p>
        </w:tc>
        <w:tc>
          <w:tcPr>
            <w:tcW w:w="1029" w:type="dxa"/>
            <w:tcBorders>
              <w:top w:val="single" w:sz="4" w:space="0" w:color="ADD6EA"/>
              <w:left w:val="nil"/>
              <w:bottom w:val="nil"/>
              <w:right w:val="nil"/>
            </w:tcBorders>
            <w:shd w:val="clear" w:color="000000" w:fill="FFFFFF"/>
            <w:vAlign w:val="bottom"/>
            <w:hideMark/>
          </w:tcPr>
          <w:p w14:paraId="5093D695" w14:textId="77777777" w:rsidR="00672110" w:rsidRPr="00672110" w:rsidRDefault="00672110" w:rsidP="00D0167D">
            <w:pPr>
              <w:tabs>
                <w:tab w:val="clear" w:pos="567"/>
              </w:tabs>
              <w:spacing w:before="0" w:line="240" w:lineRule="auto"/>
              <w:rPr>
                <w:rFonts w:eastAsia="Times New Roman" w:cs="Open Sans Light"/>
                <w:color w:val="000000"/>
                <w:sz w:val="16"/>
                <w:szCs w:val="16"/>
                <w:lang w:eastAsia="en-AU"/>
              </w:rPr>
            </w:pPr>
            <w:r w:rsidRPr="00672110">
              <w:rPr>
                <w:rFonts w:eastAsia="Times New Roman" w:cs="Open Sans Light"/>
                <w:color w:val="000000"/>
                <w:sz w:val="16"/>
                <w:szCs w:val="16"/>
                <w:lang w:eastAsia="en-AU"/>
              </w:rPr>
              <w:t>2.Non-Indigenous</w:t>
            </w:r>
          </w:p>
        </w:tc>
        <w:tc>
          <w:tcPr>
            <w:tcW w:w="581" w:type="dxa"/>
            <w:tcBorders>
              <w:top w:val="single" w:sz="4" w:space="0" w:color="ADD6EA"/>
              <w:left w:val="nil"/>
              <w:bottom w:val="nil"/>
              <w:right w:val="nil"/>
            </w:tcBorders>
            <w:shd w:val="clear" w:color="000000" w:fill="FFFFFF"/>
            <w:vAlign w:val="bottom"/>
            <w:hideMark/>
          </w:tcPr>
          <w:p w14:paraId="529C0345"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2.8</w:t>
            </w:r>
          </w:p>
        </w:tc>
        <w:tc>
          <w:tcPr>
            <w:tcW w:w="0" w:type="auto"/>
            <w:tcBorders>
              <w:top w:val="single" w:sz="4" w:space="0" w:color="ADD6EA"/>
              <w:left w:val="nil"/>
              <w:bottom w:val="nil"/>
              <w:right w:val="nil"/>
            </w:tcBorders>
            <w:shd w:val="clear" w:color="000000" w:fill="FFFFFF"/>
            <w:vAlign w:val="bottom"/>
            <w:hideMark/>
          </w:tcPr>
          <w:p w14:paraId="4636528C"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2.7</w:t>
            </w:r>
          </w:p>
        </w:tc>
        <w:tc>
          <w:tcPr>
            <w:tcW w:w="0" w:type="auto"/>
            <w:tcBorders>
              <w:top w:val="single" w:sz="4" w:space="0" w:color="ADD6EA"/>
              <w:left w:val="nil"/>
              <w:bottom w:val="nil"/>
              <w:right w:val="nil"/>
            </w:tcBorders>
            <w:shd w:val="clear" w:color="000000" w:fill="FFFFFF"/>
            <w:vAlign w:val="bottom"/>
            <w:hideMark/>
          </w:tcPr>
          <w:p w14:paraId="2D098E97"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2.7</w:t>
            </w:r>
          </w:p>
        </w:tc>
        <w:tc>
          <w:tcPr>
            <w:tcW w:w="0" w:type="auto"/>
            <w:tcBorders>
              <w:top w:val="single" w:sz="4" w:space="0" w:color="ADD6EA"/>
              <w:left w:val="nil"/>
              <w:bottom w:val="nil"/>
              <w:right w:val="nil"/>
            </w:tcBorders>
            <w:shd w:val="clear" w:color="000000" w:fill="FFFFFF"/>
            <w:vAlign w:val="bottom"/>
            <w:hideMark/>
          </w:tcPr>
          <w:p w14:paraId="62B00681"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2.7</w:t>
            </w:r>
          </w:p>
        </w:tc>
        <w:tc>
          <w:tcPr>
            <w:tcW w:w="0" w:type="auto"/>
            <w:tcBorders>
              <w:top w:val="single" w:sz="4" w:space="0" w:color="ADD6EA"/>
              <w:left w:val="nil"/>
              <w:bottom w:val="nil"/>
              <w:right w:val="nil"/>
            </w:tcBorders>
            <w:shd w:val="clear" w:color="000000" w:fill="FFFFFF"/>
            <w:vAlign w:val="bottom"/>
            <w:hideMark/>
          </w:tcPr>
          <w:p w14:paraId="15F65FED"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2.6</w:t>
            </w:r>
          </w:p>
        </w:tc>
        <w:tc>
          <w:tcPr>
            <w:tcW w:w="0" w:type="auto"/>
            <w:tcBorders>
              <w:top w:val="single" w:sz="4" w:space="0" w:color="ADD6EA"/>
              <w:left w:val="nil"/>
              <w:bottom w:val="nil"/>
              <w:right w:val="nil"/>
            </w:tcBorders>
            <w:shd w:val="clear" w:color="000000" w:fill="FFFFFF"/>
            <w:vAlign w:val="bottom"/>
            <w:hideMark/>
          </w:tcPr>
          <w:p w14:paraId="27CAD181"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0.0</w:t>
            </w:r>
          </w:p>
        </w:tc>
        <w:tc>
          <w:tcPr>
            <w:tcW w:w="0" w:type="auto"/>
            <w:tcBorders>
              <w:top w:val="single" w:sz="4" w:space="0" w:color="ADD6EA"/>
              <w:left w:val="nil"/>
              <w:bottom w:val="nil"/>
              <w:right w:val="nil"/>
            </w:tcBorders>
            <w:shd w:val="clear" w:color="000000" w:fill="FFFFFF"/>
            <w:vAlign w:val="bottom"/>
            <w:hideMark/>
          </w:tcPr>
          <w:p w14:paraId="2AD40381"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2.6</w:t>
            </w:r>
          </w:p>
        </w:tc>
        <w:tc>
          <w:tcPr>
            <w:tcW w:w="0" w:type="auto"/>
            <w:tcBorders>
              <w:top w:val="single" w:sz="4" w:space="0" w:color="ADD6EA"/>
              <w:left w:val="nil"/>
              <w:bottom w:val="nil"/>
              <w:right w:val="nil"/>
            </w:tcBorders>
            <w:shd w:val="clear" w:color="000000" w:fill="FFFFFF"/>
            <w:vAlign w:val="bottom"/>
            <w:hideMark/>
          </w:tcPr>
          <w:p w14:paraId="229723D6"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0.0</w:t>
            </w:r>
          </w:p>
        </w:tc>
        <w:tc>
          <w:tcPr>
            <w:tcW w:w="0" w:type="auto"/>
            <w:tcBorders>
              <w:top w:val="single" w:sz="4" w:space="0" w:color="ADD6EA"/>
              <w:left w:val="nil"/>
              <w:bottom w:val="nil"/>
              <w:right w:val="nil"/>
            </w:tcBorders>
            <w:shd w:val="clear" w:color="000000" w:fill="FFFFFF"/>
            <w:vAlign w:val="bottom"/>
            <w:hideMark/>
          </w:tcPr>
          <w:p w14:paraId="1B469685"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2.7</w:t>
            </w:r>
          </w:p>
        </w:tc>
      </w:tr>
      <w:tr w:rsidR="00672110" w:rsidRPr="00672110" w14:paraId="6F28F793" w14:textId="77777777" w:rsidTr="00437294">
        <w:trPr>
          <w:trHeight w:val="319"/>
        </w:trPr>
        <w:tc>
          <w:tcPr>
            <w:tcW w:w="2127" w:type="dxa"/>
            <w:tcBorders>
              <w:top w:val="single" w:sz="4" w:space="0" w:color="ADD6EA"/>
              <w:left w:val="nil"/>
              <w:bottom w:val="nil"/>
              <w:right w:val="nil"/>
            </w:tcBorders>
            <w:shd w:val="clear" w:color="000000" w:fill="FFFFFF"/>
            <w:vAlign w:val="bottom"/>
            <w:hideMark/>
          </w:tcPr>
          <w:p w14:paraId="42349C77" w14:textId="77777777" w:rsidR="00672110" w:rsidRPr="00672110" w:rsidRDefault="00672110" w:rsidP="00672110">
            <w:pPr>
              <w:tabs>
                <w:tab w:val="clear" w:pos="567"/>
              </w:tabs>
              <w:spacing w:before="0" w:line="240" w:lineRule="auto"/>
              <w:rPr>
                <w:rFonts w:eastAsia="Times New Roman" w:cs="Open Sans Light"/>
                <w:color w:val="000000"/>
                <w:sz w:val="16"/>
                <w:szCs w:val="16"/>
                <w:lang w:eastAsia="en-AU"/>
              </w:rPr>
            </w:pPr>
            <w:r w:rsidRPr="00672110">
              <w:rPr>
                <w:rFonts w:eastAsia="Times New Roman" w:cs="Open Sans Light"/>
                <w:color w:val="000000"/>
                <w:sz w:val="16"/>
                <w:szCs w:val="16"/>
                <w:lang w:eastAsia="en-AU"/>
              </w:rPr>
              <w:t>2.Inner regional Australia</w:t>
            </w:r>
          </w:p>
        </w:tc>
        <w:tc>
          <w:tcPr>
            <w:tcW w:w="1417" w:type="dxa"/>
            <w:tcBorders>
              <w:top w:val="single" w:sz="4" w:space="0" w:color="ADD6EA"/>
              <w:left w:val="nil"/>
              <w:bottom w:val="nil"/>
              <w:right w:val="nil"/>
            </w:tcBorders>
            <w:shd w:val="clear" w:color="000000" w:fill="FFFFFF"/>
            <w:vAlign w:val="bottom"/>
            <w:hideMark/>
          </w:tcPr>
          <w:p w14:paraId="77635FDD" w14:textId="77777777" w:rsidR="00672110" w:rsidRPr="00672110" w:rsidRDefault="00672110" w:rsidP="009F4FD3">
            <w:pPr>
              <w:tabs>
                <w:tab w:val="clear" w:pos="567"/>
              </w:tabs>
              <w:spacing w:before="0" w:line="240" w:lineRule="auto"/>
              <w:rPr>
                <w:rFonts w:eastAsia="Times New Roman" w:cs="Open Sans Light"/>
                <w:color w:val="000000"/>
                <w:sz w:val="16"/>
                <w:szCs w:val="16"/>
                <w:lang w:eastAsia="en-AU"/>
              </w:rPr>
            </w:pPr>
            <w:r w:rsidRPr="00672110">
              <w:rPr>
                <w:rFonts w:eastAsia="Times New Roman" w:cs="Open Sans Light"/>
                <w:color w:val="000000"/>
                <w:sz w:val="16"/>
                <w:szCs w:val="16"/>
                <w:lang w:eastAsia="en-AU"/>
              </w:rPr>
              <w:t>1. Low-income</w:t>
            </w:r>
          </w:p>
        </w:tc>
        <w:tc>
          <w:tcPr>
            <w:tcW w:w="1029" w:type="dxa"/>
            <w:tcBorders>
              <w:top w:val="single" w:sz="4" w:space="0" w:color="ADD6EA"/>
              <w:left w:val="nil"/>
              <w:bottom w:val="nil"/>
              <w:right w:val="nil"/>
            </w:tcBorders>
            <w:shd w:val="clear" w:color="000000" w:fill="FFFFFF"/>
            <w:vAlign w:val="bottom"/>
            <w:hideMark/>
          </w:tcPr>
          <w:p w14:paraId="3A618AEF" w14:textId="42C093CB" w:rsidR="00672110" w:rsidRPr="00672110" w:rsidRDefault="003709C5" w:rsidP="00D0167D">
            <w:pPr>
              <w:tabs>
                <w:tab w:val="clear" w:pos="567"/>
              </w:tabs>
              <w:spacing w:before="0" w:line="240" w:lineRule="auto"/>
              <w:rPr>
                <w:rFonts w:eastAsia="Times New Roman" w:cs="Open Sans Light"/>
                <w:color w:val="000000"/>
                <w:sz w:val="16"/>
                <w:szCs w:val="16"/>
                <w:lang w:eastAsia="en-AU"/>
              </w:rPr>
            </w:pPr>
            <w:r w:rsidRPr="003709C5">
              <w:rPr>
                <w:rFonts w:eastAsia="Times New Roman" w:cs="Open Sans Light"/>
                <w:color w:val="000000"/>
                <w:sz w:val="16"/>
                <w:szCs w:val="16"/>
                <w:lang w:eastAsia="en-AU"/>
              </w:rPr>
              <w:t>1.First Nations</w:t>
            </w:r>
          </w:p>
        </w:tc>
        <w:tc>
          <w:tcPr>
            <w:tcW w:w="581" w:type="dxa"/>
            <w:tcBorders>
              <w:top w:val="single" w:sz="4" w:space="0" w:color="ADD6EA"/>
              <w:left w:val="nil"/>
              <w:bottom w:val="nil"/>
              <w:right w:val="nil"/>
            </w:tcBorders>
            <w:shd w:val="clear" w:color="000000" w:fill="FFFFFF"/>
            <w:vAlign w:val="bottom"/>
            <w:hideMark/>
          </w:tcPr>
          <w:p w14:paraId="4B1BD129"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2.3</w:t>
            </w:r>
          </w:p>
        </w:tc>
        <w:tc>
          <w:tcPr>
            <w:tcW w:w="0" w:type="auto"/>
            <w:tcBorders>
              <w:top w:val="single" w:sz="4" w:space="0" w:color="ADD6EA"/>
              <w:left w:val="nil"/>
              <w:bottom w:val="nil"/>
              <w:right w:val="nil"/>
            </w:tcBorders>
            <w:shd w:val="clear" w:color="000000" w:fill="FFFFFF"/>
            <w:vAlign w:val="bottom"/>
            <w:hideMark/>
          </w:tcPr>
          <w:p w14:paraId="0533DFAD"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2.0</w:t>
            </w:r>
          </w:p>
        </w:tc>
        <w:tc>
          <w:tcPr>
            <w:tcW w:w="0" w:type="auto"/>
            <w:tcBorders>
              <w:top w:val="single" w:sz="4" w:space="0" w:color="ADD6EA"/>
              <w:left w:val="nil"/>
              <w:bottom w:val="nil"/>
              <w:right w:val="nil"/>
            </w:tcBorders>
            <w:shd w:val="clear" w:color="000000" w:fill="FFFFFF"/>
            <w:vAlign w:val="bottom"/>
            <w:hideMark/>
          </w:tcPr>
          <w:p w14:paraId="321891CB"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2.3</w:t>
            </w:r>
          </w:p>
        </w:tc>
        <w:tc>
          <w:tcPr>
            <w:tcW w:w="0" w:type="auto"/>
            <w:tcBorders>
              <w:top w:val="single" w:sz="4" w:space="0" w:color="ADD6EA"/>
              <w:left w:val="nil"/>
              <w:bottom w:val="nil"/>
              <w:right w:val="nil"/>
            </w:tcBorders>
            <w:shd w:val="clear" w:color="000000" w:fill="FFFFFF"/>
            <w:vAlign w:val="bottom"/>
            <w:hideMark/>
          </w:tcPr>
          <w:p w14:paraId="739DD715"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2.4</w:t>
            </w:r>
          </w:p>
        </w:tc>
        <w:tc>
          <w:tcPr>
            <w:tcW w:w="0" w:type="auto"/>
            <w:tcBorders>
              <w:top w:val="single" w:sz="4" w:space="0" w:color="ADD6EA"/>
              <w:left w:val="nil"/>
              <w:bottom w:val="nil"/>
              <w:right w:val="nil"/>
            </w:tcBorders>
            <w:shd w:val="clear" w:color="000000" w:fill="FFFFFF"/>
            <w:vAlign w:val="bottom"/>
            <w:hideMark/>
          </w:tcPr>
          <w:p w14:paraId="095145A1"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2.1</w:t>
            </w:r>
          </w:p>
        </w:tc>
        <w:tc>
          <w:tcPr>
            <w:tcW w:w="0" w:type="auto"/>
            <w:tcBorders>
              <w:top w:val="single" w:sz="4" w:space="0" w:color="ADD6EA"/>
              <w:left w:val="nil"/>
              <w:bottom w:val="nil"/>
              <w:right w:val="nil"/>
            </w:tcBorders>
            <w:shd w:val="clear" w:color="000000" w:fill="FFFFFF"/>
            <w:vAlign w:val="bottom"/>
            <w:hideMark/>
          </w:tcPr>
          <w:p w14:paraId="0DE8F4DA"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2.1</w:t>
            </w:r>
          </w:p>
        </w:tc>
        <w:tc>
          <w:tcPr>
            <w:tcW w:w="0" w:type="auto"/>
            <w:tcBorders>
              <w:top w:val="single" w:sz="4" w:space="0" w:color="ADD6EA"/>
              <w:left w:val="nil"/>
              <w:bottom w:val="nil"/>
              <w:right w:val="nil"/>
            </w:tcBorders>
            <w:shd w:val="clear" w:color="000000" w:fill="FFFFFF"/>
            <w:vAlign w:val="bottom"/>
            <w:hideMark/>
          </w:tcPr>
          <w:p w14:paraId="3D060DFC"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0.0</w:t>
            </w:r>
          </w:p>
        </w:tc>
        <w:tc>
          <w:tcPr>
            <w:tcW w:w="0" w:type="auto"/>
            <w:tcBorders>
              <w:top w:val="single" w:sz="4" w:space="0" w:color="ADD6EA"/>
              <w:left w:val="nil"/>
              <w:bottom w:val="nil"/>
              <w:right w:val="nil"/>
            </w:tcBorders>
            <w:shd w:val="clear" w:color="000000" w:fill="FFFFFF"/>
            <w:vAlign w:val="bottom"/>
            <w:hideMark/>
          </w:tcPr>
          <w:p w14:paraId="2C535EA1"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0.0</w:t>
            </w:r>
          </w:p>
        </w:tc>
        <w:tc>
          <w:tcPr>
            <w:tcW w:w="0" w:type="auto"/>
            <w:tcBorders>
              <w:top w:val="single" w:sz="4" w:space="0" w:color="ADD6EA"/>
              <w:left w:val="nil"/>
              <w:bottom w:val="nil"/>
              <w:right w:val="nil"/>
            </w:tcBorders>
            <w:shd w:val="clear" w:color="000000" w:fill="FFFFFF"/>
            <w:vAlign w:val="bottom"/>
            <w:hideMark/>
          </w:tcPr>
          <w:p w14:paraId="1562176A"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2.3</w:t>
            </w:r>
          </w:p>
        </w:tc>
      </w:tr>
      <w:tr w:rsidR="00672110" w:rsidRPr="00672110" w14:paraId="6565F64B" w14:textId="77777777" w:rsidTr="00437294">
        <w:trPr>
          <w:trHeight w:val="319"/>
        </w:trPr>
        <w:tc>
          <w:tcPr>
            <w:tcW w:w="2127" w:type="dxa"/>
            <w:tcBorders>
              <w:top w:val="single" w:sz="4" w:space="0" w:color="ADD6EA"/>
              <w:left w:val="nil"/>
              <w:bottom w:val="nil"/>
              <w:right w:val="nil"/>
            </w:tcBorders>
            <w:shd w:val="clear" w:color="000000" w:fill="FFFFFF"/>
            <w:vAlign w:val="bottom"/>
            <w:hideMark/>
          </w:tcPr>
          <w:p w14:paraId="11AEB9D7" w14:textId="77777777" w:rsidR="00672110" w:rsidRPr="00672110" w:rsidRDefault="00672110" w:rsidP="00672110">
            <w:pPr>
              <w:tabs>
                <w:tab w:val="clear" w:pos="567"/>
              </w:tabs>
              <w:spacing w:before="0" w:line="240" w:lineRule="auto"/>
              <w:rPr>
                <w:rFonts w:eastAsia="Times New Roman" w:cs="Open Sans Light"/>
                <w:color w:val="000000"/>
                <w:sz w:val="16"/>
                <w:szCs w:val="16"/>
                <w:lang w:eastAsia="en-AU"/>
              </w:rPr>
            </w:pPr>
            <w:r w:rsidRPr="00672110">
              <w:rPr>
                <w:rFonts w:eastAsia="Times New Roman" w:cs="Open Sans Light"/>
                <w:color w:val="000000"/>
                <w:sz w:val="16"/>
                <w:szCs w:val="16"/>
                <w:lang w:eastAsia="en-AU"/>
              </w:rPr>
              <w:t>2.Inner regional Australia</w:t>
            </w:r>
          </w:p>
        </w:tc>
        <w:tc>
          <w:tcPr>
            <w:tcW w:w="1417" w:type="dxa"/>
            <w:tcBorders>
              <w:top w:val="single" w:sz="4" w:space="0" w:color="ADD6EA"/>
              <w:left w:val="nil"/>
              <w:bottom w:val="nil"/>
              <w:right w:val="nil"/>
            </w:tcBorders>
            <w:shd w:val="clear" w:color="000000" w:fill="FFFFFF"/>
            <w:vAlign w:val="bottom"/>
            <w:hideMark/>
          </w:tcPr>
          <w:p w14:paraId="771C3542" w14:textId="77777777" w:rsidR="00672110" w:rsidRPr="00672110" w:rsidRDefault="00672110" w:rsidP="009F4FD3">
            <w:pPr>
              <w:tabs>
                <w:tab w:val="clear" w:pos="567"/>
              </w:tabs>
              <w:spacing w:before="0" w:line="240" w:lineRule="auto"/>
              <w:rPr>
                <w:rFonts w:eastAsia="Times New Roman" w:cs="Open Sans Light"/>
                <w:color w:val="000000"/>
                <w:sz w:val="16"/>
                <w:szCs w:val="16"/>
                <w:lang w:eastAsia="en-AU"/>
              </w:rPr>
            </w:pPr>
            <w:r w:rsidRPr="00672110">
              <w:rPr>
                <w:rFonts w:eastAsia="Times New Roman" w:cs="Open Sans Light"/>
                <w:color w:val="000000"/>
                <w:sz w:val="16"/>
                <w:szCs w:val="16"/>
                <w:lang w:eastAsia="en-AU"/>
              </w:rPr>
              <w:t>1. Low-income</w:t>
            </w:r>
          </w:p>
        </w:tc>
        <w:tc>
          <w:tcPr>
            <w:tcW w:w="1029" w:type="dxa"/>
            <w:tcBorders>
              <w:top w:val="single" w:sz="4" w:space="0" w:color="ADD6EA"/>
              <w:left w:val="nil"/>
              <w:bottom w:val="nil"/>
              <w:right w:val="nil"/>
            </w:tcBorders>
            <w:shd w:val="clear" w:color="000000" w:fill="FFFFFF"/>
            <w:vAlign w:val="bottom"/>
            <w:hideMark/>
          </w:tcPr>
          <w:p w14:paraId="1034221C" w14:textId="77777777" w:rsidR="00672110" w:rsidRPr="00672110" w:rsidRDefault="00672110" w:rsidP="00D0167D">
            <w:pPr>
              <w:tabs>
                <w:tab w:val="clear" w:pos="567"/>
              </w:tabs>
              <w:spacing w:before="0" w:line="240" w:lineRule="auto"/>
              <w:rPr>
                <w:rFonts w:eastAsia="Times New Roman" w:cs="Open Sans Light"/>
                <w:color w:val="000000"/>
                <w:sz w:val="16"/>
                <w:szCs w:val="16"/>
                <w:lang w:eastAsia="en-AU"/>
              </w:rPr>
            </w:pPr>
            <w:r w:rsidRPr="00672110">
              <w:rPr>
                <w:rFonts w:eastAsia="Times New Roman" w:cs="Open Sans Light"/>
                <w:color w:val="000000"/>
                <w:sz w:val="16"/>
                <w:szCs w:val="16"/>
                <w:lang w:eastAsia="en-AU"/>
              </w:rPr>
              <w:t>2.Non-Indigenous</w:t>
            </w:r>
          </w:p>
        </w:tc>
        <w:tc>
          <w:tcPr>
            <w:tcW w:w="581" w:type="dxa"/>
            <w:tcBorders>
              <w:top w:val="single" w:sz="4" w:space="0" w:color="ADD6EA"/>
              <w:left w:val="nil"/>
              <w:bottom w:val="nil"/>
              <w:right w:val="nil"/>
            </w:tcBorders>
            <w:shd w:val="clear" w:color="000000" w:fill="FFFFFF"/>
            <w:vAlign w:val="bottom"/>
            <w:hideMark/>
          </w:tcPr>
          <w:p w14:paraId="3B0D4CD6"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2.0</w:t>
            </w:r>
          </w:p>
        </w:tc>
        <w:tc>
          <w:tcPr>
            <w:tcW w:w="0" w:type="auto"/>
            <w:tcBorders>
              <w:top w:val="single" w:sz="4" w:space="0" w:color="ADD6EA"/>
              <w:left w:val="nil"/>
              <w:bottom w:val="nil"/>
              <w:right w:val="nil"/>
            </w:tcBorders>
            <w:shd w:val="clear" w:color="000000" w:fill="FFFFFF"/>
            <w:vAlign w:val="bottom"/>
            <w:hideMark/>
          </w:tcPr>
          <w:p w14:paraId="08497E38"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2.0</w:t>
            </w:r>
          </w:p>
        </w:tc>
        <w:tc>
          <w:tcPr>
            <w:tcW w:w="0" w:type="auto"/>
            <w:tcBorders>
              <w:top w:val="single" w:sz="4" w:space="0" w:color="ADD6EA"/>
              <w:left w:val="nil"/>
              <w:bottom w:val="nil"/>
              <w:right w:val="nil"/>
            </w:tcBorders>
            <w:shd w:val="clear" w:color="000000" w:fill="FFFFFF"/>
            <w:vAlign w:val="bottom"/>
            <w:hideMark/>
          </w:tcPr>
          <w:p w14:paraId="067BE0F8"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2.1</w:t>
            </w:r>
          </w:p>
        </w:tc>
        <w:tc>
          <w:tcPr>
            <w:tcW w:w="0" w:type="auto"/>
            <w:tcBorders>
              <w:top w:val="single" w:sz="4" w:space="0" w:color="ADD6EA"/>
              <w:left w:val="nil"/>
              <w:bottom w:val="nil"/>
              <w:right w:val="nil"/>
            </w:tcBorders>
            <w:shd w:val="clear" w:color="000000" w:fill="FFFFFF"/>
            <w:vAlign w:val="bottom"/>
            <w:hideMark/>
          </w:tcPr>
          <w:p w14:paraId="59724D87"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2.0</w:t>
            </w:r>
          </w:p>
        </w:tc>
        <w:tc>
          <w:tcPr>
            <w:tcW w:w="0" w:type="auto"/>
            <w:tcBorders>
              <w:top w:val="single" w:sz="4" w:space="0" w:color="ADD6EA"/>
              <w:left w:val="nil"/>
              <w:bottom w:val="nil"/>
              <w:right w:val="nil"/>
            </w:tcBorders>
            <w:shd w:val="clear" w:color="000000" w:fill="FFFFFF"/>
            <w:vAlign w:val="bottom"/>
            <w:hideMark/>
          </w:tcPr>
          <w:p w14:paraId="1115202B"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2.0</w:t>
            </w:r>
          </w:p>
        </w:tc>
        <w:tc>
          <w:tcPr>
            <w:tcW w:w="0" w:type="auto"/>
            <w:tcBorders>
              <w:top w:val="single" w:sz="4" w:space="0" w:color="ADD6EA"/>
              <w:left w:val="nil"/>
              <w:bottom w:val="nil"/>
              <w:right w:val="nil"/>
            </w:tcBorders>
            <w:shd w:val="clear" w:color="000000" w:fill="FFFFFF"/>
            <w:vAlign w:val="bottom"/>
            <w:hideMark/>
          </w:tcPr>
          <w:p w14:paraId="727FC937"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2.0</w:t>
            </w:r>
          </w:p>
        </w:tc>
        <w:tc>
          <w:tcPr>
            <w:tcW w:w="0" w:type="auto"/>
            <w:tcBorders>
              <w:top w:val="single" w:sz="4" w:space="0" w:color="ADD6EA"/>
              <w:left w:val="nil"/>
              <w:bottom w:val="nil"/>
              <w:right w:val="nil"/>
            </w:tcBorders>
            <w:shd w:val="clear" w:color="000000" w:fill="FFFFFF"/>
            <w:vAlign w:val="bottom"/>
            <w:hideMark/>
          </w:tcPr>
          <w:p w14:paraId="2B573AA4"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2.4</w:t>
            </w:r>
          </w:p>
        </w:tc>
        <w:tc>
          <w:tcPr>
            <w:tcW w:w="0" w:type="auto"/>
            <w:tcBorders>
              <w:top w:val="single" w:sz="4" w:space="0" w:color="ADD6EA"/>
              <w:left w:val="nil"/>
              <w:bottom w:val="nil"/>
              <w:right w:val="nil"/>
            </w:tcBorders>
            <w:shd w:val="clear" w:color="000000" w:fill="FFFFFF"/>
            <w:vAlign w:val="bottom"/>
            <w:hideMark/>
          </w:tcPr>
          <w:p w14:paraId="4C718290"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0.0</w:t>
            </w:r>
          </w:p>
        </w:tc>
        <w:tc>
          <w:tcPr>
            <w:tcW w:w="0" w:type="auto"/>
            <w:tcBorders>
              <w:top w:val="single" w:sz="4" w:space="0" w:color="ADD6EA"/>
              <w:left w:val="nil"/>
              <w:bottom w:val="nil"/>
              <w:right w:val="nil"/>
            </w:tcBorders>
            <w:shd w:val="clear" w:color="000000" w:fill="FFFFFF"/>
            <w:vAlign w:val="bottom"/>
            <w:hideMark/>
          </w:tcPr>
          <w:p w14:paraId="39AAB81D"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2.0</w:t>
            </w:r>
          </w:p>
        </w:tc>
      </w:tr>
      <w:tr w:rsidR="00672110" w:rsidRPr="00672110" w14:paraId="44D2AF10" w14:textId="77777777" w:rsidTr="00437294">
        <w:trPr>
          <w:trHeight w:val="319"/>
        </w:trPr>
        <w:tc>
          <w:tcPr>
            <w:tcW w:w="2127" w:type="dxa"/>
            <w:tcBorders>
              <w:top w:val="single" w:sz="4" w:space="0" w:color="ADD6EA"/>
              <w:left w:val="nil"/>
              <w:bottom w:val="nil"/>
              <w:right w:val="nil"/>
            </w:tcBorders>
            <w:shd w:val="clear" w:color="000000" w:fill="FFFFFF"/>
            <w:vAlign w:val="bottom"/>
            <w:hideMark/>
          </w:tcPr>
          <w:p w14:paraId="13A67936" w14:textId="77777777" w:rsidR="00672110" w:rsidRPr="00672110" w:rsidRDefault="00672110" w:rsidP="00672110">
            <w:pPr>
              <w:tabs>
                <w:tab w:val="clear" w:pos="567"/>
              </w:tabs>
              <w:spacing w:before="0" w:line="240" w:lineRule="auto"/>
              <w:rPr>
                <w:rFonts w:eastAsia="Times New Roman" w:cs="Open Sans Light"/>
                <w:color w:val="000000"/>
                <w:sz w:val="16"/>
                <w:szCs w:val="16"/>
                <w:lang w:eastAsia="en-AU"/>
              </w:rPr>
            </w:pPr>
            <w:r w:rsidRPr="00672110">
              <w:rPr>
                <w:rFonts w:eastAsia="Times New Roman" w:cs="Open Sans Light"/>
                <w:color w:val="000000"/>
                <w:sz w:val="16"/>
                <w:szCs w:val="16"/>
                <w:lang w:eastAsia="en-AU"/>
              </w:rPr>
              <w:t>2.Inner regional Australia</w:t>
            </w:r>
          </w:p>
        </w:tc>
        <w:tc>
          <w:tcPr>
            <w:tcW w:w="1417" w:type="dxa"/>
            <w:tcBorders>
              <w:top w:val="single" w:sz="4" w:space="0" w:color="ADD6EA"/>
              <w:left w:val="nil"/>
              <w:bottom w:val="nil"/>
              <w:right w:val="nil"/>
            </w:tcBorders>
            <w:shd w:val="clear" w:color="000000" w:fill="FFFFFF"/>
            <w:vAlign w:val="bottom"/>
            <w:hideMark/>
          </w:tcPr>
          <w:p w14:paraId="7484B78C" w14:textId="77777777" w:rsidR="00672110" w:rsidRPr="00672110" w:rsidRDefault="00672110" w:rsidP="009F4FD3">
            <w:pPr>
              <w:tabs>
                <w:tab w:val="clear" w:pos="567"/>
              </w:tabs>
              <w:spacing w:before="0" w:line="240" w:lineRule="auto"/>
              <w:rPr>
                <w:rFonts w:eastAsia="Times New Roman" w:cs="Open Sans Light"/>
                <w:color w:val="000000"/>
                <w:sz w:val="16"/>
                <w:szCs w:val="16"/>
                <w:lang w:eastAsia="en-AU"/>
              </w:rPr>
            </w:pPr>
            <w:r w:rsidRPr="00672110">
              <w:rPr>
                <w:rFonts w:eastAsia="Times New Roman" w:cs="Open Sans Light"/>
                <w:color w:val="000000"/>
                <w:sz w:val="16"/>
                <w:szCs w:val="16"/>
                <w:lang w:eastAsia="en-AU"/>
              </w:rPr>
              <w:t>2. High-income</w:t>
            </w:r>
          </w:p>
        </w:tc>
        <w:tc>
          <w:tcPr>
            <w:tcW w:w="1029" w:type="dxa"/>
            <w:tcBorders>
              <w:top w:val="single" w:sz="4" w:space="0" w:color="ADD6EA"/>
              <w:left w:val="nil"/>
              <w:bottom w:val="nil"/>
              <w:right w:val="nil"/>
            </w:tcBorders>
            <w:shd w:val="clear" w:color="000000" w:fill="FFFFFF"/>
            <w:vAlign w:val="bottom"/>
            <w:hideMark/>
          </w:tcPr>
          <w:p w14:paraId="22827923" w14:textId="4C03561E" w:rsidR="00672110" w:rsidRPr="00672110" w:rsidRDefault="003709C5" w:rsidP="00D0167D">
            <w:pPr>
              <w:tabs>
                <w:tab w:val="clear" w:pos="567"/>
              </w:tabs>
              <w:spacing w:before="0" w:line="240" w:lineRule="auto"/>
              <w:rPr>
                <w:rFonts w:eastAsia="Times New Roman" w:cs="Open Sans Light"/>
                <w:color w:val="000000"/>
                <w:sz w:val="16"/>
                <w:szCs w:val="16"/>
                <w:lang w:eastAsia="en-AU"/>
              </w:rPr>
            </w:pPr>
            <w:r w:rsidRPr="003709C5">
              <w:rPr>
                <w:rFonts w:eastAsia="Times New Roman" w:cs="Open Sans Light"/>
                <w:color w:val="000000"/>
                <w:sz w:val="16"/>
                <w:szCs w:val="16"/>
                <w:lang w:eastAsia="en-AU"/>
              </w:rPr>
              <w:t>1.First Nations</w:t>
            </w:r>
          </w:p>
        </w:tc>
        <w:tc>
          <w:tcPr>
            <w:tcW w:w="581" w:type="dxa"/>
            <w:tcBorders>
              <w:top w:val="single" w:sz="4" w:space="0" w:color="ADD6EA"/>
              <w:left w:val="nil"/>
              <w:bottom w:val="nil"/>
              <w:right w:val="nil"/>
            </w:tcBorders>
            <w:shd w:val="clear" w:color="000000" w:fill="FFFFFF"/>
            <w:vAlign w:val="bottom"/>
            <w:hideMark/>
          </w:tcPr>
          <w:p w14:paraId="026DF030"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2.1</w:t>
            </w:r>
          </w:p>
        </w:tc>
        <w:tc>
          <w:tcPr>
            <w:tcW w:w="0" w:type="auto"/>
            <w:tcBorders>
              <w:top w:val="single" w:sz="4" w:space="0" w:color="ADD6EA"/>
              <w:left w:val="nil"/>
              <w:bottom w:val="nil"/>
              <w:right w:val="nil"/>
            </w:tcBorders>
            <w:shd w:val="clear" w:color="000000" w:fill="FFFFFF"/>
            <w:vAlign w:val="bottom"/>
            <w:hideMark/>
          </w:tcPr>
          <w:p w14:paraId="4EA404F4"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1.9</w:t>
            </w:r>
          </w:p>
        </w:tc>
        <w:tc>
          <w:tcPr>
            <w:tcW w:w="0" w:type="auto"/>
            <w:tcBorders>
              <w:top w:val="single" w:sz="4" w:space="0" w:color="ADD6EA"/>
              <w:left w:val="nil"/>
              <w:bottom w:val="nil"/>
              <w:right w:val="nil"/>
            </w:tcBorders>
            <w:shd w:val="clear" w:color="000000" w:fill="FFFFFF"/>
            <w:vAlign w:val="bottom"/>
            <w:hideMark/>
          </w:tcPr>
          <w:p w14:paraId="055EE23B"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2.0</w:t>
            </w:r>
          </w:p>
        </w:tc>
        <w:tc>
          <w:tcPr>
            <w:tcW w:w="0" w:type="auto"/>
            <w:tcBorders>
              <w:top w:val="single" w:sz="4" w:space="0" w:color="ADD6EA"/>
              <w:left w:val="nil"/>
              <w:bottom w:val="nil"/>
              <w:right w:val="nil"/>
            </w:tcBorders>
            <w:shd w:val="clear" w:color="000000" w:fill="FFFFFF"/>
            <w:vAlign w:val="bottom"/>
            <w:hideMark/>
          </w:tcPr>
          <w:p w14:paraId="2419B6E5"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2.1</w:t>
            </w:r>
          </w:p>
        </w:tc>
        <w:tc>
          <w:tcPr>
            <w:tcW w:w="0" w:type="auto"/>
            <w:tcBorders>
              <w:top w:val="single" w:sz="4" w:space="0" w:color="ADD6EA"/>
              <w:left w:val="nil"/>
              <w:bottom w:val="nil"/>
              <w:right w:val="nil"/>
            </w:tcBorders>
            <w:shd w:val="clear" w:color="000000" w:fill="FFFFFF"/>
            <w:vAlign w:val="bottom"/>
            <w:hideMark/>
          </w:tcPr>
          <w:p w14:paraId="098A3148"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1.9</w:t>
            </w:r>
          </w:p>
        </w:tc>
        <w:tc>
          <w:tcPr>
            <w:tcW w:w="0" w:type="auto"/>
            <w:tcBorders>
              <w:top w:val="single" w:sz="4" w:space="0" w:color="ADD6EA"/>
              <w:left w:val="nil"/>
              <w:bottom w:val="nil"/>
              <w:right w:val="nil"/>
            </w:tcBorders>
            <w:shd w:val="clear" w:color="000000" w:fill="FFFFFF"/>
            <w:vAlign w:val="bottom"/>
            <w:hideMark/>
          </w:tcPr>
          <w:p w14:paraId="15915294"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1.8</w:t>
            </w:r>
          </w:p>
        </w:tc>
        <w:tc>
          <w:tcPr>
            <w:tcW w:w="0" w:type="auto"/>
            <w:tcBorders>
              <w:top w:val="single" w:sz="4" w:space="0" w:color="ADD6EA"/>
              <w:left w:val="nil"/>
              <w:bottom w:val="nil"/>
              <w:right w:val="nil"/>
            </w:tcBorders>
            <w:shd w:val="clear" w:color="000000" w:fill="FFFFFF"/>
            <w:vAlign w:val="bottom"/>
            <w:hideMark/>
          </w:tcPr>
          <w:p w14:paraId="0319ACD2"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2.1</w:t>
            </w:r>
          </w:p>
        </w:tc>
        <w:tc>
          <w:tcPr>
            <w:tcW w:w="0" w:type="auto"/>
            <w:tcBorders>
              <w:top w:val="single" w:sz="4" w:space="0" w:color="ADD6EA"/>
              <w:left w:val="nil"/>
              <w:bottom w:val="nil"/>
              <w:right w:val="nil"/>
            </w:tcBorders>
            <w:shd w:val="clear" w:color="000000" w:fill="FFFFFF"/>
            <w:vAlign w:val="bottom"/>
            <w:hideMark/>
          </w:tcPr>
          <w:p w14:paraId="0B07987C"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0.0</w:t>
            </w:r>
          </w:p>
        </w:tc>
        <w:tc>
          <w:tcPr>
            <w:tcW w:w="0" w:type="auto"/>
            <w:tcBorders>
              <w:top w:val="single" w:sz="4" w:space="0" w:color="ADD6EA"/>
              <w:left w:val="nil"/>
              <w:bottom w:val="nil"/>
              <w:right w:val="nil"/>
            </w:tcBorders>
            <w:shd w:val="clear" w:color="000000" w:fill="FFFFFF"/>
            <w:vAlign w:val="bottom"/>
            <w:hideMark/>
          </w:tcPr>
          <w:p w14:paraId="3D717643"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2.0</w:t>
            </w:r>
          </w:p>
        </w:tc>
      </w:tr>
      <w:tr w:rsidR="00672110" w:rsidRPr="00672110" w14:paraId="1A901EB2" w14:textId="77777777" w:rsidTr="00437294">
        <w:trPr>
          <w:trHeight w:val="319"/>
        </w:trPr>
        <w:tc>
          <w:tcPr>
            <w:tcW w:w="2127" w:type="dxa"/>
            <w:tcBorders>
              <w:top w:val="single" w:sz="4" w:space="0" w:color="ADD6EA"/>
              <w:left w:val="nil"/>
              <w:bottom w:val="nil"/>
              <w:right w:val="nil"/>
            </w:tcBorders>
            <w:shd w:val="clear" w:color="000000" w:fill="FFFFFF"/>
            <w:vAlign w:val="bottom"/>
            <w:hideMark/>
          </w:tcPr>
          <w:p w14:paraId="6192D559" w14:textId="77777777" w:rsidR="00672110" w:rsidRPr="00672110" w:rsidRDefault="00672110" w:rsidP="00672110">
            <w:pPr>
              <w:tabs>
                <w:tab w:val="clear" w:pos="567"/>
              </w:tabs>
              <w:spacing w:before="0" w:line="240" w:lineRule="auto"/>
              <w:rPr>
                <w:rFonts w:eastAsia="Times New Roman" w:cs="Open Sans Light"/>
                <w:color w:val="000000"/>
                <w:sz w:val="16"/>
                <w:szCs w:val="16"/>
                <w:lang w:eastAsia="en-AU"/>
              </w:rPr>
            </w:pPr>
            <w:r w:rsidRPr="00672110">
              <w:rPr>
                <w:rFonts w:eastAsia="Times New Roman" w:cs="Open Sans Light"/>
                <w:color w:val="000000"/>
                <w:sz w:val="16"/>
                <w:szCs w:val="16"/>
                <w:lang w:eastAsia="en-AU"/>
              </w:rPr>
              <w:t>2.Inner regional Australia</w:t>
            </w:r>
          </w:p>
        </w:tc>
        <w:tc>
          <w:tcPr>
            <w:tcW w:w="1417" w:type="dxa"/>
            <w:tcBorders>
              <w:top w:val="single" w:sz="4" w:space="0" w:color="ADD6EA"/>
              <w:left w:val="nil"/>
              <w:bottom w:val="nil"/>
              <w:right w:val="nil"/>
            </w:tcBorders>
            <w:shd w:val="clear" w:color="000000" w:fill="FFFFFF"/>
            <w:vAlign w:val="bottom"/>
            <w:hideMark/>
          </w:tcPr>
          <w:p w14:paraId="590F9DAF" w14:textId="77777777" w:rsidR="00672110" w:rsidRPr="00672110" w:rsidRDefault="00672110" w:rsidP="009F4FD3">
            <w:pPr>
              <w:tabs>
                <w:tab w:val="clear" w:pos="567"/>
              </w:tabs>
              <w:spacing w:before="0" w:line="240" w:lineRule="auto"/>
              <w:rPr>
                <w:rFonts w:eastAsia="Times New Roman" w:cs="Open Sans Light"/>
                <w:color w:val="000000"/>
                <w:sz w:val="16"/>
                <w:szCs w:val="16"/>
                <w:lang w:eastAsia="en-AU"/>
              </w:rPr>
            </w:pPr>
            <w:r w:rsidRPr="00672110">
              <w:rPr>
                <w:rFonts w:eastAsia="Times New Roman" w:cs="Open Sans Light"/>
                <w:color w:val="000000"/>
                <w:sz w:val="16"/>
                <w:szCs w:val="16"/>
                <w:lang w:eastAsia="en-AU"/>
              </w:rPr>
              <w:t>2. High-income</w:t>
            </w:r>
          </w:p>
        </w:tc>
        <w:tc>
          <w:tcPr>
            <w:tcW w:w="1029" w:type="dxa"/>
            <w:tcBorders>
              <w:top w:val="single" w:sz="4" w:space="0" w:color="ADD6EA"/>
              <w:left w:val="nil"/>
              <w:bottom w:val="nil"/>
              <w:right w:val="nil"/>
            </w:tcBorders>
            <w:shd w:val="clear" w:color="000000" w:fill="FFFFFF"/>
            <w:vAlign w:val="bottom"/>
            <w:hideMark/>
          </w:tcPr>
          <w:p w14:paraId="4721210F" w14:textId="77777777" w:rsidR="00672110" w:rsidRPr="00672110" w:rsidRDefault="00672110" w:rsidP="00D0167D">
            <w:pPr>
              <w:tabs>
                <w:tab w:val="clear" w:pos="567"/>
              </w:tabs>
              <w:spacing w:before="0" w:line="240" w:lineRule="auto"/>
              <w:rPr>
                <w:rFonts w:eastAsia="Times New Roman" w:cs="Open Sans Light"/>
                <w:color w:val="000000"/>
                <w:sz w:val="16"/>
                <w:szCs w:val="16"/>
                <w:lang w:eastAsia="en-AU"/>
              </w:rPr>
            </w:pPr>
            <w:r w:rsidRPr="00672110">
              <w:rPr>
                <w:rFonts w:eastAsia="Times New Roman" w:cs="Open Sans Light"/>
                <w:color w:val="000000"/>
                <w:sz w:val="16"/>
                <w:szCs w:val="16"/>
                <w:lang w:eastAsia="en-AU"/>
              </w:rPr>
              <w:t>2.Non-Indigenous</w:t>
            </w:r>
          </w:p>
        </w:tc>
        <w:tc>
          <w:tcPr>
            <w:tcW w:w="581" w:type="dxa"/>
            <w:tcBorders>
              <w:top w:val="single" w:sz="4" w:space="0" w:color="ADD6EA"/>
              <w:left w:val="nil"/>
              <w:bottom w:val="nil"/>
              <w:right w:val="nil"/>
            </w:tcBorders>
            <w:shd w:val="clear" w:color="000000" w:fill="FFFFFF"/>
            <w:vAlign w:val="bottom"/>
            <w:hideMark/>
          </w:tcPr>
          <w:p w14:paraId="5CFE1829"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2.7</w:t>
            </w:r>
          </w:p>
        </w:tc>
        <w:tc>
          <w:tcPr>
            <w:tcW w:w="0" w:type="auto"/>
            <w:tcBorders>
              <w:top w:val="single" w:sz="4" w:space="0" w:color="ADD6EA"/>
              <w:left w:val="nil"/>
              <w:bottom w:val="nil"/>
              <w:right w:val="nil"/>
            </w:tcBorders>
            <w:shd w:val="clear" w:color="000000" w:fill="FFFFFF"/>
            <w:vAlign w:val="bottom"/>
            <w:hideMark/>
          </w:tcPr>
          <w:p w14:paraId="1AF1C353"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2.6</w:t>
            </w:r>
          </w:p>
        </w:tc>
        <w:tc>
          <w:tcPr>
            <w:tcW w:w="0" w:type="auto"/>
            <w:tcBorders>
              <w:top w:val="single" w:sz="4" w:space="0" w:color="ADD6EA"/>
              <w:left w:val="nil"/>
              <w:bottom w:val="nil"/>
              <w:right w:val="nil"/>
            </w:tcBorders>
            <w:shd w:val="clear" w:color="000000" w:fill="FFFFFF"/>
            <w:vAlign w:val="bottom"/>
            <w:hideMark/>
          </w:tcPr>
          <w:p w14:paraId="47DF063E"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2.7</w:t>
            </w:r>
          </w:p>
        </w:tc>
        <w:tc>
          <w:tcPr>
            <w:tcW w:w="0" w:type="auto"/>
            <w:tcBorders>
              <w:top w:val="single" w:sz="4" w:space="0" w:color="ADD6EA"/>
              <w:left w:val="nil"/>
              <w:bottom w:val="nil"/>
              <w:right w:val="nil"/>
            </w:tcBorders>
            <w:shd w:val="clear" w:color="000000" w:fill="FFFFFF"/>
            <w:vAlign w:val="bottom"/>
            <w:hideMark/>
          </w:tcPr>
          <w:p w14:paraId="51FF501D"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2.6</w:t>
            </w:r>
          </w:p>
        </w:tc>
        <w:tc>
          <w:tcPr>
            <w:tcW w:w="0" w:type="auto"/>
            <w:tcBorders>
              <w:top w:val="single" w:sz="4" w:space="0" w:color="ADD6EA"/>
              <w:left w:val="nil"/>
              <w:bottom w:val="nil"/>
              <w:right w:val="nil"/>
            </w:tcBorders>
            <w:shd w:val="clear" w:color="000000" w:fill="FFFFFF"/>
            <w:vAlign w:val="bottom"/>
            <w:hideMark/>
          </w:tcPr>
          <w:p w14:paraId="4AB14F56"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2.6</w:t>
            </w:r>
          </w:p>
        </w:tc>
        <w:tc>
          <w:tcPr>
            <w:tcW w:w="0" w:type="auto"/>
            <w:tcBorders>
              <w:top w:val="single" w:sz="4" w:space="0" w:color="ADD6EA"/>
              <w:left w:val="nil"/>
              <w:bottom w:val="nil"/>
              <w:right w:val="nil"/>
            </w:tcBorders>
            <w:shd w:val="clear" w:color="000000" w:fill="FFFFFF"/>
            <w:vAlign w:val="bottom"/>
            <w:hideMark/>
          </w:tcPr>
          <w:p w14:paraId="0F3D782D"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2.6</w:t>
            </w:r>
          </w:p>
        </w:tc>
        <w:tc>
          <w:tcPr>
            <w:tcW w:w="0" w:type="auto"/>
            <w:tcBorders>
              <w:top w:val="single" w:sz="4" w:space="0" w:color="ADD6EA"/>
              <w:left w:val="nil"/>
              <w:bottom w:val="nil"/>
              <w:right w:val="nil"/>
            </w:tcBorders>
            <w:shd w:val="clear" w:color="000000" w:fill="FFFFFF"/>
            <w:vAlign w:val="bottom"/>
            <w:hideMark/>
          </w:tcPr>
          <w:p w14:paraId="44381955"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3.4</w:t>
            </w:r>
          </w:p>
        </w:tc>
        <w:tc>
          <w:tcPr>
            <w:tcW w:w="0" w:type="auto"/>
            <w:tcBorders>
              <w:top w:val="single" w:sz="4" w:space="0" w:color="ADD6EA"/>
              <w:left w:val="nil"/>
              <w:bottom w:val="nil"/>
              <w:right w:val="nil"/>
            </w:tcBorders>
            <w:shd w:val="clear" w:color="000000" w:fill="FFFFFF"/>
            <w:vAlign w:val="bottom"/>
            <w:hideMark/>
          </w:tcPr>
          <w:p w14:paraId="3730BA8E"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0.0</w:t>
            </w:r>
          </w:p>
        </w:tc>
        <w:tc>
          <w:tcPr>
            <w:tcW w:w="0" w:type="auto"/>
            <w:tcBorders>
              <w:top w:val="single" w:sz="4" w:space="0" w:color="ADD6EA"/>
              <w:left w:val="nil"/>
              <w:bottom w:val="nil"/>
              <w:right w:val="nil"/>
            </w:tcBorders>
            <w:shd w:val="clear" w:color="000000" w:fill="FFFFFF"/>
            <w:vAlign w:val="bottom"/>
            <w:hideMark/>
          </w:tcPr>
          <w:p w14:paraId="6371A9E8"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2.6</w:t>
            </w:r>
          </w:p>
        </w:tc>
      </w:tr>
      <w:tr w:rsidR="00672110" w:rsidRPr="00672110" w14:paraId="70206959" w14:textId="77777777" w:rsidTr="00437294">
        <w:trPr>
          <w:trHeight w:val="319"/>
        </w:trPr>
        <w:tc>
          <w:tcPr>
            <w:tcW w:w="2127" w:type="dxa"/>
            <w:tcBorders>
              <w:top w:val="single" w:sz="4" w:space="0" w:color="ADD6EA"/>
              <w:left w:val="nil"/>
              <w:bottom w:val="nil"/>
              <w:right w:val="nil"/>
            </w:tcBorders>
            <w:shd w:val="clear" w:color="000000" w:fill="FFFFFF"/>
            <w:vAlign w:val="bottom"/>
            <w:hideMark/>
          </w:tcPr>
          <w:p w14:paraId="25F65E58" w14:textId="77777777" w:rsidR="00672110" w:rsidRPr="00672110" w:rsidRDefault="00672110" w:rsidP="00672110">
            <w:pPr>
              <w:tabs>
                <w:tab w:val="clear" w:pos="567"/>
              </w:tabs>
              <w:spacing w:before="0" w:line="240" w:lineRule="auto"/>
              <w:rPr>
                <w:rFonts w:eastAsia="Times New Roman" w:cs="Open Sans Light"/>
                <w:color w:val="000000"/>
                <w:sz w:val="16"/>
                <w:szCs w:val="16"/>
                <w:lang w:eastAsia="en-AU"/>
              </w:rPr>
            </w:pPr>
            <w:r w:rsidRPr="00672110">
              <w:rPr>
                <w:rFonts w:eastAsia="Times New Roman" w:cs="Open Sans Light"/>
                <w:color w:val="000000"/>
                <w:sz w:val="16"/>
                <w:szCs w:val="16"/>
                <w:lang w:eastAsia="en-AU"/>
              </w:rPr>
              <w:t>3.Outer regional Australia</w:t>
            </w:r>
          </w:p>
        </w:tc>
        <w:tc>
          <w:tcPr>
            <w:tcW w:w="1417" w:type="dxa"/>
            <w:tcBorders>
              <w:top w:val="single" w:sz="4" w:space="0" w:color="ADD6EA"/>
              <w:left w:val="nil"/>
              <w:bottom w:val="nil"/>
              <w:right w:val="nil"/>
            </w:tcBorders>
            <w:shd w:val="clear" w:color="000000" w:fill="FFFFFF"/>
            <w:vAlign w:val="bottom"/>
            <w:hideMark/>
          </w:tcPr>
          <w:p w14:paraId="778E1AFA" w14:textId="77777777" w:rsidR="00672110" w:rsidRPr="00672110" w:rsidRDefault="00672110" w:rsidP="009F4FD3">
            <w:pPr>
              <w:tabs>
                <w:tab w:val="clear" w:pos="567"/>
              </w:tabs>
              <w:spacing w:before="0" w:line="240" w:lineRule="auto"/>
              <w:rPr>
                <w:rFonts w:eastAsia="Times New Roman" w:cs="Open Sans Light"/>
                <w:color w:val="000000"/>
                <w:sz w:val="16"/>
                <w:szCs w:val="16"/>
                <w:lang w:eastAsia="en-AU"/>
              </w:rPr>
            </w:pPr>
            <w:r w:rsidRPr="00672110">
              <w:rPr>
                <w:rFonts w:eastAsia="Times New Roman" w:cs="Open Sans Light"/>
                <w:color w:val="000000"/>
                <w:sz w:val="16"/>
                <w:szCs w:val="16"/>
                <w:lang w:eastAsia="en-AU"/>
              </w:rPr>
              <w:t>1. Low-income</w:t>
            </w:r>
          </w:p>
        </w:tc>
        <w:tc>
          <w:tcPr>
            <w:tcW w:w="1029" w:type="dxa"/>
            <w:tcBorders>
              <w:top w:val="single" w:sz="4" w:space="0" w:color="ADD6EA"/>
              <w:left w:val="nil"/>
              <w:bottom w:val="nil"/>
              <w:right w:val="nil"/>
            </w:tcBorders>
            <w:shd w:val="clear" w:color="000000" w:fill="FFFFFF"/>
            <w:vAlign w:val="bottom"/>
            <w:hideMark/>
          </w:tcPr>
          <w:p w14:paraId="21ADCDD3" w14:textId="08F982D5" w:rsidR="00672110" w:rsidRPr="00672110" w:rsidRDefault="003709C5" w:rsidP="00D0167D">
            <w:pPr>
              <w:tabs>
                <w:tab w:val="clear" w:pos="567"/>
              </w:tabs>
              <w:spacing w:before="0" w:line="240" w:lineRule="auto"/>
              <w:rPr>
                <w:rFonts w:eastAsia="Times New Roman" w:cs="Open Sans Light"/>
                <w:color w:val="000000"/>
                <w:sz w:val="16"/>
                <w:szCs w:val="16"/>
                <w:lang w:eastAsia="en-AU"/>
              </w:rPr>
            </w:pPr>
            <w:r w:rsidRPr="003709C5">
              <w:rPr>
                <w:rFonts w:eastAsia="Times New Roman" w:cs="Open Sans Light"/>
                <w:color w:val="000000"/>
                <w:sz w:val="16"/>
                <w:szCs w:val="16"/>
                <w:lang w:eastAsia="en-AU"/>
              </w:rPr>
              <w:t>1.First Nations</w:t>
            </w:r>
          </w:p>
        </w:tc>
        <w:tc>
          <w:tcPr>
            <w:tcW w:w="581" w:type="dxa"/>
            <w:tcBorders>
              <w:top w:val="single" w:sz="4" w:space="0" w:color="ADD6EA"/>
              <w:left w:val="nil"/>
              <w:bottom w:val="nil"/>
              <w:right w:val="nil"/>
            </w:tcBorders>
            <w:shd w:val="clear" w:color="000000" w:fill="FFFFFF"/>
            <w:vAlign w:val="bottom"/>
            <w:hideMark/>
          </w:tcPr>
          <w:p w14:paraId="23BDEBCD"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2.3</w:t>
            </w:r>
          </w:p>
        </w:tc>
        <w:tc>
          <w:tcPr>
            <w:tcW w:w="0" w:type="auto"/>
            <w:tcBorders>
              <w:top w:val="single" w:sz="4" w:space="0" w:color="ADD6EA"/>
              <w:left w:val="nil"/>
              <w:bottom w:val="nil"/>
              <w:right w:val="nil"/>
            </w:tcBorders>
            <w:shd w:val="clear" w:color="000000" w:fill="FFFFFF"/>
            <w:vAlign w:val="bottom"/>
            <w:hideMark/>
          </w:tcPr>
          <w:p w14:paraId="480BCA46"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2.2</w:t>
            </w:r>
          </w:p>
        </w:tc>
        <w:tc>
          <w:tcPr>
            <w:tcW w:w="0" w:type="auto"/>
            <w:tcBorders>
              <w:top w:val="single" w:sz="4" w:space="0" w:color="ADD6EA"/>
              <w:left w:val="nil"/>
              <w:bottom w:val="nil"/>
              <w:right w:val="nil"/>
            </w:tcBorders>
            <w:shd w:val="clear" w:color="000000" w:fill="FFFFFF"/>
            <w:vAlign w:val="bottom"/>
            <w:hideMark/>
          </w:tcPr>
          <w:p w14:paraId="075BBF1E"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2.7</w:t>
            </w:r>
          </w:p>
        </w:tc>
        <w:tc>
          <w:tcPr>
            <w:tcW w:w="0" w:type="auto"/>
            <w:tcBorders>
              <w:top w:val="single" w:sz="4" w:space="0" w:color="ADD6EA"/>
              <w:left w:val="nil"/>
              <w:bottom w:val="nil"/>
              <w:right w:val="nil"/>
            </w:tcBorders>
            <w:shd w:val="clear" w:color="000000" w:fill="FFFFFF"/>
            <w:vAlign w:val="bottom"/>
            <w:hideMark/>
          </w:tcPr>
          <w:p w14:paraId="65BF93A6"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2.6</w:t>
            </w:r>
          </w:p>
        </w:tc>
        <w:tc>
          <w:tcPr>
            <w:tcW w:w="0" w:type="auto"/>
            <w:tcBorders>
              <w:top w:val="single" w:sz="4" w:space="0" w:color="ADD6EA"/>
              <w:left w:val="nil"/>
              <w:bottom w:val="nil"/>
              <w:right w:val="nil"/>
            </w:tcBorders>
            <w:shd w:val="clear" w:color="000000" w:fill="FFFFFF"/>
            <w:vAlign w:val="bottom"/>
            <w:hideMark/>
          </w:tcPr>
          <w:p w14:paraId="01903887"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2.3</w:t>
            </w:r>
          </w:p>
        </w:tc>
        <w:tc>
          <w:tcPr>
            <w:tcW w:w="0" w:type="auto"/>
            <w:tcBorders>
              <w:top w:val="single" w:sz="4" w:space="0" w:color="ADD6EA"/>
              <w:left w:val="nil"/>
              <w:bottom w:val="nil"/>
              <w:right w:val="nil"/>
            </w:tcBorders>
            <w:shd w:val="clear" w:color="000000" w:fill="FFFFFF"/>
            <w:vAlign w:val="bottom"/>
            <w:hideMark/>
          </w:tcPr>
          <w:p w14:paraId="14D531C4"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2.0</w:t>
            </w:r>
          </w:p>
        </w:tc>
        <w:tc>
          <w:tcPr>
            <w:tcW w:w="0" w:type="auto"/>
            <w:tcBorders>
              <w:top w:val="single" w:sz="4" w:space="0" w:color="ADD6EA"/>
              <w:left w:val="nil"/>
              <w:bottom w:val="nil"/>
              <w:right w:val="nil"/>
            </w:tcBorders>
            <w:shd w:val="clear" w:color="000000" w:fill="FFFFFF"/>
            <w:vAlign w:val="bottom"/>
            <w:hideMark/>
          </w:tcPr>
          <w:p w14:paraId="51E2F1D0"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0.0</w:t>
            </w:r>
          </w:p>
        </w:tc>
        <w:tc>
          <w:tcPr>
            <w:tcW w:w="0" w:type="auto"/>
            <w:tcBorders>
              <w:top w:val="single" w:sz="4" w:space="0" w:color="ADD6EA"/>
              <w:left w:val="nil"/>
              <w:bottom w:val="nil"/>
              <w:right w:val="nil"/>
            </w:tcBorders>
            <w:shd w:val="clear" w:color="000000" w:fill="FFFFFF"/>
            <w:vAlign w:val="bottom"/>
            <w:hideMark/>
          </w:tcPr>
          <w:p w14:paraId="0A639417"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2.6</w:t>
            </w:r>
          </w:p>
        </w:tc>
        <w:tc>
          <w:tcPr>
            <w:tcW w:w="0" w:type="auto"/>
            <w:tcBorders>
              <w:top w:val="single" w:sz="4" w:space="0" w:color="ADD6EA"/>
              <w:left w:val="nil"/>
              <w:bottom w:val="nil"/>
              <w:right w:val="nil"/>
            </w:tcBorders>
            <w:shd w:val="clear" w:color="000000" w:fill="FFFFFF"/>
            <w:vAlign w:val="bottom"/>
            <w:hideMark/>
          </w:tcPr>
          <w:p w14:paraId="2934F825"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2.5</w:t>
            </w:r>
          </w:p>
        </w:tc>
      </w:tr>
      <w:tr w:rsidR="00672110" w:rsidRPr="00672110" w14:paraId="24EF9467" w14:textId="77777777" w:rsidTr="00437294">
        <w:trPr>
          <w:trHeight w:val="319"/>
        </w:trPr>
        <w:tc>
          <w:tcPr>
            <w:tcW w:w="2127" w:type="dxa"/>
            <w:tcBorders>
              <w:top w:val="single" w:sz="4" w:space="0" w:color="ADD6EA"/>
              <w:left w:val="nil"/>
              <w:bottom w:val="nil"/>
              <w:right w:val="nil"/>
            </w:tcBorders>
            <w:shd w:val="clear" w:color="000000" w:fill="FFFFFF"/>
            <w:vAlign w:val="bottom"/>
            <w:hideMark/>
          </w:tcPr>
          <w:p w14:paraId="2676673B" w14:textId="77777777" w:rsidR="00672110" w:rsidRPr="00672110" w:rsidRDefault="00672110" w:rsidP="00672110">
            <w:pPr>
              <w:tabs>
                <w:tab w:val="clear" w:pos="567"/>
              </w:tabs>
              <w:spacing w:before="0" w:line="240" w:lineRule="auto"/>
              <w:rPr>
                <w:rFonts w:eastAsia="Times New Roman" w:cs="Open Sans Light"/>
                <w:color w:val="000000"/>
                <w:sz w:val="16"/>
                <w:szCs w:val="16"/>
                <w:lang w:eastAsia="en-AU"/>
              </w:rPr>
            </w:pPr>
            <w:r w:rsidRPr="00672110">
              <w:rPr>
                <w:rFonts w:eastAsia="Times New Roman" w:cs="Open Sans Light"/>
                <w:color w:val="000000"/>
                <w:sz w:val="16"/>
                <w:szCs w:val="16"/>
                <w:lang w:eastAsia="en-AU"/>
              </w:rPr>
              <w:t>3.Outer regional Australia</w:t>
            </w:r>
          </w:p>
        </w:tc>
        <w:tc>
          <w:tcPr>
            <w:tcW w:w="1417" w:type="dxa"/>
            <w:tcBorders>
              <w:top w:val="single" w:sz="4" w:space="0" w:color="ADD6EA"/>
              <w:left w:val="nil"/>
              <w:bottom w:val="nil"/>
              <w:right w:val="nil"/>
            </w:tcBorders>
            <w:shd w:val="clear" w:color="000000" w:fill="FFFFFF"/>
            <w:vAlign w:val="bottom"/>
            <w:hideMark/>
          </w:tcPr>
          <w:p w14:paraId="27630B7E" w14:textId="77777777" w:rsidR="00672110" w:rsidRPr="00672110" w:rsidRDefault="00672110" w:rsidP="009F4FD3">
            <w:pPr>
              <w:tabs>
                <w:tab w:val="clear" w:pos="567"/>
              </w:tabs>
              <w:spacing w:before="0" w:line="240" w:lineRule="auto"/>
              <w:rPr>
                <w:rFonts w:eastAsia="Times New Roman" w:cs="Open Sans Light"/>
                <w:color w:val="000000"/>
                <w:sz w:val="16"/>
                <w:szCs w:val="16"/>
                <w:lang w:eastAsia="en-AU"/>
              </w:rPr>
            </w:pPr>
            <w:r w:rsidRPr="00672110">
              <w:rPr>
                <w:rFonts w:eastAsia="Times New Roman" w:cs="Open Sans Light"/>
                <w:color w:val="000000"/>
                <w:sz w:val="16"/>
                <w:szCs w:val="16"/>
                <w:lang w:eastAsia="en-AU"/>
              </w:rPr>
              <w:t>1. Low-income</w:t>
            </w:r>
          </w:p>
        </w:tc>
        <w:tc>
          <w:tcPr>
            <w:tcW w:w="1029" w:type="dxa"/>
            <w:tcBorders>
              <w:top w:val="single" w:sz="4" w:space="0" w:color="ADD6EA"/>
              <w:left w:val="nil"/>
              <w:bottom w:val="nil"/>
              <w:right w:val="nil"/>
            </w:tcBorders>
            <w:shd w:val="clear" w:color="000000" w:fill="FFFFFF"/>
            <w:vAlign w:val="bottom"/>
            <w:hideMark/>
          </w:tcPr>
          <w:p w14:paraId="1DBC9813" w14:textId="77777777" w:rsidR="00672110" w:rsidRPr="00672110" w:rsidRDefault="00672110" w:rsidP="00D0167D">
            <w:pPr>
              <w:tabs>
                <w:tab w:val="clear" w:pos="567"/>
              </w:tabs>
              <w:spacing w:before="0" w:line="240" w:lineRule="auto"/>
              <w:rPr>
                <w:rFonts w:eastAsia="Times New Roman" w:cs="Open Sans Light"/>
                <w:color w:val="000000"/>
                <w:sz w:val="16"/>
                <w:szCs w:val="16"/>
                <w:lang w:eastAsia="en-AU"/>
              </w:rPr>
            </w:pPr>
            <w:r w:rsidRPr="00672110">
              <w:rPr>
                <w:rFonts w:eastAsia="Times New Roman" w:cs="Open Sans Light"/>
                <w:color w:val="000000"/>
                <w:sz w:val="16"/>
                <w:szCs w:val="16"/>
                <w:lang w:eastAsia="en-AU"/>
              </w:rPr>
              <w:t>2.Non-Indigenous</w:t>
            </w:r>
          </w:p>
        </w:tc>
        <w:tc>
          <w:tcPr>
            <w:tcW w:w="581" w:type="dxa"/>
            <w:tcBorders>
              <w:top w:val="single" w:sz="4" w:space="0" w:color="ADD6EA"/>
              <w:left w:val="nil"/>
              <w:bottom w:val="nil"/>
              <w:right w:val="nil"/>
            </w:tcBorders>
            <w:shd w:val="clear" w:color="000000" w:fill="FFFFFF"/>
            <w:vAlign w:val="bottom"/>
            <w:hideMark/>
          </w:tcPr>
          <w:p w14:paraId="6722C653"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2.0</w:t>
            </w:r>
          </w:p>
        </w:tc>
        <w:tc>
          <w:tcPr>
            <w:tcW w:w="0" w:type="auto"/>
            <w:tcBorders>
              <w:top w:val="single" w:sz="4" w:space="0" w:color="ADD6EA"/>
              <w:left w:val="nil"/>
              <w:bottom w:val="nil"/>
              <w:right w:val="nil"/>
            </w:tcBorders>
            <w:shd w:val="clear" w:color="000000" w:fill="FFFFFF"/>
            <w:vAlign w:val="bottom"/>
            <w:hideMark/>
          </w:tcPr>
          <w:p w14:paraId="3C1F4B8C"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1.9</w:t>
            </w:r>
          </w:p>
        </w:tc>
        <w:tc>
          <w:tcPr>
            <w:tcW w:w="0" w:type="auto"/>
            <w:tcBorders>
              <w:top w:val="single" w:sz="4" w:space="0" w:color="ADD6EA"/>
              <w:left w:val="nil"/>
              <w:bottom w:val="nil"/>
              <w:right w:val="nil"/>
            </w:tcBorders>
            <w:shd w:val="clear" w:color="000000" w:fill="FFFFFF"/>
            <w:vAlign w:val="bottom"/>
            <w:hideMark/>
          </w:tcPr>
          <w:p w14:paraId="17A21B32"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2.0</w:t>
            </w:r>
          </w:p>
        </w:tc>
        <w:tc>
          <w:tcPr>
            <w:tcW w:w="0" w:type="auto"/>
            <w:tcBorders>
              <w:top w:val="single" w:sz="4" w:space="0" w:color="ADD6EA"/>
              <w:left w:val="nil"/>
              <w:bottom w:val="nil"/>
              <w:right w:val="nil"/>
            </w:tcBorders>
            <w:shd w:val="clear" w:color="000000" w:fill="FFFFFF"/>
            <w:vAlign w:val="bottom"/>
            <w:hideMark/>
          </w:tcPr>
          <w:p w14:paraId="40F9FEC4"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1.9</w:t>
            </w:r>
          </w:p>
        </w:tc>
        <w:tc>
          <w:tcPr>
            <w:tcW w:w="0" w:type="auto"/>
            <w:tcBorders>
              <w:top w:val="single" w:sz="4" w:space="0" w:color="ADD6EA"/>
              <w:left w:val="nil"/>
              <w:bottom w:val="nil"/>
              <w:right w:val="nil"/>
            </w:tcBorders>
            <w:shd w:val="clear" w:color="000000" w:fill="FFFFFF"/>
            <w:vAlign w:val="bottom"/>
            <w:hideMark/>
          </w:tcPr>
          <w:p w14:paraId="51AF887B"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1.9</w:t>
            </w:r>
          </w:p>
        </w:tc>
        <w:tc>
          <w:tcPr>
            <w:tcW w:w="0" w:type="auto"/>
            <w:tcBorders>
              <w:top w:val="single" w:sz="4" w:space="0" w:color="ADD6EA"/>
              <w:left w:val="nil"/>
              <w:bottom w:val="nil"/>
              <w:right w:val="nil"/>
            </w:tcBorders>
            <w:shd w:val="clear" w:color="000000" w:fill="FFFFFF"/>
            <w:vAlign w:val="bottom"/>
            <w:hideMark/>
          </w:tcPr>
          <w:p w14:paraId="5613CA5F"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2.0</w:t>
            </w:r>
          </w:p>
        </w:tc>
        <w:tc>
          <w:tcPr>
            <w:tcW w:w="0" w:type="auto"/>
            <w:tcBorders>
              <w:top w:val="single" w:sz="4" w:space="0" w:color="ADD6EA"/>
              <w:left w:val="nil"/>
              <w:bottom w:val="nil"/>
              <w:right w:val="nil"/>
            </w:tcBorders>
            <w:shd w:val="clear" w:color="000000" w:fill="FFFFFF"/>
            <w:vAlign w:val="bottom"/>
            <w:hideMark/>
          </w:tcPr>
          <w:p w14:paraId="504789BC"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0.0</w:t>
            </w:r>
          </w:p>
        </w:tc>
        <w:tc>
          <w:tcPr>
            <w:tcW w:w="0" w:type="auto"/>
            <w:tcBorders>
              <w:top w:val="single" w:sz="4" w:space="0" w:color="ADD6EA"/>
              <w:left w:val="nil"/>
              <w:bottom w:val="nil"/>
              <w:right w:val="nil"/>
            </w:tcBorders>
            <w:shd w:val="clear" w:color="000000" w:fill="FFFFFF"/>
            <w:vAlign w:val="bottom"/>
            <w:hideMark/>
          </w:tcPr>
          <w:p w14:paraId="637BC85D"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2.2</w:t>
            </w:r>
          </w:p>
        </w:tc>
        <w:tc>
          <w:tcPr>
            <w:tcW w:w="0" w:type="auto"/>
            <w:tcBorders>
              <w:top w:val="single" w:sz="4" w:space="0" w:color="ADD6EA"/>
              <w:left w:val="nil"/>
              <w:bottom w:val="nil"/>
              <w:right w:val="nil"/>
            </w:tcBorders>
            <w:shd w:val="clear" w:color="000000" w:fill="FFFFFF"/>
            <w:vAlign w:val="bottom"/>
            <w:hideMark/>
          </w:tcPr>
          <w:p w14:paraId="1EC2742D"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2.0</w:t>
            </w:r>
          </w:p>
        </w:tc>
      </w:tr>
      <w:tr w:rsidR="00672110" w:rsidRPr="00672110" w14:paraId="5976274F" w14:textId="77777777" w:rsidTr="00437294">
        <w:trPr>
          <w:trHeight w:val="319"/>
        </w:trPr>
        <w:tc>
          <w:tcPr>
            <w:tcW w:w="2127" w:type="dxa"/>
            <w:tcBorders>
              <w:top w:val="single" w:sz="4" w:space="0" w:color="ADD6EA"/>
              <w:left w:val="nil"/>
              <w:bottom w:val="nil"/>
              <w:right w:val="nil"/>
            </w:tcBorders>
            <w:shd w:val="clear" w:color="000000" w:fill="FFFFFF"/>
            <w:vAlign w:val="bottom"/>
            <w:hideMark/>
          </w:tcPr>
          <w:p w14:paraId="161CF3C9" w14:textId="77777777" w:rsidR="00672110" w:rsidRPr="00672110" w:rsidRDefault="00672110" w:rsidP="00672110">
            <w:pPr>
              <w:tabs>
                <w:tab w:val="clear" w:pos="567"/>
              </w:tabs>
              <w:spacing w:before="0" w:line="240" w:lineRule="auto"/>
              <w:rPr>
                <w:rFonts w:eastAsia="Times New Roman" w:cs="Open Sans Light"/>
                <w:color w:val="000000"/>
                <w:sz w:val="16"/>
                <w:szCs w:val="16"/>
                <w:lang w:eastAsia="en-AU"/>
              </w:rPr>
            </w:pPr>
            <w:r w:rsidRPr="00672110">
              <w:rPr>
                <w:rFonts w:eastAsia="Times New Roman" w:cs="Open Sans Light"/>
                <w:color w:val="000000"/>
                <w:sz w:val="16"/>
                <w:szCs w:val="16"/>
                <w:lang w:eastAsia="en-AU"/>
              </w:rPr>
              <w:t>3.Outer regional Australia</w:t>
            </w:r>
          </w:p>
        </w:tc>
        <w:tc>
          <w:tcPr>
            <w:tcW w:w="1417" w:type="dxa"/>
            <w:tcBorders>
              <w:top w:val="single" w:sz="4" w:space="0" w:color="ADD6EA"/>
              <w:left w:val="nil"/>
              <w:bottom w:val="nil"/>
              <w:right w:val="nil"/>
            </w:tcBorders>
            <w:shd w:val="clear" w:color="000000" w:fill="FFFFFF"/>
            <w:vAlign w:val="bottom"/>
            <w:hideMark/>
          </w:tcPr>
          <w:p w14:paraId="6FC11A9E" w14:textId="77777777" w:rsidR="00672110" w:rsidRPr="00672110" w:rsidRDefault="00672110" w:rsidP="009F4FD3">
            <w:pPr>
              <w:tabs>
                <w:tab w:val="clear" w:pos="567"/>
              </w:tabs>
              <w:spacing w:before="0" w:line="240" w:lineRule="auto"/>
              <w:rPr>
                <w:rFonts w:eastAsia="Times New Roman" w:cs="Open Sans Light"/>
                <w:color w:val="000000"/>
                <w:sz w:val="16"/>
                <w:szCs w:val="16"/>
                <w:lang w:eastAsia="en-AU"/>
              </w:rPr>
            </w:pPr>
            <w:r w:rsidRPr="00672110">
              <w:rPr>
                <w:rFonts w:eastAsia="Times New Roman" w:cs="Open Sans Light"/>
                <w:color w:val="000000"/>
                <w:sz w:val="16"/>
                <w:szCs w:val="16"/>
                <w:lang w:eastAsia="en-AU"/>
              </w:rPr>
              <w:t>2. High-income</w:t>
            </w:r>
          </w:p>
        </w:tc>
        <w:tc>
          <w:tcPr>
            <w:tcW w:w="1029" w:type="dxa"/>
            <w:tcBorders>
              <w:top w:val="single" w:sz="4" w:space="0" w:color="ADD6EA"/>
              <w:left w:val="nil"/>
              <w:bottom w:val="nil"/>
              <w:right w:val="nil"/>
            </w:tcBorders>
            <w:shd w:val="clear" w:color="000000" w:fill="FFFFFF"/>
            <w:vAlign w:val="bottom"/>
            <w:hideMark/>
          </w:tcPr>
          <w:p w14:paraId="5E270CDE" w14:textId="671CD987" w:rsidR="00672110" w:rsidRPr="00672110" w:rsidRDefault="003709C5" w:rsidP="00D0167D">
            <w:pPr>
              <w:tabs>
                <w:tab w:val="clear" w:pos="567"/>
              </w:tabs>
              <w:spacing w:before="0" w:line="240" w:lineRule="auto"/>
              <w:rPr>
                <w:rFonts w:eastAsia="Times New Roman" w:cs="Open Sans Light"/>
                <w:color w:val="000000"/>
                <w:sz w:val="16"/>
                <w:szCs w:val="16"/>
                <w:lang w:eastAsia="en-AU"/>
              </w:rPr>
            </w:pPr>
            <w:r w:rsidRPr="003709C5">
              <w:rPr>
                <w:rFonts w:eastAsia="Times New Roman" w:cs="Open Sans Light"/>
                <w:color w:val="000000"/>
                <w:sz w:val="16"/>
                <w:szCs w:val="16"/>
                <w:lang w:eastAsia="en-AU"/>
              </w:rPr>
              <w:t>1.First Nations</w:t>
            </w:r>
          </w:p>
        </w:tc>
        <w:tc>
          <w:tcPr>
            <w:tcW w:w="581" w:type="dxa"/>
            <w:tcBorders>
              <w:top w:val="single" w:sz="4" w:space="0" w:color="ADD6EA"/>
              <w:left w:val="nil"/>
              <w:bottom w:val="nil"/>
              <w:right w:val="nil"/>
            </w:tcBorders>
            <w:shd w:val="clear" w:color="000000" w:fill="FFFFFF"/>
            <w:vAlign w:val="bottom"/>
            <w:hideMark/>
          </w:tcPr>
          <w:p w14:paraId="1B258907"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2.1</w:t>
            </w:r>
          </w:p>
        </w:tc>
        <w:tc>
          <w:tcPr>
            <w:tcW w:w="0" w:type="auto"/>
            <w:tcBorders>
              <w:top w:val="single" w:sz="4" w:space="0" w:color="ADD6EA"/>
              <w:left w:val="nil"/>
              <w:bottom w:val="nil"/>
              <w:right w:val="nil"/>
            </w:tcBorders>
            <w:shd w:val="clear" w:color="000000" w:fill="FFFFFF"/>
            <w:vAlign w:val="bottom"/>
            <w:hideMark/>
          </w:tcPr>
          <w:p w14:paraId="0A0685FF"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1.9</w:t>
            </w:r>
          </w:p>
        </w:tc>
        <w:tc>
          <w:tcPr>
            <w:tcW w:w="0" w:type="auto"/>
            <w:tcBorders>
              <w:top w:val="single" w:sz="4" w:space="0" w:color="ADD6EA"/>
              <w:left w:val="nil"/>
              <w:bottom w:val="nil"/>
              <w:right w:val="nil"/>
            </w:tcBorders>
            <w:shd w:val="clear" w:color="000000" w:fill="FFFFFF"/>
            <w:vAlign w:val="bottom"/>
            <w:hideMark/>
          </w:tcPr>
          <w:p w14:paraId="374F40CF"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2.2</w:t>
            </w:r>
          </w:p>
        </w:tc>
        <w:tc>
          <w:tcPr>
            <w:tcW w:w="0" w:type="auto"/>
            <w:tcBorders>
              <w:top w:val="single" w:sz="4" w:space="0" w:color="ADD6EA"/>
              <w:left w:val="nil"/>
              <w:bottom w:val="nil"/>
              <w:right w:val="nil"/>
            </w:tcBorders>
            <w:shd w:val="clear" w:color="000000" w:fill="FFFFFF"/>
            <w:vAlign w:val="bottom"/>
            <w:hideMark/>
          </w:tcPr>
          <w:p w14:paraId="76760F60"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2.2</w:t>
            </w:r>
          </w:p>
        </w:tc>
        <w:tc>
          <w:tcPr>
            <w:tcW w:w="0" w:type="auto"/>
            <w:tcBorders>
              <w:top w:val="single" w:sz="4" w:space="0" w:color="ADD6EA"/>
              <w:left w:val="nil"/>
              <w:bottom w:val="nil"/>
              <w:right w:val="nil"/>
            </w:tcBorders>
            <w:shd w:val="clear" w:color="000000" w:fill="FFFFFF"/>
            <w:vAlign w:val="bottom"/>
            <w:hideMark/>
          </w:tcPr>
          <w:p w14:paraId="2A38CF56"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2.0</w:t>
            </w:r>
          </w:p>
        </w:tc>
        <w:tc>
          <w:tcPr>
            <w:tcW w:w="0" w:type="auto"/>
            <w:tcBorders>
              <w:top w:val="single" w:sz="4" w:space="0" w:color="ADD6EA"/>
              <w:left w:val="nil"/>
              <w:bottom w:val="nil"/>
              <w:right w:val="nil"/>
            </w:tcBorders>
            <w:shd w:val="clear" w:color="000000" w:fill="FFFFFF"/>
            <w:vAlign w:val="bottom"/>
            <w:hideMark/>
          </w:tcPr>
          <w:p w14:paraId="6076DAA6"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2.0</w:t>
            </w:r>
          </w:p>
        </w:tc>
        <w:tc>
          <w:tcPr>
            <w:tcW w:w="0" w:type="auto"/>
            <w:tcBorders>
              <w:top w:val="single" w:sz="4" w:space="0" w:color="ADD6EA"/>
              <w:left w:val="nil"/>
              <w:bottom w:val="nil"/>
              <w:right w:val="nil"/>
            </w:tcBorders>
            <w:shd w:val="clear" w:color="000000" w:fill="FFFFFF"/>
            <w:vAlign w:val="bottom"/>
            <w:hideMark/>
          </w:tcPr>
          <w:p w14:paraId="4AAF0C4A"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0.0</w:t>
            </w:r>
          </w:p>
        </w:tc>
        <w:tc>
          <w:tcPr>
            <w:tcW w:w="0" w:type="auto"/>
            <w:tcBorders>
              <w:top w:val="single" w:sz="4" w:space="0" w:color="ADD6EA"/>
              <w:left w:val="nil"/>
              <w:bottom w:val="nil"/>
              <w:right w:val="nil"/>
            </w:tcBorders>
            <w:shd w:val="clear" w:color="000000" w:fill="FFFFFF"/>
            <w:vAlign w:val="bottom"/>
            <w:hideMark/>
          </w:tcPr>
          <w:p w14:paraId="387741A2"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2.1</w:t>
            </w:r>
          </w:p>
        </w:tc>
        <w:tc>
          <w:tcPr>
            <w:tcW w:w="0" w:type="auto"/>
            <w:tcBorders>
              <w:top w:val="single" w:sz="4" w:space="0" w:color="ADD6EA"/>
              <w:left w:val="nil"/>
              <w:bottom w:val="nil"/>
              <w:right w:val="nil"/>
            </w:tcBorders>
            <w:shd w:val="clear" w:color="000000" w:fill="FFFFFF"/>
            <w:vAlign w:val="bottom"/>
            <w:hideMark/>
          </w:tcPr>
          <w:p w14:paraId="521DBA05"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2.1</w:t>
            </w:r>
          </w:p>
        </w:tc>
      </w:tr>
      <w:tr w:rsidR="00672110" w:rsidRPr="00672110" w14:paraId="58DDE5CD" w14:textId="77777777" w:rsidTr="00437294">
        <w:trPr>
          <w:trHeight w:val="319"/>
        </w:trPr>
        <w:tc>
          <w:tcPr>
            <w:tcW w:w="2127" w:type="dxa"/>
            <w:tcBorders>
              <w:top w:val="single" w:sz="4" w:space="0" w:color="ADD6EA"/>
              <w:left w:val="nil"/>
              <w:bottom w:val="nil"/>
              <w:right w:val="nil"/>
            </w:tcBorders>
            <w:shd w:val="clear" w:color="000000" w:fill="FFFFFF"/>
            <w:vAlign w:val="bottom"/>
            <w:hideMark/>
          </w:tcPr>
          <w:p w14:paraId="24CEE535" w14:textId="77777777" w:rsidR="00672110" w:rsidRPr="00672110" w:rsidRDefault="00672110" w:rsidP="00672110">
            <w:pPr>
              <w:tabs>
                <w:tab w:val="clear" w:pos="567"/>
              </w:tabs>
              <w:spacing w:before="0" w:line="240" w:lineRule="auto"/>
              <w:rPr>
                <w:rFonts w:eastAsia="Times New Roman" w:cs="Open Sans Light"/>
                <w:color w:val="000000"/>
                <w:sz w:val="16"/>
                <w:szCs w:val="16"/>
                <w:lang w:eastAsia="en-AU"/>
              </w:rPr>
            </w:pPr>
            <w:r w:rsidRPr="00672110">
              <w:rPr>
                <w:rFonts w:eastAsia="Times New Roman" w:cs="Open Sans Light"/>
                <w:color w:val="000000"/>
                <w:sz w:val="16"/>
                <w:szCs w:val="16"/>
                <w:lang w:eastAsia="en-AU"/>
              </w:rPr>
              <w:t>3.Outer regional Australia</w:t>
            </w:r>
          </w:p>
        </w:tc>
        <w:tc>
          <w:tcPr>
            <w:tcW w:w="1417" w:type="dxa"/>
            <w:tcBorders>
              <w:top w:val="single" w:sz="4" w:space="0" w:color="ADD6EA"/>
              <w:left w:val="nil"/>
              <w:bottom w:val="nil"/>
              <w:right w:val="nil"/>
            </w:tcBorders>
            <w:shd w:val="clear" w:color="000000" w:fill="FFFFFF"/>
            <w:vAlign w:val="bottom"/>
            <w:hideMark/>
          </w:tcPr>
          <w:p w14:paraId="303BDE1F" w14:textId="77777777" w:rsidR="00672110" w:rsidRPr="00672110" w:rsidRDefault="00672110" w:rsidP="009F4FD3">
            <w:pPr>
              <w:tabs>
                <w:tab w:val="clear" w:pos="567"/>
              </w:tabs>
              <w:spacing w:before="0" w:line="240" w:lineRule="auto"/>
              <w:rPr>
                <w:rFonts w:eastAsia="Times New Roman" w:cs="Open Sans Light"/>
                <w:color w:val="000000"/>
                <w:sz w:val="16"/>
                <w:szCs w:val="16"/>
                <w:lang w:eastAsia="en-AU"/>
              </w:rPr>
            </w:pPr>
            <w:r w:rsidRPr="00672110">
              <w:rPr>
                <w:rFonts w:eastAsia="Times New Roman" w:cs="Open Sans Light"/>
                <w:color w:val="000000"/>
                <w:sz w:val="16"/>
                <w:szCs w:val="16"/>
                <w:lang w:eastAsia="en-AU"/>
              </w:rPr>
              <w:t>2. High-income</w:t>
            </w:r>
          </w:p>
        </w:tc>
        <w:tc>
          <w:tcPr>
            <w:tcW w:w="1029" w:type="dxa"/>
            <w:tcBorders>
              <w:top w:val="single" w:sz="4" w:space="0" w:color="ADD6EA"/>
              <w:left w:val="nil"/>
              <w:bottom w:val="nil"/>
              <w:right w:val="nil"/>
            </w:tcBorders>
            <w:shd w:val="clear" w:color="000000" w:fill="FFFFFF"/>
            <w:vAlign w:val="bottom"/>
            <w:hideMark/>
          </w:tcPr>
          <w:p w14:paraId="03C52A20" w14:textId="77777777" w:rsidR="00672110" w:rsidRPr="00672110" w:rsidRDefault="00672110" w:rsidP="00D0167D">
            <w:pPr>
              <w:tabs>
                <w:tab w:val="clear" w:pos="567"/>
              </w:tabs>
              <w:spacing w:before="0" w:line="240" w:lineRule="auto"/>
              <w:rPr>
                <w:rFonts w:eastAsia="Times New Roman" w:cs="Open Sans Light"/>
                <w:color w:val="000000"/>
                <w:sz w:val="16"/>
                <w:szCs w:val="16"/>
                <w:lang w:eastAsia="en-AU"/>
              </w:rPr>
            </w:pPr>
            <w:r w:rsidRPr="00672110">
              <w:rPr>
                <w:rFonts w:eastAsia="Times New Roman" w:cs="Open Sans Light"/>
                <w:color w:val="000000"/>
                <w:sz w:val="16"/>
                <w:szCs w:val="16"/>
                <w:lang w:eastAsia="en-AU"/>
              </w:rPr>
              <w:t>2.Non-Indigenous</w:t>
            </w:r>
          </w:p>
        </w:tc>
        <w:tc>
          <w:tcPr>
            <w:tcW w:w="581" w:type="dxa"/>
            <w:tcBorders>
              <w:top w:val="single" w:sz="4" w:space="0" w:color="ADD6EA"/>
              <w:left w:val="nil"/>
              <w:bottom w:val="nil"/>
              <w:right w:val="nil"/>
            </w:tcBorders>
            <w:shd w:val="clear" w:color="000000" w:fill="FFFFFF"/>
            <w:vAlign w:val="bottom"/>
            <w:hideMark/>
          </w:tcPr>
          <w:p w14:paraId="3DEDBF74"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2.6</w:t>
            </w:r>
          </w:p>
        </w:tc>
        <w:tc>
          <w:tcPr>
            <w:tcW w:w="0" w:type="auto"/>
            <w:tcBorders>
              <w:top w:val="single" w:sz="4" w:space="0" w:color="ADD6EA"/>
              <w:left w:val="nil"/>
              <w:bottom w:val="nil"/>
              <w:right w:val="nil"/>
            </w:tcBorders>
            <w:shd w:val="clear" w:color="000000" w:fill="FFFFFF"/>
            <w:vAlign w:val="bottom"/>
            <w:hideMark/>
          </w:tcPr>
          <w:p w14:paraId="64D696F6"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2.5</w:t>
            </w:r>
          </w:p>
        </w:tc>
        <w:tc>
          <w:tcPr>
            <w:tcW w:w="0" w:type="auto"/>
            <w:tcBorders>
              <w:top w:val="single" w:sz="4" w:space="0" w:color="ADD6EA"/>
              <w:left w:val="nil"/>
              <w:bottom w:val="nil"/>
              <w:right w:val="nil"/>
            </w:tcBorders>
            <w:shd w:val="clear" w:color="000000" w:fill="FFFFFF"/>
            <w:vAlign w:val="bottom"/>
            <w:hideMark/>
          </w:tcPr>
          <w:p w14:paraId="176A42B2"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2.6</w:t>
            </w:r>
          </w:p>
        </w:tc>
        <w:tc>
          <w:tcPr>
            <w:tcW w:w="0" w:type="auto"/>
            <w:tcBorders>
              <w:top w:val="single" w:sz="4" w:space="0" w:color="ADD6EA"/>
              <w:left w:val="nil"/>
              <w:bottom w:val="nil"/>
              <w:right w:val="nil"/>
            </w:tcBorders>
            <w:shd w:val="clear" w:color="000000" w:fill="FFFFFF"/>
            <w:vAlign w:val="bottom"/>
            <w:hideMark/>
          </w:tcPr>
          <w:p w14:paraId="628D6CA5"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2.5</w:t>
            </w:r>
          </w:p>
        </w:tc>
        <w:tc>
          <w:tcPr>
            <w:tcW w:w="0" w:type="auto"/>
            <w:tcBorders>
              <w:top w:val="single" w:sz="4" w:space="0" w:color="ADD6EA"/>
              <w:left w:val="nil"/>
              <w:bottom w:val="nil"/>
              <w:right w:val="nil"/>
            </w:tcBorders>
            <w:shd w:val="clear" w:color="000000" w:fill="FFFFFF"/>
            <w:vAlign w:val="bottom"/>
            <w:hideMark/>
          </w:tcPr>
          <w:p w14:paraId="668DE8CE"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2.4</w:t>
            </w:r>
          </w:p>
        </w:tc>
        <w:tc>
          <w:tcPr>
            <w:tcW w:w="0" w:type="auto"/>
            <w:tcBorders>
              <w:top w:val="single" w:sz="4" w:space="0" w:color="ADD6EA"/>
              <w:left w:val="nil"/>
              <w:bottom w:val="nil"/>
              <w:right w:val="nil"/>
            </w:tcBorders>
            <w:shd w:val="clear" w:color="000000" w:fill="FFFFFF"/>
            <w:vAlign w:val="bottom"/>
            <w:hideMark/>
          </w:tcPr>
          <w:p w14:paraId="6D291221"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2.5</w:t>
            </w:r>
          </w:p>
        </w:tc>
        <w:tc>
          <w:tcPr>
            <w:tcW w:w="0" w:type="auto"/>
            <w:tcBorders>
              <w:top w:val="single" w:sz="4" w:space="0" w:color="ADD6EA"/>
              <w:left w:val="nil"/>
              <w:bottom w:val="nil"/>
              <w:right w:val="nil"/>
            </w:tcBorders>
            <w:shd w:val="clear" w:color="000000" w:fill="FFFFFF"/>
            <w:vAlign w:val="bottom"/>
            <w:hideMark/>
          </w:tcPr>
          <w:p w14:paraId="5BA98063"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0.0</w:t>
            </w:r>
          </w:p>
        </w:tc>
        <w:tc>
          <w:tcPr>
            <w:tcW w:w="0" w:type="auto"/>
            <w:tcBorders>
              <w:top w:val="single" w:sz="4" w:space="0" w:color="ADD6EA"/>
              <w:left w:val="nil"/>
              <w:bottom w:val="nil"/>
              <w:right w:val="nil"/>
            </w:tcBorders>
            <w:shd w:val="clear" w:color="000000" w:fill="FFFFFF"/>
            <w:vAlign w:val="bottom"/>
            <w:hideMark/>
          </w:tcPr>
          <w:p w14:paraId="10AF2E4F"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2.8</w:t>
            </w:r>
          </w:p>
        </w:tc>
        <w:tc>
          <w:tcPr>
            <w:tcW w:w="0" w:type="auto"/>
            <w:tcBorders>
              <w:top w:val="single" w:sz="4" w:space="0" w:color="ADD6EA"/>
              <w:left w:val="nil"/>
              <w:bottom w:val="nil"/>
              <w:right w:val="nil"/>
            </w:tcBorders>
            <w:shd w:val="clear" w:color="000000" w:fill="FFFFFF"/>
            <w:vAlign w:val="bottom"/>
            <w:hideMark/>
          </w:tcPr>
          <w:p w14:paraId="2B904619"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2.6</w:t>
            </w:r>
          </w:p>
        </w:tc>
      </w:tr>
      <w:tr w:rsidR="00672110" w:rsidRPr="00672110" w14:paraId="567788A6" w14:textId="77777777" w:rsidTr="00437294">
        <w:trPr>
          <w:trHeight w:val="319"/>
        </w:trPr>
        <w:tc>
          <w:tcPr>
            <w:tcW w:w="2127" w:type="dxa"/>
            <w:tcBorders>
              <w:top w:val="single" w:sz="4" w:space="0" w:color="ADD6EA"/>
              <w:left w:val="nil"/>
              <w:bottom w:val="nil"/>
              <w:right w:val="nil"/>
            </w:tcBorders>
            <w:shd w:val="clear" w:color="000000" w:fill="FFFFFF"/>
            <w:vAlign w:val="bottom"/>
            <w:hideMark/>
          </w:tcPr>
          <w:p w14:paraId="53C5D691" w14:textId="77777777" w:rsidR="00672110" w:rsidRPr="00672110" w:rsidRDefault="00672110" w:rsidP="00672110">
            <w:pPr>
              <w:tabs>
                <w:tab w:val="clear" w:pos="567"/>
              </w:tabs>
              <w:spacing w:before="0" w:line="240" w:lineRule="auto"/>
              <w:rPr>
                <w:rFonts w:eastAsia="Times New Roman" w:cs="Open Sans Light"/>
                <w:color w:val="000000"/>
                <w:sz w:val="16"/>
                <w:szCs w:val="16"/>
                <w:lang w:eastAsia="en-AU"/>
              </w:rPr>
            </w:pPr>
            <w:r w:rsidRPr="00672110">
              <w:rPr>
                <w:rFonts w:eastAsia="Times New Roman" w:cs="Open Sans Light"/>
                <w:color w:val="000000"/>
                <w:sz w:val="16"/>
                <w:szCs w:val="16"/>
                <w:lang w:eastAsia="en-AU"/>
              </w:rPr>
              <w:t>4.Remote Australia</w:t>
            </w:r>
          </w:p>
        </w:tc>
        <w:tc>
          <w:tcPr>
            <w:tcW w:w="1417" w:type="dxa"/>
            <w:tcBorders>
              <w:top w:val="single" w:sz="4" w:space="0" w:color="ADD6EA"/>
              <w:left w:val="nil"/>
              <w:bottom w:val="nil"/>
              <w:right w:val="nil"/>
            </w:tcBorders>
            <w:shd w:val="clear" w:color="000000" w:fill="FFFFFF"/>
            <w:vAlign w:val="bottom"/>
            <w:hideMark/>
          </w:tcPr>
          <w:p w14:paraId="67C5647F" w14:textId="77777777" w:rsidR="00672110" w:rsidRPr="00672110" w:rsidRDefault="00672110" w:rsidP="009F4FD3">
            <w:pPr>
              <w:tabs>
                <w:tab w:val="clear" w:pos="567"/>
              </w:tabs>
              <w:spacing w:before="0" w:line="240" w:lineRule="auto"/>
              <w:rPr>
                <w:rFonts w:eastAsia="Times New Roman" w:cs="Open Sans Light"/>
                <w:color w:val="000000"/>
                <w:sz w:val="16"/>
                <w:szCs w:val="16"/>
                <w:lang w:eastAsia="en-AU"/>
              </w:rPr>
            </w:pPr>
            <w:r w:rsidRPr="00672110">
              <w:rPr>
                <w:rFonts w:eastAsia="Times New Roman" w:cs="Open Sans Light"/>
                <w:color w:val="000000"/>
                <w:sz w:val="16"/>
                <w:szCs w:val="16"/>
                <w:lang w:eastAsia="en-AU"/>
              </w:rPr>
              <w:t>1. Low-income</w:t>
            </w:r>
          </w:p>
        </w:tc>
        <w:tc>
          <w:tcPr>
            <w:tcW w:w="1029" w:type="dxa"/>
            <w:tcBorders>
              <w:top w:val="single" w:sz="4" w:space="0" w:color="ADD6EA"/>
              <w:left w:val="nil"/>
              <w:bottom w:val="nil"/>
              <w:right w:val="nil"/>
            </w:tcBorders>
            <w:shd w:val="clear" w:color="000000" w:fill="FFFFFF"/>
            <w:vAlign w:val="bottom"/>
            <w:hideMark/>
          </w:tcPr>
          <w:p w14:paraId="1AAD4497" w14:textId="58D1FA11" w:rsidR="00672110" w:rsidRPr="00672110" w:rsidRDefault="00B5716E" w:rsidP="00D0167D">
            <w:pPr>
              <w:tabs>
                <w:tab w:val="clear" w:pos="567"/>
              </w:tabs>
              <w:spacing w:before="0" w:line="240" w:lineRule="auto"/>
              <w:rPr>
                <w:rFonts w:eastAsia="Times New Roman" w:cs="Open Sans Light"/>
                <w:color w:val="000000"/>
                <w:sz w:val="16"/>
                <w:szCs w:val="16"/>
                <w:lang w:eastAsia="en-AU"/>
              </w:rPr>
            </w:pPr>
            <w:r w:rsidRPr="00B5716E">
              <w:rPr>
                <w:rFonts w:eastAsia="Times New Roman" w:cs="Open Sans Light"/>
                <w:color w:val="000000"/>
                <w:sz w:val="16"/>
                <w:szCs w:val="16"/>
                <w:lang w:eastAsia="en-AU"/>
              </w:rPr>
              <w:t>1.First Nations</w:t>
            </w:r>
          </w:p>
        </w:tc>
        <w:tc>
          <w:tcPr>
            <w:tcW w:w="581" w:type="dxa"/>
            <w:tcBorders>
              <w:top w:val="single" w:sz="4" w:space="0" w:color="ADD6EA"/>
              <w:left w:val="nil"/>
              <w:bottom w:val="nil"/>
              <w:right w:val="nil"/>
            </w:tcBorders>
            <w:shd w:val="clear" w:color="000000" w:fill="FFFFFF"/>
            <w:vAlign w:val="bottom"/>
            <w:hideMark/>
          </w:tcPr>
          <w:p w14:paraId="042D1047"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2.5</w:t>
            </w:r>
          </w:p>
        </w:tc>
        <w:tc>
          <w:tcPr>
            <w:tcW w:w="0" w:type="auto"/>
            <w:tcBorders>
              <w:top w:val="single" w:sz="4" w:space="0" w:color="ADD6EA"/>
              <w:left w:val="nil"/>
              <w:bottom w:val="nil"/>
              <w:right w:val="nil"/>
            </w:tcBorders>
            <w:shd w:val="clear" w:color="000000" w:fill="FFFFFF"/>
            <w:vAlign w:val="bottom"/>
            <w:hideMark/>
          </w:tcPr>
          <w:p w14:paraId="4FD628D7"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3.7</w:t>
            </w:r>
          </w:p>
        </w:tc>
        <w:tc>
          <w:tcPr>
            <w:tcW w:w="0" w:type="auto"/>
            <w:tcBorders>
              <w:top w:val="single" w:sz="4" w:space="0" w:color="ADD6EA"/>
              <w:left w:val="nil"/>
              <w:bottom w:val="nil"/>
              <w:right w:val="nil"/>
            </w:tcBorders>
            <w:shd w:val="clear" w:color="000000" w:fill="FFFFFF"/>
            <w:vAlign w:val="bottom"/>
            <w:hideMark/>
          </w:tcPr>
          <w:p w14:paraId="65E9B105"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3.2</w:t>
            </w:r>
          </w:p>
        </w:tc>
        <w:tc>
          <w:tcPr>
            <w:tcW w:w="0" w:type="auto"/>
            <w:tcBorders>
              <w:top w:val="single" w:sz="4" w:space="0" w:color="ADD6EA"/>
              <w:left w:val="nil"/>
              <w:bottom w:val="nil"/>
              <w:right w:val="nil"/>
            </w:tcBorders>
            <w:shd w:val="clear" w:color="000000" w:fill="FFFFFF"/>
            <w:vAlign w:val="bottom"/>
            <w:hideMark/>
          </w:tcPr>
          <w:p w14:paraId="513902C1"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2.8</w:t>
            </w:r>
          </w:p>
        </w:tc>
        <w:tc>
          <w:tcPr>
            <w:tcW w:w="0" w:type="auto"/>
            <w:tcBorders>
              <w:top w:val="single" w:sz="4" w:space="0" w:color="ADD6EA"/>
              <w:left w:val="nil"/>
              <w:bottom w:val="nil"/>
              <w:right w:val="nil"/>
            </w:tcBorders>
            <w:shd w:val="clear" w:color="000000" w:fill="FFFFFF"/>
            <w:vAlign w:val="bottom"/>
            <w:hideMark/>
          </w:tcPr>
          <w:p w14:paraId="132B7C35"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2.3</w:t>
            </w:r>
          </w:p>
        </w:tc>
        <w:tc>
          <w:tcPr>
            <w:tcW w:w="0" w:type="auto"/>
            <w:tcBorders>
              <w:top w:val="single" w:sz="4" w:space="0" w:color="ADD6EA"/>
              <w:left w:val="nil"/>
              <w:bottom w:val="nil"/>
              <w:right w:val="nil"/>
            </w:tcBorders>
            <w:shd w:val="clear" w:color="000000" w:fill="FFFFFF"/>
            <w:vAlign w:val="bottom"/>
            <w:hideMark/>
          </w:tcPr>
          <w:p w14:paraId="0648CBC8"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1.6</w:t>
            </w:r>
          </w:p>
        </w:tc>
        <w:tc>
          <w:tcPr>
            <w:tcW w:w="0" w:type="auto"/>
            <w:tcBorders>
              <w:top w:val="single" w:sz="4" w:space="0" w:color="ADD6EA"/>
              <w:left w:val="nil"/>
              <w:bottom w:val="nil"/>
              <w:right w:val="nil"/>
            </w:tcBorders>
            <w:shd w:val="clear" w:color="000000" w:fill="FFFFFF"/>
            <w:vAlign w:val="bottom"/>
            <w:hideMark/>
          </w:tcPr>
          <w:p w14:paraId="31BE78EC"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0.0</w:t>
            </w:r>
          </w:p>
        </w:tc>
        <w:tc>
          <w:tcPr>
            <w:tcW w:w="0" w:type="auto"/>
            <w:tcBorders>
              <w:top w:val="single" w:sz="4" w:space="0" w:color="ADD6EA"/>
              <w:left w:val="nil"/>
              <w:bottom w:val="nil"/>
              <w:right w:val="nil"/>
            </w:tcBorders>
            <w:shd w:val="clear" w:color="000000" w:fill="FFFFFF"/>
            <w:vAlign w:val="bottom"/>
            <w:hideMark/>
          </w:tcPr>
          <w:p w14:paraId="7331B13A"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4.1</w:t>
            </w:r>
          </w:p>
        </w:tc>
        <w:tc>
          <w:tcPr>
            <w:tcW w:w="0" w:type="auto"/>
            <w:tcBorders>
              <w:top w:val="single" w:sz="4" w:space="0" w:color="ADD6EA"/>
              <w:left w:val="nil"/>
              <w:bottom w:val="nil"/>
              <w:right w:val="nil"/>
            </w:tcBorders>
            <w:shd w:val="clear" w:color="000000" w:fill="FFFFFF"/>
            <w:vAlign w:val="bottom"/>
            <w:hideMark/>
          </w:tcPr>
          <w:p w14:paraId="5468E073"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3.3</w:t>
            </w:r>
          </w:p>
        </w:tc>
      </w:tr>
      <w:tr w:rsidR="00672110" w:rsidRPr="00672110" w14:paraId="3D344C29" w14:textId="77777777" w:rsidTr="00437294">
        <w:trPr>
          <w:trHeight w:val="319"/>
        </w:trPr>
        <w:tc>
          <w:tcPr>
            <w:tcW w:w="2127" w:type="dxa"/>
            <w:tcBorders>
              <w:top w:val="single" w:sz="4" w:space="0" w:color="ADD6EA"/>
              <w:left w:val="nil"/>
              <w:bottom w:val="nil"/>
              <w:right w:val="nil"/>
            </w:tcBorders>
            <w:shd w:val="clear" w:color="000000" w:fill="FFFFFF"/>
            <w:vAlign w:val="bottom"/>
            <w:hideMark/>
          </w:tcPr>
          <w:p w14:paraId="42C21F39" w14:textId="77777777" w:rsidR="00672110" w:rsidRPr="00672110" w:rsidRDefault="00672110" w:rsidP="00672110">
            <w:pPr>
              <w:tabs>
                <w:tab w:val="clear" w:pos="567"/>
              </w:tabs>
              <w:spacing w:before="0" w:line="240" w:lineRule="auto"/>
              <w:rPr>
                <w:rFonts w:eastAsia="Times New Roman" w:cs="Open Sans Light"/>
                <w:color w:val="000000"/>
                <w:sz w:val="16"/>
                <w:szCs w:val="16"/>
                <w:lang w:eastAsia="en-AU"/>
              </w:rPr>
            </w:pPr>
            <w:r w:rsidRPr="00672110">
              <w:rPr>
                <w:rFonts w:eastAsia="Times New Roman" w:cs="Open Sans Light"/>
                <w:color w:val="000000"/>
                <w:sz w:val="16"/>
                <w:szCs w:val="16"/>
                <w:lang w:eastAsia="en-AU"/>
              </w:rPr>
              <w:t>4.Remote Australia</w:t>
            </w:r>
          </w:p>
        </w:tc>
        <w:tc>
          <w:tcPr>
            <w:tcW w:w="1417" w:type="dxa"/>
            <w:tcBorders>
              <w:top w:val="single" w:sz="4" w:space="0" w:color="ADD6EA"/>
              <w:left w:val="nil"/>
              <w:bottom w:val="nil"/>
              <w:right w:val="nil"/>
            </w:tcBorders>
            <w:shd w:val="clear" w:color="000000" w:fill="FFFFFF"/>
            <w:vAlign w:val="bottom"/>
            <w:hideMark/>
          </w:tcPr>
          <w:p w14:paraId="2C349C29" w14:textId="77777777" w:rsidR="00672110" w:rsidRPr="00672110" w:rsidRDefault="00672110" w:rsidP="009F4FD3">
            <w:pPr>
              <w:tabs>
                <w:tab w:val="clear" w:pos="567"/>
              </w:tabs>
              <w:spacing w:before="0" w:line="240" w:lineRule="auto"/>
              <w:rPr>
                <w:rFonts w:eastAsia="Times New Roman" w:cs="Open Sans Light"/>
                <w:color w:val="000000"/>
                <w:sz w:val="16"/>
                <w:szCs w:val="16"/>
                <w:lang w:eastAsia="en-AU"/>
              </w:rPr>
            </w:pPr>
            <w:r w:rsidRPr="00672110">
              <w:rPr>
                <w:rFonts w:eastAsia="Times New Roman" w:cs="Open Sans Light"/>
                <w:color w:val="000000"/>
                <w:sz w:val="16"/>
                <w:szCs w:val="16"/>
                <w:lang w:eastAsia="en-AU"/>
              </w:rPr>
              <w:t>1. Low-income</w:t>
            </w:r>
          </w:p>
        </w:tc>
        <w:tc>
          <w:tcPr>
            <w:tcW w:w="1029" w:type="dxa"/>
            <w:tcBorders>
              <w:top w:val="single" w:sz="4" w:space="0" w:color="ADD6EA"/>
              <w:left w:val="nil"/>
              <w:bottom w:val="nil"/>
              <w:right w:val="nil"/>
            </w:tcBorders>
            <w:shd w:val="clear" w:color="000000" w:fill="FFFFFF"/>
            <w:vAlign w:val="bottom"/>
            <w:hideMark/>
          </w:tcPr>
          <w:p w14:paraId="79578B30" w14:textId="77777777" w:rsidR="00672110" w:rsidRPr="00672110" w:rsidRDefault="00672110" w:rsidP="00D0167D">
            <w:pPr>
              <w:tabs>
                <w:tab w:val="clear" w:pos="567"/>
              </w:tabs>
              <w:spacing w:before="0" w:line="240" w:lineRule="auto"/>
              <w:rPr>
                <w:rFonts w:eastAsia="Times New Roman" w:cs="Open Sans Light"/>
                <w:color w:val="000000"/>
                <w:sz w:val="16"/>
                <w:szCs w:val="16"/>
                <w:lang w:eastAsia="en-AU"/>
              </w:rPr>
            </w:pPr>
            <w:r w:rsidRPr="00672110">
              <w:rPr>
                <w:rFonts w:eastAsia="Times New Roman" w:cs="Open Sans Light"/>
                <w:color w:val="000000"/>
                <w:sz w:val="16"/>
                <w:szCs w:val="16"/>
                <w:lang w:eastAsia="en-AU"/>
              </w:rPr>
              <w:t>2.Non-Indigenous</w:t>
            </w:r>
          </w:p>
        </w:tc>
        <w:tc>
          <w:tcPr>
            <w:tcW w:w="581" w:type="dxa"/>
            <w:tcBorders>
              <w:top w:val="single" w:sz="4" w:space="0" w:color="ADD6EA"/>
              <w:left w:val="nil"/>
              <w:bottom w:val="nil"/>
              <w:right w:val="nil"/>
            </w:tcBorders>
            <w:shd w:val="clear" w:color="000000" w:fill="FFFFFF"/>
            <w:vAlign w:val="bottom"/>
            <w:hideMark/>
          </w:tcPr>
          <w:p w14:paraId="2E83966B"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2.0</w:t>
            </w:r>
          </w:p>
        </w:tc>
        <w:tc>
          <w:tcPr>
            <w:tcW w:w="0" w:type="auto"/>
            <w:tcBorders>
              <w:top w:val="single" w:sz="4" w:space="0" w:color="ADD6EA"/>
              <w:left w:val="nil"/>
              <w:bottom w:val="nil"/>
              <w:right w:val="nil"/>
            </w:tcBorders>
            <w:shd w:val="clear" w:color="000000" w:fill="FFFFFF"/>
            <w:vAlign w:val="bottom"/>
            <w:hideMark/>
          </w:tcPr>
          <w:p w14:paraId="092E4298"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1.9</w:t>
            </w:r>
          </w:p>
        </w:tc>
        <w:tc>
          <w:tcPr>
            <w:tcW w:w="0" w:type="auto"/>
            <w:tcBorders>
              <w:top w:val="single" w:sz="4" w:space="0" w:color="ADD6EA"/>
              <w:left w:val="nil"/>
              <w:bottom w:val="nil"/>
              <w:right w:val="nil"/>
            </w:tcBorders>
            <w:shd w:val="clear" w:color="000000" w:fill="FFFFFF"/>
            <w:vAlign w:val="bottom"/>
            <w:hideMark/>
          </w:tcPr>
          <w:p w14:paraId="4EBD6BC7"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2.0</w:t>
            </w:r>
          </w:p>
        </w:tc>
        <w:tc>
          <w:tcPr>
            <w:tcW w:w="0" w:type="auto"/>
            <w:tcBorders>
              <w:top w:val="single" w:sz="4" w:space="0" w:color="ADD6EA"/>
              <w:left w:val="nil"/>
              <w:bottom w:val="nil"/>
              <w:right w:val="nil"/>
            </w:tcBorders>
            <w:shd w:val="clear" w:color="000000" w:fill="FFFFFF"/>
            <w:vAlign w:val="bottom"/>
            <w:hideMark/>
          </w:tcPr>
          <w:p w14:paraId="53DC91BA"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2.0</w:t>
            </w:r>
          </w:p>
        </w:tc>
        <w:tc>
          <w:tcPr>
            <w:tcW w:w="0" w:type="auto"/>
            <w:tcBorders>
              <w:top w:val="single" w:sz="4" w:space="0" w:color="ADD6EA"/>
              <w:left w:val="nil"/>
              <w:bottom w:val="nil"/>
              <w:right w:val="nil"/>
            </w:tcBorders>
            <w:shd w:val="clear" w:color="000000" w:fill="FFFFFF"/>
            <w:vAlign w:val="bottom"/>
            <w:hideMark/>
          </w:tcPr>
          <w:p w14:paraId="4FCF5DA4"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1.9</w:t>
            </w:r>
          </w:p>
        </w:tc>
        <w:tc>
          <w:tcPr>
            <w:tcW w:w="0" w:type="auto"/>
            <w:tcBorders>
              <w:top w:val="single" w:sz="4" w:space="0" w:color="ADD6EA"/>
              <w:left w:val="nil"/>
              <w:bottom w:val="nil"/>
              <w:right w:val="nil"/>
            </w:tcBorders>
            <w:shd w:val="clear" w:color="000000" w:fill="FFFFFF"/>
            <w:vAlign w:val="bottom"/>
            <w:hideMark/>
          </w:tcPr>
          <w:p w14:paraId="61484AF2"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1.8</w:t>
            </w:r>
          </w:p>
        </w:tc>
        <w:tc>
          <w:tcPr>
            <w:tcW w:w="0" w:type="auto"/>
            <w:tcBorders>
              <w:top w:val="single" w:sz="4" w:space="0" w:color="ADD6EA"/>
              <w:left w:val="nil"/>
              <w:bottom w:val="nil"/>
              <w:right w:val="nil"/>
            </w:tcBorders>
            <w:shd w:val="clear" w:color="000000" w:fill="FFFFFF"/>
            <w:vAlign w:val="bottom"/>
            <w:hideMark/>
          </w:tcPr>
          <w:p w14:paraId="2D70151C"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0.0</w:t>
            </w:r>
          </w:p>
        </w:tc>
        <w:tc>
          <w:tcPr>
            <w:tcW w:w="0" w:type="auto"/>
            <w:tcBorders>
              <w:top w:val="single" w:sz="4" w:space="0" w:color="ADD6EA"/>
              <w:left w:val="nil"/>
              <w:bottom w:val="nil"/>
              <w:right w:val="nil"/>
            </w:tcBorders>
            <w:shd w:val="clear" w:color="000000" w:fill="FFFFFF"/>
            <w:vAlign w:val="bottom"/>
            <w:hideMark/>
          </w:tcPr>
          <w:p w14:paraId="3FE69BED"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2.1</w:t>
            </w:r>
          </w:p>
        </w:tc>
        <w:tc>
          <w:tcPr>
            <w:tcW w:w="0" w:type="auto"/>
            <w:tcBorders>
              <w:top w:val="single" w:sz="4" w:space="0" w:color="ADD6EA"/>
              <w:left w:val="nil"/>
              <w:bottom w:val="nil"/>
              <w:right w:val="nil"/>
            </w:tcBorders>
            <w:shd w:val="clear" w:color="000000" w:fill="FFFFFF"/>
            <w:vAlign w:val="bottom"/>
            <w:hideMark/>
          </w:tcPr>
          <w:p w14:paraId="0CF8BB40"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1.9</w:t>
            </w:r>
          </w:p>
        </w:tc>
      </w:tr>
      <w:tr w:rsidR="00672110" w:rsidRPr="00672110" w14:paraId="0E2B5FBB" w14:textId="77777777" w:rsidTr="00437294">
        <w:trPr>
          <w:trHeight w:val="319"/>
        </w:trPr>
        <w:tc>
          <w:tcPr>
            <w:tcW w:w="2127" w:type="dxa"/>
            <w:tcBorders>
              <w:top w:val="single" w:sz="4" w:space="0" w:color="ADD6EA"/>
              <w:left w:val="nil"/>
              <w:bottom w:val="nil"/>
              <w:right w:val="nil"/>
            </w:tcBorders>
            <w:shd w:val="clear" w:color="000000" w:fill="FFFFFF"/>
            <w:vAlign w:val="bottom"/>
            <w:hideMark/>
          </w:tcPr>
          <w:p w14:paraId="1A5A866E" w14:textId="77777777" w:rsidR="00672110" w:rsidRPr="00672110" w:rsidRDefault="00672110" w:rsidP="00672110">
            <w:pPr>
              <w:tabs>
                <w:tab w:val="clear" w:pos="567"/>
              </w:tabs>
              <w:spacing w:before="0" w:line="240" w:lineRule="auto"/>
              <w:rPr>
                <w:rFonts w:eastAsia="Times New Roman" w:cs="Open Sans Light"/>
                <w:color w:val="000000"/>
                <w:sz w:val="16"/>
                <w:szCs w:val="16"/>
                <w:lang w:eastAsia="en-AU"/>
              </w:rPr>
            </w:pPr>
            <w:r w:rsidRPr="00672110">
              <w:rPr>
                <w:rFonts w:eastAsia="Times New Roman" w:cs="Open Sans Light"/>
                <w:color w:val="000000"/>
                <w:sz w:val="16"/>
                <w:szCs w:val="16"/>
                <w:lang w:eastAsia="en-AU"/>
              </w:rPr>
              <w:t>4.Remote Australia</w:t>
            </w:r>
          </w:p>
        </w:tc>
        <w:tc>
          <w:tcPr>
            <w:tcW w:w="1417" w:type="dxa"/>
            <w:tcBorders>
              <w:top w:val="single" w:sz="4" w:space="0" w:color="ADD6EA"/>
              <w:left w:val="nil"/>
              <w:bottom w:val="nil"/>
              <w:right w:val="nil"/>
            </w:tcBorders>
            <w:shd w:val="clear" w:color="000000" w:fill="FFFFFF"/>
            <w:vAlign w:val="bottom"/>
            <w:hideMark/>
          </w:tcPr>
          <w:p w14:paraId="1DE3F305" w14:textId="77777777" w:rsidR="00672110" w:rsidRPr="00672110" w:rsidRDefault="00672110" w:rsidP="009F4FD3">
            <w:pPr>
              <w:tabs>
                <w:tab w:val="clear" w:pos="567"/>
              </w:tabs>
              <w:spacing w:before="0" w:line="240" w:lineRule="auto"/>
              <w:rPr>
                <w:rFonts w:eastAsia="Times New Roman" w:cs="Open Sans Light"/>
                <w:color w:val="000000"/>
                <w:sz w:val="16"/>
                <w:szCs w:val="16"/>
                <w:lang w:eastAsia="en-AU"/>
              </w:rPr>
            </w:pPr>
            <w:r w:rsidRPr="00672110">
              <w:rPr>
                <w:rFonts w:eastAsia="Times New Roman" w:cs="Open Sans Light"/>
                <w:color w:val="000000"/>
                <w:sz w:val="16"/>
                <w:szCs w:val="16"/>
                <w:lang w:eastAsia="en-AU"/>
              </w:rPr>
              <w:t>2. High-income</w:t>
            </w:r>
          </w:p>
        </w:tc>
        <w:tc>
          <w:tcPr>
            <w:tcW w:w="1029" w:type="dxa"/>
            <w:tcBorders>
              <w:top w:val="single" w:sz="4" w:space="0" w:color="ADD6EA"/>
              <w:left w:val="nil"/>
              <w:bottom w:val="nil"/>
              <w:right w:val="nil"/>
            </w:tcBorders>
            <w:shd w:val="clear" w:color="000000" w:fill="FFFFFF"/>
            <w:vAlign w:val="bottom"/>
            <w:hideMark/>
          </w:tcPr>
          <w:p w14:paraId="4CEEBE1D" w14:textId="0A7338D8" w:rsidR="00672110" w:rsidRPr="00672110" w:rsidRDefault="00B5716E" w:rsidP="00D0167D">
            <w:pPr>
              <w:tabs>
                <w:tab w:val="clear" w:pos="567"/>
              </w:tabs>
              <w:spacing w:before="0" w:line="240" w:lineRule="auto"/>
              <w:rPr>
                <w:rFonts w:eastAsia="Times New Roman" w:cs="Open Sans Light"/>
                <w:color w:val="000000"/>
                <w:sz w:val="16"/>
                <w:szCs w:val="16"/>
                <w:lang w:eastAsia="en-AU"/>
              </w:rPr>
            </w:pPr>
            <w:r w:rsidRPr="00B5716E">
              <w:rPr>
                <w:rFonts w:eastAsia="Times New Roman" w:cs="Open Sans Light"/>
                <w:color w:val="000000"/>
                <w:sz w:val="16"/>
                <w:szCs w:val="16"/>
                <w:lang w:eastAsia="en-AU"/>
              </w:rPr>
              <w:t>1.First Nations</w:t>
            </w:r>
          </w:p>
        </w:tc>
        <w:tc>
          <w:tcPr>
            <w:tcW w:w="581" w:type="dxa"/>
            <w:tcBorders>
              <w:top w:val="single" w:sz="4" w:space="0" w:color="ADD6EA"/>
              <w:left w:val="nil"/>
              <w:bottom w:val="nil"/>
              <w:right w:val="nil"/>
            </w:tcBorders>
            <w:shd w:val="clear" w:color="000000" w:fill="FFFFFF"/>
            <w:vAlign w:val="bottom"/>
            <w:hideMark/>
          </w:tcPr>
          <w:p w14:paraId="7E003A52"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2.2</w:t>
            </w:r>
          </w:p>
        </w:tc>
        <w:tc>
          <w:tcPr>
            <w:tcW w:w="0" w:type="auto"/>
            <w:tcBorders>
              <w:top w:val="single" w:sz="4" w:space="0" w:color="ADD6EA"/>
              <w:left w:val="nil"/>
              <w:bottom w:val="nil"/>
              <w:right w:val="nil"/>
            </w:tcBorders>
            <w:shd w:val="clear" w:color="000000" w:fill="FFFFFF"/>
            <w:vAlign w:val="bottom"/>
            <w:hideMark/>
          </w:tcPr>
          <w:p w14:paraId="69CA492F"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2.0</w:t>
            </w:r>
          </w:p>
        </w:tc>
        <w:tc>
          <w:tcPr>
            <w:tcW w:w="0" w:type="auto"/>
            <w:tcBorders>
              <w:top w:val="single" w:sz="4" w:space="0" w:color="ADD6EA"/>
              <w:left w:val="nil"/>
              <w:bottom w:val="nil"/>
              <w:right w:val="nil"/>
            </w:tcBorders>
            <w:shd w:val="clear" w:color="000000" w:fill="FFFFFF"/>
            <w:vAlign w:val="bottom"/>
            <w:hideMark/>
          </w:tcPr>
          <w:p w14:paraId="10667169"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2.3</w:t>
            </w:r>
          </w:p>
        </w:tc>
        <w:tc>
          <w:tcPr>
            <w:tcW w:w="0" w:type="auto"/>
            <w:tcBorders>
              <w:top w:val="single" w:sz="4" w:space="0" w:color="ADD6EA"/>
              <w:left w:val="nil"/>
              <w:bottom w:val="nil"/>
              <w:right w:val="nil"/>
            </w:tcBorders>
            <w:shd w:val="clear" w:color="000000" w:fill="FFFFFF"/>
            <w:vAlign w:val="bottom"/>
            <w:hideMark/>
          </w:tcPr>
          <w:p w14:paraId="45197ABF"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2.4</w:t>
            </w:r>
          </w:p>
        </w:tc>
        <w:tc>
          <w:tcPr>
            <w:tcW w:w="0" w:type="auto"/>
            <w:tcBorders>
              <w:top w:val="single" w:sz="4" w:space="0" w:color="ADD6EA"/>
              <w:left w:val="nil"/>
              <w:bottom w:val="nil"/>
              <w:right w:val="nil"/>
            </w:tcBorders>
            <w:shd w:val="clear" w:color="000000" w:fill="FFFFFF"/>
            <w:vAlign w:val="bottom"/>
            <w:hideMark/>
          </w:tcPr>
          <w:p w14:paraId="7D86D4AA"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2.1</w:t>
            </w:r>
          </w:p>
        </w:tc>
        <w:tc>
          <w:tcPr>
            <w:tcW w:w="0" w:type="auto"/>
            <w:tcBorders>
              <w:top w:val="single" w:sz="4" w:space="0" w:color="ADD6EA"/>
              <w:left w:val="nil"/>
              <w:bottom w:val="nil"/>
              <w:right w:val="nil"/>
            </w:tcBorders>
            <w:shd w:val="clear" w:color="000000" w:fill="FFFFFF"/>
            <w:vAlign w:val="bottom"/>
            <w:hideMark/>
          </w:tcPr>
          <w:p w14:paraId="38997173"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1.9</w:t>
            </w:r>
          </w:p>
        </w:tc>
        <w:tc>
          <w:tcPr>
            <w:tcW w:w="0" w:type="auto"/>
            <w:tcBorders>
              <w:top w:val="single" w:sz="4" w:space="0" w:color="ADD6EA"/>
              <w:left w:val="nil"/>
              <w:bottom w:val="nil"/>
              <w:right w:val="nil"/>
            </w:tcBorders>
            <w:shd w:val="clear" w:color="000000" w:fill="FFFFFF"/>
            <w:vAlign w:val="bottom"/>
            <w:hideMark/>
          </w:tcPr>
          <w:p w14:paraId="71A20DA2"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0.0</w:t>
            </w:r>
          </w:p>
        </w:tc>
        <w:tc>
          <w:tcPr>
            <w:tcW w:w="0" w:type="auto"/>
            <w:tcBorders>
              <w:top w:val="single" w:sz="4" w:space="0" w:color="ADD6EA"/>
              <w:left w:val="nil"/>
              <w:bottom w:val="nil"/>
              <w:right w:val="nil"/>
            </w:tcBorders>
            <w:shd w:val="clear" w:color="000000" w:fill="FFFFFF"/>
            <w:vAlign w:val="bottom"/>
            <w:hideMark/>
          </w:tcPr>
          <w:p w14:paraId="70F1FD47"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2.5</w:t>
            </w:r>
          </w:p>
        </w:tc>
        <w:tc>
          <w:tcPr>
            <w:tcW w:w="0" w:type="auto"/>
            <w:tcBorders>
              <w:top w:val="single" w:sz="4" w:space="0" w:color="ADD6EA"/>
              <w:left w:val="nil"/>
              <w:bottom w:val="nil"/>
              <w:right w:val="nil"/>
            </w:tcBorders>
            <w:shd w:val="clear" w:color="000000" w:fill="FFFFFF"/>
            <w:vAlign w:val="bottom"/>
            <w:hideMark/>
          </w:tcPr>
          <w:p w14:paraId="0E8E8FB2"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2.4</w:t>
            </w:r>
          </w:p>
        </w:tc>
      </w:tr>
      <w:tr w:rsidR="00672110" w:rsidRPr="00672110" w14:paraId="14C323B6" w14:textId="77777777" w:rsidTr="00437294">
        <w:trPr>
          <w:trHeight w:val="319"/>
        </w:trPr>
        <w:tc>
          <w:tcPr>
            <w:tcW w:w="2127" w:type="dxa"/>
            <w:tcBorders>
              <w:top w:val="single" w:sz="4" w:space="0" w:color="ADD6EA"/>
              <w:left w:val="nil"/>
              <w:bottom w:val="nil"/>
              <w:right w:val="nil"/>
            </w:tcBorders>
            <w:shd w:val="clear" w:color="000000" w:fill="FFFFFF"/>
            <w:vAlign w:val="bottom"/>
            <w:hideMark/>
          </w:tcPr>
          <w:p w14:paraId="31044806" w14:textId="77777777" w:rsidR="00672110" w:rsidRPr="00672110" w:rsidRDefault="00672110" w:rsidP="00672110">
            <w:pPr>
              <w:tabs>
                <w:tab w:val="clear" w:pos="567"/>
              </w:tabs>
              <w:spacing w:before="0" w:line="240" w:lineRule="auto"/>
              <w:rPr>
                <w:rFonts w:eastAsia="Times New Roman" w:cs="Open Sans Light"/>
                <w:color w:val="000000"/>
                <w:sz w:val="16"/>
                <w:szCs w:val="16"/>
                <w:lang w:eastAsia="en-AU"/>
              </w:rPr>
            </w:pPr>
            <w:r w:rsidRPr="00672110">
              <w:rPr>
                <w:rFonts w:eastAsia="Times New Roman" w:cs="Open Sans Light"/>
                <w:color w:val="000000"/>
                <w:sz w:val="16"/>
                <w:szCs w:val="16"/>
                <w:lang w:eastAsia="en-AU"/>
              </w:rPr>
              <w:t>4.Remote Australia</w:t>
            </w:r>
          </w:p>
        </w:tc>
        <w:tc>
          <w:tcPr>
            <w:tcW w:w="1417" w:type="dxa"/>
            <w:tcBorders>
              <w:top w:val="single" w:sz="4" w:space="0" w:color="ADD6EA"/>
              <w:left w:val="nil"/>
              <w:bottom w:val="nil"/>
              <w:right w:val="nil"/>
            </w:tcBorders>
            <w:shd w:val="clear" w:color="000000" w:fill="FFFFFF"/>
            <w:vAlign w:val="bottom"/>
            <w:hideMark/>
          </w:tcPr>
          <w:p w14:paraId="0C4BE5C6" w14:textId="77777777" w:rsidR="00672110" w:rsidRPr="00672110" w:rsidRDefault="00672110" w:rsidP="009F4FD3">
            <w:pPr>
              <w:tabs>
                <w:tab w:val="clear" w:pos="567"/>
              </w:tabs>
              <w:spacing w:before="0" w:line="240" w:lineRule="auto"/>
              <w:rPr>
                <w:rFonts w:eastAsia="Times New Roman" w:cs="Open Sans Light"/>
                <w:color w:val="000000"/>
                <w:sz w:val="16"/>
                <w:szCs w:val="16"/>
                <w:lang w:eastAsia="en-AU"/>
              </w:rPr>
            </w:pPr>
            <w:r w:rsidRPr="00672110">
              <w:rPr>
                <w:rFonts w:eastAsia="Times New Roman" w:cs="Open Sans Light"/>
                <w:color w:val="000000"/>
                <w:sz w:val="16"/>
                <w:szCs w:val="16"/>
                <w:lang w:eastAsia="en-AU"/>
              </w:rPr>
              <w:t>2. High-income</w:t>
            </w:r>
          </w:p>
        </w:tc>
        <w:tc>
          <w:tcPr>
            <w:tcW w:w="1029" w:type="dxa"/>
            <w:tcBorders>
              <w:top w:val="single" w:sz="4" w:space="0" w:color="ADD6EA"/>
              <w:left w:val="nil"/>
              <w:bottom w:val="nil"/>
              <w:right w:val="nil"/>
            </w:tcBorders>
            <w:shd w:val="clear" w:color="000000" w:fill="FFFFFF"/>
            <w:vAlign w:val="bottom"/>
            <w:hideMark/>
          </w:tcPr>
          <w:p w14:paraId="56BA9D5E" w14:textId="77777777" w:rsidR="00672110" w:rsidRPr="00672110" w:rsidRDefault="00672110" w:rsidP="00D0167D">
            <w:pPr>
              <w:tabs>
                <w:tab w:val="clear" w:pos="567"/>
              </w:tabs>
              <w:spacing w:before="0" w:line="240" w:lineRule="auto"/>
              <w:rPr>
                <w:rFonts w:eastAsia="Times New Roman" w:cs="Open Sans Light"/>
                <w:color w:val="000000"/>
                <w:sz w:val="16"/>
                <w:szCs w:val="16"/>
                <w:lang w:eastAsia="en-AU"/>
              </w:rPr>
            </w:pPr>
            <w:r w:rsidRPr="00672110">
              <w:rPr>
                <w:rFonts w:eastAsia="Times New Roman" w:cs="Open Sans Light"/>
                <w:color w:val="000000"/>
                <w:sz w:val="16"/>
                <w:szCs w:val="16"/>
                <w:lang w:eastAsia="en-AU"/>
              </w:rPr>
              <w:t>2.Non-Indigenous</w:t>
            </w:r>
          </w:p>
        </w:tc>
        <w:tc>
          <w:tcPr>
            <w:tcW w:w="581" w:type="dxa"/>
            <w:tcBorders>
              <w:top w:val="single" w:sz="4" w:space="0" w:color="ADD6EA"/>
              <w:left w:val="nil"/>
              <w:bottom w:val="nil"/>
              <w:right w:val="nil"/>
            </w:tcBorders>
            <w:shd w:val="clear" w:color="000000" w:fill="FFFFFF"/>
            <w:vAlign w:val="bottom"/>
            <w:hideMark/>
          </w:tcPr>
          <w:p w14:paraId="50340114"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2.6</w:t>
            </w:r>
          </w:p>
        </w:tc>
        <w:tc>
          <w:tcPr>
            <w:tcW w:w="0" w:type="auto"/>
            <w:tcBorders>
              <w:top w:val="single" w:sz="4" w:space="0" w:color="ADD6EA"/>
              <w:left w:val="nil"/>
              <w:bottom w:val="nil"/>
              <w:right w:val="nil"/>
            </w:tcBorders>
            <w:shd w:val="clear" w:color="000000" w:fill="FFFFFF"/>
            <w:vAlign w:val="bottom"/>
            <w:hideMark/>
          </w:tcPr>
          <w:p w14:paraId="761A459D"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2.2</w:t>
            </w:r>
          </w:p>
        </w:tc>
        <w:tc>
          <w:tcPr>
            <w:tcW w:w="0" w:type="auto"/>
            <w:tcBorders>
              <w:top w:val="single" w:sz="4" w:space="0" w:color="ADD6EA"/>
              <w:left w:val="nil"/>
              <w:bottom w:val="nil"/>
              <w:right w:val="nil"/>
            </w:tcBorders>
            <w:shd w:val="clear" w:color="000000" w:fill="FFFFFF"/>
            <w:vAlign w:val="bottom"/>
            <w:hideMark/>
          </w:tcPr>
          <w:p w14:paraId="68ED80B5"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2.6</w:t>
            </w:r>
          </w:p>
        </w:tc>
        <w:tc>
          <w:tcPr>
            <w:tcW w:w="0" w:type="auto"/>
            <w:tcBorders>
              <w:top w:val="single" w:sz="4" w:space="0" w:color="ADD6EA"/>
              <w:left w:val="nil"/>
              <w:bottom w:val="nil"/>
              <w:right w:val="nil"/>
            </w:tcBorders>
            <w:shd w:val="clear" w:color="000000" w:fill="FFFFFF"/>
            <w:vAlign w:val="bottom"/>
            <w:hideMark/>
          </w:tcPr>
          <w:p w14:paraId="7A6F9683"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2.6</w:t>
            </w:r>
          </w:p>
        </w:tc>
        <w:tc>
          <w:tcPr>
            <w:tcW w:w="0" w:type="auto"/>
            <w:tcBorders>
              <w:top w:val="single" w:sz="4" w:space="0" w:color="ADD6EA"/>
              <w:left w:val="nil"/>
              <w:bottom w:val="nil"/>
              <w:right w:val="nil"/>
            </w:tcBorders>
            <w:shd w:val="clear" w:color="000000" w:fill="FFFFFF"/>
            <w:vAlign w:val="bottom"/>
            <w:hideMark/>
          </w:tcPr>
          <w:p w14:paraId="25EE1BF9"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2.4</w:t>
            </w:r>
          </w:p>
        </w:tc>
        <w:tc>
          <w:tcPr>
            <w:tcW w:w="0" w:type="auto"/>
            <w:tcBorders>
              <w:top w:val="single" w:sz="4" w:space="0" w:color="ADD6EA"/>
              <w:left w:val="nil"/>
              <w:bottom w:val="nil"/>
              <w:right w:val="nil"/>
            </w:tcBorders>
            <w:shd w:val="clear" w:color="000000" w:fill="FFFFFF"/>
            <w:vAlign w:val="bottom"/>
            <w:hideMark/>
          </w:tcPr>
          <w:p w14:paraId="3AB3E704"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2.2</w:t>
            </w:r>
          </w:p>
        </w:tc>
        <w:tc>
          <w:tcPr>
            <w:tcW w:w="0" w:type="auto"/>
            <w:tcBorders>
              <w:top w:val="single" w:sz="4" w:space="0" w:color="ADD6EA"/>
              <w:left w:val="nil"/>
              <w:bottom w:val="nil"/>
              <w:right w:val="nil"/>
            </w:tcBorders>
            <w:shd w:val="clear" w:color="000000" w:fill="FFFFFF"/>
            <w:vAlign w:val="bottom"/>
            <w:hideMark/>
          </w:tcPr>
          <w:p w14:paraId="22B249D7"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0.0</w:t>
            </w:r>
          </w:p>
        </w:tc>
        <w:tc>
          <w:tcPr>
            <w:tcW w:w="0" w:type="auto"/>
            <w:tcBorders>
              <w:top w:val="single" w:sz="4" w:space="0" w:color="ADD6EA"/>
              <w:left w:val="nil"/>
              <w:bottom w:val="nil"/>
              <w:right w:val="nil"/>
            </w:tcBorders>
            <w:shd w:val="clear" w:color="000000" w:fill="FFFFFF"/>
            <w:vAlign w:val="bottom"/>
            <w:hideMark/>
          </w:tcPr>
          <w:p w14:paraId="2CC7783A"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2.6</w:t>
            </w:r>
          </w:p>
        </w:tc>
        <w:tc>
          <w:tcPr>
            <w:tcW w:w="0" w:type="auto"/>
            <w:tcBorders>
              <w:top w:val="single" w:sz="4" w:space="0" w:color="ADD6EA"/>
              <w:left w:val="nil"/>
              <w:bottom w:val="nil"/>
              <w:right w:val="nil"/>
            </w:tcBorders>
            <w:shd w:val="clear" w:color="000000" w:fill="FFFFFF"/>
            <w:vAlign w:val="bottom"/>
            <w:hideMark/>
          </w:tcPr>
          <w:p w14:paraId="7B5C089B"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2.6</w:t>
            </w:r>
          </w:p>
        </w:tc>
      </w:tr>
      <w:tr w:rsidR="00672110" w:rsidRPr="00672110" w14:paraId="2A3FB5BB" w14:textId="77777777" w:rsidTr="00437294">
        <w:trPr>
          <w:trHeight w:val="319"/>
        </w:trPr>
        <w:tc>
          <w:tcPr>
            <w:tcW w:w="2127" w:type="dxa"/>
            <w:tcBorders>
              <w:top w:val="single" w:sz="4" w:space="0" w:color="ADD6EA"/>
              <w:left w:val="nil"/>
              <w:bottom w:val="nil"/>
              <w:right w:val="nil"/>
            </w:tcBorders>
            <w:shd w:val="clear" w:color="000000" w:fill="FFFFFF"/>
            <w:vAlign w:val="bottom"/>
            <w:hideMark/>
          </w:tcPr>
          <w:p w14:paraId="1D3DCB45" w14:textId="77777777" w:rsidR="00672110" w:rsidRPr="00672110" w:rsidRDefault="00672110" w:rsidP="00672110">
            <w:pPr>
              <w:tabs>
                <w:tab w:val="clear" w:pos="567"/>
              </w:tabs>
              <w:spacing w:before="0" w:line="240" w:lineRule="auto"/>
              <w:rPr>
                <w:rFonts w:eastAsia="Times New Roman" w:cs="Open Sans Light"/>
                <w:color w:val="000000"/>
                <w:sz w:val="16"/>
                <w:szCs w:val="16"/>
                <w:lang w:eastAsia="en-AU"/>
              </w:rPr>
            </w:pPr>
            <w:r w:rsidRPr="00672110">
              <w:rPr>
                <w:rFonts w:eastAsia="Times New Roman" w:cs="Open Sans Light"/>
                <w:color w:val="000000"/>
                <w:sz w:val="16"/>
                <w:szCs w:val="16"/>
                <w:lang w:eastAsia="en-AU"/>
              </w:rPr>
              <w:t>5.Very remote Australia</w:t>
            </w:r>
          </w:p>
        </w:tc>
        <w:tc>
          <w:tcPr>
            <w:tcW w:w="1417" w:type="dxa"/>
            <w:tcBorders>
              <w:top w:val="single" w:sz="4" w:space="0" w:color="ADD6EA"/>
              <w:left w:val="nil"/>
              <w:bottom w:val="nil"/>
              <w:right w:val="nil"/>
            </w:tcBorders>
            <w:shd w:val="clear" w:color="000000" w:fill="FFFFFF"/>
            <w:vAlign w:val="bottom"/>
            <w:hideMark/>
          </w:tcPr>
          <w:p w14:paraId="66ABDAD9" w14:textId="77777777" w:rsidR="00672110" w:rsidRPr="00672110" w:rsidRDefault="00672110" w:rsidP="009F4FD3">
            <w:pPr>
              <w:tabs>
                <w:tab w:val="clear" w:pos="567"/>
              </w:tabs>
              <w:spacing w:before="0" w:line="240" w:lineRule="auto"/>
              <w:rPr>
                <w:rFonts w:eastAsia="Times New Roman" w:cs="Open Sans Light"/>
                <w:color w:val="000000"/>
                <w:sz w:val="16"/>
                <w:szCs w:val="16"/>
                <w:lang w:eastAsia="en-AU"/>
              </w:rPr>
            </w:pPr>
            <w:r w:rsidRPr="00672110">
              <w:rPr>
                <w:rFonts w:eastAsia="Times New Roman" w:cs="Open Sans Light"/>
                <w:color w:val="000000"/>
                <w:sz w:val="16"/>
                <w:szCs w:val="16"/>
                <w:lang w:eastAsia="en-AU"/>
              </w:rPr>
              <w:t>1. Low-income</w:t>
            </w:r>
          </w:p>
        </w:tc>
        <w:tc>
          <w:tcPr>
            <w:tcW w:w="1029" w:type="dxa"/>
            <w:tcBorders>
              <w:top w:val="single" w:sz="4" w:space="0" w:color="ADD6EA"/>
              <w:left w:val="nil"/>
              <w:bottom w:val="nil"/>
              <w:right w:val="nil"/>
            </w:tcBorders>
            <w:shd w:val="clear" w:color="000000" w:fill="FFFFFF"/>
            <w:vAlign w:val="bottom"/>
            <w:hideMark/>
          </w:tcPr>
          <w:p w14:paraId="69F7AD4B" w14:textId="015861B5" w:rsidR="00672110" w:rsidRPr="00672110" w:rsidRDefault="00B5716E" w:rsidP="00D0167D">
            <w:pPr>
              <w:tabs>
                <w:tab w:val="clear" w:pos="567"/>
              </w:tabs>
              <w:spacing w:before="0" w:line="240" w:lineRule="auto"/>
              <w:rPr>
                <w:rFonts w:eastAsia="Times New Roman" w:cs="Open Sans Light"/>
                <w:color w:val="000000"/>
                <w:sz w:val="16"/>
                <w:szCs w:val="16"/>
                <w:lang w:eastAsia="en-AU"/>
              </w:rPr>
            </w:pPr>
            <w:r w:rsidRPr="00B5716E">
              <w:rPr>
                <w:rFonts w:eastAsia="Times New Roman" w:cs="Open Sans Light"/>
                <w:color w:val="000000"/>
                <w:sz w:val="16"/>
                <w:szCs w:val="16"/>
                <w:lang w:eastAsia="en-AU"/>
              </w:rPr>
              <w:t>1.First Nations</w:t>
            </w:r>
          </w:p>
        </w:tc>
        <w:tc>
          <w:tcPr>
            <w:tcW w:w="581" w:type="dxa"/>
            <w:tcBorders>
              <w:top w:val="single" w:sz="4" w:space="0" w:color="ADD6EA"/>
              <w:left w:val="nil"/>
              <w:bottom w:val="nil"/>
              <w:right w:val="nil"/>
            </w:tcBorders>
            <w:shd w:val="clear" w:color="000000" w:fill="FFFFFF"/>
            <w:vAlign w:val="bottom"/>
            <w:hideMark/>
          </w:tcPr>
          <w:p w14:paraId="5DBFF6C1"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2.7</w:t>
            </w:r>
          </w:p>
        </w:tc>
        <w:tc>
          <w:tcPr>
            <w:tcW w:w="0" w:type="auto"/>
            <w:tcBorders>
              <w:top w:val="single" w:sz="4" w:space="0" w:color="ADD6EA"/>
              <w:left w:val="nil"/>
              <w:bottom w:val="nil"/>
              <w:right w:val="nil"/>
            </w:tcBorders>
            <w:shd w:val="clear" w:color="000000" w:fill="FFFFFF"/>
            <w:vAlign w:val="bottom"/>
            <w:hideMark/>
          </w:tcPr>
          <w:p w14:paraId="286A2228"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0.0</w:t>
            </w:r>
          </w:p>
        </w:tc>
        <w:tc>
          <w:tcPr>
            <w:tcW w:w="0" w:type="auto"/>
            <w:tcBorders>
              <w:top w:val="single" w:sz="4" w:space="0" w:color="ADD6EA"/>
              <w:left w:val="nil"/>
              <w:bottom w:val="nil"/>
              <w:right w:val="nil"/>
            </w:tcBorders>
            <w:shd w:val="clear" w:color="000000" w:fill="FFFFFF"/>
            <w:vAlign w:val="bottom"/>
            <w:hideMark/>
          </w:tcPr>
          <w:p w14:paraId="0AAD1C6B"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3.7</w:t>
            </w:r>
          </w:p>
        </w:tc>
        <w:tc>
          <w:tcPr>
            <w:tcW w:w="0" w:type="auto"/>
            <w:tcBorders>
              <w:top w:val="single" w:sz="4" w:space="0" w:color="ADD6EA"/>
              <w:left w:val="nil"/>
              <w:bottom w:val="nil"/>
              <w:right w:val="nil"/>
            </w:tcBorders>
            <w:shd w:val="clear" w:color="000000" w:fill="FFFFFF"/>
            <w:vAlign w:val="bottom"/>
            <w:hideMark/>
          </w:tcPr>
          <w:p w14:paraId="2E27FE14"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3.9</w:t>
            </w:r>
          </w:p>
        </w:tc>
        <w:tc>
          <w:tcPr>
            <w:tcW w:w="0" w:type="auto"/>
            <w:tcBorders>
              <w:top w:val="single" w:sz="4" w:space="0" w:color="ADD6EA"/>
              <w:left w:val="nil"/>
              <w:bottom w:val="nil"/>
              <w:right w:val="nil"/>
            </w:tcBorders>
            <w:shd w:val="clear" w:color="000000" w:fill="FFFFFF"/>
            <w:vAlign w:val="bottom"/>
            <w:hideMark/>
          </w:tcPr>
          <w:p w14:paraId="4F4B0A80"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4.1</w:t>
            </w:r>
          </w:p>
        </w:tc>
        <w:tc>
          <w:tcPr>
            <w:tcW w:w="0" w:type="auto"/>
            <w:tcBorders>
              <w:top w:val="single" w:sz="4" w:space="0" w:color="ADD6EA"/>
              <w:left w:val="nil"/>
              <w:bottom w:val="nil"/>
              <w:right w:val="nil"/>
            </w:tcBorders>
            <w:shd w:val="clear" w:color="000000" w:fill="FFFFFF"/>
            <w:vAlign w:val="bottom"/>
            <w:hideMark/>
          </w:tcPr>
          <w:p w14:paraId="0CDEA40C"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2.5</w:t>
            </w:r>
          </w:p>
        </w:tc>
        <w:tc>
          <w:tcPr>
            <w:tcW w:w="0" w:type="auto"/>
            <w:tcBorders>
              <w:top w:val="single" w:sz="4" w:space="0" w:color="ADD6EA"/>
              <w:left w:val="nil"/>
              <w:bottom w:val="nil"/>
              <w:right w:val="nil"/>
            </w:tcBorders>
            <w:shd w:val="clear" w:color="000000" w:fill="FFFFFF"/>
            <w:vAlign w:val="bottom"/>
            <w:hideMark/>
          </w:tcPr>
          <w:p w14:paraId="54482824"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0.0</w:t>
            </w:r>
          </w:p>
        </w:tc>
        <w:tc>
          <w:tcPr>
            <w:tcW w:w="0" w:type="auto"/>
            <w:tcBorders>
              <w:top w:val="single" w:sz="4" w:space="0" w:color="ADD6EA"/>
              <w:left w:val="nil"/>
              <w:bottom w:val="nil"/>
              <w:right w:val="nil"/>
            </w:tcBorders>
            <w:shd w:val="clear" w:color="000000" w:fill="FFFFFF"/>
            <w:vAlign w:val="bottom"/>
            <w:hideMark/>
          </w:tcPr>
          <w:p w14:paraId="6F38C75D"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6.1</w:t>
            </w:r>
          </w:p>
        </w:tc>
        <w:tc>
          <w:tcPr>
            <w:tcW w:w="0" w:type="auto"/>
            <w:tcBorders>
              <w:top w:val="single" w:sz="4" w:space="0" w:color="ADD6EA"/>
              <w:left w:val="nil"/>
              <w:bottom w:val="nil"/>
              <w:right w:val="nil"/>
            </w:tcBorders>
            <w:shd w:val="clear" w:color="000000" w:fill="FFFFFF"/>
            <w:vAlign w:val="bottom"/>
            <w:hideMark/>
          </w:tcPr>
          <w:p w14:paraId="70453644"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4.6</w:t>
            </w:r>
          </w:p>
        </w:tc>
      </w:tr>
      <w:tr w:rsidR="00672110" w:rsidRPr="00672110" w14:paraId="7F35FD7A" w14:textId="77777777" w:rsidTr="00437294">
        <w:trPr>
          <w:trHeight w:val="319"/>
        </w:trPr>
        <w:tc>
          <w:tcPr>
            <w:tcW w:w="2127" w:type="dxa"/>
            <w:tcBorders>
              <w:top w:val="single" w:sz="4" w:space="0" w:color="ADD6EA"/>
              <w:left w:val="nil"/>
              <w:bottom w:val="nil"/>
              <w:right w:val="nil"/>
            </w:tcBorders>
            <w:shd w:val="clear" w:color="000000" w:fill="FFFFFF"/>
            <w:vAlign w:val="bottom"/>
            <w:hideMark/>
          </w:tcPr>
          <w:p w14:paraId="692B977B" w14:textId="77777777" w:rsidR="00672110" w:rsidRPr="00672110" w:rsidRDefault="00672110" w:rsidP="00672110">
            <w:pPr>
              <w:tabs>
                <w:tab w:val="clear" w:pos="567"/>
              </w:tabs>
              <w:spacing w:before="0" w:line="240" w:lineRule="auto"/>
              <w:rPr>
                <w:rFonts w:eastAsia="Times New Roman" w:cs="Open Sans Light"/>
                <w:color w:val="000000"/>
                <w:sz w:val="16"/>
                <w:szCs w:val="16"/>
                <w:lang w:eastAsia="en-AU"/>
              </w:rPr>
            </w:pPr>
            <w:r w:rsidRPr="00672110">
              <w:rPr>
                <w:rFonts w:eastAsia="Times New Roman" w:cs="Open Sans Light"/>
                <w:color w:val="000000"/>
                <w:sz w:val="16"/>
                <w:szCs w:val="16"/>
                <w:lang w:eastAsia="en-AU"/>
              </w:rPr>
              <w:t>5.Very remote Australia</w:t>
            </w:r>
          </w:p>
        </w:tc>
        <w:tc>
          <w:tcPr>
            <w:tcW w:w="1417" w:type="dxa"/>
            <w:tcBorders>
              <w:top w:val="single" w:sz="4" w:space="0" w:color="ADD6EA"/>
              <w:left w:val="nil"/>
              <w:bottom w:val="nil"/>
              <w:right w:val="nil"/>
            </w:tcBorders>
            <w:shd w:val="clear" w:color="000000" w:fill="FFFFFF"/>
            <w:vAlign w:val="bottom"/>
            <w:hideMark/>
          </w:tcPr>
          <w:p w14:paraId="485F2DA3" w14:textId="77777777" w:rsidR="00672110" w:rsidRPr="00672110" w:rsidRDefault="00672110" w:rsidP="009F4FD3">
            <w:pPr>
              <w:tabs>
                <w:tab w:val="clear" w:pos="567"/>
              </w:tabs>
              <w:spacing w:before="0" w:line="240" w:lineRule="auto"/>
              <w:rPr>
                <w:rFonts w:eastAsia="Times New Roman" w:cs="Open Sans Light"/>
                <w:color w:val="000000"/>
                <w:sz w:val="16"/>
                <w:szCs w:val="16"/>
                <w:lang w:eastAsia="en-AU"/>
              </w:rPr>
            </w:pPr>
            <w:r w:rsidRPr="00672110">
              <w:rPr>
                <w:rFonts w:eastAsia="Times New Roman" w:cs="Open Sans Light"/>
                <w:color w:val="000000"/>
                <w:sz w:val="16"/>
                <w:szCs w:val="16"/>
                <w:lang w:eastAsia="en-AU"/>
              </w:rPr>
              <w:t>1. Low-income</w:t>
            </w:r>
          </w:p>
        </w:tc>
        <w:tc>
          <w:tcPr>
            <w:tcW w:w="1029" w:type="dxa"/>
            <w:tcBorders>
              <w:top w:val="single" w:sz="4" w:space="0" w:color="ADD6EA"/>
              <w:left w:val="nil"/>
              <w:bottom w:val="nil"/>
              <w:right w:val="nil"/>
            </w:tcBorders>
            <w:shd w:val="clear" w:color="000000" w:fill="FFFFFF"/>
            <w:vAlign w:val="bottom"/>
            <w:hideMark/>
          </w:tcPr>
          <w:p w14:paraId="0666ABE5" w14:textId="77777777" w:rsidR="00672110" w:rsidRPr="00672110" w:rsidRDefault="00672110" w:rsidP="00D0167D">
            <w:pPr>
              <w:tabs>
                <w:tab w:val="clear" w:pos="567"/>
              </w:tabs>
              <w:spacing w:before="0" w:line="240" w:lineRule="auto"/>
              <w:rPr>
                <w:rFonts w:eastAsia="Times New Roman" w:cs="Open Sans Light"/>
                <w:color w:val="000000"/>
                <w:sz w:val="16"/>
                <w:szCs w:val="16"/>
                <w:lang w:eastAsia="en-AU"/>
              </w:rPr>
            </w:pPr>
            <w:r w:rsidRPr="00672110">
              <w:rPr>
                <w:rFonts w:eastAsia="Times New Roman" w:cs="Open Sans Light"/>
                <w:color w:val="000000"/>
                <w:sz w:val="16"/>
                <w:szCs w:val="16"/>
                <w:lang w:eastAsia="en-AU"/>
              </w:rPr>
              <w:t>2.Non-Indigenous</w:t>
            </w:r>
          </w:p>
        </w:tc>
        <w:tc>
          <w:tcPr>
            <w:tcW w:w="581" w:type="dxa"/>
            <w:tcBorders>
              <w:top w:val="single" w:sz="4" w:space="0" w:color="ADD6EA"/>
              <w:left w:val="nil"/>
              <w:bottom w:val="nil"/>
              <w:right w:val="nil"/>
            </w:tcBorders>
            <w:shd w:val="clear" w:color="000000" w:fill="FFFFFF"/>
            <w:vAlign w:val="bottom"/>
            <w:hideMark/>
          </w:tcPr>
          <w:p w14:paraId="2BDD3653"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1.9</w:t>
            </w:r>
          </w:p>
        </w:tc>
        <w:tc>
          <w:tcPr>
            <w:tcW w:w="0" w:type="auto"/>
            <w:tcBorders>
              <w:top w:val="single" w:sz="4" w:space="0" w:color="ADD6EA"/>
              <w:left w:val="nil"/>
              <w:bottom w:val="nil"/>
              <w:right w:val="nil"/>
            </w:tcBorders>
            <w:shd w:val="clear" w:color="000000" w:fill="FFFFFF"/>
            <w:vAlign w:val="bottom"/>
            <w:hideMark/>
          </w:tcPr>
          <w:p w14:paraId="6079E897"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0.0</w:t>
            </w:r>
          </w:p>
        </w:tc>
        <w:tc>
          <w:tcPr>
            <w:tcW w:w="0" w:type="auto"/>
            <w:tcBorders>
              <w:top w:val="single" w:sz="4" w:space="0" w:color="ADD6EA"/>
              <w:left w:val="nil"/>
              <w:bottom w:val="nil"/>
              <w:right w:val="nil"/>
            </w:tcBorders>
            <w:shd w:val="clear" w:color="000000" w:fill="FFFFFF"/>
            <w:vAlign w:val="bottom"/>
            <w:hideMark/>
          </w:tcPr>
          <w:p w14:paraId="3FDCCBE9"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2.0</w:t>
            </w:r>
          </w:p>
        </w:tc>
        <w:tc>
          <w:tcPr>
            <w:tcW w:w="0" w:type="auto"/>
            <w:tcBorders>
              <w:top w:val="single" w:sz="4" w:space="0" w:color="ADD6EA"/>
              <w:left w:val="nil"/>
              <w:bottom w:val="nil"/>
              <w:right w:val="nil"/>
            </w:tcBorders>
            <w:shd w:val="clear" w:color="000000" w:fill="FFFFFF"/>
            <w:vAlign w:val="bottom"/>
            <w:hideMark/>
          </w:tcPr>
          <w:p w14:paraId="1487886F"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1.9</w:t>
            </w:r>
          </w:p>
        </w:tc>
        <w:tc>
          <w:tcPr>
            <w:tcW w:w="0" w:type="auto"/>
            <w:tcBorders>
              <w:top w:val="single" w:sz="4" w:space="0" w:color="ADD6EA"/>
              <w:left w:val="nil"/>
              <w:bottom w:val="nil"/>
              <w:right w:val="nil"/>
            </w:tcBorders>
            <w:shd w:val="clear" w:color="000000" w:fill="FFFFFF"/>
            <w:vAlign w:val="bottom"/>
            <w:hideMark/>
          </w:tcPr>
          <w:p w14:paraId="2E89B52F"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1.8</w:t>
            </w:r>
          </w:p>
        </w:tc>
        <w:tc>
          <w:tcPr>
            <w:tcW w:w="0" w:type="auto"/>
            <w:tcBorders>
              <w:top w:val="single" w:sz="4" w:space="0" w:color="ADD6EA"/>
              <w:left w:val="nil"/>
              <w:bottom w:val="nil"/>
              <w:right w:val="nil"/>
            </w:tcBorders>
            <w:shd w:val="clear" w:color="000000" w:fill="FFFFFF"/>
            <w:vAlign w:val="bottom"/>
            <w:hideMark/>
          </w:tcPr>
          <w:p w14:paraId="73F8A204"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1.7</w:t>
            </w:r>
          </w:p>
        </w:tc>
        <w:tc>
          <w:tcPr>
            <w:tcW w:w="0" w:type="auto"/>
            <w:tcBorders>
              <w:top w:val="single" w:sz="4" w:space="0" w:color="ADD6EA"/>
              <w:left w:val="nil"/>
              <w:bottom w:val="nil"/>
              <w:right w:val="nil"/>
            </w:tcBorders>
            <w:shd w:val="clear" w:color="000000" w:fill="FFFFFF"/>
            <w:vAlign w:val="bottom"/>
            <w:hideMark/>
          </w:tcPr>
          <w:p w14:paraId="246C5A68"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0.0</w:t>
            </w:r>
          </w:p>
        </w:tc>
        <w:tc>
          <w:tcPr>
            <w:tcW w:w="0" w:type="auto"/>
            <w:tcBorders>
              <w:top w:val="single" w:sz="4" w:space="0" w:color="ADD6EA"/>
              <w:left w:val="nil"/>
              <w:bottom w:val="nil"/>
              <w:right w:val="nil"/>
            </w:tcBorders>
            <w:shd w:val="clear" w:color="000000" w:fill="FFFFFF"/>
            <w:vAlign w:val="bottom"/>
            <w:hideMark/>
          </w:tcPr>
          <w:p w14:paraId="6BD5116F"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2.1</w:t>
            </w:r>
          </w:p>
        </w:tc>
        <w:tc>
          <w:tcPr>
            <w:tcW w:w="0" w:type="auto"/>
            <w:tcBorders>
              <w:top w:val="single" w:sz="4" w:space="0" w:color="ADD6EA"/>
              <w:left w:val="nil"/>
              <w:bottom w:val="nil"/>
              <w:right w:val="nil"/>
            </w:tcBorders>
            <w:shd w:val="clear" w:color="000000" w:fill="FFFFFF"/>
            <w:vAlign w:val="bottom"/>
            <w:hideMark/>
          </w:tcPr>
          <w:p w14:paraId="680ABE5E"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1.9</w:t>
            </w:r>
          </w:p>
        </w:tc>
      </w:tr>
      <w:tr w:rsidR="00672110" w:rsidRPr="00672110" w14:paraId="5AA0E7E7" w14:textId="77777777" w:rsidTr="00437294">
        <w:trPr>
          <w:trHeight w:val="319"/>
        </w:trPr>
        <w:tc>
          <w:tcPr>
            <w:tcW w:w="2127" w:type="dxa"/>
            <w:tcBorders>
              <w:top w:val="single" w:sz="4" w:space="0" w:color="ADD6EA"/>
              <w:left w:val="nil"/>
              <w:bottom w:val="nil"/>
              <w:right w:val="nil"/>
            </w:tcBorders>
            <w:shd w:val="clear" w:color="000000" w:fill="FFFFFF"/>
            <w:vAlign w:val="bottom"/>
            <w:hideMark/>
          </w:tcPr>
          <w:p w14:paraId="554A2FA6" w14:textId="77777777" w:rsidR="00672110" w:rsidRPr="00672110" w:rsidRDefault="00672110" w:rsidP="00672110">
            <w:pPr>
              <w:tabs>
                <w:tab w:val="clear" w:pos="567"/>
              </w:tabs>
              <w:spacing w:before="0" w:line="240" w:lineRule="auto"/>
              <w:rPr>
                <w:rFonts w:eastAsia="Times New Roman" w:cs="Open Sans Light"/>
                <w:color w:val="000000"/>
                <w:sz w:val="16"/>
                <w:szCs w:val="16"/>
                <w:lang w:eastAsia="en-AU"/>
              </w:rPr>
            </w:pPr>
            <w:r w:rsidRPr="00672110">
              <w:rPr>
                <w:rFonts w:eastAsia="Times New Roman" w:cs="Open Sans Light"/>
                <w:color w:val="000000"/>
                <w:sz w:val="16"/>
                <w:szCs w:val="16"/>
                <w:lang w:eastAsia="en-AU"/>
              </w:rPr>
              <w:t>5.Very remote Australia</w:t>
            </w:r>
          </w:p>
        </w:tc>
        <w:tc>
          <w:tcPr>
            <w:tcW w:w="1417" w:type="dxa"/>
            <w:tcBorders>
              <w:top w:val="single" w:sz="4" w:space="0" w:color="ADD6EA"/>
              <w:left w:val="nil"/>
              <w:bottom w:val="nil"/>
              <w:right w:val="nil"/>
            </w:tcBorders>
            <w:shd w:val="clear" w:color="000000" w:fill="FFFFFF"/>
            <w:vAlign w:val="bottom"/>
            <w:hideMark/>
          </w:tcPr>
          <w:p w14:paraId="1A12D6BD" w14:textId="77777777" w:rsidR="00672110" w:rsidRPr="00672110" w:rsidRDefault="00672110" w:rsidP="009F4FD3">
            <w:pPr>
              <w:tabs>
                <w:tab w:val="clear" w:pos="567"/>
              </w:tabs>
              <w:spacing w:before="0" w:line="240" w:lineRule="auto"/>
              <w:rPr>
                <w:rFonts w:eastAsia="Times New Roman" w:cs="Open Sans Light"/>
                <w:color w:val="000000"/>
                <w:sz w:val="16"/>
                <w:szCs w:val="16"/>
                <w:lang w:eastAsia="en-AU"/>
              </w:rPr>
            </w:pPr>
            <w:r w:rsidRPr="00672110">
              <w:rPr>
                <w:rFonts w:eastAsia="Times New Roman" w:cs="Open Sans Light"/>
                <w:color w:val="000000"/>
                <w:sz w:val="16"/>
                <w:szCs w:val="16"/>
                <w:lang w:eastAsia="en-AU"/>
              </w:rPr>
              <w:t>2. High-income</w:t>
            </w:r>
          </w:p>
        </w:tc>
        <w:tc>
          <w:tcPr>
            <w:tcW w:w="1029" w:type="dxa"/>
            <w:tcBorders>
              <w:top w:val="single" w:sz="4" w:space="0" w:color="ADD6EA"/>
              <w:left w:val="nil"/>
              <w:bottom w:val="nil"/>
              <w:right w:val="nil"/>
            </w:tcBorders>
            <w:shd w:val="clear" w:color="000000" w:fill="FFFFFF"/>
            <w:vAlign w:val="bottom"/>
            <w:hideMark/>
          </w:tcPr>
          <w:p w14:paraId="5FC4C58F" w14:textId="36A908D0" w:rsidR="00672110" w:rsidRPr="00672110" w:rsidRDefault="00B5716E" w:rsidP="00D0167D">
            <w:pPr>
              <w:tabs>
                <w:tab w:val="clear" w:pos="567"/>
              </w:tabs>
              <w:spacing w:before="0" w:line="240" w:lineRule="auto"/>
              <w:rPr>
                <w:rFonts w:eastAsia="Times New Roman" w:cs="Open Sans Light"/>
                <w:color w:val="000000"/>
                <w:sz w:val="16"/>
                <w:szCs w:val="16"/>
                <w:lang w:eastAsia="en-AU"/>
              </w:rPr>
            </w:pPr>
            <w:r w:rsidRPr="00B5716E">
              <w:rPr>
                <w:rFonts w:eastAsia="Times New Roman" w:cs="Open Sans Light"/>
                <w:color w:val="000000"/>
                <w:sz w:val="16"/>
                <w:szCs w:val="16"/>
                <w:lang w:eastAsia="en-AU"/>
              </w:rPr>
              <w:t>1.First Nations</w:t>
            </w:r>
          </w:p>
        </w:tc>
        <w:tc>
          <w:tcPr>
            <w:tcW w:w="581" w:type="dxa"/>
            <w:tcBorders>
              <w:top w:val="single" w:sz="4" w:space="0" w:color="ADD6EA"/>
              <w:left w:val="nil"/>
              <w:bottom w:val="nil"/>
              <w:right w:val="nil"/>
            </w:tcBorders>
            <w:shd w:val="clear" w:color="000000" w:fill="FFFFFF"/>
            <w:vAlign w:val="bottom"/>
            <w:hideMark/>
          </w:tcPr>
          <w:p w14:paraId="1ADBE1EF"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2.4</w:t>
            </w:r>
          </w:p>
        </w:tc>
        <w:tc>
          <w:tcPr>
            <w:tcW w:w="0" w:type="auto"/>
            <w:tcBorders>
              <w:top w:val="single" w:sz="4" w:space="0" w:color="ADD6EA"/>
              <w:left w:val="nil"/>
              <w:bottom w:val="nil"/>
              <w:right w:val="nil"/>
            </w:tcBorders>
            <w:shd w:val="clear" w:color="000000" w:fill="FFFFFF"/>
            <w:vAlign w:val="bottom"/>
            <w:hideMark/>
          </w:tcPr>
          <w:p w14:paraId="00773F48"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0.0</w:t>
            </w:r>
          </w:p>
        </w:tc>
        <w:tc>
          <w:tcPr>
            <w:tcW w:w="0" w:type="auto"/>
            <w:tcBorders>
              <w:top w:val="single" w:sz="4" w:space="0" w:color="ADD6EA"/>
              <w:left w:val="nil"/>
              <w:bottom w:val="nil"/>
              <w:right w:val="nil"/>
            </w:tcBorders>
            <w:shd w:val="clear" w:color="000000" w:fill="FFFFFF"/>
            <w:vAlign w:val="bottom"/>
            <w:hideMark/>
          </w:tcPr>
          <w:p w14:paraId="79C35C22"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3.0</w:t>
            </w:r>
          </w:p>
        </w:tc>
        <w:tc>
          <w:tcPr>
            <w:tcW w:w="0" w:type="auto"/>
            <w:tcBorders>
              <w:top w:val="single" w:sz="4" w:space="0" w:color="ADD6EA"/>
              <w:left w:val="nil"/>
              <w:bottom w:val="nil"/>
              <w:right w:val="nil"/>
            </w:tcBorders>
            <w:shd w:val="clear" w:color="000000" w:fill="FFFFFF"/>
            <w:vAlign w:val="bottom"/>
            <w:hideMark/>
          </w:tcPr>
          <w:p w14:paraId="56B28048"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2.6</w:t>
            </w:r>
          </w:p>
        </w:tc>
        <w:tc>
          <w:tcPr>
            <w:tcW w:w="0" w:type="auto"/>
            <w:tcBorders>
              <w:top w:val="single" w:sz="4" w:space="0" w:color="ADD6EA"/>
              <w:left w:val="nil"/>
              <w:bottom w:val="nil"/>
              <w:right w:val="nil"/>
            </w:tcBorders>
            <w:shd w:val="clear" w:color="000000" w:fill="FFFFFF"/>
            <w:vAlign w:val="bottom"/>
            <w:hideMark/>
          </w:tcPr>
          <w:p w14:paraId="18F0402C"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2.9</w:t>
            </w:r>
          </w:p>
        </w:tc>
        <w:tc>
          <w:tcPr>
            <w:tcW w:w="0" w:type="auto"/>
            <w:tcBorders>
              <w:top w:val="single" w:sz="4" w:space="0" w:color="ADD6EA"/>
              <w:left w:val="nil"/>
              <w:bottom w:val="nil"/>
              <w:right w:val="nil"/>
            </w:tcBorders>
            <w:shd w:val="clear" w:color="000000" w:fill="FFFFFF"/>
            <w:vAlign w:val="bottom"/>
            <w:hideMark/>
          </w:tcPr>
          <w:p w14:paraId="53DA8EAE"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1.6</w:t>
            </w:r>
          </w:p>
        </w:tc>
        <w:tc>
          <w:tcPr>
            <w:tcW w:w="0" w:type="auto"/>
            <w:tcBorders>
              <w:top w:val="single" w:sz="4" w:space="0" w:color="ADD6EA"/>
              <w:left w:val="nil"/>
              <w:bottom w:val="nil"/>
              <w:right w:val="nil"/>
            </w:tcBorders>
            <w:shd w:val="clear" w:color="000000" w:fill="FFFFFF"/>
            <w:vAlign w:val="bottom"/>
            <w:hideMark/>
          </w:tcPr>
          <w:p w14:paraId="02A099FB"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0.0</w:t>
            </w:r>
          </w:p>
        </w:tc>
        <w:tc>
          <w:tcPr>
            <w:tcW w:w="0" w:type="auto"/>
            <w:tcBorders>
              <w:top w:val="single" w:sz="4" w:space="0" w:color="ADD6EA"/>
              <w:left w:val="nil"/>
              <w:bottom w:val="nil"/>
              <w:right w:val="nil"/>
            </w:tcBorders>
            <w:shd w:val="clear" w:color="000000" w:fill="FFFFFF"/>
            <w:vAlign w:val="bottom"/>
            <w:hideMark/>
          </w:tcPr>
          <w:p w14:paraId="663FF3D2"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3.5</w:t>
            </w:r>
          </w:p>
        </w:tc>
        <w:tc>
          <w:tcPr>
            <w:tcW w:w="0" w:type="auto"/>
            <w:tcBorders>
              <w:top w:val="single" w:sz="4" w:space="0" w:color="ADD6EA"/>
              <w:left w:val="nil"/>
              <w:bottom w:val="nil"/>
              <w:right w:val="nil"/>
            </w:tcBorders>
            <w:shd w:val="clear" w:color="000000" w:fill="FFFFFF"/>
            <w:vAlign w:val="bottom"/>
            <w:hideMark/>
          </w:tcPr>
          <w:p w14:paraId="3E799DA0"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2.9</w:t>
            </w:r>
          </w:p>
        </w:tc>
      </w:tr>
      <w:tr w:rsidR="00672110" w:rsidRPr="00672110" w14:paraId="1DCE54B4" w14:textId="77777777" w:rsidTr="00437294">
        <w:trPr>
          <w:trHeight w:val="319"/>
        </w:trPr>
        <w:tc>
          <w:tcPr>
            <w:tcW w:w="2127" w:type="dxa"/>
            <w:tcBorders>
              <w:top w:val="single" w:sz="4" w:space="0" w:color="ADD6EA"/>
              <w:left w:val="nil"/>
              <w:bottom w:val="single" w:sz="4" w:space="0" w:color="ADD6EA"/>
              <w:right w:val="nil"/>
            </w:tcBorders>
            <w:shd w:val="clear" w:color="000000" w:fill="FFFFFF"/>
            <w:vAlign w:val="bottom"/>
            <w:hideMark/>
          </w:tcPr>
          <w:p w14:paraId="69ED6E85" w14:textId="77777777" w:rsidR="00672110" w:rsidRPr="00672110" w:rsidRDefault="00672110" w:rsidP="00672110">
            <w:pPr>
              <w:tabs>
                <w:tab w:val="clear" w:pos="567"/>
              </w:tabs>
              <w:spacing w:before="0" w:line="240" w:lineRule="auto"/>
              <w:rPr>
                <w:rFonts w:eastAsia="Times New Roman" w:cs="Open Sans Light"/>
                <w:color w:val="000000"/>
                <w:sz w:val="16"/>
                <w:szCs w:val="16"/>
                <w:lang w:eastAsia="en-AU"/>
              </w:rPr>
            </w:pPr>
            <w:r w:rsidRPr="00672110">
              <w:rPr>
                <w:rFonts w:eastAsia="Times New Roman" w:cs="Open Sans Light"/>
                <w:color w:val="000000"/>
                <w:sz w:val="16"/>
                <w:szCs w:val="16"/>
                <w:lang w:eastAsia="en-AU"/>
              </w:rPr>
              <w:t>5.Very remote Australia</w:t>
            </w:r>
          </w:p>
        </w:tc>
        <w:tc>
          <w:tcPr>
            <w:tcW w:w="1417" w:type="dxa"/>
            <w:tcBorders>
              <w:top w:val="single" w:sz="4" w:space="0" w:color="ADD6EA"/>
              <w:left w:val="nil"/>
              <w:bottom w:val="single" w:sz="4" w:space="0" w:color="ADD6EA"/>
              <w:right w:val="nil"/>
            </w:tcBorders>
            <w:shd w:val="clear" w:color="000000" w:fill="FFFFFF"/>
            <w:vAlign w:val="bottom"/>
            <w:hideMark/>
          </w:tcPr>
          <w:p w14:paraId="54B5C9D8" w14:textId="77777777" w:rsidR="00672110" w:rsidRPr="00672110" w:rsidRDefault="00672110" w:rsidP="009F4FD3">
            <w:pPr>
              <w:tabs>
                <w:tab w:val="clear" w:pos="567"/>
              </w:tabs>
              <w:spacing w:before="0" w:line="240" w:lineRule="auto"/>
              <w:rPr>
                <w:rFonts w:eastAsia="Times New Roman" w:cs="Open Sans Light"/>
                <w:color w:val="000000"/>
                <w:sz w:val="16"/>
                <w:szCs w:val="16"/>
                <w:lang w:eastAsia="en-AU"/>
              </w:rPr>
            </w:pPr>
            <w:r w:rsidRPr="00672110">
              <w:rPr>
                <w:rFonts w:eastAsia="Times New Roman" w:cs="Open Sans Light"/>
                <w:color w:val="000000"/>
                <w:sz w:val="16"/>
                <w:szCs w:val="16"/>
                <w:lang w:eastAsia="en-AU"/>
              </w:rPr>
              <w:t>2. High-income</w:t>
            </w:r>
          </w:p>
        </w:tc>
        <w:tc>
          <w:tcPr>
            <w:tcW w:w="1029" w:type="dxa"/>
            <w:tcBorders>
              <w:top w:val="single" w:sz="4" w:space="0" w:color="ADD6EA"/>
              <w:left w:val="nil"/>
              <w:bottom w:val="single" w:sz="4" w:space="0" w:color="ADD6EA"/>
              <w:right w:val="nil"/>
            </w:tcBorders>
            <w:shd w:val="clear" w:color="000000" w:fill="FFFFFF"/>
            <w:vAlign w:val="bottom"/>
            <w:hideMark/>
          </w:tcPr>
          <w:p w14:paraId="5D0D4207" w14:textId="77777777" w:rsidR="00672110" w:rsidRPr="00672110" w:rsidRDefault="00672110" w:rsidP="00D0167D">
            <w:pPr>
              <w:tabs>
                <w:tab w:val="clear" w:pos="567"/>
              </w:tabs>
              <w:spacing w:before="0" w:line="240" w:lineRule="auto"/>
              <w:rPr>
                <w:rFonts w:eastAsia="Times New Roman" w:cs="Open Sans Light"/>
                <w:color w:val="000000"/>
                <w:sz w:val="16"/>
                <w:szCs w:val="16"/>
                <w:lang w:eastAsia="en-AU"/>
              </w:rPr>
            </w:pPr>
            <w:r w:rsidRPr="00672110">
              <w:rPr>
                <w:rFonts w:eastAsia="Times New Roman" w:cs="Open Sans Light"/>
                <w:color w:val="000000"/>
                <w:sz w:val="16"/>
                <w:szCs w:val="16"/>
                <w:lang w:eastAsia="en-AU"/>
              </w:rPr>
              <w:t>2.Non-Indigenous</w:t>
            </w:r>
          </w:p>
        </w:tc>
        <w:tc>
          <w:tcPr>
            <w:tcW w:w="581" w:type="dxa"/>
            <w:tcBorders>
              <w:top w:val="single" w:sz="4" w:space="0" w:color="ADD6EA"/>
              <w:left w:val="nil"/>
              <w:bottom w:val="single" w:sz="4" w:space="0" w:color="ADD6EA"/>
              <w:right w:val="nil"/>
            </w:tcBorders>
            <w:shd w:val="clear" w:color="000000" w:fill="FFFFFF"/>
            <w:vAlign w:val="bottom"/>
            <w:hideMark/>
          </w:tcPr>
          <w:p w14:paraId="60AAE939"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2.4</w:t>
            </w:r>
          </w:p>
        </w:tc>
        <w:tc>
          <w:tcPr>
            <w:tcW w:w="0" w:type="auto"/>
            <w:tcBorders>
              <w:top w:val="single" w:sz="4" w:space="0" w:color="ADD6EA"/>
              <w:left w:val="nil"/>
              <w:bottom w:val="single" w:sz="4" w:space="0" w:color="ADD6EA"/>
              <w:right w:val="nil"/>
            </w:tcBorders>
            <w:shd w:val="clear" w:color="000000" w:fill="FFFFFF"/>
            <w:vAlign w:val="bottom"/>
            <w:hideMark/>
          </w:tcPr>
          <w:p w14:paraId="17C21204"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0.0</w:t>
            </w:r>
          </w:p>
        </w:tc>
        <w:tc>
          <w:tcPr>
            <w:tcW w:w="0" w:type="auto"/>
            <w:tcBorders>
              <w:top w:val="single" w:sz="4" w:space="0" w:color="ADD6EA"/>
              <w:left w:val="nil"/>
              <w:bottom w:val="single" w:sz="4" w:space="0" w:color="ADD6EA"/>
              <w:right w:val="nil"/>
            </w:tcBorders>
            <w:shd w:val="clear" w:color="000000" w:fill="FFFFFF"/>
            <w:vAlign w:val="bottom"/>
            <w:hideMark/>
          </w:tcPr>
          <w:p w14:paraId="0B39E2EC"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2.5</w:t>
            </w:r>
          </w:p>
        </w:tc>
        <w:tc>
          <w:tcPr>
            <w:tcW w:w="0" w:type="auto"/>
            <w:tcBorders>
              <w:top w:val="single" w:sz="4" w:space="0" w:color="ADD6EA"/>
              <w:left w:val="nil"/>
              <w:bottom w:val="single" w:sz="4" w:space="0" w:color="ADD6EA"/>
              <w:right w:val="nil"/>
            </w:tcBorders>
            <w:shd w:val="clear" w:color="000000" w:fill="FFFFFF"/>
            <w:vAlign w:val="bottom"/>
            <w:hideMark/>
          </w:tcPr>
          <w:p w14:paraId="46C32571"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2.4</w:t>
            </w:r>
          </w:p>
        </w:tc>
        <w:tc>
          <w:tcPr>
            <w:tcW w:w="0" w:type="auto"/>
            <w:tcBorders>
              <w:top w:val="single" w:sz="4" w:space="0" w:color="ADD6EA"/>
              <w:left w:val="nil"/>
              <w:bottom w:val="single" w:sz="4" w:space="0" w:color="ADD6EA"/>
              <w:right w:val="nil"/>
            </w:tcBorders>
            <w:shd w:val="clear" w:color="000000" w:fill="FFFFFF"/>
            <w:vAlign w:val="bottom"/>
            <w:hideMark/>
          </w:tcPr>
          <w:p w14:paraId="4780323F"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2.3</w:t>
            </w:r>
          </w:p>
        </w:tc>
        <w:tc>
          <w:tcPr>
            <w:tcW w:w="0" w:type="auto"/>
            <w:tcBorders>
              <w:top w:val="single" w:sz="4" w:space="0" w:color="ADD6EA"/>
              <w:left w:val="nil"/>
              <w:bottom w:val="single" w:sz="4" w:space="0" w:color="ADD6EA"/>
              <w:right w:val="nil"/>
            </w:tcBorders>
            <w:shd w:val="clear" w:color="000000" w:fill="FFFFFF"/>
            <w:vAlign w:val="bottom"/>
            <w:hideMark/>
          </w:tcPr>
          <w:p w14:paraId="1C147EB2"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2.2</w:t>
            </w:r>
          </w:p>
        </w:tc>
        <w:tc>
          <w:tcPr>
            <w:tcW w:w="0" w:type="auto"/>
            <w:tcBorders>
              <w:top w:val="single" w:sz="4" w:space="0" w:color="ADD6EA"/>
              <w:left w:val="nil"/>
              <w:bottom w:val="single" w:sz="4" w:space="0" w:color="ADD6EA"/>
              <w:right w:val="nil"/>
            </w:tcBorders>
            <w:shd w:val="clear" w:color="000000" w:fill="FFFFFF"/>
            <w:vAlign w:val="bottom"/>
            <w:hideMark/>
          </w:tcPr>
          <w:p w14:paraId="594D240A"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0.0</w:t>
            </w:r>
          </w:p>
        </w:tc>
        <w:tc>
          <w:tcPr>
            <w:tcW w:w="0" w:type="auto"/>
            <w:tcBorders>
              <w:top w:val="single" w:sz="4" w:space="0" w:color="ADD6EA"/>
              <w:left w:val="nil"/>
              <w:bottom w:val="single" w:sz="4" w:space="0" w:color="ADD6EA"/>
              <w:right w:val="nil"/>
            </w:tcBorders>
            <w:shd w:val="clear" w:color="000000" w:fill="FFFFFF"/>
            <w:vAlign w:val="bottom"/>
            <w:hideMark/>
          </w:tcPr>
          <w:p w14:paraId="7F6C885E"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2.2</w:t>
            </w:r>
          </w:p>
        </w:tc>
        <w:tc>
          <w:tcPr>
            <w:tcW w:w="0" w:type="auto"/>
            <w:tcBorders>
              <w:top w:val="single" w:sz="4" w:space="0" w:color="ADD6EA"/>
              <w:left w:val="nil"/>
              <w:bottom w:val="single" w:sz="4" w:space="0" w:color="ADD6EA"/>
              <w:right w:val="nil"/>
            </w:tcBorders>
            <w:shd w:val="clear" w:color="000000" w:fill="FFFFFF"/>
            <w:vAlign w:val="bottom"/>
            <w:hideMark/>
          </w:tcPr>
          <w:p w14:paraId="01B87E34" w14:textId="77777777" w:rsidR="00672110" w:rsidRPr="00672110" w:rsidRDefault="00672110" w:rsidP="00672110">
            <w:pPr>
              <w:tabs>
                <w:tab w:val="clear" w:pos="567"/>
              </w:tabs>
              <w:spacing w:before="0" w:line="240" w:lineRule="auto"/>
              <w:jc w:val="right"/>
              <w:rPr>
                <w:rFonts w:eastAsia="Times New Roman" w:cs="Open Sans Light"/>
                <w:color w:val="000000"/>
                <w:sz w:val="16"/>
                <w:szCs w:val="16"/>
                <w:lang w:eastAsia="en-AU"/>
              </w:rPr>
            </w:pPr>
            <w:r w:rsidRPr="00672110">
              <w:rPr>
                <w:rFonts w:eastAsia="Times New Roman" w:cs="Open Sans Light"/>
                <w:color w:val="000000"/>
                <w:sz w:val="16"/>
                <w:szCs w:val="16"/>
                <w:lang w:eastAsia="en-AU"/>
              </w:rPr>
              <w:t>2.4</w:t>
            </w:r>
          </w:p>
        </w:tc>
      </w:tr>
    </w:tbl>
    <w:p w14:paraId="2EB1E193" w14:textId="12AF9B6E" w:rsidR="00DF6EB5" w:rsidRPr="00054067" w:rsidRDefault="00C06B25" w:rsidP="009D570C">
      <w:pPr>
        <w:pStyle w:val="CGC2025TableNote"/>
      </w:pPr>
      <w:r w:rsidRPr="00054067">
        <w:t>Source</w:t>
      </w:r>
      <w:r w:rsidR="00054067" w:rsidRPr="00054067">
        <w:t>: ABS 2021 Census, Commission calculations</w:t>
      </w:r>
      <w:r w:rsidR="00FE4812">
        <w:t>.</w:t>
      </w:r>
    </w:p>
    <w:sectPr w:rsidR="00DF6EB5" w:rsidRPr="00054067" w:rsidSect="00DF6D82">
      <w:headerReference w:type="even" r:id="rId16"/>
      <w:footerReference w:type="even" r:id="rId17"/>
      <w:footerReference w:type="default" r:id="rId18"/>
      <w:headerReference w:type="first" r:id="rId19"/>
      <w:footerReference w:type="first" r:id="rId20"/>
      <w:pgSz w:w="11906" w:h="16838" w:code="9"/>
      <w:pgMar w:top="1440" w:right="1440" w:bottom="1440" w:left="1440" w:header="720" w:footer="22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F6437" w14:textId="77777777" w:rsidR="00635524" w:rsidRDefault="00635524">
      <w:r>
        <w:separator/>
      </w:r>
    </w:p>
    <w:p w14:paraId="4BE43C64" w14:textId="77777777" w:rsidR="00635524" w:rsidRDefault="00635524"/>
  </w:endnote>
  <w:endnote w:type="continuationSeparator" w:id="0">
    <w:p w14:paraId="6F5969F7" w14:textId="77777777" w:rsidR="00635524" w:rsidRDefault="00635524">
      <w:r>
        <w:continuationSeparator/>
      </w:r>
    </w:p>
    <w:p w14:paraId="5443165A" w14:textId="77777777" w:rsidR="00635524" w:rsidRDefault="00635524"/>
  </w:endnote>
  <w:endnote w:type="continuationNotice" w:id="1">
    <w:p w14:paraId="74E56E82" w14:textId="77777777" w:rsidR="00635524" w:rsidRDefault="00635524">
      <w:pPr>
        <w:spacing w:before="0" w:line="240" w:lineRule="auto"/>
      </w:pPr>
    </w:p>
    <w:p w14:paraId="20CD77E0" w14:textId="77777777" w:rsidR="00635524" w:rsidRDefault="006355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Light">
    <w:panose1 w:val="020B0306030504020204"/>
    <w:charset w:val="00"/>
    <w:family w:val="swiss"/>
    <w:pitch w:val="variable"/>
    <w:sig w:usb0="E00002EF" w:usb1="4000205B" w:usb2="00000028" w:usb3="00000000" w:csb0="0000019F" w:csb1="00000000"/>
  </w:font>
  <w:font w:name="Work Sans">
    <w:altName w:val="Calibri"/>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Semi Bold">
    <w:panose1 w:val="000007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ontserrat Ultra Light">
    <w:panose1 w:val="000003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Open Sans Semibold">
    <w:panose1 w:val="020B07060308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54988" w14:textId="7E037ED6" w:rsidR="000A2862" w:rsidRDefault="007573D6">
    <w:pPr>
      <w:pStyle w:val="Footer"/>
    </w:pPr>
    <w:r>
      <w:rPr>
        <w:noProof/>
      </w:rPr>
      <mc:AlternateContent>
        <mc:Choice Requires="wps">
          <w:drawing>
            <wp:anchor distT="0" distB="0" distL="0" distR="0" simplePos="0" relativeHeight="251658241" behindDoc="0" locked="0" layoutInCell="1" allowOverlap="1" wp14:anchorId="6725CD87" wp14:editId="03F23F3F">
              <wp:simplePos x="635" y="635"/>
              <wp:positionH relativeFrom="page">
                <wp:align>center</wp:align>
              </wp:positionH>
              <wp:positionV relativeFrom="page">
                <wp:align>bottom</wp:align>
              </wp:positionV>
              <wp:extent cx="443865" cy="443865"/>
              <wp:effectExtent l="0" t="0" r="635"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A5F724" w14:textId="1E0708FB" w:rsidR="007573D6" w:rsidRPr="007573D6" w:rsidRDefault="007573D6" w:rsidP="007573D6">
                          <w:pPr>
                            <w:rPr>
                              <w:rFonts w:ascii="Calibri" w:eastAsia="Calibri" w:hAnsi="Calibri" w:cs="Calibri"/>
                              <w:noProof/>
                              <w:color w:val="FF0000"/>
                              <w:sz w:val="24"/>
                              <w:szCs w:val="24"/>
                            </w:rPr>
                          </w:pPr>
                          <w:r w:rsidRPr="007573D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25CD87" id="_x0000_t202" coordsize="21600,21600" o:spt="202" path="m,l,21600r21600,l21600,xe">
              <v:stroke joinstyle="miter"/>
              <v:path gradientshapeok="t" o:connecttype="rect"/>
            </v:shapetype>
            <v:shape id="Text Box 5" o:spid="_x0000_s1030" type="#_x0000_t202" alt="OFFICIAL"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4A5F724" w14:textId="1E0708FB" w:rsidR="007573D6" w:rsidRPr="007573D6" w:rsidRDefault="007573D6" w:rsidP="007573D6">
                    <w:pPr>
                      <w:rPr>
                        <w:rFonts w:ascii="Calibri" w:eastAsia="Calibri" w:hAnsi="Calibri" w:cs="Calibri"/>
                        <w:noProof/>
                        <w:color w:val="FF0000"/>
                        <w:sz w:val="24"/>
                        <w:szCs w:val="24"/>
                      </w:rPr>
                    </w:pPr>
                    <w:r w:rsidRPr="007573D6">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ADAF5" w14:textId="02D4AEAF" w:rsidR="007573D6" w:rsidRDefault="007573D6" w:rsidP="005E348B">
    <w:pPr>
      <w:pStyle w:val="Footer"/>
      <w:jc w:val="left"/>
    </w:pPr>
  </w:p>
  <w:sdt>
    <w:sdtPr>
      <w:id w:val="-1196684187"/>
      <w:docPartObj>
        <w:docPartGallery w:val="Page Numbers (Bottom of Page)"/>
        <w:docPartUnique/>
      </w:docPartObj>
    </w:sdtPr>
    <w:sdtEndPr>
      <w:rPr>
        <w:noProof/>
      </w:rPr>
    </w:sdtEndPr>
    <w:sdtContent>
      <w:sdt>
        <w:sdtPr>
          <w:id w:val="-2088140063"/>
          <w:docPartObj>
            <w:docPartGallery w:val="Page Numbers (Bottom of Page)"/>
            <w:docPartUnique/>
          </w:docPartObj>
        </w:sdtPr>
        <w:sdtEndPr>
          <w:rPr>
            <w:rFonts w:ascii="Open Sans" w:hAnsi="Open Sans" w:cs="Open Sans"/>
            <w:color w:val="auto"/>
            <w:sz w:val="14"/>
            <w:szCs w:val="14"/>
          </w:rPr>
        </w:sdtEndPr>
        <w:sdtContent>
          <w:p w14:paraId="2DE7AEB2" w14:textId="75508495" w:rsidR="005E348B" w:rsidRPr="00E862C1" w:rsidRDefault="005E348B" w:rsidP="005E348B">
            <w:pPr>
              <w:pStyle w:val="Footer"/>
              <w:jc w:val="left"/>
              <w:rPr>
                <w:rFonts w:ascii="Open Sans" w:hAnsi="Open Sans" w:cs="Open Sans"/>
                <w:color w:val="auto"/>
                <w:sz w:val="14"/>
                <w:szCs w:val="14"/>
              </w:rPr>
            </w:pPr>
            <w:r w:rsidRPr="009272FF">
              <w:rPr>
                <w:rFonts w:ascii="Open Sans Semibold" w:hAnsi="Open Sans Semibold" w:cs="Open Sans Semibold"/>
                <w:b w:val="0"/>
                <w:bCs/>
                <w:color w:val="006991"/>
                <w:sz w:val="14"/>
                <w:szCs w:val="14"/>
              </w:rPr>
              <w:t>Commonwealth Grants Commission</w:t>
            </w:r>
            <w:r w:rsidRPr="00F7581A">
              <w:rPr>
                <w:rFonts w:ascii="Work Sans" w:hAnsi="Work Sans"/>
                <w:color w:val="006991"/>
                <w:sz w:val="14"/>
                <w:szCs w:val="14"/>
              </w:rPr>
              <w:t xml:space="preserve"> </w:t>
            </w:r>
            <w:r w:rsidRPr="009272FF">
              <w:rPr>
                <w:rFonts w:ascii="Open Sans" w:hAnsi="Open Sans" w:cs="Open Sans"/>
                <w:b w:val="0"/>
                <w:bCs/>
                <w:color w:val="auto"/>
                <w:sz w:val="14"/>
                <w:szCs w:val="14"/>
              </w:rPr>
              <w:t xml:space="preserve">2025 Methodology Review </w:t>
            </w:r>
            <w:r w:rsidR="005556E0">
              <w:rPr>
                <w:rFonts w:ascii="Open Sans" w:hAnsi="Open Sans" w:cs="Open Sans"/>
                <w:b w:val="0"/>
                <w:bCs/>
                <w:color w:val="auto"/>
                <w:sz w:val="14"/>
                <w:szCs w:val="14"/>
              </w:rPr>
              <w:t>–</w:t>
            </w:r>
            <w:r w:rsidRPr="009272FF">
              <w:rPr>
                <w:rFonts w:ascii="Open Sans" w:hAnsi="Open Sans" w:cs="Open Sans"/>
                <w:b w:val="0"/>
                <w:bCs/>
                <w:color w:val="auto"/>
                <w:sz w:val="14"/>
                <w:szCs w:val="14"/>
              </w:rPr>
              <w:t xml:space="preserve"> </w:t>
            </w:r>
            <w:r w:rsidR="005556E0">
              <w:rPr>
                <w:rFonts w:ascii="Open Sans" w:hAnsi="Open Sans" w:cs="Open Sans"/>
                <w:b w:val="0"/>
                <w:bCs/>
                <w:color w:val="auto"/>
                <w:sz w:val="14"/>
                <w:szCs w:val="14"/>
              </w:rPr>
              <w:t xml:space="preserve">Review </w:t>
            </w:r>
            <w:r w:rsidR="00DF20C8">
              <w:rPr>
                <w:rFonts w:ascii="Open Sans" w:hAnsi="Open Sans" w:cs="Open Sans"/>
                <w:b w:val="0"/>
                <w:bCs/>
                <w:color w:val="auto"/>
                <w:sz w:val="14"/>
                <w:szCs w:val="14"/>
              </w:rPr>
              <w:t>O</w:t>
            </w:r>
            <w:r w:rsidR="005556E0">
              <w:rPr>
                <w:rFonts w:ascii="Open Sans" w:hAnsi="Open Sans" w:cs="Open Sans"/>
                <w:b w:val="0"/>
                <w:bCs/>
                <w:color w:val="auto"/>
                <w:sz w:val="14"/>
                <w:szCs w:val="14"/>
              </w:rPr>
              <w:t>utcomes</w:t>
            </w:r>
            <w:r>
              <w:rPr>
                <w:rFonts w:ascii="Open Sans" w:hAnsi="Open Sans" w:cs="Open Sans"/>
                <w:b w:val="0"/>
                <w:bCs/>
                <w:color w:val="auto"/>
                <w:sz w:val="14"/>
                <w:szCs w:val="14"/>
              </w:rPr>
              <w:tab/>
            </w:r>
          </w:p>
        </w:sdtContent>
      </w:sdt>
      <w:p w14:paraId="30722D57" w14:textId="3F5B8493" w:rsidR="005B6B61" w:rsidRDefault="00000000" w:rsidP="00D22166">
        <w:pPr>
          <w:pStyle w:val="Footer"/>
        </w:pPr>
      </w:p>
    </w:sdtContent>
  </w:sdt>
  <w:p w14:paraId="2742424A" w14:textId="77777777" w:rsidR="00C66676" w:rsidRDefault="00C6667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4788E" w14:textId="6DC45BD5" w:rsidR="000A2862" w:rsidRDefault="007573D6">
    <w:pPr>
      <w:pStyle w:val="Footer"/>
    </w:pPr>
    <w:r>
      <w:rPr>
        <w:noProof/>
      </w:rPr>
      <mc:AlternateContent>
        <mc:Choice Requires="wps">
          <w:drawing>
            <wp:anchor distT="0" distB="0" distL="0" distR="0" simplePos="0" relativeHeight="251658243" behindDoc="0" locked="0" layoutInCell="1" allowOverlap="1" wp14:anchorId="2103F869" wp14:editId="5F8EE922">
              <wp:simplePos x="635" y="635"/>
              <wp:positionH relativeFrom="page">
                <wp:align>center</wp:align>
              </wp:positionH>
              <wp:positionV relativeFrom="page">
                <wp:align>bottom</wp:align>
              </wp:positionV>
              <wp:extent cx="443865" cy="443865"/>
              <wp:effectExtent l="0" t="0" r="635"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CB8E82" w14:textId="622714F3" w:rsidR="007573D6" w:rsidRPr="007573D6" w:rsidRDefault="007573D6" w:rsidP="007573D6">
                          <w:pPr>
                            <w:rPr>
                              <w:rFonts w:ascii="Calibri" w:eastAsia="Calibri" w:hAnsi="Calibri" w:cs="Calibri"/>
                              <w:noProof/>
                              <w:color w:val="FF0000"/>
                              <w:sz w:val="24"/>
                              <w:szCs w:val="24"/>
                            </w:rPr>
                          </w:pPr>
                          <w:r w:rsidRPr="007573D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03F869" id="_x0000_t202" coordsize="21600,21600" o:spt="202" path="m,l,21600r21600,l21600,xe">
              <v:stroke joinstyle="miter"/>
              <v:path gradientshapeok="t" o:connecttype="rect"/>
            </v:shapetype>
            <v:shape id="Text Box 4" o:spid="_x0000_s1033" type="#_x0000_t202" alt="OFFICIAL" style="position:absolute;left:0;text-align:left;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ECB8E82" w14:textId="622714F3" w:rsidR="007573D6" w:rsidRPr="007573D6" w:rsidRDefault="007573D6" w:rsidP="007573D6">
                    <w:pPr>
                      <w:rPr>
                        <w:rFonts w:ascii="Calibri" w:eastAsia="Calibri" w:hAnsi="Calibri" w:cs="Calibri"/>
                        <w:noProof/>
                        <w:color w:val="FF0000"/>
                        <w:sz w:val="24"/>
                        <w:szCs w:val="24"/>
                      </w:rPr>
                    </w:pPr>
                    <w:r w:rsidRPr="007573D6">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8D5C4" w14:textId="77777777" w:rsidR="00635524" w:rsidRPr="001C1AC5" w:rsidRDefault="00635524">
      <w:pPr>
        <w:rPr>
          <w:color w:val="ADD6EA"/>
        </w:rPr>
      </w:pPr>
      <w:r w:rsidRPr="001C1AC5">
        <w:rPr>
          <w:color w:val="ADD6EA"/>
        </w:rPr>
        <w:separator/>
      </w:r>
    </w:p>
    <w:p w14:paraId="7F5D7327" w14:textId="77777777" w:rsidR="00635524" w:rsidRDefault="00635524"/>
  </w:footnote>
  <w:footnote w:type="continuationSeparator" w:id="0">
    <w:p w14:paraId="0580FCE0" w14:textId="77777777" w:rsidR="00635524" w:rsidRDefault="00635524">
      <w:r>
        <w:continuationSeparator/>
      </w:r>
    </w:p>
    <w:p w14:paraId="4071C889" w14:textId="77777777" w:rsidR="00635524" w:rsidRDefault="00635524"/>
  </w:footnote>
  <w:footnote w:type="continuationNotice" w:id="1">
    <w:p w14:paraId="3A80902D" w14:textId="77777777" w:rsidR="00635524" w:rsidRDefault="00635524">
      <w:pPr>
        <w:spacing w:before="0" w:line="240" w:lineRule="auto"/>
      </w:pPr>
    </w:p>
    <w:p w14:paraId="7127D959" w14:textId="77777777" w:rsidR="00635524" w:rsidRDefault="006355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45B23" w14:textId="39A895F2" w:rsidR="000A2862" w:rsidRDefault="007573D6">
    <w:pPr>
      <w:pStyle w:val="Header"/>
    </w:pPr>
    <w:r>
      <w:rPr>
        <w:noProof/>
      </w:rPr>
      <mc:AlternateContent>
        <mc:Choice Requires="wps">
          <w:drawing>
            <wp:anchor distT="0" distB="0" distL="0" distR="0" simplePos="0" relativeHeight="251658240" behindDoc="0" locked="0" layoutInCell="1" allowOverlap="1" wp14:anchorId="138D2655" wp14:editId="42EE18F2">
              <wp:simplePos x="635" y="635"/>
              <wp:positionH relativeFrom="page">
                <wp:align>center</wp:align>
              </wp:positionH>
              <wp:positionV relativeFrom="page">
                <wp:align>top</wp:align>
              </wp:positionV>
              <wp:extent cx="443865" cy="443865"/>
              <wp:effectExtent l="0" t="0" r="635" b="1270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4C17B3" w14:textId="3F361D39" w:rsidR="007573D6" w:rsidRPr="007573D6" w:rsidRDefault="007573D6" w:rsidP="007573D6">
                          <w:pPr>
                            <w:rPr>
                              <w:rFonts w:ascii="Calibri" w:eastAsia="Calibri" w:hAnsi="Calibri" w:cs="Calibri"/>
                              <w:noProof/>
                              <w:color w:val="FF0000"/>
                              <w:sz w:val="24"/>
                              <w:szCs w:val="24"/>
                            </w:rPr>
                          </w:pPr>
                          <w:r w:rsidRPr="007573D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8D2655" id="_x0000_t202" coordsize="21600,21600" o:spt="202" path="m,l,21600r21600,l21600,xe">
              <v:stroke joinstyle="miter"/>
              <v:path gradientshapeok="t" o:connecttype="rect"/>
            </v:shapetype>
            <v:shape id="Text Box 2" o:spid="_x0000_s1028" type="#_x0000_t202" alt="OFFICIAL"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14C17B3" w14:textId="3F361D39" w:rsidR="007573D6" w:rsidRPr="007573D6" w:rsidRDefault="007573D6" w:rsidP="007573D6">
                    <w:pPr>
                      <w:rPr>
                        <w:rFonts w:ascii="Calibri" w:eastAsia="Calibri" w:hAnsi="Calibri" w:cs="Calibri"/>
                        <w:noProof/>
                        <w:color w:val="FF0000"/>
                        <w:sz w:val="24"/>
                        <w:szCs w:val="24"/>
                      </w:rPr>
                    </w:pPr>
                    <w:r w:rsidRPr="007573D6">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C7EE9" w14:textId="22964639" w:rsidR="000A2862" w:rsidRDefault="007573D6">
    <w:pPr>
      <w:pStyle w:val="Header"/>
    </w:pPr>
    <w:r>
      <w:rPr>
        <w:noProof/>
      </w:rPr>
      <mc:AlternateContent>
        <mc:Choice Requires="wps">
          <w:drawing>
            <wp:anchor distT="0" distB="0" distL="0" distR="0" simplePos="0" relativeHeight="251658242" behindDoc="0" locked="0" layoutInCell="1" allowOverlap="1" wp14:anchorId="7A10B4A5" wp14:editId="46E96387">
              <wp:simplePos x="635" y="635"/>
              <wp:positionH relativeFrom="page">
                <wp:align>center</wp:align>
              </wp:positionH>
              <wp:positionV relativeFrom="page">
                <wp:align>top</wp:align>
              </wp:positionV>
              <wp:extent cx="443865" cy="443865"/>
              <wp:effectExtent l="0" t="0" r="635" b="1270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749760" w14:textId="5DE02486" w:rsidR="007573D6" w:rsidRPr="007573D6" w:rsidRDefault="007573D6" w:rsidP="007573D6">
                          <w:pPr>
                            <w:rPr>
                              <w:rFonts w:ascii="Calibri" w:eastAsia="Calibri" w:hAnsi="Calibri" w:cs="Calibri"/>
                              <w:noProof/>
                              <w:color w:val="FF0000"/>
                              <w:sz w:val="24"/>
                              <w:szCs w:val="24"/>
                            </w:rPr>
                          </w:pPr>
                          <w:r w:rsidRPr="007573D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10B4A5" id="_x0000_t202" coordsize="21600,21600" o:spt="202" path="m,l,21600r21600,l21600,xe">
              <v:stroke joinstyle="miter"/>
              <v:path gradientshapeok="t" o:connecttype="rect"/>
            </v:shapetype>
            <v:shape id="Text Box 1" o:spid="_x0000_s1032" type="#_x0000_t202" alt="OFFICIAL"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2749760" w14:textId="5DE02486" w:rsidR="007573D6" w:rsidRPr="007573D6" w:rsidRDefault="007573D6" w:rsidP="007573D6">
                    <w:pPr>
                      <w:rPr>
                        <w:rFonts w:ascii="Calibri" w:eastAsia="Calibri" w:hAnsi="Calibri" w:cs="Calibri"/>
                        <w:noProof/>
                        <w:color w:val="FF0000"/>
                        <w:sz w:val="24"/>
                        <w:szCs w:val="24"/>
                      </w:rPr>
                    </w:pPr>
                    <w:r w:rsidRPr="007573D6">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161D"/>
    <w:multiLevelType w:val="hybridMultilevel"/>
    <w:tmpl w:val="D9CAB28C"/>
    <w:lvl w:ilvl="0" w:tplc="2B7CBD9E">
      <w:start w:val="1"/>
      <w:numFmt w:val="lowerRoman"/>
      <w:pStyle w:val="CGCBullet3"/>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4412F81"/>
    <w:multiLevelType w:val="hybridMultilevel"/>
    <w:tmpl w:val="3FC6F610"/>
    <w:lvl w:ilvl="0" w:tplc="4CE8D1C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3D7BB4"/>
    <w:multiLevelType w:val="multilevel"/>
    <w:tmpl w:val="9F66B924"/>
    <w:lvl w:ilvl="0">
      <w:start w:val="1"/>
      <w:numFmt w:val="decimal"/>
      <w:suff w:val="space"/>
      <w:lvlText w:val="Chapter %1"/>
      <w:lvlJc w:val="left"/>
      <w:pPr>
        <w:ind w:left="0" w:firstLine="0"/>
      </w:pPr>
      <w:rPr>
        <w:rFonts w:hint="default"/>
      </w:rPr>
    </w:lvl>
    <w:lvl w:ilvl="1">
      <w:start w:val="1"/>
      <w:numFmt w:val="decimal"/>
      <w:pStyle w:val="CGCNumberedPara"/>
      <w:lvlText w:val="%2"/>
      <w:lvlJc w:val="left"/>
      <w:pPr>
        <w:tabs>
          <w:tab w:val="num" w:pos="567"/>
        </w:tabs>
        <w:ind w:left="567" w:hanging="567"/>
      </w:p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15BF05D3"/>
    <w:multiLevelType w:val="hybridMultilevel"/>
    <w:tmpl w:val="970C0F1A"/>
    <w:lvl w:ilvl="0" w:tplc="034498D4">
      <w:start w:val="1"/>
      <w:numFmt w:val="bullet"/>
      <w:pStyle w:val="CGCBullet2"/>
      <w:lvlText w:val=""/>
      <w:lvlJc w:val="left"/>
      <w:pPr>
        <w:ind w:left="865" w:hanging="360"/>
      </w:pPr>
      <w:rPr>
        <w:rFonts w:ascii="Symbol" w:hAnsi="Symbol" w:hint="default"/>
        <w:b/>
        <w:color w:val="636466"/>
      </w:rPr>
    </w:lvl>
    <w:lvl w:ilvl="1" w:tplc="0C090003" w:tentative="1">
      <w:start w:val="1"/>
      <w:numFmt w:val="bullet"/>
      <w:lvlText w:val="o"/>
      <w:lvlJc w:val="left"/>
      <w:pPr>
        <w:ind w:left="1094" w:hanging="360"/>
      </w:pPr>
      <w:rPr>
        <w:rFonts w:ascii="Courier New" w:hAnsi="Courier New" w:cs="Courier New" w:hint="default"/>
      </w:rPr>
    </w:lvl>
    <w:lvl w:ilvl="2" w:tplc="0C090005" w:tentative="1">
      <w:start w:val="1"/>
      <w:numFmt w:val="bullet"/>
      <w:lvlText w:val=""/>
      <w:lvlJc w:val="left"/>
      <w:pPr>
        <w:ind w:left="1814" w:hanging="360"/>
      </w:pPr>
      <w:rPr>
        <w:rFonts w:ascii="Wingdings" w:hAnsi="Wingdings" w:hint="default"/>
      </w:rPr>
    </w:lvl>
    <w:lvl w:ilvl="3" w:tplc="0C090001" w:tentative="1">
      <w:start w:val="1"/>
      <w:numFmt w:val="bullet"/>
      <w:lvlText w:val=""/>
      <w:lvlJc w:val="left"/>
      <w:pPr>
        <w:ind w:left="2534" w:hanging="360"/>
      </w:pPr>
      <w:rPr>
        <w:rFonts w:ascii="Symbol" w:hAnsi="Symbol" w:hint="default"/>
      </w:rPr>
    </w:lvl>
    <w:lvl w:ilvl="4" w:tplc="0C090003" w:tentative="1">
      <w:start w:val="1"/>
      <w:numFmt w:val="bullet"/>
      <w:lvlText w:val="o"/>
      <w:lvlJc w:val="left"/>
      <w:pPr>
        <w:ind w:left="3254" w:hanging="360"/>
      </w:pPr>
      <w:rPr>
        <w:rFonts w:ascii="Courier New" w:hAnsi="Courier New" w:cs="Courier New" w:hint="default"/>
      </w:rPr>
    </w:lvl>
    <w:lvl w:ilvl="5" w:tplc="0C090005" w:tentative="1">
      <w:start w:val="1"/>
      <w:numFmt w:val="bullet"/>
      <w:lvlText w:val=""/>
      <w:lvlJc w:val="left"/>
      <w:pPr>
        <w:ind w:left="3974" w:hanging="360"/>
      </w:pPr>
      <w:rPr>
        <w:rFonts w:ascii="Wingdings" w:hAnsi="Wingdings" w:hint="default"/>
      </w:rPr>
    </w:lvl>
    <w:lvl w:ilvl="6" w:tplc="0C090001" w:tentative="1">
      <w:start w:val="1"/>
      <w:numFmt w:val="bullet"/>
      <w:lvlText w:val=""/>
      <w:lvlJc w:val="left"/>
      <w:pPr>
        <w:ind w:left="4694" w:hanging="360"/>
      </w:pPr>
      <w:rPr>
        <w:rFonts w:ascii="Symbol" w:hAnsi="Symbol" w:hint="default"/>
      </w:rPr>
    </w:lvl>
    <w:lvl w:ilvl="7" w:tplc="0C090003" w:tentative="1">
      <w:start w:val="1"/>
      <w:numFmt w:val="bullet"/>
      <w:lvlText w:val="o"/>
      <w:lvlJc w:val="left"/>
      <w:pPr>
        <w:ind w:left="5414" w:hanging="360"/>
      </w:pPr>
      <w:rPr>
        <w:rFonts w:ascii="Courier New" w:hAnsi="Courier New" w:cs="Courier New" w:hint="default"/>
      </w:rPr>
    </w:lvl>
    <w:lvl w:ilvl="8" w:tplc="0C090005" w:tentative="1">
      <w:start w:val="1"/>
      <w:numFmt w:val="bullet"/>
      <w:lvlText w:val=""/>
      <w:lvlJc w:val="left"/>
      <w:pPr>
        <w:ind w:left="6134" w:hanging="360"/>
      </w:pPr>
      <w:rPr>
        <w:rFonts w:ascii="Wingdings" w:hAnsi="Wingdings" w:hint="default"/>
      </w:rPr>
    </w:lvl>
  </w:abstractNum>
  <w:abstractNum w:abstractNumId="4" w15:restartNumberingAfterBreak="0">
    <w:nsid w:val="17056047"/>
    <w:multiLevelType w:val="multilevel"/>
    <w:tmpl w:val="79CAC724"/>
    <w:lvl w:ilvl="0">
      <w:start w:val="28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E71B9C"/>
    <w:multiLevelType w:val="hybridMultilevel"/>
    <w:tmpl w:val="7110E312"/>
    <w:lvl w:ilvl="0" w:tplc="DB96A0AC">
      <w:start w:val="1"/>
      <w:numFmt w:val="bullet"/>
      <w:pStyle w:val="CGC2025Bullet1"/>
      <w:lvlText w:val=""/>
      <w:lvlJc w:val="left"/>
      <w:pPr>
        <w:ind w:left="927" w:hanging="360"/>
      </w:pPr>
      <w:rPr>
        <w:rFonts w:ascii="Symbol" w:hAnsi="Symbol" w:hint="default"/>
        <w:color w:val="63646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BF4C41"/>
    <w:multiLevelType w:val="hybridMultilevel"/>
    <w:tmpl w:val="06AEC398"/>
    <w:lvl w:ilvl="0" w:tplc="4A1C6924">
      <w:start w:val="1"/>
      <w:numFmt w:val="lowerLetter"/>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7" w15:restartNumberingAfterBreak="0">
    <w:nsid w:val="21F43500"/>
    <w:multiLevelType w:val="hybridMultilevel"/>
    <w:tmpl w:val="DAEC2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AF3A2E"/>
    <w:multiLevelType w:val="multilevel"/>
    <w:tmpl w:val="CA8C0118"/>
    <w:lvl w:ilvl="0">
      <w:start w:val="1"/>
      <w:numFmt w:val="none"/>
      <w:lvlText w:val="%1."/>
      <w:lvlJc w:val="left"/>
      <w:pPr>
        <w:tabs>
          <w:tab w:val="num" w:pos="0"/>
        </w:tabs>
        <w:ind w:left="0" w:firstLine="0"/>
      </w:pPr>
      <w:rPr>
        <w:rFonts w:hint="default"/>
      </w:rPr>
    </w:lvl>
    <w:lvl w:ilvl="1">
      <w:start w:val="1"/>
      <w:numFmt w:val="none"/>
      <w:lvlText w:val="%2"/>
      <w:lvlJc w:val="left"/>
      <w:pPr>
        <w:tabs>
          <w:tab w:val="num" w:pos="720"/>
        </w:tabs>
        <w:ind w:left="720" w:firstLine="0"/>
      </w:pPr>
      <w:rPr>
        <w:rFonts w:hint="default"/>
      </w:rPr>
    </w:lvl>
    <w:lvl w:ilvl="2">
      <w:start w:val="1"/>
      <w:numFmt w:val="none"/>
      <w:lvlText w:val="%3"/>
      <w:lvlJc w:val="left"/>
      <w:pPr>
        <w:tabs>
          <w:tab w:val="num" w:pos="0"/>
        </w:tabs>
        <w:ind w:left="0" w:firstLine="0"/>
      </w:pPr>
      <w:rPr>
        <w:rFonts w:hint="default"/>
      </w:rPr>
    </w:lvl>
    <w:lvl w:ilvl="3">
      <w:start w:val="1"/>
      <w:numFmt w:val="none"/>
      <w:lvlText w:val="%4)"/>
      <w:lvlJc w:val="left"/>
      <w:pPr>
        <w:tabs>
          <w:tab w:val="num" w:pos="2160"/>
        </w:tabs>
        <w:ind w:left="2160" w:firstLine="0"/>
      </w:pPr>
      <w:rPr>
        <w:rFonts w:hint="default"/>
      </w:rPr>
    </w:lvl>
    <w:lvl w:ilvl="4">
      <w:start w:val="1"/>
      <w:numFmt w:val="none"/>
      <w:lvlText w:val="(%5)"/>
      <w:lvlJc w:val="left"/>
      <w:pPr>
        <w:tabs>
          <w:tab w:val="num" w:pos="288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9" w15:restartNumberingAfterBreak="0">
    <w:nsid w:val="284B0243"/>
    <w:multiLevelType w:val="hybridMultilevel"/>
    <w:tmpl w:val="ABDC9036"/>
    <w:lvl w:ilvl="0" w:tplc="2C5075EE">
      <w:start w:val="1"/>
      <w:numFmt w:val="lowerLetter"/>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10" w15:restartNumberingAfterBreak="0">
    <w:nsid w:val="2C8A637F"/>
    <w:multiLevelType w:val="hybridMultilevel"/>
    <w:tmpl w:val="87809C66"/>
    <w:lvl w:ilvl="0" w:tplc="612A049C">
      <w:start w:val="1"/>
      <w:numFmt w:val="decimal"/>
      <w:pStyle w:val="CGC2025Questionsnumbers2"/>
      <w:lvlText w:val="Q%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5A2F29"/>
    <w:multiLevelType w:val="hybridMultilevel"/>
    <w:tmpl w:val="720489BA"/>
    <w:lvl w:ilvl="0" w:tplc="A61AAA14">
      <w:start w:val="1"/>
      <w:numFmt w:val="decimal"/>
      <w:pStyle w:val="CGCParaNumber"/>
      <w:lvlText w:val="%1"/>
      <w:lvlJc w:val="left"/>
      <w:pPr>
        <w:ind w:left="720" w:hanging="360"/>
      </w:pPr>
      <w:rPr>
        <w:rFonts w:ascii="Open Sans Light" w:hAnsi="Open Sans Light" w:hint="default"/>
        <w:b w:val="0"/>
        <w:i w:val="0"/>
        <w:caps w:val="0"/>
        <w:strike w:val="0"/>
        <w:dstrike w:val="0"/>
        <w:vanish w:val="0"/>
        <w:color w:val="000000" w:themeColor="text1"/>
        <w:sz w:val="20"/>
        <w:vertAlign w:val="baseline"/>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7B52DA0"/>
    <w:multiLevelType w:val="multilevel"/>
    <w:tmpl w:val="A310237C"/>
    <w:styleLink w:val="CGCConsultQuestion"/>
    <w:lvl w:ilvl="0">
      <w:start w:val="1"/>
      <w:numFmt w:val="decimal"/>
      <w:lvlText w:val="Q%1."/>
      <w:lvlJc w:val="left"/>
      <w:pPr>
        <w:ind w:left="454" w:hanging="454"/>
      </w:pPr>
      <w:rPr>
        <w:rFonts w:ascii="Work Sans" w:hAnsi="Work Sans"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CDF4199"/>
    <w:multiLevelType w:val="hybridMultilevel"/>
    <w:tmpl w:val="99062688"/>
    <w:lvl w:ilvl="0" w:tplc="F3F48994">
      <w:start w:val="1"/>
      <w:numFmt w:val="bullet"/>
      <w:pStyle w:val="CGCQuotationBullet"/>
      <w:lvlText w:val=""/>
      <w:lvlJc w:val="left"/>
      <w:pPr>
        <w:tabs>
          <w:tab w:val="num" w:pos="1701"/>
        </w:tabs>
        <w:ind w:left="1701" w:hanging="567"/>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1E2A55"/>
    <w:multiLevelType w:val="multilevel"/>
    <w:tmpl w:val="DCA09BBC"/>
    <w:lvl w:ilvl="0">
      <w:start w:val="1"/>
      <w:numFmt w:val="decimal"/>
      <w:pStyle w:val="CGC2025QuestionNumbers"/>
      <w:lvlText w:val="Q%1."/>
      <w:lvlJc w:val="left"/>
      <w:pPr>
        <w:ind w:left="454" w:hanging="454"/>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2486156"/>
    <w:multiLevelType w:val="hybridMultilevel"/>
    <w:tmpl w:val="B4B4E18C"/>
    <w:lvl w:ilvl="0" w:tplc="04E8AA5A">
      <w:start w:val="1"/>
      <w:numFmt w:val="bullet"/>
      <w:pStyle w:val="CGCBullet1"/>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52EC7905"/>
    <w:multiLevelType w:val="multilevel"/>
    <w:tmpl w:val="217E6940"/>
    <w:lvl w:ilvl="0">
      <w:start w:val="2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774625"/>
    <w:multiLevelType w:val="multilevel"/>
    <w:tmpl w:val="8EACBD80"/>
    <w:lvl w:ilvl="0">
      <w:start w:val="2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4825A6"/>
    <w:multiLevelType w:val="hybridMultilevel"/>
    <w:tmpl w:val="2D822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7C6A46"/>
    <w:multiLevelType w:val="multilevel"/>
    <w:tmpl w:val="27206854"/>
    <w:lvl w:ilvl="0">
      <w:start w:val="1"/>
      <w:numFmt w:val="decimal"/>
      <w:pStyle w:val="BodyCopyWorkSans10"/>
      <w:lvlText w:val="Q%1."/>
      <w:lvlJc w:val="left"/>
      <w:pPr>
        <w:ind w:left="454" w:hanging="454"/>
      </w:pPr>
      <w:rPr>
        <w:rFonts w:ascii="Work Sans" w:hAnsi="Work Sans"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6B56961"/>
    <w:multiLevelType w:val="hybridMultilevel"/>
    <w:tmpl w:val="4BB6122E"/>
    <w:lvl w:ilvl="0" w:tplc="8A0205E8">
      <w:start w:val="1"/>
      <w:numFmt w:val="bullet"/>
      <w:pStyle w:val="CGCQuoteBullet"/>
      <w:lvlText w:val=""/>
      <w:lvlJc w:val="left"/>
      <w:pPr>
        <w:ind w:left="1741" w:hanging="360"/>
      </w:pPr>
      <w:rPr>
        <w:rFonts w:ascii="Symbol" w:hAnsi="Symbol" w:hint="default"/>
        <w:color w:val="5CA5C2"/>
      </w:rPr>
    </w:lvl>
    <w:lvl w:ilvl="1" w:tplc="0C090003" w:tentative="1">
      <w:start w:val="1"/>
      <w:numFmt w:val="bullet"/>
      <w:lvlText w:val="o"/>
      <w:lvlJc w:val="left"/>
      <w:pPr>
        <w:ind w:left="2461" w:hanging="360"/>
      </w:pPr>
      <w:rPr>
        <w:rFonts w:ascii="Courier New" w:hAnsi="Courier New" w:cs="Courier New" w:hint="default"/>
      </w:rPr>
    </w:lvl>
    <w:lvl w:ilvl="2" w:tplc="0C090005" w:tentative="1">
      <w:start w:val="1"/>
      <w:numFmt w:val="bullet"/>
      <w:lvlText w:val=""/>
      <w:lvlJc w:val="left"/>
      <w:pPr>
        <w:ind w:left="3181" w:hanging="360"/>
      </w:pPr>
      <w:rPr>
        <w:rFonts w:ascii="Wingdings" w:hAnsi="Wingdings" w:hint="default"/>
      </w:rPr>
    </w:lvl>
    <w:lvl w:ilvl="3" w:tplc="0C090001" w:tentative="1">
      <w:start w:val="1"/>
      <w:numFmt w:val="bullet"/>
      <w:lvlText w:val=""/>
      <w:lvlJc w:val="left"/>
      <w:pPr>
        <w:ind w:left="3901" w:hanging="360"/>
      </w:pPr>
      <w:rPr>
        <w:rFonts w:ascii="Symbol" w:hAnsi="Symbol" w:hint="default"/>
      </w:rPr>
    </w:lvl>
    <w:lvl w:ilvl="4" w:tplc="0C090003" w:tentative="1">
      <w:start w:val="1"/>
      <w:numFmt w:val="bullet"/>
      <w:lvlText w:val="o"/>
      <w:lvlJc w:val="left"/>
      <w:pPr>
        <w:ind w:left="4621" w:hanging="360"/>
      </w:pPr>
      <w:rPr>
        <w:rFonts w:ascii="Courier New" w:hAnsi="Courier New" w:cs="Courier New" w:hint="default"/>
      </w:rPr>
    </w:lvl>
    <w:lvl w:ilvl="5" w:tplc="0C090005" w:tentative="1">
      <w:start w:val="1"/>
      <w:numFmt w:val="bullet"/>
      <w:lvlText w:val=""/>
      <w:lvlJc w:val="left"/>
      <w:pPr>
        <w:ind w:left="5341" w:hanging="360"/>
      </w:pPr>
      <w:rPr>
        <w:rFonts w:ascii="Wingdings" w:hAnsi="Wingdings" w:hint="default"/>
      </w:rPr>
    </w:lvl>
    <w:lvl w:ilvl="6" w:tplc="0C090001" w:tentative="1">
      <w:start w:val="1"/>
      <w:numFmt w:val="bullet"/>
      <w:lvlText w:val=""/>
      <w:lvlJc w:val="left"/>
      <w:pPr>
        <w:ind w:left="6061" w:hanging="360"/>
      </w:pPr>
      <w:rPr>
        <w:rFonts w:ascii="Symbol" w:hAnsi="Symbol" w:hint="default"/>
      </w:rPr>
    </w:lvl>
    <w:lvl w:ilvl="7" w:tplc="0C090003" w:tentative="1">
      <w:start w:val="1"/>
      <w:numFmt w:val="bullet"/>
      <w:lvlText w:val="o"/>
      <w:lvlJc w:val="left"/>
      <w:pPr>
        <w:ind w:left="6781" w:hanging="360"/>
      </w:pPr>
      <w:rPr>
        <w:rFonts w:ascii="Courier New" w:hAnsi="Courier New" w:cs="Courier New" w:hint="default"/>
      </w:rPr>
    </w:lvl>
    <w:lvl w:ilvl="8" w:tplc="0C090005" w:tentative="1">
      <w:start w:val="1"/>
      <w:numFmt w:val="bullet"/>
      <w:lvlText w:val=""/>
      <w:lvlJc w:val="left"/>
      <w:pPr>
        <w:ind w:left="7501" w:hanging="360"/>
      </w:pPr>
      <w:rPr>
        <w:rFonts w:ascii="Wingdings" w:hAnsi="Wingdings" w:hint="default"/>
      </w:rPr>
    </w:lvl>
  </w:abstractNum>
  <w:abstractNum w:abstractNumId="21" w15:restartNumberingAfterBreak="0">
    <w:nsid w:val="6D517EA6"/>
    <w:multiLevelType w:val="multilevel"/>
    <w:tmpl w:val="8CEE0058"/>
    <w:lvl w:ilvl="0">
      <w:start w:val="1"/>
      <w:numFmt w:val="bullet"/>
      <w:pStyle w:val="CGCBulletlist"/>
      <w:lvlText w:val=""/>
      <w:lvlJc w:val="left"/>
      <w:pPr>
        <w:tabs>
          <w:tab w:val="num" w:pos="927"/>
        </w:tabs>
        <w:ind w:left="927" w:hanging="360"/>
      </w:pPr>
      <w:rPr>
        <w:rFonts w:ascii="Symbol" w:hAnsi="Symbol" w:hint="default"/>
      </w:rPr>
    </w:lvl>
    <w:lvl w:ilvl="1">
      <w:start w:val="1"/>
      <w:numFmt w:val="lowerLetter"/>
      <w:lvlText w:val="%2)"/>
      <w:lvlJc w:val="left"/>
      <w:pPr>
        <w:tabs>
          <w:tab w:val="num" w:pos="1593"/>
        </w:tabs>
        <w:ind w:left="1593" w:hanging="360"/>
      </w:pPr>
      <w:rPr>
        <w:rFonts w:hint="default"/>
      </w:rPr>
    </w:lvl>
    <w:lvl w:ilvl="2">
      <w:start w:val="1"/>
      <w:numFmt w:val="lowerRoman"/>
      <w:lvlText w:val="%3)"/>
      <w:lvlJc w:val="left"/>
      <w:pPr>
        <w:tabs>
          <w:tab w:val="num" w:pos="1953"/>
        </w:tabs>
        <w:ind w:left="1953" w:hanging="360"/>
      </w:pPr>
      <w:rPr>
        <w:rFonts w:hint="default"/>
      </w:rPr>
    </w:lvl>
    <w:lvl w:ilvl="3">
      <w:start w:val="1"/>
      <w:numFmt w:val="decimal"/>
      <w:lvlText w:val="(%4)"/>
      <w:lvlJc w:val="left"/>
      <w:pPr>
        <w:tabs>
          <w:tab w:val="num" w:pos="2313"/>
        </w:tabs>
        <w:ind w:left="2313" w:hanging="360"/>
      </w:pPr>
      <w:rPr>
        <w:rFonts w:hint="default"/>
      </w:rPr>
    </w:lvl>
    <w:lvl w:ilvl="4">
      <w:start w:val="1"/>
      <w:numFmt w:val="lowerLetter"/>
      <w:lvlText w:val="(%5)"/>
      <w:lvlJc w:val="left"/>
      <w:pPr>
        <w:tabs>
          <w:tab w:val="num" w:pos="2673"/>
        </w:tabs>
        <w:ind w:left="2673" w:hanging="360"/>
      </w:pPr>
      <w:rPr>
        <w:rFonts w:hint="default"/>
      </w:rPr>
    </w:lvl>
    <w:lvl w:ilvl="5">
      <w:start w:val="1"/>
      <w:numFmt w:val="lowerRoman"/>
      <w:lvlText w:val="(%6)"/>
      <w:lvlJc w:val="left"/>
      <w:pPr>
        <w:tabs>
          <w:tab w:val="num" w:pos="3033"/>
        </w:tabs>
        <w:ind w:left="3033" w:hanging="360"/>
      </w:pPr>
      <w:rPr>
        <w:rFonts w:hint="default"/>
      </w:rPr>
    </w:lvl>
    <w:lvl w:ilvl="6">
      <w:start w:val="1"/>
      <w:numFmt w:val="decimal"/>
      <w:lvlText w:val="%7."/>
      <w:lvlJc w:val="left"/>
      <w:pPr>
        <w:tabs>
          <w:tab w:val="num" w:pos="3393"/>
        </w:tabs>
        <w:ind w:left="3393" w:hanging="360"/>
      </w:pPr>
      <w:rPr>
        <w:rFonts w:hint="default"/>
      </w:rPr>
    </w:lvl>
    <w:lvl w:ilvl="7">
      <w:start w:val="1"/>
      <w:numFmt w:val="lowerLetter"/>
      <w:lvlText w:val="%8."/>
      <w:lvlJc w:val="left"/>
      <w:pPr>
        <w:tabs>
          <w:tab w:val="num" w:pos="3753"/>
        </w:tabs>
        <w:ind w:left="3753" w:hanging="360"/>
      </w:pPr>
      <w:rPr>
        <w:rFonts w:hint="default"/>
      </w:rPr>
    </w:lvl>
    <w:lvl w:ilvl="8">
      <w:start w:val="1"/>
      <w:numFmt w:val="lowerRoman"/>
      <w:lvlText w:val="%9."/>
      <w:lvlJc w:val="left"/>
      <w:pPr>
        <w:tabs>
          <w:tab w:val="num" w:pos="4113"/>
        </w:tabs>
        <w:ind w:left="4113" w:hanging="360"/>
      </w:pPr>
      <w:rPr>
        <w:rFonts w:hint="default"/>
      </w:rPr>
    </w:lvl>
  </w:abstractNum>
  <w:abstractNum w:abstractNumId="22" w15:restartNumberingAfterBreak="0">
    <w:nsid w:val="77D62F87"/>
    <w:multiLevelType w:val="hybridMultilevel"/>
    <w:tmpl w:val="E332B1EE"/>
    <w:lvl w:ilvl="0" w:tplc="7898E74C">
      <w:start w:val="1"/>
      <w:numFmt w:val="bullet"/>
      <w:pStyle w:val="CGCSubbulletlist"/>
      <w:lvlText w:val=""/>
      <w:lvlJc w:val="left"/>
      <w:pPr>
        <w:tabs>
          <w:tab w:val="num" w:pos="927"/>
        </w:tabs>
        <w:ind w:left="1134" w:firstLine="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649357354">
    <w:abstractNumId w:val="8"/>
  </w:num>
  <w:num w:numId="2" w16cid:durableId="1003897054">
    <w:abstractNumId w:val="22"/>
  </w:num>
  <w:num w:numId="3" w16cid:durableId="1334529044">
    <w:abstractNumId w:val="5"/>
  </w:num>
  <w:num w:numId="4" w16cid:durableId="1514761234">
    <w:abstractNumId w:val="3"/>
  </w:num>
  <w:num w:numId="5" w16cid:durableId="920797300">
    <w:abstractNumId w:val="0"/>
  </w:num>
  <w:num w:numId="6" w16cid:durableId="1807814447">
    <w:abstractNumId w:val="20"/>
  </w:num>
  <w:num w:numId="7" w16cid:durableId="801770153">
    <w:abstractNumId w:val="11"/>
  </w:num>
  <w:num w:numId="8" w16cid:durableId="1737627722">
    <w:abstractNumId w:val="21"/>
  </w:num>
  <w:num w:numId="9" w16cid:durableId="176697617">
    <w:abstractNumId w:val="2"/>
  </w:num>
  <w:num w:numId="10" w16cid:durableId="1408111535">
    <w:abstractNumId w:val="12"/>
  </w:num>
  <w:num w:numId="11" w16cid:durableId="2080126907">
    <w:abstractNumId w:val="14"/>
  </w:num>
  <w:num w:numId="12" w16cid:durableId="58332428">
    <w:abstractNumId w:val="10"/>
  </w:num>
  <w:num w:numId="13" w16cid:durableId="522092457">
    <w:abstractNumId w:val="19"/>
  </w:num>
  <w:num w:numId="14" w16cid:durableId="1594438827">
    <w:abstractNumId w:val="15"/>
  </w:num>
  <w:num w:numId="15" w16cid:durableId="1200583849">
    <w:abstractNumId w:val="18"/>
  </w:num>
  <w:num w:numId="16" w16cid:durableId="52854286">
    <w:abstractNumId w:val="7"/>
  </w:num>
  <w:num w:numId="17" w16cid:durableId="128670527">
    <w:abstractNumId w:val="13"/>
  </w:num>
  <w:num w:numId="18" w16cid:durableId="1538620616">
    <w:abstractNumId w:val="1"/>
  </w:num>
  <w:num w:numId="19" w16cid:durableId="2141340525">
    <w:abstractNumId w:val="16"/>
  </w:num>
  <w:num w:numId="20" w16cid:durableId="1727296794">
    <w:abstractNumId w:val="4"/>
  </w:num>
  <w:num w:numId="21" w16cid:durableId="870339183">
    <w:abstractNumId w:val="17"/>
  </w:num>
  <w:num w:numId="22" w16cid:durableId="10806388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60419492">
    <w:abstractNumId w:val="9"/>
  </w:num>
  <w:num w:numId="24" w16cid:durableId="2139956162">
    <w:abstractNumId w:val="2"/>
  </w:num>
  <w:num w:numId="25" w16cid:durableId="715543067">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57"/>
  <w:drawingGridVerticalSpacing w:val="57"/>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980"/>
    <w:rsid w:val="000002C7"/>
    <w:rsid w:val="00000AB2"/>
    <w:rsid w:val="00000C9F"/>
    <w:rsid w:val="00001078"/>
    <w:rsid w:val="00001453"/>
    <w:rsid w:val="000014F2"/>
    <w:rsid w:val="0000161A"/>
    <w:rsid w:val="0000164D"/>
    <w:rsid w:val="00001882"/>
    <w:rsid w:val="0000194A"/>
    <w:rsid w:val="000019C0"/>
    <w:rsid w:val="00001C0A"/>
    <w:rsid w:val="00001D6F"/>
    <w:rsid w:val="00001DA2"/>
    <w:rsid w:val="00001E8B"/>
    <w:rsid w:val="00002144"/>
    <w:rsid w:val="00002214"/>
    <w:rsid w:val="00002269"/>
    <w:rsid w:val="00002356"/>
    <w:rsid w:val="0000249B"/>
    <w:rsid w:val="000025E6"/>
    <w:rsid w:val="000027A8"/>
    <w:rsid w:val="00002923"/>
    <w:rsid w:val="00002C3C"/>
    <w:rsid w:val="00002DEF"/>
    <w:rsid w:val="00002F86"/>
    <w:rsid w:val="000032B9"/>
    <w:rsid w:val="0000365A"/>
    <w:rsid w:val="000036D8"/>
    <w:rsid w:val="0000383D"/>
    <w:rsid w:val="0000386F"/>
    <w:rsid w:val="00003AB5"/>
    <w:rsid w:val="00003C78"/>
    <w:rsid w:val="000042F1"/>
    <w:rsid w:val="000043F9"/>
    <w:rsid w:val="00004598"/>
    <w:rsid w:val="000046FB"/>
    <w:rsid w:val="00004719"/>
    <w:rsid w:val="0000485A"/>
    <w:rsid w:val="00004C5A"/>
    <w:rsid w:val="00004C67"/>
    <w:rsid w:val="000053F8"/>
    <w:rsid w:val="00005759"/>
    <w:rsid w:val="00005831"/>
    <w:rsid w:val="00005AC1"/>
    <w:rsid w:val="00005EEE"/>
    <w:rsid w:val="0000618C"/>
    <w:rsid w:val="0000648D"/>
    <w:rsid w:val="00006934"/>
    <w:rsid w:val="00006990"/>
    <w:rsid w:val="00006C9A"/>
    <w:rsid w:val="00006E30"/>
    <w:rsid w:val="00006F3D"/>
    <w:rsid w:val="0000716C"/>
    <w:rsid w:val="000077EA"/>
    <w:rsid w:val="00007899"/>
    <w:rsid w:val="00007AB8"/>
    <w:rsid w:val="00007B6C"/>
    <w:rsid w:val="00007FD5"/>
    <w:rsid w:val="00010386"/>
    <w:rsid w:val="000105A1"/>
    <w:rsid w:val="00010711"/>
    <w:rsid w:val="00010794"/>
    <w:rsid w:val="00010B75"/>
    <w:rsid w:val="00010CEC"/>
    <w:rsid w:val="00010EFA"/>
    <w:rsid w:val="00010F5B"/>
    <w:rsid w:val="00011786"/>
    <w:rsid w:val="000119DB"/>
    <w:rsid w:val="00011BB3"/>
    <w:rsid w:val="00011C73"/>
    <w:rsid w:val="00011D1A"/>
    <w:rsid w:val="00011DA8"/>
    <w:rsid w:val="00011F76"/>
    <w:rsid w:val="00011F7D"/>
    <w:rsid w:val="000120A6"/>
    <w:rsid w:val="0001218F"/>
    <w:rsid w:val="00012460"/>
    <w:rsid w:val="000129B2"/>
    <w:rsid w:val="00012AC0"/>
    <w:rsid w:val="00012B67"/>
    <w:rsid w:val="00012C74"/>
    <w:rsid w:val="00013623"/>
    <w:rsid w:val="00013B63"/>
    <w:rsid w:val="0001400B"/>
    <w:rsid w:val="000141E3"/>
    <w:rsid w:val="00014486"/>
    <w:rsid w:val="00014864"/>
    <w:rsid w:val="000148C5"/>
    <w:rsid w:val="0001491F"/>
    <w:rsid w:val="00014A8F"/>
    <w:rsid w:val="00014AB0"/>
    <w:rsid w:val="00014AD0"/>
    <w:rsid w:val="00014CB0"/>
    <w:rsid w:val="000150BF"/>
    <w:rsid w:val="00015283"/>
    <w:rsid w:val="00015500"/>
    <w:rsid w:val="000156B2"/>
    <w:rsid w:val="00015818"/>
    <w:rsid w:val="00015A97"/>
    <w:rsid w:val="00015C57"/>
    <w:rsid w:val="00015D0B"/>
    <w:rsid w:val="000162D7"/>
    <w:rsid w:val="000162E7"/>
    <w:rsid w:val="000167F6"/>
    <w:rsid w:val="0001698B"/>
    <w:rsid w:val="00016C62"/>
    <w:rsid w:val="00016E4E"/>
    <w:rsid w:val="00016FE0"/>
    <w:rsid w:val="00016FE9"/>
    <w:rsid w:val="00017640"/>
    <w:rsid w:val="000176D7"/>
    <w:rsid w:val="0001770B"/>
    <w:rsid w:val="000178EF"/>
    <w:rsid w:val="00017E5B"/>
    <w:rsid w:val="00017EB6"/>
    <w:rsid w:val="0002041C"/>
    <w:rsid w:val="000204C9"/>
    <w:rsid w:val="00020799"/>
    <w:rsid w:val="00020A0E"/>
    <w:rsid w:val="00020D21"/>
    <w:rsid w:val="00020DD9"/>
    <w:rsid w:val="00020EA3"/>
    <w:rsid w:val="00021727"/>
    <w:rsid w:val="00021827"/>
    <w:rsid w:val="00021C7A"/>
    <w:rsid w:val="00021D30"/>
    <w:rsid w:val="00021E88"/>
    <w:rsid w:val="0002262F"/>
    <w:rsid w:val="00022855"/>
    <w:rsid w:val="00022C1B"/>
    <w:rsid w:val="00022CE0"/>
    <w:rsid w:val="00022EA9"/>
    <w:rsid w:val="00022EE9"/>
    <w:rsid w:val="00023068"/>
    <w:rsid w:val="00023137"/>
    <w:rsid w:val="0002349D"/>
    <w:rsid w:val="00023B03"/>
    <w:rsid w:val="00023BDB"/>
    <w:rsid w:val="00023C7A"/>
    <w:rsid w:val="00023E4D"/>
    <w:rsid w:val="00024069"/>
    <w:rsid w:val="000246BA"/>
    <w:rsid w:val="000246EB"/>
    <w:rsid w:val="000246FB"/>
    <w:rsid w:val="00024745"/>
    <w:rsid w:val="0002475C"/>
    <w:rsid w:val="00024894"/>
    <w:rsid w:val="00024A4B"/>
    <w:rsid w:val="00024AF7"/>
    <w:rsid w:val="00024CD0"/>
    <w:rsid w:val="00024D5F"/>
    <w:rsid w:val="000251CC"/>
    <w:rsid w:val="00025242"/>
    <w:rsid w:val="00025B1F"/>
    <w:rsid w:val="00025CB3"/>
    <w:rsid w:val="00025D52"/>
    <w:rsid w:val="00025E94"/>
    <w:rsid w:val="0002629C"/>
    <w:rsid w:val="000265A4"/>
    <w:rsid w:val="000267CF"/>
    <w:rsid w:val="00026896"/>
    <w:rsid w:val="000268E0"/>
    <w:rsid w:val="00026A1A"/>
    <w:rsid w:val="00026AD6"/>
    <w:rsid w:val="00026E43"/>
    <w:rsid w:val="00026E62"/>
    <w:rsid w:val="00026E7B"/>
    <w:rsid w:val="000273C6"/>
    <w:rsid w:val="000274F7"/>
    <w:rsid w:val="00027557"/>
    <w:rsid w:val="00027921"/>
    <w:rsid w:val="000279D7"/>
    <w:rsid w:val="00027ABE"/>
    <w:rsid w:val="00027D6A"/>
    <w:rsid w:val="00030097"/>
    <w:rsid w:val="000301A6"/>
    <w:rsid w:val="00030205"/>
    <w:rsid w:val="00030516"/>
    <w:rsid w:val="00030595"/>
    <w:rsid w:val="00030629"/>
    <w:rsid w:val="000306E7"/>
    <w:rsid w:val="00030E66"/>
    <w:rsid w:val="00031648"/>
    <w:rsid w:val="0003175A"/>
    <w:rsid w:val="00031AFE"/>
    <w:rsid w:val="00031B76"/>
    <w:rsid w:val="00031CF4"/>
    <w:rsid w:val="00031CFD"/>
    <w:rsid w:val="00031E8F"/>
    <w:rsid w:val="00032318"/>
    <w:rsid w:val="00032544"/>
    <w:rsid w:val="000326F5"/>
    <w:rsid w:val="000327F7"/>
    <w:rsid w:val="00032856"/>
    <w:rsid w:val="000328A8"/>
    <w:rsid w:val="00032F41"/>
    <w:rsid w:val="00033347"/>
    <w:rsid w:val="0003356A"/>
    <w:rsid w:val="000335BE"/>
    <w:rsid w:val="00033621"/>
    <w:rsid w:val="000338C9"/>
    <w:rsid w:val="00033A71"/>
    <w:rsid w:val="00033C0D"/>
    <w:rsid w:val="0003409C"/>
    <w:rsid w:val="00034455"/>
    <w:rsid w:val="00034622"/>
    <w:rsid w:val="00034652"/>
    <w:rsid w:val="00034916"/>
    <w:rsid w:val="00034DBB"/>
    <w:rsid w:val="00034F08"/>
    <w:rsid w:val="000350A2"/>
    <w:rsid w:val="00035363"/>
    <w:rsid w:val="000355D9"/>
    <w:rsid w:val="000357F9"/>
    <w:rsid w:val="00035B9D"/>
    <w:rsid w:val="000363C5"/>
    <w:rsid w:val="000364E9"/>
    <w:rsid w:val="00036C51"/>
    <w:rsid w:val="00036F1C"/>
    <w:rsid w:val="000370C8"/>
    <w:rsid w:val="00037110"/>
    <w:rsid w:val="000372BA"/>
    <w:rsid w:val="000375E1"/>
    <w:rsid w:val="00037666"/>
    <w:rsid w:val="000377C0"/>
    <w:rsid w:val="00037B3E"/>
    <w:rsid w:val="00040135"/>
    <w:rsid w:val="00040571"/>
    <w:rsid w:val="000405CD"/>
    <w:rsid w:val="00040601"/>
    <w:rsid w:val="000409B8"/>
    <w:rsid w:val="00040CCA"/>
    <w:rsid w:val="00040CE3"/>
    <w:rsid w:val="00040D48"/>
    <w:rsid w:val="00040ED0"/>
    <w:rsid w:val="000410C8"/>
    <w:rsid w:val="00041209"/>
    <w:rsid w:val="0004123E"/>
    <w:rsid w:val="00041299"/>
    <w:rsid w:val="00041748"/>
    <w:rsid w:val="00041E1B"/>
    <w:rsid w:val="00041E84"/>
    <w:rsid w:val="000424EA"/>
    <w:rsid w:val="000424EE"/>
    <w:rsid w:val="0004258C"/>
    <w:rsid w:val="0004275D"/>
    <w:rsid w:val="00042AFB"/>
    <w:rsid w:val="00042EF8"/>
    <w:rsid w:val="0004341A"/>
    <w:rsid w:val="00043A6D"/>
    <w:rsid w:val="00043AB1"/>
    <w:rsid w:val="00043B5D"/>
    <w:rsid w:val="00043CFE"/>
    <w:rsid w:val="000442AA"/>
    <w:rsid w:val="00044479"/>
    <w:rsid w:val="0004456B"/>
    <w:rsid w:val="000447CD"/>
    <w:rsid w:val="00044A9B"/>
    <w:rsid w:val="00044B31"/>
    <w:rsid w:val="000451DA"/>
    <w:rsid w:val="0004569D"/>
    <w:rsid w:val="00045801"/>
    <w:rsid w:val="00045B26"/>
    <w:rsid w:val="00045C11"/>
    <w:rsid w:val="00045F82"/>
    <w:rsid w:val="00046380"/>
    <w:rsid w:val="00046381"/>
    <w:rsid w:val="00046397"/>
    <w:rsid w:val="000463EA"/>
    <w:rsid w:val="000464DE"/>
    <w:rsid w:val="000465BD"/>
    <w:rsid w:val="0004679A"/>
    <w:rsid w:val="00046859"/>
    <w:rsid w:val="00046B06"/>
    <w:rsid w:val="00046F06"/>
    <w:rsid w:val="000470A2"/>
    <w:rsid w:val="0004750F"/>
    <w:rsid w:val="00047690"/>
    <w:rsid w:val="00047856"/>
    <w:rsid w:val="00047951"/>
    <w:rsid w:val="00047AB0"/>
    <w:rsid w:val="00047C03"/>
    <w:rsid w:val="00047CE6"/>
    <w:rsid w:val="00047D27"/>
    <w:rsid w:val="00047DF1"/>
    <w:rsid w:val="00047E5A"/>
    <w:rsid w:val="0005015D"/>
    <w:rsid w:val="0005017B"/>
    <w:rsid w:val="00050843"/>
    <w:rsid w:val="000508D3"/>
    <w:rsid w:val="00050C2C"/>
    <w:rsid w:val="00051114"/>
    <w:rsid w:val="00051B92"/>
    <w:rsid w:val="00051F3C"/>
    <w:rsid w:val="000523ED"/>
    <w:rsid w:val="000525F5"/>
    <w:rsid w:val="00052705"/>
    <w:rsid w:val="00052850"/>
    <w:rsid w:val="0005297B"/>
    <w:rsid w:val="00052DA0"/>
    <w:rsid w:val="00053163"/>
    <w:rsid w:val="00053230"/>
    <w:rsid w:val="0005326C"/>
    <w:rsid w:val="00053480"/>
    <w:rsid w:val="00053512"/>
    <w:rsid w:val="00053581"/>
    <w:rsid w:val="0005377C"/>
    <w:rsid w:val="0005381C"/>
    <w:rsid w:val="000538E9"/>
    <w:rsid w:val="00053C36"/>
    <w:rsid w:val="00053F80"/>
    <w:rsid w:val="00054067"/>
    <w:rsid w:val="000540CC"/>
    <w:rsid w:val="0005410D"/>
    <w:rsid w:val="000541F4"/>
    <w:rsid w:val="00054309"/>
    <w:rsid w:val="00054311"/>
    <w:rsid w:val="000543AB"/>
    <w:rsid w:val="0005450F"/>
    <w:rsid w:val="0005451C"/>
    <w:rsid w:val="00054EFE"/>
    <w:rsid w:val="000554BF"/>
    <w:rsid w:val="000555DB"/>
    <w:rsid w:val="00055999"/>
    <w:rsid w:val="00055A2D"/>
    <w:rsid w:val="00056371"/>
    <w:rsid w:val="00056373"/>
    <w:rsid w:val="000569C8"/>
    <w:rsid w:val="000569CD"/>
    <w:rsid w:val="00056E89"/>
    <w:rsid w:val="000576B1"/>
    <w:rsid w:val="00057762"/>
    <w:rsid w:val="00057A7A"/>
    <w:rsid w:val="00057A9B"/>
    <w:rsid w:val="00057AED"/>
    <w:rsid w:val="00057D13"/>
    <w:rsid w:val="000604C7"/>
    <w:rsid w:val="0006050F"/>
    <w:rsid w:val="000607C2"/>
    <w:rsid w:val="00060A59"/>
    <w:rsid w:val="00060CA5"/>
    <w:rsid w:val="00060E6B"/>
    <w:rsid w:val="0006104A"/>
    <w:rsid w:val="0006107B"/>
    <w:rsid w:val="00061111"/>
    <w:rsid w:val="00061233"/>
    <w:rsid w:val="00061535"/>
    <w:rsid w:val="0006177C"/>
    <w:rsid w:val="00061933"/>
    <w:rsid w:val="00061993"/>
    <w:rsid w:val="00061B8C"/>
    <w:rsid w:val="00062330"/>
    <w:rsid w:val="000624BB"/>
    <w:rsid w:val="00062C57"/>
    <w:rsid w:val="00062D47"/>
    <w:rsid w:val="00062E3E"/>
    <w:rsid w:val="00062EB3"/>
    <w:rsid w:val="00062EE9"/>
    <w:rsid w:val="00062F6A"/>
    <w:rsid w:val="00062F94"/>
    <w:rsid w:val="000633E8"/>
    <w:rsid w:val="00063437"/>
    <w:rsid w:val="0006366E"/>
    <w:rsid w:val="000636CE"/>
    <w:rsid w:val="000641EB"/>
    <w:rsid w:val="00064557"/>
    <w:rsid w:val="000648E8"/>
    <w:rsid w:val="00064CE5"/>
    <w:rsid w:val="0006519E"/>
    <w:rsid w:val="000651D2"/>
    <w:rsid w:val="000653F5"/>
    <w:rsid w:val="000656EC"/>
    <w:rsid w:val="000657A7"/>
    <w:rsid w:val="000657B0"/>
    <w:rsid w:val="00065BF3"/>
    <w:rsid w:val="000661A5"/>
    <w:rsid w:val="000665AB"/>
    <w:rsid w:val="00066BE5"/>
    <w:rsid w:val="00066C63"/>
    <w:rsid w:val="00066D82"/>
    <w:rsid w:val="00066E63"/>
    <w:rsid w:val="00066F8C"/>
    <w:rsid w:val="00066FC9"/>
    <w:rsid w:val="000679BC"/>
    <w:rsid w:val="000702C3"/>
    <w:rsid w:val="00070B45"/>
    <w:rsid w:val="00070CEF"/>
    <w:rsid w:val="00070EA5"/>
    <w:rsid w:val="0007102B"/>
    <w:rsid w:val="0007176E"/>
    <w:rsid w:val="0007185D"/>
    <w:rsid w:val="00071EF7"/>
    <w:rsid w:val="00071F1E"/>
    <w:rsid w:val="0007224B"/>
    <w:rsid w:val="00072373"/>
    <w:rsid w:val="00072741"/>
    <w:rsid w:val="00072B63"/>
    <w:rsid w:val="00072CBE"/>
    <w:rsid w:val="0007310A"/>
    <w:rsid w:val="000731C5"/>
    <w:rsid w:val="0007335C"/>
    <w:rsid w:val="000733D6"/>
    <w:rsid w:val="00073475"/>
    <w:rsid w:val="0007360C"/>
    <w:rsid w:val="000738EB"/>
    <w:rsid w:val="00073944"/>
    <w:rsid w:val="00073BF5"/>
    <w:rsid w:val="00073D9D"/>
    <w:rsid w:val="00073E21"/>
    <w:rsid w:val="00073E7F"/>
    <w:rsid w:val="00073E85"/>
    <w:rsid w:val="00073E92"/>
    <w:rsid w:val="00073FCC"/>
    <w:rsid w:val="00074AE3"/>
    <w:rsid w:val="00075051"/>
    <w:rsid w:val="00075593"/>
    <w:rsid w:val="0007582F"/>
    <w:rsid w:val="000759DF"/>
    <w:rsid w:val="00075F4C"/>
    <w:rsid w:val="00076434"/>
    <w:rsid w:val="00076990"/>
    <w:rsid w:val="00076CDC"/>
    <w:rsid w:val="00076CE4"/>
    <w:rsid w:val="00076DA5"/>
    <w:rsid w:val="000772B1"/>
    <w:rsid w:val="000773FA"/>
    <w:rsid w:val="000779DC"/>
    <w:rsid w:val="00077AAF"/>
    <w:rsid w:val="00077ADE"/>
    <w:rsid w:val="00077BDF"/>
    <w:rsid w:val="00077CC5"/>
    <w:rsid w:val="00077D9A"/>
    <w:rsid w:val="00080439"/>
    <w:rsid w:val="00080573"/>
    <w:rsid w:val="00080784"/>
    <w:rsid w:val="00080895"/>
    <w:rsid w:val="00080B30"/>
    <w:rsid w:val="000812ED"/>
    <w:rsid w:val="000814EE"/>
    <w:rsid w:val="00081636"/>
    <w:rsid w:val="00081696"/>
    <w:rsid w:val="000816E0"/>
    <w:rsid w:val="00081873"/>
    <w:rsid w:val="00081905"/>
    <w:rsid w:val="000819A8"/>
    <w:rsid w:val="00081C3F"/>
    <w:rsid w:val="00081C40"/>
    <w:rsid w:val="00081E45"/>
    <w:rsid w:val="00081F57"/>
    <w:rsid w:val="00081FAD"/>
    <w:rsid w:val="0008208B"/>
    <w:rsid w:val="00082090"/>
    <w:rsid w:val="00082441"/>
    <w:rsid w:val="0008261B"/>
    <w:rsid w:val="00082971"/>
    <w:rsid w:val="00082C2F"/>
    <w:rsid w:val="00082DEF"/>
    <w:rsid w:val="00083022"/>
    <w:rsid w:val="00083837"/>
    <w:rsid w:val="00083842"/>
    <w:rsid w:val="00083858"/>
    <w:rsid w:val="00083B06"/>
    <w:rsid w:val="000840C3"/>
    <w:rsid w:val="00084494"/>
    <w:rsid w:val="0008456B"/>
    <w:rsid w:val="000847BF"/>
    <w:rsid w:val="00084A73"/>
    <w:rsid w:val="00084E18"/>
    <w:rsid w:val="00084EE0"/>
    <w:rsid w:val="000855F4"/>
    <w:rsid w:val="00085698"/>
    <w:rsid w:val="000856D8"/>
    <w:rsid w:val="00085729"/>
    <w:rsid w:val="00085835"/>
    <w:rsid w:val="00085D0E"/>
    <w:rsid w:val="00085D9E"/>
    <w:rsid w:val="00085EA1"/>
    <w:rsid w:val="00086045"/>
    <w:rsid w:val="000861D9"/>
    <w:rsid w:val="000861E8"/>
    <w:rsid w:val="0008651E"/>
    <w:rsid w:val="000865CE"/>
    <w:rsid w:val="0008677E"/>
    <w:rsid w:val="000867DC"/>
    <w:rsid w:val="0008694B"/>
    <w:rsid w:val="000869E1"/>
    <w:rsid w:val="000869F6"/>
    <w:rsid w:val="00086A5C"/>
    <w:rsid w:val="00086B04"/>
    <w:rsid w:val="00086C42"/>
    <w:rsid w:val="00086E62"/>
    <w:rsid w:val="00086E69"/>
    <w:rsid w:val="00086EBC"/>
    <w:rsid w:val="00086F44"/>
    <w:rsid w:val="0008779D"/>
    <w:rsid w:val="00087F7D"/>
    <w:rsid w:val="00087FC4"/>
    <w:rsid w:val="00090324"/>
    <w:rsid w:val="00090362"/>
    <w:rsid w:val="0009057B"/>
    <w:rsid w:val="00090C39"/>
    <w:rsid w:val="00090CCF"/>
    <w:rsid w:val="00090DBA"/>
    <w:rsid w:val="00090DCE"/>
    <w:rsid w:val="000910DA"/>
    <w:rsid w:val="00091177"/>
    <w:rsid w:val="00091962"/>
    <w:rsid w:val="00091AD2"/>
    <w:rsid w:val="00091C4F"/>
    <w:rsid w:val="00091D6E"/>
    <w:rsid w:val="00091E0B"/>
    <w:rsid w:val="000928AF"/>
    <w:rsid w:val="000928EC"/>
    <w:rsid w:val="00093134"/>
    <w:rsid w:val="00093188"/>
    <w:rsid w:val="0009342F"/>
    <w:rsid w:val="00093603"/>
    <w:rsid w:val="00093796"/>
    <w:rsid w:val="00093910"/>
    <w:rsid w:val="0009391F"/>
    <w:rsid w:val="000939CA"/>
    <w:rsid w:val="00094010"/>
    <w:rsid w:val="000943A8"/>
    <w:rsid w:val="00094531"/>
    <w:rsid w:val="00094676"/>
    <w:rsid w:val="000950A8"/>
    <w:rsid w:val="000950F4"/>
    <w:rsid w:val="000952BE"/>
    <w:rsid w:val="0009567D"/>
    <w:rsid w:val="0009569E"/>
    <w:rsid w:val="0009598A"/>
    <w:rsid w:val="00095FB4"/>
    <w:rsid w:val="00096073"/>
    <w:rsid w:val="0009650F"/>
    <w:rsid w:val="00096616"/>
    <w:rsid w:val="000966A1"/>
    <w:rsid w:val="00096896"/>
    <w:rsid w:val="00096A17"/>
    <w:rsid w:val="00096C06"/>
    <w:rsid w:val="00096C31"/>
    <w:rsid w:val="00096E12"/>
    <w:rsid w:val="00096E4E"/>
    <w:rsid w:val="00096F78"/>
    <w:rsid w:val="000970BA"/>
    <w:rsid w:val="00097192"/>
    <w:rsid w:val="0009735B"/>
    <w:rsid w:val="000973A8"/>
    <w:rsid w:val="00097626"/>
    <w:rsid w:val="00097790"/>
    <w:rsid w:val="0009788B"/>
    <w:rsid w:val="00097B39"/>
    <w:rsid w:val="00097B3D"/>
    <w:rsid w:val="00097C01"/>
    <w:rsid w:val="00097CF0"/>
    <w:rsid w:val="00097D78"/>
    <w:rsid w:val="00097F09"/>
    <w:rsid w:val="000A00A7"/>
    <w:rsid w:val="000A011D"/>
    <w:rsid w:val="000A0205"/>
    <w:rsid w:val="000A05C7"/>
    <w:rsid w:val="000A05E4"/>
    <w:rsid w:val="000A07C9"/>
    <w:rsid w:val="000A09ED"/>
    <w:rsid w:val="000A0B2B"/>
    <w:rsid w:val="000A0C33"/>
    <w:rsid w:val="000A0D9F"/>
    <w:rsid w:val="000A0E6B"/>
    <w:rsid w:val="000A1106"/>
    <w:rsid w:val="000A1128"/>
    <w:rsid w:val="000A178F"/>
    <w:rsid w:val="000A17C5"/>
    <w:rsid w:val="000A17F1"/>
    <w:rsid w:val="000A1955"/>
    <w:rsid w:val="000A1B09"/>
    <w:rsid w:val="000A1DED"/>
    <w:rsid w:val="000A2395"/>
    <w:rsid w:val="000A2862"/>
    <w:rsid w:val="000A2E24"/>
    <w:rsid w:val="000A2F66"/>
    <w:rsid w:val="000A3130"/>
    <w:rsid w:val="000A31C3"/>
    <w:rsid w:val="000A336C"/>
    <w:rsid w:val="000A33EB"/>
    <w:rsid w:val="000A346F"/>
    <w:rsid w:val="000A3898"/>
    <w:rsid w:val="000A38A3"/>
    <w:rsid w:val="000A3C2F"/>
    <w:rsid w:val="000A487A"/>
    <w:rsid w:val="000A4A96"/>
    <w:rsid w:val="000A52A1"/>
    <w:rsid w:val="000A561A"/>
    <w:rsid w:val="000A5824"/>
    <w:rsid w:val="000A5BD4"/>
    <w:rsid w:val="000A5D1C"/>
    <w:rsid w:val="000A5DB9"/>
    <w:rsid w:val="000A602F"/>
    <w:rsid w:val="000A633D"/>
    <w:rsid w:val="000A6389"/>
    <w:rsid w:val="000A6392"/>
    <w:rsid w:val="000A646A"/>
    <w:rsid w:val="000A6710"/>
    <w:rsid w:val="000A6922"/>
    <w:rsid w:val="000A6F23"/>
    <w:rsid w:val="000A713D"/>
    <w:rsid w:val="000A720D"/>
    <w:rsid w:val="000A74C3"/>
    <w:rsid w:val="000A756F"/>
    <w:rsid w:val="000A75F7"/>
    <w:rsid w:val="000A766A"/>
    <w:rsid w:val="000A772F"/>
    <w:rsid w:val="000A7AA9"/>
    <w:rsid w:val="000A7C5E"/>
    <w:rsid w:val="000A7E55"/>
    <w:rsid w:val="000A7E96"/>
    <w:rsid w:val="000A7F7E"/>
    <w:rsid w:val="000B0145"/>
    <w:rsid w:val="000B0451"/>
    <w:rsid w:val="000B08F0"/>
    <w:rsid w:val="000B0A33"/>
    <w:rsid w:val="000B0B86"/>
    <w:rsid w:val="000B0D24"/>
    <w:rsid w:val="000B0DE2"/>
    <w:rsid w:val="000B0E95"/>
    <w:rsid w:val="000B1440"/>
    <w:rsid w:val="000B1513"/>
    <w:rsid w:val="000B16CB"/>
    <w:rsid w:val="000B1905"/>
    <w:rsid w:val="000B2042"/>
    <w:rsid w:val="000B2490"/>
    <w:rsid w:val="000B24CB"/>
    <w:rsid w:val="000B286B"/>
    <w:rsid w:val="000B2942"/>
    <w:rsid w:val="000B2944"/>
    <w:rsid w:val="000B29F2"/>
    <w:rsid w:val="000B2AF2"/>
    <w:rsid w:val="000B2B20"/>
    <w:rsid w:val="000B2CFB"/>
    <w:rsid w:val="000B2DCD"/>
    <w:rsid w:val="000B2E2A"/>
    <w:rsid w:val="000B2F0F"/>
    <w:rsid w:val="000B3097"/>
    <w:rsid w:val="000B3557"/>
    <w:rsid w:val="000B3623"/>
    <w:rsid w:val="000B3781"/>
    <w:rsid w:val="000B3BB2"/>
    <w:rsid w:val="000B3D71"/>
    <w:rsid w:val="000B3DB7"/>
    <w:rsid w:val="000B3DC4"/>
    <w:rsid w:val="000B3F0A"/>
    <w:rsid w:val="000B3F3E"/>
    <w:rsid w:val="000B4179"/>
    <w:rsid w:val="000B436D"/>
    <w:rsid w:val="000B442C"/>
    <w:rsid w:val="000B449E"/>
    <w:rsid w:val="000B46B0"/>
    <w:rsid w:val="000B4935"/>
    <w:rsid w:val="000B4FDE"/>
    <w:rsid w:val="000B5042"/>
    <w:rsid w:val="000B5059"/>
    <w:rsid w:val="000B5227"/>
    <w:rsid w:val="000B52D9"/>
    <w:rsid w:val="000B53C0"/>
    <w:rsid w:val="000B53FD"/>
    <w:rsid w:val="000B56FE"/>
    <w:rsid w:val="000B5744"/>
    <w:rsid w:val="000B58C4"/>
    <w:rsid w:val="000B5B36"/>
    <w:rsid w:val="000B5BC6"/>
    <w:rsid w:val="000B5C2F"/>
    <w:rsid w:val="000B61DE"/>
    <w:rsid w:val="000B62CD"/>
    <w:rsid w:val="000B649C"/>
    <w:rsid w:val="000B64E3"/>
    <w:rsid w:val="000B66AC"/>
    <w:rsid w:val="000B689B"/>
    <w:rsid w:val="000B6AD5"/>
    <w:rsid w:val="000B73C6"/>
    <w:rsid w:val="000B7685"/>
    <w:rsid w:val="000B7CB8"/>
    <w:rsid w:val="000B7DC3"/>
    <w:rsid w:val="000B7F93"/>
    <w:rsid w:val="000C0148"/>
    <w:rsid w:val="000C05EA"/>
    <w:rsid w:val="000C06A4"/>
    <w:rsid w:val="000C0BBD"/>
    <w:rsid w:val="000C0F3A"/>
    <w:rsid w:val="000C0FAC"/>
    <w:rsid w:val="000C1231"/>
    <w:rsid w:val="000C1575"/>
    <w:rsid w:val="000C1D26"/>
    <w:rsid w:val="000C1D56"/>
    <w:rsid w:val="000C1F18"/>
    <w:rsid w:val="000C24F4"/>
    <w:rsid w:val="000C26DF"/>
    <w:rsid w:val="000C2987"/>
    <w:rsid w:val="000C2EA9"/>
    <w:rsid w:val="000C2FF3"/>
    <w:rsid w:val="000C32BB"/>
    <w:rsid w:val="000C32CA"/>
    <w:rsid w:val="000C354C"/>
    <w:rsid w:val="000C3927"/>
    <w:rsid w:val="000C3B22"/>
    <w:rsid w:val="000C3BFC"/>
    <w:rsid w:val="000C3CAA"/>
    <w:rsid w:val="000C4063"/>
    <w:rsid w:val="000C4BB7"/>
    <w:rsid w:val="000C4DBE"/>
    <w:rsid w:val="000C4DFC"/>
    <w:rsid w:val="000C50B3"/>
    <w:rsid w:val="000C53E9"/>
    <w:rsid w:val="000C5486"/>
    <w:rsid w:val="000C588B"/>
    <w:rsid w:val="000C604F"/>
    <w:rsid w:val="000C65AA"/>
    <w:rsid w:val="000C6936"/>
    <w:rsid w:val="000C6BC8"/>
    <w:rsid w:val="000C6E9F"/>
    <w:rsid w:val="000C76F8"/>
    <w:rsid w:val="000C776D"/>
    <w:rsid w:val="000C782D"/>
    <w:rsid w:val="000C7AE7"/>
    <w:rsid w:val="000C7F62"/>
    <w:rsid w:val="000D01AA"/>
    <w:rsid w:val="000D02FE"/>
    <w:rsid w:val="000D03E4"/>
    <w:rsid w:val="000D0881"/>
    <w:rsid w:val="000D0A89"/>
    <w:rsid w:val="000D0ACF"/>
    <w:rsid w:val="000D0B2E"/>
    <w:rsid w:val="000D0B77"/>
    <w:rsid w:val="000D0BB6"/>
    <w:rsid w:val="000D0BDE"/>
    <w:rsid w:val="000D0C8D"/>
    <w:rsid w:val="000D1354"/>
    <w:rsid w:val="000D149C"/>
    <w:rsid w:val="000D15A0"/>
    <w:rsid w:val="000D1603"/>
    <w:rsid w:val="000D1AB2"/>
    <w:rsid w:val="000D1DEA"/>
    <w:rsid w:val="000D1EA8"/>
    <w:rsid w:val="000D2088"/>
    <w:rsid w:val="000D224A"/>
    <w:rsid w:val="000D2311"/>
    <w:rsid w:val="000D27F5"/>
    <w:rsid w:val="000D2879"/>
    <w:rsid w:val="000D2A5E"/>
    <w:rsid w:val="000D2BBC"/>
    <w:rsid w:val="000D2D5C"/>
    <w:rsid w:val="000D2D68"/>
    <w:rsid w:val="000D2E44"/>
    <w:rsid w:val="000D2F76"/>
    <w:rsid w:val="000D3378"/>
    <w:rsid w:val="000D341A"/>
    <w:rsid w:val="000D3531"/>
    <w:rsid w:val="000D355C"/>
    <w:rsid w:val="000D366D"/>
    <w:rsid w:val="000D375A"/>
    <w:rsid w:val="000D37C2"/>
    <w:rsid w:val="000D3BC1"/>
    <w:rsid w:val="000D3CC1"/>
    <w:rsid w:val="000D3ECB"/>
    <w:rsid w:val="000D3F0B"/>
    <w:rsid w:val="000D4063"/>
    <w:rsid w:val="000D4101"/>
    <w:rsid w:val="000D41CA"/>
    <w:rsid w:val="000D42BA"/>
    <w:rsid w:val="000D4342"/>
    <w:rsid w:val="000D43B8"/>
    <w:rsid w:val="000D4457"/>
    <w:rsid w:val="000D48FF"/>
    <w:rsid w:val="000D4D62"/>
    <w:rsid w:val="000D4F3C"/>
    <w:rsid w:val="000D533D"/>
    <w:rsid w:val="000D535B"/>
    <w:rsid w:val="000D54AC"/>
    <w:rsid w:val="000D5667"/>
    <w:rsid w:val="000D571F"/>
    <w:rsid w:val="000D57A8"/>
    <w:rsid w:val="000D5C58"/>
    <w:rsid w:val="000D5D5F"/>
    <w:rsid w:val="000D5DE5"/>
    <w:rsid w:val="000D5EE9"/>
    <w:rsid w:val="000D625D"/>
    <w:rsid w:val="000D653D"/>
    <w:rsid w:val="000D65F5"/>
    <w:rsid w:val="000D6C93"/>
    <w:rsid w:val="000D6E46"/>
    <w:rsid w:val="000D70AE"/>
    <w:rsid w:val="000D70D7"/>
    <w:rsid w:val="000D763B"/>
    <w:rsid w:val="000D772C"/>
    <w:rsid w:val="000D784B"/>
    <w:rsid w:val="000D7C54"/>
    <w:rsid w:val="000D7E36"/>
    <w:rsid w:val="000D7F69"/>
    <w:rsid w:val="000E0163"/>
    <w:rsid w:val="000E0210"/>
    <w:rsid w:val="000E0347"/>
    <w:rsid w:val="000E0C33"/>
    <w:rsid w:val="000E1007"/>
    <w:rsid w:val="000E14D3"/>
    <w:rsid w:val="000E1757"/>
    <w:rsid w:val="000E1767"/>
    <w:rsid w:val="000E17A7"/>
    <w:rsid w:val="000E1940"/>
    <w:rsid w:val="000E1979"/>
    <w:rsid w:val="000E197D"/>
    <w:rsid w:val="000E1A53"/>
    <w:rsid w:val="000E1A71"/>
    <w:rsid w:val="000E1B78"/>
    <w:rsid w:val="000E1D84"/>
    <w:rsid w:val="000E20EE"/>
    <w:rsid w:val="000E22CF"/>
    <w:rsid w:val="000E26C1"/>
    <w:rsid w:val="000E2C94"/>
    <w:rsid w:val="000E2CF8"/>
    <w:rsid w:val="000E3109"/>
    <w:rsid w:val="000E311B"/>
    <w:rsid w:val="000E3335"/>
    <w:rsid w:val="000E349A"/>
    <w:rsid w:val="000E3592"/>
    <w:rsid w:val="000E35A0"/>
    <w:rsid w:val="000E3868"/>
    <w:rsid w:val="000E38BA"/>
    <w:rsid w:val="000E3BE1"/>
    <w:rsid w:val="000E3D68"/>
    <w:rsid w:val="000E3E15"/>
    <w:rsid w:val="000E4077"/>
    <w:rsid w:val="000E41D5"/>
    <w:rsid w:val="000E423E"/>
    <w:rsid w:val="000E4532"/>
    <w:rsid w:val="000E47B0"/>
    <w:rsid w:val="000E49A7"/>
    <w:rsid w:val="000E4E18"/>
    <w:rsid w:val="000E4EBC"/>
    <w:rsid w:val="000E4FF4"/>
    <w:rsid w:val="000E5031"/>
    <w:rsid w:val="000E5249"/>
    <w:rsid w:val="000E5404"/>
    <w:rsid w:val="000E58A2"/>
    <w:rsid w:val="000E5972"/>
    <w:rsid w:val="000E5C21"/>
    <w:rsid w:val="000E6391"/>
    <w:rsid w:val="000E63B0"/>
    <w:rsid w:val="000E6774"/>
    <w:rsid w:val="000E6AA5"/>
    <w:rsid w:val="000E6F3A"/>
    <w:rsid w:val="000E7041"/>
    <w:rsid w:val="000E798E"/>
    <w:rsid w:val="000E7BAB"/>
    <w:rsid w:val="000E7F56"/>
    <w:rsid w:val="000E7FE8"/>
    <w:rsid w:val="000F0008"/>
    <w:rsid w:val="000F0293"/>
    <w:rsid w:val="000F0313"/>
    <w:rsid w:val="000F03DA"/>
    <w:rsid w:val="000F0431"/>
    <w:rsid w:val="000F04F6"/>
    <w:rsid w:val="000F0674"/>
    <w:rsid w:val="000F0879"/>
    <w:rsid w:val="000F097D"/>
    <w:rsid w:val="000F0AC1"/>
    <w:rsid w:val="000F0B55"/>
    <w:rsid w:val="000F0C94"/>
    <w:rsid w:val="000F1981"/>
    <w:rsid w:val="000F19C5"/>
    <w:rsid w:val="000F1CDA"/>
    <w:rsid w:val="000F1EE5"/>
    <w:rsid w:val="000F232B"/>
    <w:rsid w:val="000F26EA"/>
    <w:rsid w:val="000F28B5"/>
    <w:rsid w:val="000F2940"/>
    <w:rsid w:val="000F29FF"/>
    <w:rsid w:val="000F2B8C"/>
    <w:rsid w:val="000F2F0E"/>
    <w:rsid w:val="000F2F8D"/>
    <w:rsid w:val="000F3314"/>
    <w:rsid w:val="000F34F1"/>
    <w:rsid w:val="000F3632"/>
    <w:rsid w:val="000F38A4"/>
    <w:rsid w:val="000F3CBF"/>
    <w:rsid w:val="000F414B"/>
    <w:rsid w:val="000F44AD"/>
    <w:rsid w:val="000F4A30"/>
    <w:rsid w:val="000F4B28"/>
    <w:rsid w:val="000F4D5A"/>
    <w:rsid w:val="000F4F75"/>
    <w:rsid w:val="000F52C8"/>
    <w:rsid w:val="000F58BC"/>
    <w:rsid w:val="000F594C"/>
    <w:rsid w:val="000F5E36"/>
    <w:rsid w:val="000F5F7F"/>
    <w:rsid w:val="000F649F"/>
    <w:rsid w:val="000F65E1"/>
    <w:rsid w:val="000F6679"/>
    <w:rsid w:val="000F6700"/>
    <w:rsid w:val="000F6BEE"/>
    <w:rsid w:val="000F6CFE"/>
    <w:rsid w:val="000F718F"/>
    <w:rsid w:val="000F7206"/>
    <w:rsid w:val="000F7423"/>
    <w:rsid w:val="000F7631"/>
    <w:rsid w:val="000F7694"/>
    <w:rsid w:val="000F7787"/>
    <w:rsid w:val="000F7F5B"/>
    <w:rsid w:val="001002D2"/>
    <w:rsid w:val="00100358"/>
    <w:rsid w:val="00100409"/>
    <w:rsid w:val="00100583"/>
    <w:rsid w:val="001005D7"/>
    <w:rsid w:val="0010076D"/>
    <w:rsid w:val="00100A63"/>
    <w:rsid w:val="00100E6F"/>
    <w:rsid w:val="0010115F"/>
    <w:rsid w:val="001013EE"/>
    <w:rsid w:val="0010173F"/>
    <w:rsid w:val="001017B7"/>
    <w:rsid w:val="001017E3"/>
    <w:rsid w:val="00101C90"/>
    <w:rsid w:val="00101F87"/>
    <w:rsid w:val="00101FC3"/>
    <w:rsid w:val="00102135"/>
    <w:rsid w:val="001021D7"/>
    <w:rsid w:val="00102779"/>
    <w:rsid w:val="00102AF4"/>
    <w:rsid w:val="00102AFD"/>
    <w:rsid w:val="00102B29"/>
    <w:rsid w:val="00102BE0"/>
    <w:rsid w:val="00102EDF"/>
    <w:rsid w:val="00102F76"/>
    <w:rsid w:val="00102FEB"/>
    <w:rsid w:val="00103339"/>
    <w:rsid w:val="001033A9"/>
    <w:rsid w:val="001034E3"/>
    <w:rsid w:val="00103999"/>
    <w:rsid w:val="001039C2"/>
    <w:rsid w:val="00103B00"/>
    <w:rsid w:val="00103C7F"/>
    <w:rsid w:val="00103CBC"/>
    <w:rsid w:val="00103DFF"/>
    <w:rsid w:val="00103F1C"/>
    <w:rsid w:val="001040AD"/>
    <w:rsid w:val="0010422B"/>
    <w:rsid w:val="001042B4"/>
    <w:rsid w:val="00104378"/>
    <w:rsid w:val="0010495F"/>
    <w:rsid w:val="00104960"/>
    <w:rsid w:val="00104C45"/>
    <w:rsid w:val="00104CB4"/>
    <w:rsid w:val="00104D90"/>
    <w:rsid w:val="00104EDD"/>
    <w:rsid w:val="00104F3F"/>
    <w:rsid w:val="001053D9"/>
    <w:rsid w:val="0010567A"/>
    <w:rsid w:val="00105950"/>
    <w:rsid w:val="00105A17"/>
    <w:rsid w:val="00105AF2"/>
    <w:rsid w:val="00105C56"/>
    <w:rsid w:val="001060B0"/>
    <w:rsid w:val="001064A4"/>
    <w:rsid w:val="00106607"/>
    <w:rsid w:val="00106826"/>
    <w:rsid w:val="00106CB2"/>
    <w:rsid w:val="00106CEE"/>
    <w:rsid w:val="0010739F"/>
    <w:rsid w:val="001074D9"/>
    <w:rsid w:val="00107B24"/>
    <w:rsid w:val="00107B43"/>
    <w:rsid w:val="00107B9E"/>
    <w:rsid w:val="00107E52"/>
    <w:rsid w:val="00107FD6"/>
    <w:rsid w:val="001103B6"/>
    <w:rsid w:val="00110417"/>
    <w:rsid w:val="0011066E"/>
    <w:rsid w:val="001107F1"/>
    <w:rsid w:val="00110996"/>
    <w:rsid w:val="00110C5E"/>
    <w:rsid w:val="00110DC5"/>
    <w:rsid w:val="00110E3F"/>
    <w:rsid w:val="00110E61"/>
    <w:rsid w:val="00110EEC"/>
    <w:rsid w:val="00111488"/>
    <w:rsid w:val="001114CF"/>
    <w:rsid w:val="0011178C"/>
    <w:rsid w:val="00111ABA"/>
    <w:rsid w:val="00111AE7"/>
    <w:rsid w:val="00111B42"/>
    <w:rsid w:val="00111EC2"/>
    <w:rsid w:val="001120B0"/>
    <w:rsid w:val="001121D0"/>
    <w:rsid w:val="0011243C"/>
    <w:rsid w:val="001124BD"/>
    <w:rsid w:val="001124E9"/>
    <w:rsid w:val="001125AB"/>
    <w:rsid w:val="001125E7"/>
    <w:rsid w:val="00112718"/>
    <w:rsid w:val="00112988"/>
    <w:rsid w:val="00112A42"/>
    <w:rsid w:val="00112A57"/>
    <w:rsid w:val="00112CD6"/>
    <w:rsid w:val="00112CF0"/>
    <w:rsid w:val="00112E1E"/>
    <w:rsid w:val="00113305"/>
    <w:rsid w:val="00113339"/>
    <w:rsid w:val="001136C6"/>
    <w:rsid w:val="0011408D"/>
    <w:rsid w:val="0011428D"/>
    <w:rsid w:val="001146E5"/>
    <w:rsid w:val="00114A1F"/>
    <w:rsid w:val="00114CC0"/>
    <w:rsid w:val="00114D7F"/>
    <w:rsid w:val="00114D9B"/>
    <w:rsid w:val="00114DA1"/>
    <w:rsid w:val="00114EA0"/>
    <w:rsid w:val="00114F65"/>
    <w:rsid w:val="00115132"/>
    <w:rsid w:val="0011519F"/>
    <w:rsid w:val="00115672"/>
    <w:rsid w:val="001157AB"/>
    <w:rsid w:val="0011585E"/>
    <w:rsid w:val="00115898"/>
    <w:rsid w:val="00115ADE"/>
    <w:rsid w:val="00115BDB"/>
    <w:rsid w:val="00115C9E"/>
    <w:rsid w:val="00116062"/>
    <w:rsid w:val="00116702"/>
    <w:rsid w:val="0011699D"/>
    <w:rsid w:val="00116D3E"/>
    <w:rsid w:val="00116EE4"/>
    <w:rsid w:val="0011713A"/>
    <w:rsid w:val="0011729F"/>
    <w:rsid w:val="001172BD"/>
    <w:rsid w:val="001178E4"/>
    <w:rsid w:val="00117AA2"/>
    <w:rsid w:val="00117CFD"/>
    <w:rsid w:val="0012020C"/>
    <w:rsid w:val="0012038D"/>
    <w:rsid w:val="001206AA"/>
    <w:rsid w:val="00120B1E"/>
    <w:rsid w:val="001211AB"/>
    <w:rsid w:val="001214BE"/>
    <w:rsid w:val="00121508"/>
    <w:rsid w:val="001216DA"/>
    <w:rsid w:val="001218B8"/>
    <w:rsid w:val="00121A72"/>
    <w:rsid w:val="00121AE8"/>
    <w:rsid w:val="00121B7F"/>
    <w:rsid w:val="00121F79"/>
    <w:rsid w:val="001220B7"/>
    <w:rsid w:val="00122457"/>
    <w:rsid w:val="00122774"/>
    <w:rsid w:val="0012285A"/>
    <w:rsid w:val="00122D2B"/>
    <w:rsid w:val="00122E51"/>
    <w:rsid w:val="00123325"/>
    <w:rsid w:val="00123545"/>
    <w:rsid w:val="00123BC6"/>
    <w:rsid w:val="00123DA3"/>
    <w:rsid w:val="00124730"/>
    <w:rsid w:val="00124826"/>
    <w:rsid w:val="0012499F"/>
    <w:rsid w:val="00124B53"/>
    <w:rsid w:val="00124B73"/>
    <w:rsid w:val="00124ED1"/>
    <w:rsid w:val="0012542D"/>
    <w:rsid w:val="0012561A"/>
    <w:rsid w:val="00125655"/>
    <w:rsid w:val="00125806"/>
    <w:rsid w:val="00125829"/>
    <w:rsid w:val="001258EF"/>
    <w:rsid w:val="00125AB5"/>
    <w:rsid w:val="00125B33"/>
    <w:rsid w:val="001260B6"/>
    <w:rsid w:val="001260E3"/>
    <w:rsid w:val="00126201"/>
    <w:rsid w:val="00126239"/>
    <w:rsid w:val="00126653"/>
    <w:rsid w:val="001266EE"/>
    <w:rsid w:val="0012692E"/>
    <w:rsid w:val="00126AD1"/>
    <w:rsid w:val="00126FB4"/>
    <w:rsid w:val="00127078"/>
    <w:rsid w:val="001272E6"/>
    <w:rsid w:val="00127687"/>
    <w:rsid w:val="00127780"/>
    <w:rsid w:val="001277C7"/>
    <w:rsid w:val="00127C8B"/>
    <w:rsid w:val="00127E95"/>
    <w:rsid w:val="00130303"/>
    <w:rsid w:val="00130687"/>
    <w:rsid w:val="001307A8"/>
    <w:rsid w:val="001308A1"/>
    <w:rsid w:val="00130D24"/>
    <w:rsid w:val="00130DCA"/>
    <w:rsid w:val="001312CB"/>
    <w:rsid w:val="00131727"/>
    <w:rsid w:val="0013190F"/>
    <w:rsid w:val="00131A29"/>
    <w:rsid w:val="00131BAD"/>
    <w:rsid w:val="00131D5F"/>
    <w:rsid w:val="001322D2"/>
    <w:rsid w:val="00132503"/>
    <w:rsid w:val="00132E0B"/>
    <w:rsid w:val="00132E6C"/>
    <w:rsid w:val="001333F9"/>
    <w:rsid w:val="001334D6"/>
    <w:rsid w:val="0013355A"/>
    <w:rsid w:val="00133C48"/>
    <w:rsid w:val="00133C81"/>
    <w:rsid w:val="00133DBA"/>
    <w:rsid w:val="00133DFA"/>
    <w:rsid w:val="00133F08"/>
    <w:rsid w:val="00134146"/>
    <w:rsid w:val="00134222"/>
    <w:rsid w:val="00134409"/>
    <w:rsid w:val="001346A2"/>
    <w:rsid w:val="0013474C"/>
    <w:rsid w:val="001347D3"/>
    <w:rsid w:val="00134847"/>
    <w:rsid w:val="0013497E"/>
    <w:rsid w:val="00134FA3"/>
    <w:rsid w:val="00135080"/>
    <w:rsid w:val="0013515E"/>
    <w:rsid w:val="001351C6"/>
    <w:rsid w:val="00135226"/>
    <w:rsid w:val="001356C7"/>
    <w:rsid w:val="001356F4"/>
    <w:rsid w:val="00135F2C"/>
    <w:rsid w:val="0013601E"/>
    <w:rsid w:val="001360E9"/>
    <w:rsid w:val="0013623B"/>
    <w:rsid w:val="001363A1"/>
    <w:rsid w:val="001363F5"/>
    <w:rsid w:val="00136497"/>
    <w:rsid w:val="001369BF"/>
    <w:rsid w:val="00136F29"/>
    <w:rsid w:val="00136F6F"/>
    <w:rsid w:val="00136FA6"/>
    <w:rsid w:val="00137D90"/>
    <w:rsid w:val="00140023"/>
    <w:rsid w:val="00140509"/>
    <w:rsid w:val="00140884"/>
    <w:rsid w:val="00140BFC"/>
    <w:rsid w:val="00140D09"/>
    <w:rsid w:val="001412A8"/>
    <w:rsid w:val="001414E0"/>
    <w:rsid w:val="00141A77"/>
    <w:rsid w:val="00141B83"/>
    <w:rsid w:val="00141BD1"/>
    <w:rsid w:val="00141C77"/>
    <w:rsid w:val="001423B0"/>
    <w:rsid w:val="00142B21"/>
    <w:rsid w:val="00142B86"/>
    <w:rsid w:val="00142F67"/>
    <w:rsid w:val="00143228"/>
    <w:rsid w:val="00143869"/>
    <w:rsid w:val="001438E0"/>
    <w:rsid w:val="00143A06"/>
    <w:rsid w:val="00143B25"/>
    <w:rsid w:val="00143D52"/>
    <w:rsid w:val="00143F85"/>
    <w:rsid w:val="00144162"/>
    <w:rsid w:val="001441DA"/>
    <w:rsid w:val="001444A4"/>
    <w:rsid w:val="00144504"/>
    <w:rsid w:val="00144A22"/>
    <w:rsid w:val="00144A92"/>
    <w:rsid w:val="00144C8A"/>
    <w:rsid w:val="00144DBD"/>
    <w:rsid w:val="001453C1"/>
    <w:rsid w:val="001455CC"/>
    <w:rsid w:val="00145604"/>
    <w:rsid w:val="00145785"/>
    <w:rsid w:val="00146028"/>
    <w:rsid w:val="0014616B"/>
    <w:rsid w:val="001465D6"/>
    <w:rsid w:val="001467EC"/>
    <w:rsid w:val="00146A13"/>
    <w:rsid w:val="00146B99"/>
    <w:rsid w:val="00147115"/>
    <w:rsid w:val="001471DD"/>
    <w:rsid w:val="0014740D"/>
    <w:rsid w:val="00147461"/>
    <w:rsid w:val="001474B9"/>
    <w:rsid w:val="001477CE"/>
    <w:rsid w:val="0014784F"/>
    <w:rsid w:val="001478AD"/>
    <w:rsid w:val="00147BCC"/>
    <w:rsid w:val="00147D64"/>
    <w:rsid w:val="00147F4D"/>
    <w:rsid w:val="00147F6F"/>
    <w:rsid w:val="0015040C"/>
    <w:rsid w:val="00150417"/>
    <w:rsid w:val="00150B89"/>
    <w:rsid w:val="00150C35"/>
    <w:rsid w:val="00150E42"/>
    <w:rsid w:val="00150ECB"/>
    <w:rsid w:val="00150ECE"/>
    <w:rsid w:val="00151316"/>
    <w:rsid w:val="0015167D"/>
    <w:rsid w:val="001517E0"/>
    <w:rsid w:val="001519C7"/>
    <w:rsid w:val="00151AEB"/>
    <w:rsid w:val="00151DFB"/>
    <w:rsid w:val="00152123"/>
    <w:rsid w:val="0015233A"/>
    <w:rsid w:val="001523CD"/>
    <w:rsid w:val="00152401"/>
    <w:rsid w:val="00152436"/>
    <w:rsid w:val="00152611"/>
    <w:rsid w:val="00152807"/>
    <w:rsid w:val="00152BE0"/>
    <w:rsid w:val="00152C3D"/>
    <w:rsid w:val="00152DCF"/>
    <w:rsid w:val="00152DEB"/>
    <w:rsid w:val="00152E51"/>
    <w:rsid w:val="00152ED6"/>
    <w:rsid w:val="00152FED"/>
    <w:rsid w:val="00153AA7"/>
    <w:rsid w:val="00153CA7"/>
    <w:rsid w:val="00153D48"/>
    <w:rsid w:val="00153E6E"/>
    <w:rsid w:val="0015484C"/>
    <w:rsid w:val="00154A35"/>
    <w:rsid w:val="00154A9A"/>
    <w:rsid w:val="00154B18"/>
    <w:rsid w:val="001550A3"/>
    <w:rsid w:val="0015510B"/>
    <w:rsid w:val="00155469"/>
    <w:rsid w:val="00155662"/>
    <w:rsid w:val="00155746"/>
    <w:rsid w:val="001558A1"/>
    <w:rsid w:val="00155EAF"/>
    <w:rsid w:val="00156419"/>
    <w:rsid w:val="001567D8"/>
    <w:rsid w:val="0015686A"/>
    <w:rsid w:val="00156C80"/>
    <w:rsid w:val="0015742B"/>
    <w:rsid w:val="0015746A"/>
    <w:rsid w:val="001574A7"/>
    <w:rsid w:val="0015776C"/>
    <w:rsid w:val="001579DC"/>
    <w:rsid w:val="00157AD5"/>
    <w:rsid w:val="00157BA5"/>
    <w:rsid w:val="00157CEB"/>
    <w:rsid w:val="00157F02"/>
    <w:rsid w:val="00160015"/>
    <w:rsid w:val="00160229"/>
    <w:rsid w:val="00160346"/>
    <w:rsid w:val="001604D5"/>
    <w:rsid w:val="001605EB"/>
    <w:rsid w:val="00160701"/>
    <w:rsid w:val="00160808"/>
    <w:rsid w:val="00160877"/>
    <w:rsid w:val="00160EA4"/>
    <w:rsid w:val="0016108C"/>
    <w:rsid w:val="001610AC"/>
    <w:rsid w:val="00161391"/>
    <w:rsid w:val="00161616"/>
    <w:rsid w:val="00161DCE"/>
    <w:rsid w:val="001620CB"/>
    <w:rsid w:val="001625EC"/>
    <w:rsid w:val="00162780"/>
    <w:rsid w:val="00162999"/>
    <w:rsid w:val="00162C12"/>
    <w:rsid w:val="00162F75"/>
    <w:rsid w:val="001636FE"/>
    <w:rsid w:val="00163917"/>
    <w:rsid w:val="00163983"/>
    <w:rsid w:val="00163D73"/>
    <w:rsid w:val="00163E35"/>
    <w:rsid w:val="00164202"/>
    <w:rsid w:val="001644F0"/>
    <w:rsid w:val="00164A46"/>
    <w:rsid w:val="00164B0D"/>
    <w:rsid w:val="00164B4B"/>
    <w:rsid w:val="00164E76"/>
    <w:rsid w:val="00164ECE"/>
    <w:rsid w:val="00164F2C"/>
    <w:rsid w:val="001652C2"/>
    <w:rsid w:val="0016534B"/>
    <w:rsid w:val="001654B0"/>
    <w:rsid w:val="001657CF"/>
    <w:rsid w:val="00165907"/>
    <w:rsid w:val="00165C59"/>
    <w:rsid w:val="00165CF9"/>
    <w:rsid w:val="00165DC0"/>
    <w:rsid w:val="00165FF0"/>
    <w:rsid w:val="00166098"/>
    <w:rsid w:val="001660AA"/>
    <w:rsid w:val="00166322"/>
    <w:rsid w:val="00166588"/>
    <w:rsid w:val="0016688E"/>
    <w:rsid w:val="0016689D"/>
    <w:rsid w:val="001668F8"/>
    <w:rsid w:val="00166BE5"/>
    <w:rsid w:val="00166E24"/>
    <w:rsid w:val="00166F7E"/>
    <w:rsid w:val="00166F83"/>
    <w:rsid w:val="00167169"/>
    <w:rsid w:val="0016723A"/>
    <w:rsid w:val="001672D1"/>
    <w:rsid w:val="00167335"/>
    <w:rsid w:val="001674FA"/>
    <w:rsid w:val="00167642"/>
    <w:rsid w:val="0016782C"/>
    <w:rsid w:val="00167AA3"/>
    <w:rsid w:val="00167C2E"/>
    <w:rsid w:val="00170001"/>
    <w:rsid w:val="00170100"/>
    <w:rsid w:val="0017034B"/>
    <w:rsid w:val="001704CF"/>
    <w:rsid w:val="00170C5D"/>
    <w:rsid w:val="00170DC9"/>
    <w:rsid w:val="00171164"/>
    <w:rsid w:val="00171316"/>
    <w:rsid w:val="00171335"/>
    <w:rsid w:val="00171405"/>
    <w:rsid w:val="0017181D"/>
    <w:rsid w:val="0017193A"/>
    <w:rsid w:val="00171A05"/>
    <w:rsid w:val="00171BE3"/>
    <w:rsid w:val="00171D48"/>
    <w:rsid w:val="00171DA5"/>
    <w:rsid w:val="00171F04"/>
    <w:rsid w:val="00172042"/>
    <w:rsid w:val="00172216"/>
    <w:rsid w:val="00172529"/>
    <w:rsid w:val="001725BB"/>
    <w:rsid w:val="00172E17"/>
    <w:rsid w:val="00172E28"/>
    <w:rsid w:val="00172EC4"/>
    <w:rsid w:val="00172F3A"/>
    <w:rsid w:val="00172F7E"/>
    <w:rsid w:val="001730A3"/>
    <w:rsid w:val="001730D5"/>
    <w:rsid w:val="001730FD"/>
    <w:rsid w:val="0017311D"/>
    <w:rsid w:val="0017349C"/>
    <w:rsid w:val="001735B1"/>
    <w:rsid w:val="00173798"/>
    <w:rsid w:val="00173BE6"/>
    <w:rsid w:val="00173DA5"/>
    <w:rsid w:val="00173E72"/>
    <w:rsid w:val="00173E9E"/>
    <w:rsid w:val="00174762"/>
    <w:rsid w:val="00174F32"/>
    <w:rsid w:val="00175209"/>
    <w:rsid w:val="0017572D"/>
    <w:rsid w:val="00175AA2"/>
    <w:rsid w:val="00175ACB"/>
    <w:rsid w:val="00175C98"/>
    <w:rsid w:val="00175F9B"/>
    <w:rsid w:val="001760FF"/>
    <w:rsid w:val="001762C5"/>
    <w:rsid w:val="00176389"/>
    <w:rsid w:val="0017645D"/>
    <w:rsid w:val="00176738"/>
    <w:rsid w:val="00176A26"/>
    <w:rsid w:val="00176E42"/>
    <w:rsid w:val="00176E9A"/>
    <w:rsid w:val="00176F37"/>
    <w:rsid w:val="001775AD"/>
    <w:rsid w:val="0017771D"/>
    <w:rsid w:val="001777D5"/>
    <w:rsid w:val="001777E9"/>
    <w:rsid w:val="001778D0"/>
    <w:rsid w:val="00177B6B"/>
    <w:rsid w:val="00177D12"/>
    <w:rsid w:val="00177FA2"/>
    <w:rsid w:val="00180001"/>
    <w:rsid w:val="001800DE"/>
    <w:rsid w:val="001807C0"/>
    <w:rsid w:val="00180935"/>
    <w:rsid w:val="00180A23"/>
    <w:rsid w:val="00180B76"/>
    <w:rsid w:val="00180BE8"/>
    <w:rsid w:val="00180FDD"/>
    <w:rsid w:val="00180FF9"/>
    <w:rsid w:val="001811DE"/>
    <w:rsid w:val="001814EF"/>
    <w:rsid w:val="001818CC"/>
    <w:rsid w:val="00181B43"/>
    <w:rsid w:val="001820BB"/>
    <w:rsid w:val="0018217F"/>
    <w:rsid w:val="00182270"/>
    <w:rsid w:val="00182487"/>
    <w:rsid w:val="001826CB"/>
    <w:rsid w:val="001827AC"/>
    <w:rsid w:val="00182899"/>
    <w:rsid w:val="001831E8"/>
    <w:rsid w:val="001832B0"/>
    <w:rsid w:val="0018349C"/>
    <w:rsid w:val="00183562"/>
    <w:rsid w:val="001835EF"/>
    <w:rsid w:val="00183649"/>
    <w:rsid w:val="00183970"/>
    <w:rsid w:val="00183C19"/>
    <w:rsid w:val="001843C4"/>
    <w:rsid w:val="00184519"/>
    <w:rsid w:val="001845F7"/>
    <w:rsid w:val="00184A83"/>
    <w:rsid w:val="00184DA4"/>
    <w:rsid w:val="00184FBB"/>
    <w:rsid w:val="00185037"/>
    <w:rsid w:val="0018537D"/>
    <w:rsid w:val="001853A5"/>
    <w:rsid w:val="001853E6"/>
    <w:rsid w:val="00185A7A"/>
    <w:rsid w:val="00185A8A"/>
    <w:rsid w:val="001862DA"/>
    <w:rsid w:val="00186413"/>
    <w:rsid w:val="001866D1"/>
    <w:rsid w:val="001868A3"/>
    <w:rsid w:val="00186A8A"/>
    <w:rsid w:val="00186EB8"/>
    <w:rsid w:val="00187145"/>
    <w:rsid w:val="001874F4"/>
    <w:rsid w:val="00187613"/>
    <w:rsid w:val="001879DC"/>
    <w:rsid w:val="00187DA4"/>
    <w:rsid w:val="00187ED3"/>
    <w:rsid w:val="001904D5"/>
    <w:rsid w:val="00190FC8"/>
    <w:rsid w:val="0019104D"/>
    <w:rsid w:val="00191778"/>
    <w:rsid w:val="00191A77"/>
    <w:rsid w:val="00191DB3"/>
    <w:rsid w:val="00191E0E"/>
    <w:rsid w:val="00191FD5"/>
    <w:rsid w:val="00192214"/>
    <w:rsid w:val="001923ED"/>
    <w:rsid w:val="001928D9"/>
    <w:rsid w:val="00192935"/>
    <w:rsid w:val="00192A97"/>
    <w:rsid w:val="00192B0C"/>
    <w:rsid w:val="00192B90"/>
    <w:rsid w:val="00192BFE"/>
    <w:rsid w:val="00192CEE"/>
    <w:rsid w:val="00192D0D"/>
    <w:rsid w:val="00193260"/>
    <w:rsid w:val="00193266"/>
    <w:rsid w:val="0019339B"/>
    <w:rsid w:val="0019374B"/>
    <w:rsid w:val="00193A90"/>
    <w:rsid w:val="00193ACA"/>
    <w:rsid w:val="00193B10"/>
    <w:rsid w:val="00193D30"/>
    <w:rsid w:val="00193EE3"/>
    <w:rsid w:val="00194098"/>
    <w:rsid w:val="0019483E"/>
    <w:rsid w:val="00194995"/>
    <w:rsid w:val="00194FCC"/>
    <w:rsid w:val="00195414"/>
    <w:rsid w:val="00195476"/>
    <w:rsid w:val="00195CD2"/>
    <w:rsid w:val="00196167"/>
    <w:rsid w:val="0019620C"/>
    <w:rsid w:val="001964CD"/>
    <w:rsid w:val="00196526"/>
    <w:rsid w:val="00196594"/>
    <w:rsid w:val="00196963"/>
    <w:rsid w:val="00196B93"/>
    <w:rsid w:val="00196BA3"/>
    <w:rsid w:val="00197004"/>
    <w:rsid w:val="00197087"/>
    <w:rsid w:val="001970F9"/>
    <w:rsid w:val="00197350"/>
    <w:rsid w:val="00197BC3"/>
    <w:rsid w:val="00197D85"/>
    <w:rsid w:val="00197DAC"/>
    <w:rsid w:val="00197DCD"/>
    <w:rsid w:val="001A033E"/>
    <w:rsid w:val="001A06A6"/>
    <w:rsid w:val="001A0968"/>
    <w:rsid w:val="001A0F0C"/>
    <w:rsid w:val="001A1368"/>
    <w:rsid w:val="001A1395"/>
    <w:rsid w:val="001A1720"/>
    <w:rsid w:val="001A192B"/>
    <w:rsid w:val="001A2103"/>
    <w:rsid w:val="001A2109"/>
    <w:rsid w:val="001A23AE"/>
    <w:rsid w:val="001A2466"/>
    <w:rsid w:val="001A267A"/>
    <w:rsid w:val="001A26F5"/>
    <w:rsid w:val="001A27E6"/>
    <w:rsid w:val="001A2DDC"/>
    <w:rsid w:val="001A2F36"/>
    <w:rsid w:val="001A2F8A"/>
    <w:rsid w:val="001A3229"/>
    <w:rsid w:val="001A36B9"/>
    <w:rsid w:val="001A372B"/>
    <w:rsid w:val="001A3771"/>
    <w:rsid w:val="001A3991"/>
    <w:rsid w:val="001A3BF9"/>
    <w:rsid w:val="001A424A"/>
    <w:rsid w:val="001A4336"/>
    <w:rsid w:val="001A4780"/>
    <w:rsid w:val="001A49C2"/>
    <w:rsid w:val="001A4CB3"/>
    <w:rsid w:val="001A4CCB"/>
    <w:rsid w:val="001A4EB6"/>
    <w:rsid w:val="001A5419"/>
    <w:rsid w:val="001A5705"/>
    <w:rsid w:val="001A585E"/>
    <w:rsid w:val="001A592C"/>
    <w:rsid w:val="001A5D64"/>
    <w:rsid w:val="001A620B"/>
    <w:rsid w:val="001A63F2"/>
    <w:rsid w:val="001A6496"/>
    <w:rsid w:val="001A6575"/>
    <w:rsid w:val="001A6A59"/>
    <w:rsid w:val="001A6E6B"/>
    <w:rsid w:val="001A6EFA"/>
    <w:rsid w:val="001A6F1C"/>
    <w:rsid w:val="001A7031"/>
    <w:rsid w:val="001A7346"/>
    <w:rsid w:val="001A7386"/>
    <w:rsid w:val="001A751B"/>
    <w:rsid w:val="001A7591"/>
    <w:rsid w:val="001A76BC"/>
    <w:rsid w:val="001A7971"/>
    <w:rsid w:val="001A7B28"/>
    <w:rsid w:val="001A7BFE"/>
    <w:rsid w:val="001A7E01"/>
    <w:rsid w:val="001A7E31"/>
    <w:rsid w:val="001A7FFD"/>
    <w:rsid w:val="001B0110"/>
    <w:rsid w:val="001B0511"/>
    <w:rsid w:val="001B090D"/>
    <w:rsid w:val="001B09E3"/>
    <w:rsid w:val="001B0AC4"/>
    <w:rsid w:val="001B0C0A"/>
    <w:rsid w:val="001B0F33"/>
    <w:rsid w:val="001B0F48"/>
    <w:rsid w:val="001B105E"/>
    <w:rsid w:val="001B10FE"/>
    <w:rsid w:val="001B11A3"/>
    <w:rsid w:val="001B1324"/>
    <w:rsid w:val="001B1729"/>
    <w:rsid w:val="001B1E08"/>
    <w:rsid w:val="001B1FAD"/>
    <w:rsid w:val="001B21F8"/>
    <w:rsid w:val="001B2277"/>
    <w:rsid w:val="001B29D0"/>
    <w:rsid w:val="001B3048"/>
    <w:rsid w:val="001B3961"/>
    <w:rsid w:val="001B3B1B"/>
    <w:rsid w:val="001B3B45"/>
    <w:rsid w:val="001B3DBE"/>
    <w:rsid w:val="001B40CB"/>
    <w:rsid w:val="001B40E7"/>
    <w:rsid w:val="001B42E4"/>
    <w:rsid w:val="001B436F"/>
    <w:rsid w:val="001B4BCE"/>
    <w:rsid w:val="001B4E90"/>
    <w:rsid w:val="001B5291"/>
    <w:rsid w:val="001B563F"/>
    <w:rsid w:val="001B571B"/>
    <w:rsid w:val="001B582D"/>
    <w:rsid w:val="001B5890"/>
    <w:rsid w:val="001B59A9"/>
    <w:rsid w:val="001B5C8D"/>
    <w:rsid w:val="001B5D3A"/>
    <w:rsid w:val="001B5D41"/>
    <w:rsid w:val="001B5EB0"/>
    <w:rsid w:val="001B6421"/>
    <w:rsid w:val="001B691A"/>
    <w:rsid w:val="001B696E"/>
    <w:rsid w:val="001B6A56"/>
    <w:rsid w:val="001B6BBC"/>
    <w:rsid w:val="001B6FAD"/>
    <w:rsid w:val="001B7191"/>
    <w:rsid w:val="001B71B9"/>
    <w:rsid w:val="001B7243"/>
    <w:rsid w:val="001B76A8"/>
    <w:rsid w:val="001B782D"/>
    <w:rsid w:val="001B7DC0"/>
    <w:rsid w:val="001B7FEC"/>
    <w:rsid w:val="001C00F2"/>
    <w:rsid w:val="001C0545"/>
    <w:rsid w:val="001C05BE"/>
    <w:rsid w:val="001C0903"/>
    <w:rsid w:val="001C0963"/>
    <w:rsid w:val="001C09D9"/>
    <w:rsid w:val="001C10DA"/>
    <w:rsid w:val="001C1121"/>
    <w:rsid w:val="001C116E"/>
    <w:rsid w:val="001C11AB"/>
    <w:rsid w:val="001C1450"/>
    <w:rsid w:val="001C14EA"/>
    <w:rsid w:val="001C15C5"/>
    <w:rsid w:val="001C15CB"/>
    <w:rsid w:val="001C19F4"/>
    <w:rsid w:val="001C1A14"/>
    <w:rsid w:val="001C1AC5"/>
    <w:rsid w:val="001C1C69"/>
    <w:rsid w:val="001C1DE7"/>
    <w:rsid w:val="001C202D"/>
    <w:rsid w:val="001C21A2"/>
    <w:rsid w:val="001C22BD"/>
    <w:rsid w:val="001C22F8"/>
    <w:rsid w:val="001C23C3"/>
    <w:rsid w:val="001C24B2"/>
    <w:rsid w:val="001C24F4"/>
    <w:rsid w:val="001C2A03"/>
    <w:rsid w:val="001C2D97"/>
    <w:rsid w:val="001C30D2"/>
    <w:rsid w:val="001C397B"/>
    <w:rsid w:val="001C39E8"/>
    <w:rsid w:val="001C3A22"/>
    <w:rsid w:val="001C3BC6"/>
    <w:rsid w:val="001C3C62"/>
    <w:rsid w:val="001C3CAF"/>
    <w:rsid w:val="001C3CD8"/>
    <w:rsid w:val="001C3D31"/>
    <w:rsid w:val="001C3F63"/>
    <w:rsid w:val="001C4082"/>
    <w:rsid w:val="001C43EA"/>
    <w:rsid w:val="001C44E0"/>
    <w:rsid w:val="001C4553"/>
    <w:rsid w:val="001C4619"/>
    <w:rsid w:val="001C4623"/>
    <w:rsid w:val="001C4632"/>
    <w:rsid w:val="001C469B"/>
    <w:rsid w:val="001C4A0B"/>
    <w:rsid w:val="001C4AE2"/>
    <w:rsid w:val="001C4B75"/>
    <w:rsid w:val="001C4BC0"/>
    <w:rsid w:val="001C4C45"/>
    <w:rsid w:val="001C4C8C"/>
    <w:rsid w:val="001C4DA4"/>
    <w:rsid w:val="001C4EAF"/>
    <w:rsid w:val="001C504B"/>
    <w:rsid w:val="001C532B"/>
    <w:rsid w:val="001C5348"/>
    <w:rsid w:val="001C54F5"/>
    <w:rsid w:val="001C559E"/>
    <w:rsid w:val="001C55F6"/>
    <w:rsid w:val="001C56D3"/>
    <w:rsid w:val="001C58F6"/>
    <w:rsid w:val="001C5D2D"/>
    <w:rsid w:val="001C5D8B"/>
    <w:rsid w:val="001C6086"/>
    <w:rsid w:val="001C6252"/>
    <w:rsid w:val="001C62B4"/>
    <w:rsid w:val="001C6311"/>
    <w:rsid w:val="001C6504"/>
    <w:rsid w:val="001C6726"/>
    <w:rsid w:val="001C6758"/>
    <w:rsid w:val="001C681D"/>
    <w:rsid w:val="001C69B9"/>
    <w:rsid w:val="001C6A71"/>
    <w:rsid w:val="001C6BFC"/>
    <w:rsid w:val="001C71AA"/>
    <w:rsid w:val="001C73F8"/>
    <w:rsid w:val="001C75AB"/>
    <w:rsid w:val="001C75B2"/>
    <w:rsid w:val="001C776C"/>
    <w:rsid w:val="001C77E1"/>
    <w:rsid w:val="001C79DA"/>
    <w:rsid w:val="001C7ABB"/>
    <w:rsid w:val="001C7C85"/>
    <w:rsid w:val="001C7C88"/>
    <w:rsid w:val="001C7F9B"/>
    <w:rsid w:val="001C7FDF"/>
    <w:rsid w:val="001D0DB8"/>
    <w:rsid w:val="001D0ED1"/>
    <w:rsid w:val="001D112B"/>
    <w:rsid w:val="001D11B3"/>
    <w:rsid w:val="001D1854"/>
    <w:rsid w:val="001D19A8"/>
    <w:rsid w:val="001D1A73"/>
    <w:rsid w:val="001D21D5"/>
    <w:rsid w:val="001D240E"/>
    <w:rsid w:val="001D26ED"/>
    <w:rsid w:val="001D28B3"/>
    <w:rsid w:val="001D2B7D"/>
    <w:rsid w:val="001D2D33"/>
    <w:rsid w:val="001D33AD"/>
    <w:rsid w:val="001D347B"/>
    <w:rsid w:val="001D3767"/>
    <w:rsid w:val="001D39F2"/>
    <w:rsid w:val="001D3D79"/>
    <w:rsid w:val="001D3E4C"/>
    <w:rsid w:val="001D3E57"/>
    <w:rsid w:val="001D40CC"/>
    <w:rsid w:val="001D427C"/>
    <w:rsid w:val="001D5257"/>
    <w:rsid w:val="001D5280"/>
    <w:rsid w:val="001D52A9"/>
    <w:rsid w:val="001D5350"/>
    <w:rsid w:val="001D579C"/>
    <w:rsid w:val="001D5963"/>
    <w:rsid w:val="001D5CAD"/>
    <w:rsid w:val="001D5D71"/>
    <w:rsid w:val="001D5DEC"/>
    <w:rsid w:val="001D62F5"/>
    <w:rsid w:val="001D638B"/>
    <w:rsid w:val="001D6488"/>
    <w:rsid w:val="001D654F"/>
    <w:rsid w:val="001D686B"/>
    <w:rsid w:val="001D6986"/>
    <w:rsid w:val="001D6CCE"/>
    <w:rsid w:val="001D6DFA"/>
    <w:rsid w:val="001D7159"/>
    <w:rsid w:val="001D7743"/>
    <w:rsid w:val="001D7764"/>
    <w:rsid w:val="001D7798"/>
    <w:rsid w:val="001D79EF"/>
    <w:rsid w:val="001D7BFA"/>
    <w:rsid w:val="001E0008"/>
    <w:rsid w:val="001E004B"/>
    <w:rsid w:val="001E0610"/>
    <w:rsid w:val="001E0741"/>
    <w:rsid w:val="001E0916"/>
    <w:rsid w:val="001E1287"/>
    <w:rsid w:val="001E1901"/>
    <w:rsid w:val="001E19D3"/>
    <w:rsid w:val="001E1F97"/>
    <w:rsid w:val="001E2058"/>
    <w:rsid w:val="001E23D1"/>
    <w:rsid w:val="001E2428"/>
    <w:rsid w:val="001E252F"/>
    <w:rsid w:val="001E26BD"/>
    <w:rsid w:val="001E2908"/>
    <w:rsid w:val="001E2A8E"/>
    <w:rsid w:val="001E351B"/>
    <w:rsid w:val="001E35AA"/>
    <w:rsid w:val="001E38A8"/>
    <w:rsid w:val="001E3948"/>
    <w:rsid w:val="001E3982"/>
    <w:rsid w:val="001E40A5"/>
    <w:rsid w:val="001E4286"/>
    <w:rsid w:val="001E45DA"/>
    <w:rsid w:val="001E47E7"/>
    <w:rsid w:val="001E4EC8"/>
    <w:rsid w:val="001E5005"/>
    <w:rsid w:val="001E526C"/>
    <w:rsid w:val="001E53CD"/>
    <w:rsid w:val="001E540D"/>
    <w:rsid w:val="001E54F5"/>
    <w:rsid w:val="001E580B"/>
    <w:rsid w:val="001E5BBB"/>
    <w:rsid w:val="001E5F64"/>
    <w:rsid w:val="001E6180"/>
    <w:rsid w:val="001E63AE"/>
    <w:rsid w:val="001E674B"/>
    <w:rsid w:val="001E68FC"/>
    <w:rsid w:val="001E6C2D"/>
    <w:rsid w:val="001E6D8E"/>
    <w:rsid w:val="001E6EB7"/>
    <w:rsid w:val="001E714A"/>
    <w:rsid w:val="001E72B6"/>
    <w:rsid w:val="001E7353"/>
    <w:rsid w:val="001E7396"/>
    <w:rsid w:val="001E7569"/>
    <w:rsid w:val="001E7CB9"/>
    <w:rsid w:val="001E7F25"/>
    <w:rsid w:val="001F0033"/>
    <w:rsid w:val="001F073F"/>
    <w:rsid w:val="001F0766"/>
    <w:rsid w:val="001F0B80"/>
    <w:rsid w:val="001F0C39"/>
    <w:rsid w:val="001F0EE5"/>
    <w:rsid w:val="001F104B"/>
    <w:rsid w:val="001F111D"/>
    <w:rsid w:val="001F16FB"/>
    <w:rsid w:val="001F1761"/>
    <w:rsid w:val="001F1844"/>
    <w:rsid w:val="001F1963"/>
    <w:rsid w:val="001F1A09"/>
    <w:rsid w:val="001F1BC4"/>
    <w:rsid w:val="001F1E15"/>
    <w:rsid w:val="001F2178"/>
    <w:rsid w:val="001F22CC"/>
    <w:rsid w:val="001F25E0"/>
    <w:rsid w:val="001F27FF"/>
    <w:rsid w:val="001F2DF7"/>
    <w:rsid w:val="001F3278"/>
    <w:rsid w:val="001F3952"/>
    <w:rsid w:val="001F3C5F"/>
    <w:rsid w:val="001F3CD4"/>
    <w:rsid w:val="001F3F79"/>
    <w:rsid w:val="001F458A"/>
    <w:rsid w:val="001F4890"/>
    <w:rsid w:val="001F4B1F"/>
    <w:rsid w:val="001F4D5A"/>
    <w:rsid w:val="001F4F5A"/>
    <w:rsid w:val="001F50ED"/>
    <w:rsid w:val="001F52DC"/>
    <w:rsid w:val="001F55B0"/>
    <w:rsid w:val="001F5B30"/>
    <w:rsid w:val="001F5D8D"/>
    <w:rsid w:val="001F5E6B"/>
    <w:rsid w:val="001F606B"/>
    <w:rsid w:val="001F61FE"/>
    <w:rsid w:val="001F646F"/>
    <w:rsid w:val="001F64DB"/>
    <w:rsid w:val="001F66DE"/>
    <w:rsid w:val="001F68BC"/>
    <w:rsid w:val="001F6C87"/>
    <w:rsid w:val="001F6EC5"/>
    <w:rsid w:val="001F705D"/>
    <w:rsid w:val="001F71ED"/>
    <w:rsid w:val="001F7246"/>
    <w:rsid w:val="001F73B9"/>
    <w:rsid w:val="001F7461"/>
    <w:rsid w:val="001F7492"/>
    <w:rsid w:val="001F7971"/>
    <w:rsid w:val="001F7ACA"/>
    <w:rsid w:val="001F7D00"/>
    <w:rsid w:val="00200366"/>
    <w:rsid w:val="0020066A"/>
    <w:rsid w:val="00200807"/>
    <w:rsid w:val="0020096C"/>
    <w:rsid w:val="00200A6B"/>
    <w:rsid w:val="00200BDE"/>
    <w:rsid w:val="00200C4F"/>
    <w:rsid w:val="00200CAC"/>
    <w:rsid w:val="00200D92"/>
    <w:rsid w:val="002014E7"/>
    <w:rsid w:val="00202046"/>
    <w:rsid w:val="002024A8"/>
    <w:rsid w:val="00202576"/>
    <w:rsid w:val="00202699"/>
    <w:rsid w:val="00202966"/>
    <w:rsid w:val="00202A9E"/>
    <w:rsid w:val="00202AA8"/>
    <w:rsid w:val="00202D81"/>
    <w:rsid w:val="00202DC0"/>
    <w:rsid w:val="00202E80"/>
    <w:rsid w:val="00202EB6"/>
    <w:rsid w:val="00203B02"/>
    <w:rsid w:val="00203BF5"/>
    <w:rsid w:val="00203F82"/>
    <w:rsid w:val="00204026"/>
    <w:rsid w:val="002048BC"/>
    <w:rsid w:val="002051EE"/>
    <w:rsid w:val="00205483"/>
    <w:rsid w:val="00205507"/>
    <w:rsid w:val="0020562D"/>
    <w:rsid w:val="00205642"/>
    <w:rsid w:val="00205644"/>
    <w:rsid w:val="00205A9F"/>
    <w:rsid w:val="00205B0E"/>
    <w:rsid w:val="00205B1F"/>
    <w:rsid w:val="00205B44"/>
    <w:rsid w:val="00205C4D"/>
    <w:rsid w:val="00205E33"/>
    <w:rsid w:val="00205FEA"/>
    <w:rsid w:val="0020600A"/>
    <w:rsid w:val="002061B1"/>
    <w:rsid w:val="002061CA"/>
    <w:rsid w:val="00206245"/>
    <w:rsid w:val="0020689C"/>
    <w:rsid w:val="00206929"/>
    <w:rsid w:val="002069BC"/>
    <w:rsid w:val="00206E13"/>
    <w:rsid w:val="00206F03"/>
    <w:rsid w:val="00206F7F"/>
    <w:rsid w:val="0020718C"/>
    <w:rsid w:val="00207205"/>
    <w:rsid w:val="00207223"/>
    <w:rsid w:val="00207408"/>
    <w:rsid w:val="00207526"/>
    <w:rsid w:val="0020759D"/>
    <w:rsid w:val="0020762E"/>
    <w:rsid w:val="0020765F"/>
    <w:rsid w:val="00207777"/>
    <w:rsid w:val="00207EAB"/>
    <w:rsid w:val="0021000D"/>
    <w:rsid w:val="0021033E"/>
    <w:rsid w:val="00210679"/>
    <w:rsid w:val="002108BE"/>
    <w:rsid w:val="00210901"/>
    <w:rsid w:val="00210954"/>
    <w:rsid w:val="00210D6E"/>
    <w:rsid w:val="00210D9C"/>
    <w:rsid w:val="00210DCC"/>
    <w:rsid w:val="00210DCD"/>
    <w:rsid w:val="002111AB"/>
    <w:rsid w:val="00211533"/>
    <w:rsid w:val="00211557"/>
    <w:rsid w:val="0021198D"/>
    <w:rsid w:val="002119BF"/>
    <w:rsid w:val="00211C52"/>
    <w:rsid w:val="00211D3D"/>
    <w:rsid w:val="00211FC5"/>
    <w:rsid w:val="0021224F"/>
    <w:rsid w:val="0021225B"/>
    <w:rsid w:val="002124F3"/>
    <w:rsid w:val="002126B2"/>
    <w:rsid w:val="0021275B"/>
    <w:rsid w:val="00212948"/>
    <w:rsid w:val="00212BFF"/>
    <w:rsid w:val="00212FA8"/>
    <w:rsid w:val="002134A1"/>
    <w:rsid w:val="00213A9B"/>
    <w:rsid w:val="00213E70"/>
    <w:rsid w:val="00213E74"/>
    <w:rsid w:val="00214036"/>
    <w:rsid w:val="0021403C"/>
    <w:rsid w:val="002145B9"/>
    <w:rsid w:val="00214BD4"/>
    <w:rsid w:val="00214FFF"/>
    <w:rsid w:val="0021501A"/>
    <w:rsid w:val="00215101"/>
    <w:rsid w:val="002151CB"/>
    <w:rsid w:val="00215468"/>
    <w:rsid w:val="00215AAF"/>
    <w:rsid w:val="002160BB"/>
    <w:rsid w:val="00216238"/>
    <w:rsid w:val="002163C8"/>
    <w:rsid w:val="002165D3"/>
    <w:rsid w:val="00216771"/>
    <w:rsid w:val="002167BA"/>
    <w:rsid w:val="0021687C"/>
    <w:rsid w:val="0021697C"/>
    <w:rsid w:val="00216AAA"/>
    <w:rsid w:val="00217423"/>
    <w:rsid w:val="00217839"/>
    <w:rsid w:val="002178E8"/>
    <w:rsid w:val="00217BBD"/>
    <w:rsid w:val="002201D2"/>
    <w:rsid w:val="0022067E"/>
    <w:rsid w:val="00220749"/>
    <w:rsid w:val="002208DA"/>
    <w:rsid w:val="00220BB9"/>
    <w:rsid w:val="00220BC7"/>
    <w:rsid w:val="00221077"/>
    <w:rsid w:val="00221197"/>
    <w:rsid w:val="0022195B"/>
    <w:rsid w:val="00221B1E"/>
    <w:rsid w:val="00221B3B"/>
    <w:rsid w:val="00221E6F"/>
    <w:rsid w:val="00221F2A"/>
    <w:rsid w:val="00222177"/>
    <w:rsid w:val="0022224C"/>
    <w:rsid w:val="002222E2"/>
    <w:rsid w:val="00222379"/>
    <w:rsid w:val="00222392"/>
    <w:rsid w:val="002223C1"/>
    <w:rsid w:val="002224B2"/>
    <w:rsid w:val="002224C1"/>
    <w:rsid w:val="00222A79"/>
    <w:rsid w:val="00222D4A"/>
    <w:rsid w:val="002230B2"/>
    <w:rsid w:val="0022389B"/>
    <w:rsid w:val="00223F94"/>
    <w:rsid w:val="00223FBD"/>
    <w:rsid w:val="002240C5"/>
    <w:rsid w:val="00224345"/>
    <w:rsid w:val="002244A6"/>
    <w:rsid w:val="0022463E"/>
    <w:rsid w:val="002256E4"/>
    <w:rsid w:val="0022583B"/>
    <w:rsid w:val="00225A3B"/>
    <w:rsid w:val="00225A4E"/>
    <w:rsid w:val="00225A8C"/>
    <w:rsid w:val="00225BD8"/>
    <w:rsid w:val="00225CFE"/>
    <w:rsid w:val="00225E1E"/>
    <w:rsid w:val="00226081"/>
    <w:rsid w:val="002263A4"/>
    <w:rsid w:val="002264E2"/>
    <w:rsid w:val="0022662B"/>
    <w:rsid w:val="00226710"/>
    <w:rsid w:val="00226AF7"/>
    <w:rsid w:val="00226CF3"/>
    <w:rsid w:val="002276A5"/>
    <w:rsid w:val="0022777E"/>
    <w:rsid w:val="002277B0"/>
    <w:rsid w:val="00227B0B"/>
    <w:rsid w:val="00227B4A"/>
    <w:rsid w:val="00227CDE"/>
    <w:rsid w:val="00227FDC"/>
    <w:rsid w:val="00230055"/>
    <w:rsid w:val="002305CB"/>
    <w:rsid w:val="00230817"/>
    <w:rsid w:val="0023081D"/>
    <w:rsid w:val="00230A87"/>
    <w:rsid w:val="00230A9B"/>
    <w:rsid w:val="00230DCC"/>
    <w:rsid w:val="00230F31"/>
    <w:rsid w:val="00230FA0"/>
    <w:rsid w:val="00230FE7"/>
    <w:rsid w:val="00231417"/>
    <w:rsid w:val="00231611"/>
    <w:rsid w:val="0023167C"/>
    <w:rsid w:val="002317CA"/>
    <w:rsid w:val="00231960"/>
    <w:rsid w:val="00231E84"/>
    <w:rsid w:val="00231F26"/>
    <w:rsid w:val="002324E3"/>
    <w:rsid w:val="002326C4"/>
    <w:rsid w:val="00232917"/>
    <w:rsid w:val="002329DD"/>
    <w:rsid w:val="002329E5"/>
    <w:rsid w:val="00232FEC"/>
    <w:rsid w:val="0023329C"/>
    <w:rsid w:val="00233355"/>
    <w:rsid w:val="002334D0"/>
    <w:rsid w:val="00233586"/>
    <w:rsid w:val="00233808"/>
    <w:rsid w:val="00233868"/>
    <w:rsid w:val="00233BC0"/>
    <w:rsid w:val="00233D92"/>
    <w:rsid w:val="00233FBB"/>
    <w:rsid w:val="00233FF1"/>
    <w:rsid w:val="0023454D"/>
    <w:rsid w:val="002346D1"/>
    <w:rsid w:val="00234B4F"/>
    <w:rsid w:val="00234F16"/>
    <w:rsid w:val="002350F8"/>
    <w:rsid w:val="0023511A"/>
    <w:rsid w:val="00235412"/>
    <w:rsid w:val="00235463"/>
    <w:rsid w:val="002358F4"/>
    <w:rsid w:val="00235AAD"/>
    <w:rsid w:val="00235F2F"/>
    <w:rsid w:val="00235F4B"/>
    <w:rsid w:val="00236089"/>
    <w:rsid w:val="0023618D"/>
    <w:rsid w:val="00236244"/>
    <w:rsid w:val="00236656"/>
    <w:rsid w:val="0023669A"/>
    <w:rsid w:val="0023680A"/>
    <w:rsid w:val="00236ACD"/>
    <w:rsid w:val="00236DC0"/>
    <w:rsid w:val="00236F4C"/>
    <w:rsid w:val="002373A2"/>
    <w:rsid w:val="00237A0A"/>
    <w:rsid w:val="00237EAC"/>
    <w:rsid w:val="002402F3"/>
    <w:rsid w:val="00240451"/>
    <w:rsid w:val="00240461"/>
    <w:rsid w:val="0024057A"/>
    <w:rsid w:val="0024073F"/>
    <w:rsid w:val="002407CC"/>
    <w:rsid w:val="002409E3"/>
    <w:rsid w:val="00240D3E"/>
    <w:rsid w:val="002410A3"/>
    <w:rsid w:val="002410C2"/>
    <w:rsid w:val="0024113D"/>
    <w:rsid w:val="002411C6"/>
    <w:rsid w:val="00241394"/>
    <w:rsid w:val="0024158C"/>
    <w:rsid w:val="002415CE"/>
    <w:rsid w:val="00241DDA"/>
    <w:rsid w:val="00241E20"/>
    <w:rsid w:val="00241F93"/>
    <w:rsid w:val="00242180"/>
    <w:rsid w:val="0024220B"/>
    <w:rsid w:val="002422AE"/>
    <w:rsid w:val="0024232E"/>
    <w:rsid w:val="00242517"/>
    <w:rsid w:val="0024260B"/>
    <w:rsid w:val="002427DD"/>
    <w:rsid w:val="00242C7E"/>
    <w:rsid w:val="00243007"/>
    <w:rsid w:val="00243446"/>
    <w:rsid w:val="00243853"/>
    <w:rsid w:val="0024398C"/>
    <w:rsid w:val="002439B0"/>
    <w:rsid w:val="00243A09"/>
    <w:rsid w:val="00243BD2"/>
    <w:rsid w:val="00243D63"/>
    <w:rsid w:val="00243FE0"/>
    <w:rsid w:val="0024401F"/>
    <w:rsid w:val="00244685"/>
    <w:rsid w:val="002447E9"/>
    <w:rsid w:val="002447FC"/>
    <w:rsid w:val="00244A56"/>
    <w:rsid w:val="00244B18"/>
    <w:rsid w:val="00244EE7"/>
    <w:rsid w:val="002453BE"/>
    <w:rsid w:val="002455C3"/>
    <w:rsid w:val="0024569B"/>
    <w:rsid w:val="00245901"/>
    <w:rsid w:val="00245A3F"/>
    <w:rsid w:val="00245D07"/>
    <w:rsid w:val="00245FE1"/>
    <w:rsid w:val="00246686"/>
    <w:rsid w:val="00246967"/>
    <w:rsid w:val="002469DC"/>
    <w:rsid w:val="00246A15"/>
    <w:rsid w:val="00246BDF"/>
    <w:rsid w:val="002470C2"/>
    <w:rsid w:val="00247177"/>
    <w:rsid w:val="0024736E"/>
    <w:rsid w:val="002478F2"/>
    <w:rsid w:val="0024799C"/>
    <w:rsid w:val="00247B4D"/>
    <w:rsid w:val="00247FF6"/>
    <w:rsid w:val="00250386"/>
    <w:rsid w:val="00250996"/>
    <w:rsid w:val="00250A38"/>
    <w:rsid w:val="00250BFD"/>
    <w:rsid w:val="00250C60"/>
    <w:rsid w:val="00251016"/>
    <w:rsid w:val="0025106D"/>
    <w:rsid w:val="002513AE"/>
    <w:rsid w:val="0025160C"/>
    <w:rsid w:val="002516FE"/>
    <w:rsid w:val="002517F2"/>
    <w:rsid w:val="00251CAD"/>
    <w:rsid w:val="00251CFF"/>
    <w:rsid w:val="00251DA9"/>
    <w:rsid w:val="00251FB0"/>
    <w:rsid w:val="002521E1"/>
    <w:rsid w:val="002527A2"/>
    <w:rsid w:val="00252851"/>
    <w:rsid w:val="0025309F"/>
    <w:rsid w:val="002530F3"/>
    <w:rsid w:val="00253590"/>
    <w:rsid w:val="002535CE"/>
    <w:rsid w:val="00253724"/>
    <w:rsid w:val="0025382E"/>
    <w:rsid w:val="002538AA"/>
    <w:rsid w:val="002539A7"/>
    <w:rsid w:val="00253A17"/>
    <w:rsid w:val="00254114"/>
    <w:rsid w:val="00254247"/>
    <w:rsid w:val="002542B2"/>
    <w:rsid w:val="0025447C"/>
    <w:rsid w:val="00254681"/>
    <w:rsid w:val="002547AE"/>
    <w:rsid w:val="00254B08"/>
    <w:rsid w:val="00254B81"/>
    <w:rsid w:val="00254C96"/>
    <w:rsid w:val="00254D86"/>
    <w:rsid w:val="00255399"/>
    <w:rsid w:val="0025574B"/>
    <w:rsid w:val="002559B3"/>
    <w:rsid w:val="00255A05"/>
    <w:rsid w:val="00255A84"/>
    <w:rsid w:val="00255B5A"/>
    <w:rsid w:val="00255F7F"/>
    <w:rsid w:val="00256777"/>
    <w:rsid w:val="00256795"/>
    <w:rsid w:val="0025684E"/>
    <w:rsid w:val="0025698E"/>
    <w:rsid w:val="00256AB8"/>
    <w:rsid w:val="00256F09"/>
    <w:rsid w:val="002573FE"/>
    <w:rsid w:val="00257403"/>
    <w:rsid w:val="002574AF"/>
    <w:rsid w:val="00257AAA"/>
    <w:rsid w:val="00257C41"/>
    <w:rsid w:val="00260101"/>
    <w:rsid w:val="00260448"/>
    <w:rsid w:val="0026059B"/>
    <w:rsid w:val="00260985"/>
    <w:rsid w:val="00260BA6"/>
    <w:rsid w:val="00260C35"/>
    <w:rsid w:val="0026114B"/>
    <w:rsid w:val="0026115B"/>
    <w:rsid w:val="0026123A"/>
    <w:rsid w:val="00261391"/>
    <w:rsid w:val="0026169D"/>
    <w:rsid w:val="002616DC"/>
    <w:rsid w:val="002618BE"/>
    <w:rsid w:val="00261972"/>
    <w:rsid w:val="002619FC"/>
    <w:rsid w:val="00261CF1"/>
    <w:rsid w:val="00261DA5"/>
    <w:rsid w:val="00261E5E"/>
    <w:rsid w:val="0026216E"/>
    <w:rsid w:val="0026229E"/>
    <w:rsid w:val="00262869"/>
    <w:rsid w:val="002628F6"/>
    <w:rsid w:val="0026291C"/>
    <w:rsid w:val="00262DCF"/>
    <w:rsid w:val="002634EA"/>
    <w:rsid w:val="002637CF"/>
    <w:rsid w:val="00263AF8"/>
    <w:rsid w:val="00263CD1"/>
    <w:rsid w:val="00263FF1"/>
    <w:rsid w:val="002645C7"/>
    <w:rsid w:val="002646FE"/>
    <w:rsid w:val="002648EE"/>
    <w:rsid w:val="00264910"/>
    <w:rsid w:val="00264B3D"/>
    <w:rsid w:val="00264C1F"/>
    <w:rsid w:val="00264FD6"/>
    <w:rsid w:val="002654FE"/>
    <w:rsid w:val="002656C7"/>
    <w:rsid w:val="00265AC3"/>
    <w:rsid w:val="00265B89"/>
    <w:rsid w:val="00265BFC"/>
    <w:rsid w:val="00265D3C"/>
    <w:rsid w:val="00266234"/>
    <w:rsid w:val="002662A2"/>
    <w:rsid w:val="002662C2"/>
    <w:rsid w:val="0026680B"/>
    <w:rsid w:val="00266B3E"/>
    <w:rsid w:val="00266D29"/>
    <w:rsid w:val="00266E9A"/>
    <w:rsid w:val="00266F7A"/>
    <w:rsid w:val="002671A2"/>
    <w:rsid w:val="0026722A"/>
    <w:rsid w:val="00267496"/>
    <w:rsid w:val="00267A28"/>
    <w:rsid w:val="00267A7C"/>
    <w:rsid w:val="00267B57"/>
    <w:rsid w:val="00267F66"/>
    <w:rsid w:val="00270169"/>
    <w:rsid w:val="002702D2"/>
    <w:rsid w:val="00270370"/>
    <w:rsid w:val="002703D2"/>
    <w:rsid w:val="002708A2"/>
    <w:rsid w:val="00270A67"/>
    <w:rsid w:val="00270BAE"/>
    <w:rsid w:val="00270E19"/>
    <w:rsid w:val="00271266"/>
    <w:rsid w:val="0027138C"/>
    <w:rsid w:val="0027170E"/>
    <w:rsid w:val="00271947"/>
    <w:rsid w:val="00271B4D"/>
    <w:rsid w:val="00272164"/>
    <w:rsid w:val="00272499"/>
    <w:rsid w:val="00272623"/>
    <w:rsid w:val="00272960"/>
    <w:rsid w:val="00272A65"/>
    <w:rsid w:val="00272DBE"/>
    <w:rsid w:val="0027304A"/>
    <w:rsid w:val="0027304D"/>
    <w:rsid w:val="00273102"/>
    <w:rsid w:val="0027349A"/>
    <w:rsid w:val="00273CB2"/>
    <w:rsid w:val="002742C3"/>
    <w:rsid w:val="002742FE"/>
    <w:rsid w:val="0027476C"/>
    <w:rsid w:val="00274C4D"/>
    <w:rsid w:val="00274EFA"/>
    <w:rsid w:val="00275025"/>
    <w:rsid w:val="0027529C"/>
    <w:rsid w:val="002757B7"/>
    <w:rsid w:val="0027596A"/>
    <w:rsid w:val="002759C0"/>
    <w:rsid w:val="00275B68"/>
    <w:rsid w:val="00275C43"/>
    <w:rsid w:val="00275D7A"/>
    <w:rsid w:val="00275F9E"/>
    <w:rsid w:val="002761BD"/>
    <w:rsid w:val="00276339"/>
    <w:rsid w:val="00276493"/>
    <w:rsid w:val="0027652E"/>
    <w:rsid w:val="0027683A"/>
    <w:rsid w:val="00276884"/>
    <w:rsid w:val="00276CB0"/>
    <w:rsid w:val="00277230"/>
    <w:rsid w:val="002772AF"/>
    <w:rsid w:val="00277636"/>
    <w:rsid w:val="0027780B"/>
    <w:rsid w:val="002779F5"/>
    <w:rsid w:val="00277A86"/>
    <w:rsid w:val="00280A94"/>
    <w:rsid w:val="00280B6C"/>
    <w:rsid w:val="00280CBA"/>
    <w:rsid w:val="00280D5B"/>
    <w:rsid w:val="00280EA4"/>
    <w:rsid w:val="00281007"/>
    <w:rsid w:val="0028106B"/>
    <w:rsid w:val="002811B7"/>
    <w:rsid w:val="00281364"/>
    <w:rsid w:val="00281819"/>
    <w:rsid w:val="00281A01"/>
    <w:rsid w:val="00281DA0"/>
    <w:rsid w:val="002822C7"/>
    <w:rsid w:val="002822FD"/>
    <w:rsid w:val="00282372"/>
    <w:rsid w:val="00282521"/>
    <w:rsid w:val="002827F9"/>
    <w:rsid w:val="00282824"/>
    <w:rsid w:val="00282836"/>
    <w:rsid w:val="00282BAE"/>
    <w:rsid w:val="00282D05"/>
    <w:rsid w:val="00282DAC"/>
    <w:rsid w:val="00282EE5"/>
    <w:rsid w:val="002833C7"/>
    <w:rsid w:val="002834C9"/>
    <w:rsid w:val="002835A6"/>
    <w:rsid w:val="002837C2"/>
    <w:rsid w:val="002838D0"/>
    <w:rsid w:val="0028399A"/>
    <w:rsid w:val="002839FB"/>
    <w:rsid w:val="00283BB4"/>
    <w:rsid w:val="00283D4E"/>
    <w:rsid w:val="00284036"/>
    <w:rsid w:val="00284162"/>
    <w:rsid w:val="00284458"/>
    <w:rsid w:val="002844AC"/>
    <w:rsid w:val="002845EA"/>
    <w:rsid w:val="002848C8"/>
    <w:rsid w:val="00284B22"/>
    <w:rsid w:val="00284C97"/>
    <w:rsid w:val="0028523A"/>
    <w:rsid w:val="00285309"/>
    <w:rsid w:val="0028551B"/>
    <w:rsid w:val="00285A8C"/>
    <w:rsid w:val="00285B2D"/>
    <w:rsid w:val="00285DF6"/>
    <w:rsid w:val="00286154"/>
    <w:rsid w:val="0028669A"/>
    <w:rsid w:val="0028670B"/>
    <w:rsid w:val="00286894"/>
    <w:rsid w:val="00286B1C"/>
    <w:rsid w:val="00286B56"/>
    <w:rsid w:val="00286DCB"/>
    <w:rsid w:val="00286EBE"/>
    <w:rsid w:val="00286FB0"/>
    <w:rsid w:val="0028709C"/>
    <w:rsid w:val="0028718B"/>
    <w:rsid w:val="002874D2"/>
    <w:rsid w:val="00287699"/>
    <w:rsid w:val="0028783E"/>
    <w:rsid w:val="00287B58"/>
    <w:rsid w:val="0029008E"/>
    <w:rsid w:val="0029026D"/>
    <w:rsid w:val="00290588"/>
    <w:rsid w:val="002907BC"/>
    <w:rsid w:val="00290BA8"/>
    <w:rsid w:val="00290F8B"/>
    <w:rsid w:val="002915B9"/>
    <w:rsid w:val="00291647"/>
    <w:rsid w:val="002919DB"/>
    <w:rsid w:val="002920A4"/>
    <w:rsid w:val="002920C7"/>
    <w:rsid w:val="00292228"/>
    <w:rsid w:val="002924B4"/>
    <w:rsid w:val="00292777"/>
    <w:rsid w:val="002929D8"/>
    <w:rsid w:val="00292B9F"/>
    <w:rsid w:val="00292D54"/>
    <w:rsid w:val="00293109"/>
    <w:rsid w:val="0029316E"/>
    <w:rsid w:val="00293920"/>
    <w:rsid w:val="002939C0"/>
    <w:rsid w:val="00293C60"/>
    <w:rsid w:val="00293C63"/>
    <w:rsid w:val="00293F23"/>
    <w:rsid w:val="00293F3D"/>
    <w:rsid w:val="002942D2"/>
    <w:rsid w:val="002948F5"/>
    <w:rsid w:val="00294A58"/>
    <w:rsid w:val="00294B49"/>
    <w:rsid w:val="00294CD6"/>
    <w:rsid w:val="00294D2F"/>
    <w:rsid w:val="00294EE4"/>
    <w:rsid w:val="00294F65"/>
    <w:rsid w:val="00295274"/>
    <w:rsid w:val="00295601"/>
    <w:rsid w:val="002958DE"/>
    <w:rsid w:val="00295B4E"/>
    <w:rsid w:val="00295B70"/>
    <w:rsid w:val="00295EEF"/>
    <w:rsid w:val="00295EF1"/>
    <w:rsid w:val="002961F3"/>
    <w:rsid w:val="002963DD"/>
    <w:rsid w:val="0029648D"/>
    <w:rsid w:val="00296B8A"/>
    <w:rsid w:val="00296F47"/>
    <w:rsid w:val="00297281"/>
    <w:rsid w:val="00297289"/>
    <w:rsid w:val="00297514"/>
    <w:rsid w:val="0029799C"/>
    <w:rsid w:val="00297D33"/>
    <w:rsid w:val="00297ECD"/>
    <w:rsid w:val="002A04E2"/>
    <w:rsid w:val="002A06E7"/>
    <w:rsid w:val="002A090A"/>
    <w:rsid w:val="002A0E02"/>
    <w:rsid w:val="002A0E79"/>
    <w:rsid w:val="002A0E94"/>
    <w:rsid w:val="002A1263"/>
    <w:rsid w:val="002A18FE"/>
    <w:rsid w:val="002A1963"/>
    <w:rsid w:val="002A19F7"/>
    <w:rsid w:val="002A1FB9"/>
    <w:rsid w:val="002A20E2"/>
    <w:rsid w:val="002A2364"/>
    <w:rsid w:val="002A283D"/>
    <w:rsid w:val="002A2A08"/>
    <w:rsid w:val="002A2B37"/>
    <w:rsid w:val="002A2BC4"/>
    <w:rsid w:val="002A2D62"/>
    <w:rsid w:val="002A2D93"/>
    <w:rsid w:val="002A31FA"/>
    <w:rsid w:val="002A32BE"/>
    <w:rsid w:val="002A339E"/>
    <w:rsid w:val="002A33FC"/>
    <w:rsid w:val="002A3418"/>
    <w:rsid w:val="002A35A5"/>
    <w:rsid w:val="002A3997"/>
    <w:rsid w:val="002A3AB1"/>
    <w:rsid w:val="002A3FF6"/>
    <w:rsid w:val="002A4113"/>
    <w:rsid w:val="002A4266"/>
    <w:rsid w:val="002A449A"/>
    <w:rsid w:val="002A44A0"/>
    <w:rsid w:val="002A45B1"/>
    <w:rsid w:val="002A46C8"/>
    <w:rsid w:val="002A47DF"/>
    <w:rsid w:val="002A496E"/>
    <w:rsid w:val="002A4E42"/>
    <w:rsid w:val="002A5379"/>
    <w:rsid w:val="002A556F"/>
    <w:rsid w:val="002A598E"/>
    <w:rsid w:val="002A5D61"/>
    <w:rsid w:val="002A61A5"/>
    <w:rsid w:val="002A61B1"/>
    <w:rsid w:val="002A648D"/>
    <w:rsid w:val="002A6700"/>
    <w:rsid w:val="002A68E0"/>
    <w:rsid w:val="002A6AB3"/>
    <w:rsid w:val="002A6F83"/>
    <w:rsid w:val="002A7199"/>
    <w:rsid w:val="002A7323"/>
    <w:rsid w:val="002A7726"/>
    <w:rsid w:val="002A77C3"/>
    <w:rsid w:val="002A79D9"/>
    <w:rsid w:val="002A7BAF"/>
    <w:rsid w:val="002A7BBD"/>
    <w:rsid w:val="002A7D28"/>
    <w:rsid w:val="002A7D51"/>
    <w:rsid w:val="002B05A8"/>
    <w:rsid w:val="002B0D6E"/>
    <w:rsid w:val="002B0F57"/>
    <w:rsid w:val="002B0FE9"/>
    <w:rsid w:val="002B1025"/>
    <w:rsid w:val="002B10B0"/>
    <w:rsid w:val="002B1225"/>
    <w:rsid w:val="002B1437"/>
    <w:rsid w:val="002B14DB"/>
    <w:rsid w:val="002B169C"/>
    <w:rsid w:val="002B1838"/>
    <w:rsid w:val="002B1F89"/>
    <w:rsid w:val="002B21BB"/>
    <w:rsid w:val="002B22F5"/>
    <w:rsid w:val="002B25B9"/>
    <w:rsid w:val="002B274C"/>
    <w:rsid w:val="002B2868"/>
    <w:rsid w:val="002B2E9F"/>
    <w:rsid w:val="002B2F77"/>
    <w:rsid w:val="002B3529"/>
    <w:rsid w:val="002B3596"/>
    <w:rsid w:val="002B37D3"/>
    <w:rsid w:val="002B3887"/>
    <w:rsid w:val="002B3A4E"/>
    <w:rsid w:val="002B3CB3"/>
    <w:rsid w:val="002B43B3"/>
    <w:rsid w:val="002B4C7F"/>
    <w:rsid w:val="002B4CEA"/>
    <w:rsid w:val="002B4DBA"/>
    <w:rsid w:val="002B4FAD"/>
    <w:rsid w:val="002B5175"/>
    <w:rsid w:val="002B538D"/>
    <w:rsid w:val="002B5B61"/>
    <w:rsid w:val="002B5CA1"/>
    <w:rsid w:val="002B6031"/>
    <w:rsid w:val="002B6143"/>
    <w:rsid w:val="002B63DB"/>
    <w:rsid w:val="002B6612"/>
    <w:rsid w:val="002B6699"/>
    <w:rsid w:val="002B6716"/>
    <w:rsid w:val="002B6D2E"/>
    <w:rsid w:val="002B6EFD"/>
    <w:rsid w:val="002B6F33"/>
    <w:rsid w:val="002B73D2"/>
    <w:rsid w:val="002B79F0"/>
    <w:rsid w:val="002B7B8A"/>
    <w:rsid w:val="002B7C96"/>
    <w:rsid w:val="002B7F3E"/>
    <w:rsid w:val="002C00F5"/>
    <w:rsid w:val="002C0166"/>
    <w:rsid w:val="002C059A"/>
    <w:rsid w:val="002C05D9"/>
    <w:rsid w:val="002C06B5"/>
    <w:rsid w:val="002C0B8A"/>
    <w:rsid w:val="002C0C7A"/>
    <w:rsid w:val="002C0CCC"/>
    <w:rsid w:val="002C0CD7"/>
    <w:rsid w:val="002C0D7B"/>
    <w:rsid w:val="002C0D99"/>
    <w:rsid w:val="002C1028"/>
    <w:rsid w:val="002C11BC"/>
    <w:rsid w:val="002C11D6"/>
    <w:rsid w:val="002C143E"/>
    <w:rsid w:val="002C1443"/>
    <w:rsid w:val="002C1CBF"/>
    <w:rsid w:val="002C1D9C"/>
    <w:rsid w:val="002C1EFA"/>
    <w:rsid w:val="002C1F0C"/>
    <w:rsid w:val="002C1F3B"/>
    <w:rsid w:val="002C22C5"/>
    <w:rsid w:val="002C2806"/>
    <w:rsid w:val="002C28AD"/>
    <w:rsid w:val="002C2BD3"/>
    <w:rsid w:val="002C2BEB"/>
    <w:rsid w:val="002C2DF8"/>
    <w:rsid w:val="002C30A4"/>
    <w:rsid w:val="002C34B2"/>
    <w:rsid w:val="002C34D5"/>
    <w:rsid w:val="002C366F"/>
    <w:rsid w:val="002C3894"/>
    <w:rsid w:val="002C3963"/>
    <w:rsid w:val="002C3D9B"/>
    <w:rsid w:val="002C3E6A"/>
    <w:rsid w:val="002C4085"/>
    <w:rsid w:val="002C40EF"/>
    <w:rsid w:val="002C4323"/>
    <w:rsid w:val="002C488D"/>
    <w:rsid w:val="002C4A81"/>
    <w:rsid w:val="002C4B78"/>
    <w:rsid w:val="002C4B93"/>
    <w:rsid w:val="002C4CA9"/>
    <w:rsid w:val="002C4CB2"/>
    <w:rsid w:val="002C5453"/>
    <w:rsid w:val="002C57BD"/>
    <w:rsid w:val="002C5A5C"/>
    <w:rsid w:val="002C5BFE"/>
    <w:rsid w:val="002C5C66"/>
    <w:rsid w:val="002C5C7F"/>
    <w:rsid w:val="002C64F8"/>
    <w:rsid w:val="002C6586"/>
    <w:rsid w:val="002C6686"/>
    <w:rsid w:val="002C670A"/>
    <w:rsid w:val="002C68E5"/>
    <w:rsid w:val="002C6C8F"/>
    <w:rsid w:val="002C7016"/>
    <w:rsid w:val="002C70A3"/>
    <w:rsid w:val="002C7301"/>
    <w:rsid w:val="002C75E6"/>
    <w:rsid w:val="002C7853"/>
    <w:rsid w:val="002C7BC2"/>
    <w:rsid w:val="002C7C0A"/>
    <w:rsid w:val="002C7C9C"/>
    <w:rsid w:val="002C7F28"/>
    <w:rsid w:val="002C7FF4"/>
    <w:rsid w:val="002D0026"/>
    <w:rsid w:val="002D006A"/>
    <w:rsid w:val="002D0220"/>
    <w:rsid w:val="002D04C5"/>
    <w:rsid w:val="002D0548"/>
    <w:rsid w:val="002D059D"/>
    <w:rsid w:val="002D0632"/>
    <w:rsid w:val="002D0727"/>
    <w:rsid w:val="002D0747"/>
    <w:rsid w:val="002D100C"/>
    <w:rsid w:val="002D1B36"/>
    <w:rsid w:val="002D1B96"/>
    <w:rsid w:val="002D2270"/>
    <w:rsid w:val="002D23AA"/>
    <w:rsid w:val="002D2C51"/>
    <w:rsid w:val="002D2E4C"/>
    <w:rsid w:val="002D2EC4"/>
    <w:rsid w:val="002D30EB"/>
    <w:rsid w:val="002D319A"/>
    <w:rsid w:val="002D31E9"/>
    <w:rsid w:val="002D31FB"/>
    <w:rsid w:val="002D32AF"/>
    <w:rsid w:val="002D3306"/>
    <w:rsid w:val="002D3568"/>
    <w:rsid w:val="002D37C1"/>
    <w:rsid w:val="002D3B98"/>
    <w:rsid w:val="002D3E11"/>
    <w:rsid w:val="002D3ECA"/>
    <w:rsid w:val="002D3EDF"/>
    <w:rsid w:val="002D3FF7"/>
    <w:rsid w:val="002D4074"/>
    <w:rsid w:val="002D42F1"/>
    <w:rsid w:val="002D4487"/>
    <w:rsid w:val="002D4830"/>
    <w:rsid w:val="002D4960"/>
    <w:rsid w:val="002D4A0A"/>
    <w:rsid w:val="002D4A43"/>
    <w:rsid w:val="002D4A48"/>
    <w:rsid w:val="002D5041"/>
    <w:rsid w:val="002D5098"/>
    <w:rsid w:val="002D52BF"/>
    <w:rsid w:val="002D5AE5"/>
    <w:rsid w:val="002D6056"/>
    <w:rsid w:val="002D607F"/>
    <w:rsid w:val="002D60C9"/>
    <w:rsid w:val="002D65B4"/>
    <w:rsid w:val="002D686E"/>
    <w:rsid w:val="002D68CE"/>
    <w:rsid w:val="002D6D06"/>
    <w:rsid w:val="002D7729"/>
    <w:rsid w:val="002D7D96"/>
    <w:rsid w:val="002E0315"/>
    <w:rsid w:val="002E0354"/>
    <w:rsid w:val="002E0403"/>
    <w:rsid w:val="002E0793"/>
    <w:rsid w:val="002E0895"/>
    <w:rsid w:val="002E08B7"/>
    <w:rsid w:val="002E0903"/>
    <w:rsid w:val="002E0C71"/>
    <w:rsid w:val="002E0D26"/>
    <w:rsid w:val="002E0D8B"/>
    <w:rsid w:val="002E0F23"/>
    <w:rsid w:val="002E10FA"/>
    <w:rsid w:val="002E1286"/>
    <w:rsid w:val="002E197E"/>
    <w:rsid w:val="002E19C3"/>
    <w:rsid w:val="002E1DDE"/>
    <w:rsid w:val="002E21D1"/>
    <w:rsid w:val="002E229D"/>
    <w:rsid w:val="002E2569"/>
    <w:rsid w:val="002E25A8"/>
    <w:rsid w:val="002E279A"/>
    <w:rsid w:val="002E29E0"/>
    <w:rsid w:val="002E2BE7"/>
    <w:rsid w:val="002E2E05"/>
    <w:rsid w:val="002E323E"/>
    <w:rsid w:val="002E34CF"/>
    <w:rsid w:val="002E34E8"/>
    <w:rsid w:val="002E3832"/>
    <w:rsid w:val="002E398A"/>
    <w:rsid w:val="002E399E"/>
    <w:rsid w:val="002E3B08"/>
    <w:rsid w:val="002E3CE5"/>
    <w:rsid w:val="002E4118"/>
    <w:rsid w:val="002E41F3"/>
    <w:rsid w:val="002E4505"/>
    <w:rsid w:val="002E4516"/>
    <w:rsid w:val="002E4519"/>
    <w:rsid w:val="002E4C70"/>
    <w:rsid w:val="002E5038"/>
    <w:rsid w:val="002E533C"/>
    <w:rsid w:val="002E557C"/>
    <w:rsid w:val="002E5BB9"/>
    <w:rsid w:val="002E5BCC"/>
    <w:rsid w:val="002E5D16"/>
    <w:rsid w:val="002E6116"/>
    <w:rsid w:val="002E67E6"/>
    <w:rsid w:val="002E69B3"/>
    <w:rsid w:val="002E6BA7"/>
    <w:rsid w:val="002E6C83"/>
    <w:rsid w:val="002E6C97"/>
    <w:rsid w:val="002E6DBB"/>
    <w:rsid w:val="002E6E7C"/>
    <w:rsid w:val="002E6EED"/>
    <w:rsid w:val="002E6F72"/>
    <w:rsid w:val="002E7B0D"/>
    <w:rsid w:val="002E7CA7"/>
    <w:rsid w:val="002F04DA"/>
    <w:rsid w:val="002F04DE"/>
    <w:rsid w:val="002F089E"/>
    <w:rsid w:val="002F094D"/>
    <w:rsid w:val="002F0A2B"/>
    <w:rsid w:val="002F0B9F"/>
    <w:rsid w:val="002F0D1B"/>
    <w:rsid w:val="002F0F46"/>
    <w:rsid w:val="002F108B"/>
    <w:rsid w:val="002F121E"/>
    <w:rsid w:val="002F14D0"/>
    <w:rsid w:val="002F1524"/>
    <w:rsid w:val="002F190D"/>
    <w:rsid w:val="002F196B"/>
    <w:rsid w:val="002F1A3E"/>
    <w:rsid w:val="002F1B32"/>
    <w:rsid w:val="002F1CD3"/>
    <w:rsid w:val="002F1D51"/>
    <w:rsid w:val="002F1E10"/>
    <w:rsid w:val="002F1E43"/>
    <w:rsid w:val="002F1EA4"/>
    <w:rsid w:val="002F2106"/>
    <w:rsid w:val="002F242F"/>
    <w:rsid w:val="002F24B0"/>
    <w:rsid w:val="002F279C"/>
    <w:rsid w:val="002F283F"/>
    <w:rsid w:val="002F2B94"/>
    <w:rsid w:val="002F2BB2"/>
    <w:rsid w:val="002F2FB9"/>
    <w:rsid w:val="002F3A93"/>
    <w:rsid w:val="002F3AFA"/>
    <w:rsid w:val="002F4355"/>
    <w:rsid w:val="002F4444"/>
    <w:rsid w:val="002F45F4"/>
    <w:rsid w:val="002F4777"/>
    <w:rsid w:val="002F4A17"/>
    <w:rsid w:val="002F4A7F"/>
    <w:rsid w:val="002F4BEA"/>
    <w:rsid w:val="002F54B6"/>
    <w:rsid w:val="002F5629"/>
    <w:rsid w:val="002F5674"/>
    <w:rsid w:val="002F5F2A"/>
    <w:rsid w:val="002F640A"/>
    <w:rsid w:val="002F65E5"/>
    <w:rsid w:val="002F66F0"/>
    <w:rsid w:val="002F677E"/>
    <w:rsid w:val="002F696C"/>
    <w:rsid w:val="002F6A6F"/>
    <w:rsid w:val="002F6AA1"/>
    <w:rsid w:val="002F6B24"/>
    <w:rsid w:val="002F6CCA"/>
    <w:rsid w:val="002F6E28"/>
    <w:rsid w:val="002F6FEA"/>
    <w:rsid w:val="002F7011"/>
    <w:rsid w:val="002F70BA"/>
    <w:rsid w:val="002F725F"/>
    <w:rsid w:val="002F7669"/>
    <w:rsid w:val="002F7A88"/>
    <w:rsid w:val="002F7A99"/>
    <w:rsid w:val="002F7ACD"/>
    <w:rsid w:val="002F7C08"/>
    <w:rsid w:val="002F7C31"/>
    <w:rsid w:val="002F7E68"/>
    <w:rsid w:val="002F7F86"/>
    <w:rsid w:val="00300560"/>
    <w:rsid w:val="003006EC"/>
    <w:rsid w:val="003007DE"/>
    <w:rsid w:val="0030091F"/>
    <w:rsid w:val="00300998"/>
    <w:rsid w:val="00300A82"/>
    <w:rsid w:val="00300A84"/>
    <w:rsid w:val="00300C59"/>
    <w:rsid w:val="00300C9E"/>
    <w:rsid w:val="00300E39"/>
    <w:rsid w:val="00300F95"/>
    <w:rsid w:val="0030101C"/>
    <w:rsid w:val="0030107F"/>
    <w:rsid w:val="003011A6"/>
    <w:rsid w:val="00301217"/>
    <w:rsid w:val="003013EF"/>
    <w:rsid w:val="003017DA"/>
    <w:rsid w:val="00302128"/>
    <w:rsid w:val="00302306"/>
    <w:rsid w:val="003023C2"/>
    <w:rsid w:val="003024FE"/>
    <w:rsid w:val="00302853"/>
    <w:rsid w:val="0030294F"/>
    <w:rsid w:val="00302E5E"/>
    <w:rsid w:val="00302EA1"/>
    <w:rsid w:val="00303249"/>
    <w:rsid w:val="003038DB"/>
    <w:rsid w:val="00303BC0"/>
    <w:rsid w:val="00303BC3"/>
    <w:rsid w:val="00303D58"/>
    <w:rsid w:val="00303D69"/>
    <w:rsid w:val="00303DA9"/>
    <w:rsid w:val="00303F5D"/>
    <w:rsid w:val="00303FA3"/>
    <w:rsid w:val="0030415A"/>
    <w:rsid w:val="00304433"/>
    <w:rsid w:val="0030458D"/>
    <w:rsid w:val="003048C9"/>
    <w:rsid w:val="00304942"/>
    <w:rsid w:val="00304A8A"/>
    <w:rsid w:val="00304C8F"/>
    <w:rsid w:val="00304D19"/>
    <w:rsid w:val="00304D26"/>
    <w:rsid w:val="00304D4E"/>
    <w:rsid w:val="00304F3C"/>
    <w:rsid w:val="00304FF8"/>
    <w:rsid w:val="00305098"/>
    <w:rsid w:val="00305119"/>
    <w:rsid w:val="0030511E"/>
    <w:rsid w:val="003053C8"/>
    <w:rsid w:val="00305BCF"/>
    <w:rsid w:val="00305BFF"/>
    <w:rsid w:val="00305E6F"/>
    <w:rsid w:val="00305F35"/>
    <w:rsid w:val="0030615E"/>
    <w:rsid w:val="003066E9"/>
    <w:rsid w:val="00306A56"/>
    <w:rsid w:val="00306B86"/>
    <w:rsid w:val="00306D6D"/>
    <w:rsid w:val="00307448"/>
    <w:rsid w:val="0030747B"/>
    <w:rsid w:val="003074C5"/>
    <w:rsid w:val="00307678"/>
    <w:rsid w:val="003079B4"/>
    <w:rsid w:val="00307B42"/>
    <w:rsid w:val="00307BE3"/>
    <w:rsid w:val="00307C05"/>
    <w:rsid w:val="00307C55"/>
    <w:rsid w:val="00307D09"/>
    <w:rsid w:val="00307DEF"/>
    <w:rsid w:val="00310138"/>
    <w:rsid w:val="0031027B"/>
    <w:rsid w:val="003105A3"/>
    <w:rsid w:val="003107E5"/>
    <w:rsid w:val="00310978"/>
    <w:rsid w:val="00310A44"/>
    <w:rsid w:val="00310BD6"/>
    <w:rsid w:val="00310DE6"/>
    <w:rsid w:val="0031115B"/>
    <w:rsid w:val="003115AC"/>
    <w:rsid w:val="003119A7"/>
    <w:rsid w:val="00311BC8"/>
    <w:rsid w:val="00311C33"/>
    <w:rsid w:val="00311D33"/>
    <w:rsid w:val="00311EE1"/>
    <w:rsid w:val="0031200F"/>
    <w:rsid w:val="0031208A"/>
    <w:rsid w:val="003126CA"/>
    <w:rsid w:val="003127C5"/>
    <w:rsid w:val="0031322F"/>
    <w:rsid w:val="00313664"/>
    <w:rsid w:val="00313754"/>
    <w:rsid w:val="0031380E"/>
    <w:rsid w:val="003138A6"/>
    <w:rsid w:val="00313958"/>
    <w:rsid w:val="00313B78"/>
    <w:rsid w:val="00313C9A"/>
    <w:rsid w:val="00313DD4"/>
    <w:rsid w:val="00314361"/>
    <w:rsid w:val="003143BF"/>
    <w:rsid w:val="00314412"/>
    <w:rsid w:val="00314475"/>
    <w:rsid w:val="0031486F"/>
    <w:rsid w:val="00314A3D"/>
    <w:rsid w:val="00314F90"/>
    <w:rsid w:val="003151AC"/>
    <w:rsid w:val="00315238"/>
    <w:rsid w:val="00315247"/>
    <w:rsid w:val="003153B1"/>
    <w:rsid w:val="00315731"/>
    <w:rsid w:val="00315754"/>
    <w:rsid w:val="003158D9"/>
    <w:rsid w:val="003159A1"/>
    <w:rsid w:val="00315C6A"/>
    <w:rsid w:val="00315D11"/>
    <w:rsid w:val="00315D4B"/>
    <w:rsid w:val="00315E67"/>
    <w:rsid w:val="00315E8E"/>
    <w:rsid w:val="00315F85"/>
    <w:rsid w:val="0031617F"/>
    <w:rsid w:val="003161CD"/>
    <w:rsid w:val="00316769"/>
    <w:rsid w:val="00317101"/>
    <w:rsid w:val="003175A5"/>
    <w:rsid w:val="0032006F"/>
    <w:rsid w:val="003201A1"/>
    <w:rsid w:val="00320747"/>
    <w:rsid w:val="00320832"/>
    <w:rsid w:val="0032086A"/>
    <w:rsid w:val="00320A7C"/>
    <w:rsid w:val="00320FD1"/>
    <w:rsid w:val="00321062"/>
    <w:rsid w:val="00321109"/>
    <w:rsid w:val="0032124F"/>
    <w:rsid w:val="00321560"/>
    <w:rsid w:val="00321690"/>
    <w:rsid w:val="00321758"/>
    <w:rsid w:val="00321823"/>
    <w:rsid w:val="00321B71"/>
    <w:rsid w:val="00321BDA"/>
    <w:rsid w:val="00321E4D"/>
    <w:rsid w:val="00322100"/>
    <w:rsid w:val="003226B9"/>
    <w:rsid w:val="003227C3"/>
    <w:rsid w:val="00322835"/>
    <w:rsid w:val="00322A8D"/>
    <w:rsid w:val="00322E12"/>
    <w:rsid w:val="00322F43"/>
    <w:rsid w:val="0032304D"/>
    <w:rsid w:val="0032358B"/>
    <w:rsid w:val="003238F4"/>
    <w:rsid w:val="00323D94"/>
    <w:rsid w:val="00323E8F"/>
    <w:rsid w:val="00323FC4"/>
    <w:rsid w:val="003240C6"/>
    <w:rsid w:val="0032422A"/>
    <w:rsid w:val="00324397"/>
    <w:rsid w:val="003243D1"/>
    <w:rsid w:val="00324D77"/>
    <w:rsid w:val="0032547A"/>
    <w:rsid w:val="00325692"/>
    <w:rsid w:val="003257A7"/>
    <w:rsid w:val="00325820"/>
    <w:rsid w:val="00325841"/>
    <w:rsid w:val="003259D7"/>
    <w:rsid w:val="00326451"/>
    <w:rsid w:val="003264CC"/>
    <w:rsid w:val="003268C7"/>
    <w:rsid w:val="00326914"/>
    <w:rsid w:val="00326B3B"/>
    <w:rsid w:val="00326F12"/>
    <w:rsid w:val="0032704C"/>
    <w:rsid w:val="0032709A"/>
    <w:rsid w:val="00327426"/>
    <w:rsid w:val="00327438"/>
    <w:rsid w:val="003277AE"/>
    <w:rsid w:val="00327BD3"/>
    <w:rsid w:val="00327CAA"/>
    <w:rsid w:val="00327D2E"/>
    <w:rsid w:val="00327DE9"/>
    <w:rsid w:val="00327EB4"/>
    <w:rsid w:val="00327F5E"/>
    <w:rsid w:val="003301B3"/>
    <w:rsid w:val="0033033D"/>
    <w:rsid w:val="00330372"/>
    <w:rsid w:val="00330385"/>
    <w:rsid w:val="003303CC"/>
    <w:rsid w:val="003305AE"/>
    <w:rsid w:val="003308D8"/>
    <w:rsid w:val="0033091E"/>
    <w:rsid w:val="00330A02"/>
    <w:rsid w:val="00330C56"/>
    <w:rsid w:val="00330E29"/>
    <w:rsid w:val="00330F2E"/>
    <w:rsid w:val="00330FF2"/>
    <w:rsid w:val="0033102E"/>
    <w:rsid w:val="0033137B"/>
    <w:rsid w:val="00331401"/>
    <w:rsid w:val="00331AC3"/>
    <w:rsid w:val="00331CEE"/>
    <w:rsid w:val="00331F91"/>
    <w:rsid w:val="003322F1"/>
    <w:rsid w:val="00332344"/>
    <w:rsid w:val="00332372"/>
    <w:rsid w:val="0033289C"/>
    <w:rsid w:val="00332AFB"/>
    <w:rsid w:val="00332B47"/>
    <w:rsid w:val="00332CF5"/>
    <w:rsid w:val="00332F67"/>
    <w:rsid w:val="0033312E"/>
    <w:rsid w:val="00333234"/>
    <w:rsid w:val="00333822"/>
    <w:rsid w:val="00333823"/>
    <w:rsid w:val="003339EC"/>
    <w:rsid w:val="00333B1F"/>
    <w:rsid w:val="00333C6F"/>
    <w:rsid w:val="00333CC8"/>
    <w:rsid w:val="003340BC"/>
    <w:rsid w:val="0033414E"/>
    <w:rsid w:val="00334316"/>
    <w:rsid w:val="003343B5"/>
    <w:rsid w:val="003345F8"/>
    <w:rsid w:val="00334A9A"/>
    <w:rsid w:val="003351AE"/>
    <w:rsid w:val="00335370"/>
    <w:rsid w:val="003353FE"/>
    <w:rsid w:val="003355D3"/>
    <w:rsid w:val="003356B3"/>
    <w:rsid w:val="0033572C"/>
    <w:rsid w:val="0033577C"/>
    <w:rsid w:val="0033583D"/>
    <w:rsid w:val="003358CF"/>
    <w:rsid w:val="00335ED1"/>
    <w:rsid w:val="00335FC6"/>
    <w:rsid w:val="00336438"/>
    <w:rsid w:val="00336498"/>
    <w:rsid w:val="00336C06"/>
    <w:rsid w:val="00336D88"/>
    <w:rsid w:val="00336FBD"/>
    <w:rsid w:val="00337245"/>
    <w:rsid w:val="00337808"/>
    <w:rsid w:val="00337855"/>
    <w:rsid w:val="00337905"/>
    <w:rsid w:val="00337BD3"/>
    <w:rsid w:val="00337EF8"/>
    <w:rsid w:val="00340174"/>
    <w:rsid w:val="003402AB"/>
    <w:rsid w:val="00340343"/>
    <w:rsid w:val="00340727"/>
    <w:rsid w:val="003407E4"/>
    <w:rsid w:val="0034081B"/>
    <w:rsid w:val="00340C0A"/>
    <w:rsid w:val="00341296"/>
    <w:rsid w:val="0034148E"/>
    <w:rsid w:val="00341557"/>
    <w:rsid w:val="003416A0"/>
    <w:rsid w:val="00341833"/>
    <w:rsid w:val="0034185E"/>
    <w:rsid w:val="00341A29"/>
    <w:rsid w:val="003422B3"/>
    <w:rsid w:val="003423C7"/>
    <w:rsid w:val="0034244C"/>
    <w:rsid w:val="003424A0"/>
    <w:rsid w:val="003425DF"/>
    <w:rsid w:val="00342803"/>
    <w:rsid w:val="00342841"/>
    <w:rsid w:val="003428BA"/>
    <w:rsid w:val="003428F1"/>
    <w:rsid w:val="003429B2"/>
    <w:rsid w:val="00342A4B"/>
    <w:rsid w:val="00342A60"/>
    <w:rsid w:val="00342AEC"/>
    <w:rsid w:val="00342CBB"/>
    <w:rsid w:val="00342DDC"/>
    <w:rsid w:val="00342F72"/>
    <w:rsid w:val="00342FBC"/>
    <w:rsid w:val="003430E2"/>
    <w:rsid w:val="0034375A"/>
    <w:rsid w:val="0034379D"/>
    <w:rsid w:val="003439F6"/>
    <w:rsid w:val="00343CB0"/>
    <w:rsid w:val="00343DED"/>
    <w:rsid w:val="00343E5D"/>
    <w:rsid w:val="00343E69"/>
    <w:rsid w:val="0034410F"/>
    <w:rsid w:val="00344121"/>
    <w:rsid w:val="00344182"/>
    <w:rsid w:val="00344359"/>
    <w:rsid w:val="00344774"/>
    <w:rsid w:val="00344983"/>
    <w:rsid w:val="00344A10"/>
    <w:rsid w:val="00344A29"/>
    <w:rsid w:val="00345008"/>
    <w:rsid w:val="00345553"/>
    <w:rsid w:val="003456E6"/>
    <w:rsid w:val="00345ED9"/>
    <w:rsid w:val="00346192"/>
    <w:rsid w:val="003463D1"/>
    <w:rsid w:val="003463D8"/>
    <w:rsid w:val="0034646D"/>
    <w:rsid w:val="003464D6"/>
    <w:rsid w:val="003469CE"/>
    <w:rsid w:val="00346C66"/>
    <w:rsid w:val="0034714F"/>
    <w:rsid w:val="003477AD"/>
    <w:rsid w:val="0034797B"/>
    <w:rsid w:val="00347BE5"/>
    <w:rsid w:val="00347D85"/>
    <w:rsid w:val="00347E31"/>
    <w:rsid w:val="003507DD"/>
    <w:rsid w:val="0035092A"/>
    <w:rsid w:val="00350A8F"/>
    <w:rsid w:val="00350B03"/>
    <w:rsid w:val="00350BD7"/>
    <w:rsid w:val="00350C0E"/>
    <w:rsid w:val="00350C95"/>
    <w:rsid w:val="00351124"/>
    <w:rsid w:val="00351347"/>
    <w:rsid w:val="00351632"/>
    <w:rsid w:val="00351666"/>
    <w:rsid w:val="0035167A"/>
    <w:rsid w:val="003516B1"/>
    <w:rsid w:val="00351831"/>
    <w:rsid w:val="003522E0"/>
    <w:rsid w:val="003522F5"/>
    <w:rsid w:val="00352429"/>
    <w:rsid w:val="003525AA"/>
    <w:rsid w:val="0035267F"/>
    <w:rsid w:val="00352751"/>
    <w:rsid w:val="0035284A"/>
    <w:rsid w:val="00352B39"/>
    <w:rsid w:val="00352B55"/>
    <w:rsid w:val="003530FE"/>
    <w:rsid w:val="003531A5"/>
    <w:rsid w:val="003532EE"/>
    <w:rsid w:val="00354193"/>
    <w:rsid w:val="003541C7"/>
    <w:rsid w:val="003547F2"/>
    <w:rsid w:val="003547FA"/>
    <w:rsid w:val="003548FE"/>
    <w:rsid w:val="00354BB4"/>
    <w:rsid w:val="00354F0A"/>
    <w:rsid w:val="003550A4"/>
    <w:rsid w:val="003550BA"/>
    <w:rsid w:val="00355171"/>
    <w:rsid w:val="00355319"/>
    <w:rsid w:val="0035537A"/>
    <w:rsid w:val="003554D2"/>
    <w:rsid w:val="0035580D"/>
    <w:rsid w:val="0035588D"/>
    <w:rsid w:val="00355985"/>
    <w:rsid w:val="00355D0B"/>
    <w:rsid w:val="00356456"/>
    <w:rsid w:val="0035657F"/>
    <w:rsid w:val="003565E0"/>
    <w:rsid w:val="00356887"/>
    <w:rsid w:val="00356915"/>
    <w:rsid w:val="00356E75"/>
    <w:rsid w:val="00356F02"/>
    <w:rsid w:val="003570E5"/>
    <w:rsid w:val="00357247"/>
    <w:rsid w:val="00357555"/>
    <w:rsid w:val="0035766F"/>
    <w:rsid w:val="0035781A"/>
    <w:rsid w:val="0035797B"/>
    <w:rsid w:val="00357B39"/>
    <w:rsid w:val="00357CB5"/>
    <w:rsid w:val="00357E8C"/>
    <w:rsid w:val="00360026"/>
    <w:rsid w:val="003600B2"/>
    <w:rsid w:val="00360229"/>
    <w:rsid w:val="003602DC"/>
    <w:rsid w:val="0036040E"/>
    <w:rsid w:val="00360517"/>
    <w:rsid w:val="00360532"/>
    <w:rsid w:val="0036075B"/>
    <w:rsid w:val="00360A27"/>
    <w:rsid w:val="00360A7A"/>
    <w:rsid w:val="00360AA5"/>
    <w:rsid w:val="00360B57"/>
    <w:rsid w:val="00360EB5"/>
    <w:rsid w:val="00360F43"/>
    <w:rsid w:val="00361A0A"/>
    <w:rsid w:val="00361BDA"/>
    <w:rsid w:val="00361D06"/>
    <w:rsid w:val="00361D3F"/>
    <w:rsid w:val="00361F15"/>
    <w:rsid w:val="0036214E"/>
    <w:rsid w:val="00362660"/>
    <w:rsid w:val="003629CC"/>
    <w:rsid w:val="00362BD5"/>
    <w:rsid w:val="00362FD3"/>
    <w:rsid w:val="003639FB"/>
    <w:rsid w:val="00363A15"/>
    <w:rsid w:val="00363AC4"/>
    <w:rsid w:val="00363B71"/>
    <w:rsid w:val="00363BF7"/>
    <w:rsid w:val="00363F4D"/>
    <w:rsid w:val="0036417B"/>
    <w:rsid w:val="00364264"/>
    <w:rsid w:val="003645B7"/>
    <w:rsid w:val="00364A10"/>
    <w:rsid w:val="00364AF6"/>
    <w:rsid w:val="00364CE1"/>
    <w:rsid w:val="00364D9D"/>
    <w:rsid w:val="003650F3"/>
    <w:rsid w:val="003652B9"/>
    <w:rsid w:val="00365588"/>
    <w:rsid w:val="0036586B"/>
    <w:rsid w:val="0036591F"/>
    <w:rsid w:val="00365B0A"/>
    <w:rsid w:val="00365CF4"/>
    <w:rsid w:val="00365D5D"/>
    <w:rsid w:val="00365DDD"/>
    <w:rsid w:val="00365F0B"/>
    <w:rsid w:val="00365F32"/>
    <w:rsid w:val="0036601F"/>
    <w:rsid w:val="0036633A"/>
    <w:rsid w:val="00366366"/>
    <w:rsid w:val="00366905"/>
    <w:rsid w:val="0036695B"/>
    <w:rsid w:val="0036712A"/>
    <w:rsid w:val="003671BF"/>
    <w:rsid w:val="00367444"/>
    <w:rsid w:val="003678EB"/>
    <w:rsid w:val="00367B88"/>
    <w:rsid w:val="00367CBE"/>
    <w:rsid w:val="00367E9A"/>
    <w:rsid w:val="00370040"/>
    <w:rsid w:val="00370097"/>
    <w:rsid w:val="00370307"/>
    <w:rsid w:val="0037035D"/>
    <w:rsid w:val="00370821"/>
    <w:rsid w:val="003709A2"/>
    <w:rsid w:val="003709C5"/>
    <w:rsid w:val="00370A18"/>
    <w:rsid w:val="00370AA1"/>
    <w:rsid w:val="003710ED"/>
    <w:rsid w:val="00371482"/>
    <w:rsid w:val="003716B7"/>
    <w:rsid w:val="003717D0"/>
    <w:rsid w:val="00371B79"/>
    <w:rsid w:val="00371D3A"/>
    <w:rsid w:val="0037203E"/>
    <w:rsid w:val="003720EE"/>
    <w:rsid w:val="00372263"/>
    <w:rsid w:val="003725AA"/>
    <w:rsid w:val="003728BF"/>
    <w:rsid w:val="00372A5B"/>
    <w:rsid w:val="00373491"/>
    <w:rsid w:val="00373766"/>
    <w:rsid w:val="003739DD"/>
    <w:rsid w:val="00373A9E"/>
    <w:rsid w:val="00373CEA"/>
    <w:rsid w:val="003741A2"/>
    <w:rsid w:val="00374419"/>
    <w:rsid w:val="00374452"/>
    <w:rsid w:val="00374669"/>
    <w:rsid w:val="0037467D"/>
    <w:rsid w:val="003747D5"/>
    <w:rsid w:val="00374AC8"/>
    <w:rsid w:val="00374C44"/>
    <w:rsid w:val="00374D75"/>
    <w:rsid w:val="00374DC6"/>
    <w:rsid w:val="0037526B"/>
    <w:rsid w:val="003752CB"/>
    <w:rsid w:val="00375301"/>
    <w:rsid w:val="003753CE"/>
    <w:rsid w:val="003755F2"/>
    <w:rsid w:val="00375A73"/>
    <w:rsid w:val="00375B3A"/>
    <w:rsid w:val="00375E08"/>
    <w:rsid w:val="00375EA8"/>
    <w:rsid w:val="00376186"/>
    <w:rsid w:val="0037638B"/>
    <w:rsid w:val="00376396"/>
    <w:rsid w:val="0037645E"/>
    <w:rsid w:val="00376F2E"/>
    <w:rsid w:val="0037738C"/>
    <w:rsid w:val="00377BAD"/>
    <w:rsid w:val="00377CAD"/>
    <w:rsid w:val="00377D9A"/>
    <w:rsid w:val="00377E4F"/>
    <w:rsid w:val="00377F68"/>
    <w:rsid w:val="0038016E"/>
    <w:rsid w:val="00380265"/>
    <w:rsid w:val="00380364"/>
    <w:rsid w:val="0038047C"/>
    <w:rsid w:val="00380746"/>
    <w:rsid w:val="003809D7"/>
    <w:rsid w:val="00380A8D"/>
    <w:rsid w:val="00380B0B"/>
    <w:rsid w:val="00380BB9"/>
    <w:rsid w:val="00380D7D"/>
    <w:rsid w:val="00380E94"/>
    <w:rsid w:val="00380F22"/>
    <w:rsid w:val="003810E0"/>
    <w:rsid w:val="00381256"/>
    <w:rsid w:val="0038126C"/>
    <w:rsid w:val="003813B0"/>
    <w:rsid w:val="0038147F"/>
    <w:rsid w:val="003814B9"/>
    <w:rsid w:val="003814BB"/>
    <w:rsid w:val="00381562"/>
    <w:rsid w:val="00381750"/>
    <w:rsid w:val="00381F58"/>
    <w:rsid w:val="00382266"/>
    <w:rsid w:val="0038235E"/>
    <w:rsid w:val="00382A53"/>
    <w:rsid w:val="00382AE5"/>
    <w:rsid w:val="00382B0C"/>
    <w:rsid w:val="00382FE3"/>
    <w:rsid w:val="00383170"/>
    <w:rsid w:val="003833B5"/>
    <w:rsid w:val="0038351F"/>
    <w:rsid w:val="0038352D"/>
    <w:rsid w:val="003835FF"/>
    <w:rsid w:val="00383BF4"/>
    <w:rsid w:val="0038405C"/>
    <w:rsid w:val="003844A3"/>
    <w:rsid w:val="00384584"/>
    <w:rsid w:val="003847ED"/>
    <w:rsid w:val="00384ADE"/>
    <w:rsid w:val="00384DB9"/>
    <w:rsid w:val="00384E7C"/>
    <w:rsid w:val="003856BD"/>
    <w:rsid w:val="0038587A"/>
    <w:rsid w:val="00385C3E"/>
    <w:rsid w:val="00385E06"/>
    <w:rsid w:val="00386059"/>
    <w:rsid w:val="00386B1E"/>
    <w:rsid w:val="00386DDB"/>
    <w:rsid w:val="00387108"/>
    <w:rsid w:val="0038724E"/>
    <w:rsid w:val="00387553"/>
    <w:rsid w:val="00387596"/>
    <w:rsid w:val="0038792E"/>
    <w:rsid w:val="0038797A"/>
    <w:rsid w:val="00387A4A"/>
    <w:rsid w:val="0039053F"/>
    <w:rsid w:val="00390FB5"/>
    <w:rsid w:val="00391023"/>
    <w:rsid w:val="00391078"/>
    <w:rsid w:val="0039121A"/>
    <w:rsid w:val="003921CD"/>
    <w:rsid w:val="00392268"/>
    <w:rsid w:val="00392270"/>
    <w:rsid w:val="0039265A"/>
    <w:rsid w:val="003929D2"/>
    <w:rsid w:val="00392A6D"/>
    <w:rsid w:val="00392BC2"/>
    <w:rsid w:val="00392CCA"/>
    <w:rsid w:val="00393029"/>
    <w:rsid w:val="00393077"/>
    <w:rsid w:val="0039327E"/>
    <w:rsid w:val="003932B5"/>
    <w:rsid w:val="00393A76"/>
    <w:rsid w:val="00393AD7"/>
    <w:rsid w:val="00393BE1"/>
    <w:rsid w:val="00393E3E"/>
    <w:rsid w:val="00393F81"/>
    <w:rsid w:val="00393FA5"/>
    <w:rsid w:val="0039406E"/>
    <w:rsid w:val="0039411F"/>
    <w:rsid w:val="0039413F"/>
    <w:rsid w:val="003943C3"/>
    <w:rsid w:val="00394432"/>
    <w:rsid w:val="003944A3"/>
    <w:rsid w:val="003946B9"/>
    <w:rsid w:val="0039476E"/>
    <w:rsid w:val="0039499E"/>
    <w:rsid w:val="00394B51"/>
    <w:rsid w:val="003950B1"/>
    <w:rsid w:val="003953BE"/>
    <w:rsid w:val="003957BB"/>
    <w:rsid w:val="003958B0"/>
    <w:rsid w:val="003958FF"/>
    <w:rsid w:val="003962CD"/>
    <w:rsid w:val="003963FF"/>
    <w:rsid w:val="003965C0"/>
    <w:rsid w:val="003966D5"/>
    <w:rsid w:val="00396894"/>
    <w:rsid w:val="00396935"/>
    <w:rsid w:val="00396997"/>
    <w:rsid w:val="00396A4C"/>
    <w:rsid w:val="00396BE3"/>
    <w:rsid w:val="0039743E"/>
    <w:rsid w:val="0039749B"/>
    <w:rsid w:val="00397A8D"/>
    <w:rsid w:val="00397AEC"/>
    <w:rsid w:val="00397CAC"/>
    <w:rsid w:val="00397D16"/>
    <w:rsid w:val="003A00F8"/>
    <w:rsid w:val="003A022B"/>
    <w:rsid w:val="003A0403"/>
    <w:rsid w:val="003A091A"/>
    <w:rsid w:val="003A0D0B"/>
    <w:rsid w:val="003A1301"/>
    <w:rsid w:val="003A148F"/>
    <w:rsid w:val="003A165C"/>
    <w:rsid w:val="003A1709"/>
    <w:rsid w:val="003A1EE5"/>
    <w:rsid w:val="003A27BB"/>
    <w:rsid w:val="003A280A"/>
    <w:rsid w:val="003A2951"/>
    <w:rsid w:val="003A297C"/>
    <w:rsid w:val="003A2C5E"/>
    <w:rsid w:val="003A2FE5"/>
    <w:rsid w:val="003A31F5"/>
    <w:rsid w:val="003A3296"/>
    <w:rsid w:val="003A33A5"/>
    <w:rsid w:val="003A357A"/>
    <w:rsid w:val="003A35D6"/>
    <w:rsid w:val="003A3692"/>
    <w:rsid w:val="003A38A2"/>
    <w:rsid w:val="003A3A69"/>
    <w:rsid w:val="003A3AE2"/>
    <w:rsid w:val="003A3D4B"/>
    <w:rsid w:val="003A3FF6"/>
    <w:rsid w:val="003A43CA"/>
    <w:rsid w:val="003A4473"/>
    <w:rsid w:val="003A4780"/>
    <w:rsid w:val="003A47B1"/>
    <w:rsid w:val="003A4E51"/>
    <w:rsid w:val="003A5077"/>
    <w:rsid w:val="003A5224"/>
    <w:rsid w:val="003A557B"/>
    <w:rsid w:val="003A5614"/>
    <w:rsid w:val="003A56A1"/>
    <w:rsid w:val="003A5BC5"/>
    <w:rsid w:val="003A5C82"/>
    <w:rsid w:val="003A5CF2"/>
    <w:rsid w:val="003A5D19"/>
    <w:rsid w:val="003A5E4A"/>
    <w:rsid w:val="003A5F4E"/>
    <w:rsid w:val="003A602C"/>
    <w:rsid w:val="003A6464"/>
    <w:rsid w:val="003A68A9"/>
    <w:rsid w:val="003A6A4E"/>
    <w:rsid w:val="003A6DDA"/>
    <w:rsid w:val="003A6EE5"/>
    <w:rsid w:val="003A6F45"/>
    <w:rsid w:val="003A70CB"/>
    <w:rsid w:val="003A72FF"/>
    <w:rsid w:val="003A7348"/>
    <w:rsid w:val="003A782B"/>
    <w:rsid w:val="003A78AD"/>
    <w:rsid w:val="003B0256"/>
    <w:rsid w:val="003B03BF"/>
    <w:rsid w:val="003B0665"/>
    <w:rsid w:val="003B0BB8"/>
    <w:rsid w:val="003B0E9B"/>
    <w:rsid w:val="003B1620"/>
    <w:rsid w:val="003B1661"/>
    <w:rsid w:val="003B1919"/>
    <w:rsid w:val="003B1D93"/>
    <w:rsid w:val="003B20CA"/>
    <w:rsid w:val="003B2354"/>
    <w:rsid w:val="003B26A0"/>
    <w:rsid w:val="003B2A09"/>
    <w:rsid w:val="003B2B3B"/>
    <w:rsid w:val="003B2E43"/>
    <w:rsid w:val="003B2FCF"/>
    <w:rsid w:val="003B317B"/>
    <w:rsid w:val="003B34C0"/>
    <w:rsid w:val="003B3E4E"/>
    <w:rsid w:val="003B3EC4"/>
    <w:rsid w:val="003B3FD2"/>
    <w:rsid w:val="003B4059"/>
    <w:rsid w:val="003B4407"/>
    <w:rsid w:val="003B440E"/>
    <w:rsid w:val="003B453B"/>
    <w:rsid w:val="003B46C7"/>
    <w:rsid w:val="003B4767"/>
    <w:rsid w:val="003B5049"/>
    <w:rsid w:val="003B51D0"/>
    <w:rsid w:val="003B5254"/>
    <w:rsid w:val="003B533E"/>
    <w:rsid w:val="003B55D1"/>
    <w:rsid w:val="003B5747"/>
    <w:rsid w:val="003B580F"/>
    <w:rsid w:val="003B5CF5"/>
    <w:rsid w:val="003B5EC2"/>
    <w:rsid w:val="003B6230"/>
    <w:rsid w:val="003B63DD"/>
    <w:rsid w:val="003B642F"/>
    <w:rsid w:val="003B64E1"/>
    <w:rsid w:val="003B673D"/>
    <w:rsid w:val="003B6831"/>
    <w:rsid w:val="003B6914"/>
    <w:rsid w:val="003B6A7F"/>
    <w:rsid w:val="003B6B84"/>
    <w:rsid w:val="003B730A"/>
    <w:rsid w:val="003B7840"/>
    <w:rsid w:val="003B7AF0"/>
    <w:rsid w:val="003B7CC3"/>
    <w:rsid w:val="003B7EB5"/>
    <w:rsid w:val="003B7EEB"/>
    <w:rsid w:val="003B7F41"/>
    <w:rsid w:val="003C0183"/>
    <w:rsid w:val="003C0246"/>
    <w:rsid w:val="003C05B4"/>
    <w:rsid w:val="003C0781"/>
    <w:rsid w:val="003C0B0E"/>
    <w:rsid w:val="003C0B28"/>
    <w:rsid w:val="003C0EB4"/>
    <w:rsid w:val="003C1054"/>
    <w:rsid w:val="003C13C9"/>
    <w:rsid w:val="003C175D"/>
    <w:rsid w:val="003C1B35"/>
    <w:rsid w:val="003C1CFB"/>
    <w:rsid w:val="003C248C"/>
    <w:rsid w:val="003C2577"/>
    <w:rsid w:val="003C2AD0"/>
    <w:rsid w:val="003C2BBD"/>
    <w:rsid w:val="003C2F98"/>
    <w:rsid w:val="003C3089"/>
    <w:rsid w:val="003C3263"/>
    <w:rsid w:val="003C32A6"/>
    <w:rsid w:val="003C3379"/>
    <w:rsid w:val="003C34FE"/>
    <w:rsid w:val="003C3AE8"/>
    <w:rsid w:val="003C3BB5"/>
    <w:rsid w:val="003C3E77"/>
    <w:rsid w:val="003C3E86"/>
    <w:rsid w:val="003C4066"/>
    <w:rsid w:val="003C4264"/>
    <w:rsid w:val="003C43EC"/>
    <w:rsid w:val="003C4448"/>
    <w:rsid w:val="003C4673"/>
    <w:rsid w:val="003C46AD"/>
    <w:rsid w:val="003C4A4F"/>
    <w:rsid w:val="003C4D1E"/>
    <w:rsid w:val="003C4E99"/>
    <w:rsid w:val="003C529F"/>
    <w:rsid w:val="003C57C8"/>
    <w:rsid w:val="003C5C85"/>
    <w:rsid w:val="003C5FC9"/>
    <w:rsid w:val="003C61C4"/>
    <w:rsid w:val="003C63D3"/>
    <w:rsid w:val="003C69BD"/>
    <w:rsid w:val="003C6BC7"/>
    <w:rsid w:val="003C6BE6"/>
    <w:rsid w:val="003C6C9E"/>
    <w:rsid w:val="003C6F11"/>
    <w:rsid w:val="003C6FDD"/>
    <w:rsid w:val="003C73C3"/>
    <w:rsid w:val="003C7449"/>
    <w:rsid w:val="003C758E"/>
    <w:rsid w:val="003C762E"/>
    <w:rsid w:val="003C7AF1"/>
    <w:rsid w:val="003C7B18"/>
    <w:rsid w:val="003C7B75"/>
    <w:rsid w:val="003C7BE5"/>
    <w:rsid w:val="003D0022"/>
    <w:rsid w:val="003D01E8"/>
    <w:rsid w:val="003D0782"/>
    <w:rsid w:val="003D0B52"/>
    <w:rsid w:val="003D1093"/>
    <w:rsid w:val="003D1448"/>
    <w:rsid w:val="003D1621"/>
    <w:rsid w:val="003D1AC3"/>
    <w:rsid w:val="003D1ADC"/>
    <w:rsid w:val="003D1BB5"/>
    <w:rsid w:val="003D1D95"/>
    <w:rsid w:val="003D1EEC"/>
    <w:rsid w:val="003D1EF2"/>
    <w:rsid w:val="003D1F44"/>
    <w:rsid w:val="003D22D2"/>
    <w:rsid w:val="003D2A10"/>
    <w:rsid w:val="003D2DC9"/>
    <w:rsid w:val="003D3000"/>
    <w:rsid w:val="003D3302"/>
    <w:rsid w:val="003D33E2"/>
    <w:rsid w:val="003D3537"/>
    <w:rsid w:val="003D35E6"/>
    <w:rsid w:val="003D3A06"/>
    <w:rsid w:val="003D3CB2"/>
    <w:rsid w:val="003D3D91"/>
    <w:rsid w:val="003D3DDC"/>
    <w:rsid w:val="003D3EC2"/>
    <w:rsid w:val="003D409B"/>
    <w:rsid w:val="003D42EE"/>
    <w:rsid w:val="003D4708"/>
    <w:rsid w:val="003D472C"/>
    <w:rsid w:val="003D477A"/>
    <w:rsid w:val="003D4D86"/>
    <w:rsid w:val="003D4DBD"/>
    <w:rsid w:val="003D4DEB"/>
    <w:rsid w:val="003D5469"/>
    <w:rsid w:val="003D5847"/>
    <w:rsid w:val="003D601F"/>
    <w:rsid w:val="003D614C"/>
    <w:rsid w:val="003D619A"/>
    <w:rsid w:val="003D63DF"/>
    <w:rsid w:val="003D6556"/>
    <w:rsid w:val="003D7077"/>
    <w:rsid w:val="003D7078"/>
    <w:rsid w:val="003D73C6"/>
    <w:rsid w:val="003D758E"/>
    <w:rsid w:val="003D7C86"/>
    <w:rsid w:val="003D7CF9"/>
    <w:rsid w:val="003D7D08"/>
    <w:rsid w:val="003E01B9"/>
    <w:rsid w:val="003E0352"/>
    <w:rsid w:val="003E05BD"/>
    <w:rsid w:val="003E0976"/>
    <w:rsid w:val="003E0A15"/>
    <w:rsid w:val="003E0AE5"/>
    <w:rsid w:val="003E0C71"/>
    <w:rsid w:val="003E0C99"/>
    <w:rsid w:val="003E0D37"/>
    <w:rsid w:val="003E0DEF"/>
    <w:rsid w:val="003E14BE"/>
    <w:rsid w:val="003E1629"/>
    <w:rsid w:val="003E182D"/>
    <w:rsid w:val="003E1937"/>
    <w:rsid w:val="003E1AFB"/>
    <w:rsid w:val="003E213F"/>
    <w:rsid w:val="003E26B2"/>
    <w:rsid w:val="003E29CE"/>
    <w:rsid w:val="003E2B86"/>
    <w:rsid w:val="003E3046"/>
    <w:rsid w:val="003E31C1"/>
    <w:rsid w:val="003E3205"/>
    <w:rsid w:val="003E32E1"/>
    <w:rsid w:val="003E32FE"/>
    <w:rsid w:val="003E345C"/>
    <w:rsid w:val="003E3615"/>
    <w:rsid w:val="003E3B2C"/>
    <w:rsid w:val="003E3F41"/>
    <w:rsid w:val="003E411A"/>
    <w:rsid w:val="003E4268"/>
    <w:rsid w:val="003E4B6B"/>
    <w:rsid w:val="003E50A1"/>
    <w:rsid w:val="003E5127"/>
    <w:rsid w:val="003E536E"/>
    <w:rsid w:val="003E542F"/>
    <w:rsid w:val="003E5699"/>
    <w:rsid w:val="003E569A"/>
    <w:rsid w:val="003E592F"/>
    <w:rsid w:val="003E5C4C"/>
    <w:rsid w:val="003E5F33"/>
    <w:rsid w:val="003E6049"/>
    <w:rsid w:val="003E6615"/>
    <w:rsid w:val="003E694D"/>
    <w:rsid w:val="003E6CD0"/>
    <w:rsid w:val="003E7491"/>
    <w:rsid w:val="003E74C3"/>
    <w:rsid w:val="003E74DF"/>
    <w:rsid w:val="003E7731"/>
    <w:rsid w:val="003E79F9"/>
    <w:rsid w:val="003E7AD5"/>
    <w:rsid w:val="003E7C34"/>
    <w:rsid w:val="003E7C4E"/>
    <w:rsid w:val="003F06E0"/>
    <w:rsid w:val="003F076E"/>
    <w:rsid w:val="003F083C"/>
    <w:rsid w:val="003F08C4"/>
    <w:rsid w:val="003F0949"/>
    <w:rsid w:val="003F0C38"/>
    <w:rsid w:val="003F0D7C"/>
    <w:rsid w:val="003F1223"/>
    <w:rsid w:val="003F12E9"/>
    <w:rsid w:val="003F177A"/>
    <w:rsid w:val="003F1A02"/>
    <w:rsid w:val="003F1AB9"/>
    <w:rsid w:val="003F1BBE"/>
    <w:rsid w:val="003F1C13"/>
    <w:rsid w:val="003F1CBA"/>
    <w:rsid w:val="003F1CC5"/>
    <w:rsid w:val="003F1FD6"/>
    <w:rsid w:val="003F2416"/>
    <w:rsid w:val="003F26FE"/>
    <w:rsid w:val="003F2909"/>
    <w:rsid w:val="003F2A44"/>
    <w:rsid w:val="003F2ABB"/>
    <w:rsid w:val="003F2C11"/>
    <w:rsid w:val="003F301F"/>
    <w:rsid w:val="003F3276"/>
    <w:rsid w:val="003F3377"/>
    <w:rsid w:val="003F33B7"/>
    <w:rsid w:val="003F3780"/>
    <w:rsid w:val="003F37FD"/>
    <w:rsid w:val="003F3854"/>
    <w:rsid w:val="003F39AE"/>
    <w:rsid w:val="003F3A52"/>
    <w:rsid w:val="003F3CE3"/>
    <w:rsid w:val="003F3EF1"/>
    <w:rsid w:val="003F403C"/>
    <w:rsid w:val="003F4384"/>
    <w:rsid w:val="003F4503"/>
    <w:rsid w:val="003F45B2"/>
    <w:rsid w:val="003F4679"/>
    <w:rsid w:val="003F47E7"/>
    <w:rsid w:val="003F47F9"/>
    <w:rsid w:val="003F49EB"/>
    <w:rsid w:val="003F4B62"/>
    <w:rsid w:val="003F4F77"/>
    <w:rsid w:val="003F59F4"/>
    <w:rsid w:val="003F5A66"/>
    <w:rsid w:val="003F5B16"/>
    <w:rsid w:val="003F5CD7"/>
    <w:rsid w:val="003F5CD8"/>
    <w:rsid w:val="003F5FDD"/>
    <w:rsid w:val="003F6086"/>
    <w:rsid w:val="003F60E1"/>
    <w:rsid w:val="003F62DD"/>
    <w:rsid w:val="003F648C"/>
    <w:rsid w:val="003F6633"/>
    <w:rsid w:val="003F66FD"/>
    <w:rsid w:val="003F672A"/>
    <w:rsid w:val="003F67C1"/>
    <w:rsid w:val="003F68F5"/>
    <w:rsid w:val="003F7000"/>
    <w:rsid w:val="003F71EE"/>
    <w:rsid w:val="003F757E"/>
    <w:rsid w:val="003F764A"/>
    <w:rsid w:val="003F7F49"/>
    <w:rsid w:val="004002DC"/>
    <w:rsid w:val="0040032A"/>
    <w:rsid w:val="0040033C"/>
    <w:rsid w:val="00400494"/>
    <w:rsid w:val="004004F6"/>
    <w:rsid w:val="0040060E"/>
    <w:rsid w:val="0040078F"/>
    <w:rsid w:val="00400949"/>
    <w:rsid w:val="0040098A"/>
    <w:rsid w:val="00400BB2"/>
    <w:rsid w:val="00400CA9"/>
    <w:rsid w:val="00400FE3"/>
    <w:rsid w:val="004010AA"/>
    <w:rsid w:val="00401647"/>
    <w:rsid w:val="004017DF"/>
    <w:rsid w:val="00401A68"/>
    <w:rsid w:val="00401B69"/>
    <w:rsid w:val="004020F4"/>
    <w:rsid w:val="0040214B"/>
    <w:rsid w:val="004021FF"/>
    <w:rsid w:val="00402280"/>
    <w:rsid w:val="00402B37"/>
    <w:rsid w:val="00402BA1"/>
    <w:rsid w:val="00402DC6"/>
    <w:rsid w:val="0040313C"/>
    <w:rsid w:val="00403242"/>
    <w:rsid w:val="004033F3"/>
    <w:rsid w:val="0040351E"/>
    <w:rsid w:val="00403882"/>
    <w:rsid w:val="00403A03"/>
    <w:rsid w:val="0040434F"/>
    <w:rsid w:val="00404A68"/>
    <w:rsid w:val="00404CA8"/>
    <w:rsid w:val="00404D94"/>
    <w:rsid w:val="00404DCD"/>
    <w:rsid w:val="00404E22"/>
    <w:rsid w:val="004051B3"/>
    <w:rsid w:val="0040548B"/>
    <w:rsid w:val="004054A8"/>
    <w:rsid w:val="004055FB"/>
    <w:rsid w:val="00405AE6"/>
    <w:rsid w:val="00405B93"/>
    <w:rsid w:val="00405BD1"/>
    <w:rsid w:val="00405E0D"/>
    <w:rsid w:val="00405EA9"/>
    <w:rsid w:val="00406145"/>
    <w:rsid w:val="0040646D"/>
    <w:rsid w:val="00406500"/>
    <w:rsid w:val="0040667E"/>
    <w:rsid w:val="00406A86"/>
    <w:rsid w:val="00406AC1"/>
    <w:rsid w:val="00406FA4"/>
    <w:rsid w:val="00406FFC"/>
    <w:rsid w:val="00407087"/>
    <w:rsid w:val="00407441"/>
    <w:rsid w:val="00407458"/>
    <w:rsid w:val="004076F3"/>
    <w:rsid w:val="004077D6"/>
    <w:rsid w:val="0040780E"/>
    <w:rsid w:val="00407867"/>
    <w:rsid w:val="00407BB2"/>
    <w:rsid w:val="00407C0D"/>
    <w:rsid w:val="004104BE"/>
    <w:rsid w:val="00410883"/>
    <w:rsid w:val="00410A5C"/>
    <w:rsid w:val="00410BE5"/>
    <w:rsid w:val="00410C9B"/>
    <w:rsid w:val="00411033"/>
    <w:rsid w:val="00411317"/>
    <w:rsid w:val="004115E1"/>
    <w:rsid w:val="004116F3"/>
    <w:rsid w:val="004117A8"/>
    <w:rsid w:val="00411A45"/>
    <w:rsid w:val="00411A53"/>
    <w:rsid w:val="00411BEF"/>
    <w:rsid w:val="00411DA2"/>
    <w:rsid w:val="00411F5D"/>
    <w:rsid w:val="004121E7"/>
    <w:rsid w:val="00412EA8"/>
    <w:rsid w:val="0041312D"/>
    <w:rsid w:val="00413B58"/>
    <w:rsid w:val="00413BB2"/>
    <w:rsid w:val="00414334"/>
    <w:rsid w:val="00414567"/>
    <w:rsid w:val="00414665"/>
    <w:rsid w:val="00414673"/>
    <w:rsid w:val="0041470C"/>
    <w:rsid w:val="0041471E"/>
    <w:rsid w:val="0041473B"/>
    <w:rsid w:val="00414753"/>
    <w:rsid w:val="0041478B"/>
    <w:rsid w:val="004148B5"/>
    <w:rsid w:val="00414B30"/>
    <w:rsid w:val="00414BA6"/>
    <w:rsid w:val="00414C6B"/>
    <w:rsid w:val="00414E51"/>
    <w:rsid w:val="00414E5C"/>
    <w:rsid w:val="0041517D"/>
    <w:rsid w:val="004151EC"/>
    <w:rsid w:val="004152E6"/>
    <w:rsid w:val="0041585E"/>
    <w:rsid w:val="00415D9B"/>
    <w:rsid w:val="00416093"/>
    <w:rsid w:val="004162D3"/>
    <w:rsid w:val="00416512"/>
    <w:rsid w:val="004167C7"/>
    <w:rsid w:val="004167DB"/>
    <w:rsid w:val="00416CA7"/>
    <w:rsid w:val="00416CC7"/>
    <w:rsid w:val="00416D3C"/>
    <w:rsid w:val="00416E86"/>
    <w:rsid w:val="0041705A"/>
    <w:rsid w:val="00417347"/>
    <w:rsid w:val="004173A0"/>
    <w:rsid w:val="0041747D"/>
    <w:rsid w:val="004175FD"/>
    <w:rsid w:val="0041760B"/>
    <w:rsid w:val="00417775"/>
    <w:rsid w:val="004177AF"/>
    <w:rsid w:val="00417828"/>
    <w:rsid w:val="00417963"/>
    <w:rsid w:val="004179E2"/>
    <w:rsid w:val="00417ADF"/>
    <w:rsid w:val="00417AF6"/>
    <w:rsid w:val="00417E60"/>
    <w:rsid w:val="0042027A"/>
    <w:rsid w:val="004202E1"/>
    <w:rsid w:val="004203EF"/>
    <w:rsid w:val="00420435"/>
    <w:rsid w:val="0042094B"/>
    <w:rsid w:val="00420F04"/>
    <w:rsid w:val="0042105B"/>
    <w:rsid w:val="004210BA"/>
    <w:rsid w:val="004210EC"/>
    <w:rsid w:val="004213A2"/>
    <w:rsid w:val="004213A6"/>
    <w:rsid w:val="004214FC"/>
    <w:rsid w:val="00421870"/>
    <w:rsid w:val="004224EF"/>
    <w:rsid w:val="00422553"/>
    <w:rsid w:val="004228C6"/>
    <w:rsid w:val="00422D03"/>
    <w:rsid w:val="00423099"/>
    <w:rsid w:val="0042347C"/>
    <w:rsid w:val="0042367F"/>
    <w:rsid w:val="00423ABE"/>
    <w:rsid w:val="00423CBD"/>
    <w:rsid w:val="004240A9"/>
    <w:rsid w:val="004241AD"/>
    <w:rsid w:val="004241CE"/>
    <w:rsid w:val="00424200"/>
    <w:rsid w:val="0042434B"/>
    <w:rsid w:val="00424564"/>
    <w:rsid w:val="00424B16"/>
    <w:rsid w:val="00424D0A"/>
    <w:rsid w:val="00424E79"/>
    <w:rsid w:val="00424FA9"/>
    <w:rsid w:val="004250C7"/>
    <w:rsid w:val="0042558E"/>
    <w:rsid w:val="00425928"/>
    <w:rsid w:val="00425BA1"/>
    <w:rsid w:val="00425E7E"/>
    <w:rsid w:val="00426178"/>
    <w:rsid w:val="0042661C"/>
    <w:rsid w:val="0042718E"/>
    <w:rsid w:val="00427271"/>
    <w:rsid w:val="004274B3"/>
    <w:rsid w:val="00427688"/>
    <w:rsid w:val="00427808"/>
    <w:rsid w:val="00427B9A"/>
    <w:rsid w:val="00427EF5"/>
    <w:rsid w:val="00427F27"/>
    <w:rsid w:val="0043009C"/>
    <w:rsid w:val="00430294"/>
    <w:rsid w:val="004303AB"/>
    <w:rsid w:val="0043044F"/>
    <w:rsid w:val="00430487"/>
    <w:rsid w:val="0043062E"/>
    <w:rsid w:val="00430734"/>
    <w:rsid w:val="0043076A"/>
    <w:rsid w:val="00430BDD"/>
    <w:rsid w:val="0043113F"/>
    <w:rsid w:val="004313A1"/>
    <w:rsid w:val="004313D3"/>
    <w:rsid w:val="00431785"/>
    <w:rsid w:val="00431B17"/>
    <w:rsid w:val="00431C9B"/>
    <w:rsid w:val="00432048"/>
    <w:rsid w:val="004323EB"/>
    <w:rsid w:val="004324F9"/>
    <w:rsid w:val="00432540"/>
    <w:rsid w:val="004325C6"/>
    <w:rsid w:val="00432980"/>
    <w:rsid w:val="00432D78"/>
    <w:rsid w:val="00432E48"/>
    <w:rsid w:val="00432ED2"/>
    <w:rsid w:val="0043314B"/>
    <w:rsid w:val="004331C2"/>
    <w:rsid w:val="004332B3"/>
    <w:rsid w:val="00433469"/>
    <w:rsid w:val="00433529"/>
    <w:rsid w:val="0043362C"/>
    <w:rsid w:val="004336F0"/>
    <w:rsid w:val="00433C2A"/>
    <w:rsid w:val="00433F36"/>
    <w:rsid w:val="00433FEE"/>
    <w:rsid w:val="004340ED"/>
    <w:rsid w:val="004341B3"/>
    <w:rsid w:val="004344BF"/>
    <w:rsid w:val="0043452F"/>
    <w:rsid w:val="00434660"/>
    <w:rsid w:val="00434B15"/>
    <w:rsid w:val="00434B64"/>
    <w:rsid w:val="00435394"/>
    <w:rsid w:val="0043544D"/>
    <w:rsid w:val="00435A21"/>
    <w:rsid w:val="00435A59"/>
    <w:rsid w:val="00435CB8"/>
    <w:rsid w:val="00436217"/>
    <w:rsid w:val="00436227"/>
    <w:rsid w:val="0043632B"/>
    <w:rsid w:val="00436624"/>
    <w:rsid w:val="00436A5C"/>
    <w:rsid w:val="00436E6C"/>
    <w:rsid w:val="00436FDF"/>
    <w:rsid w:val="00437057"/>
    <w:rsid w:val="00437135"/>
    <w:rsid w:val="00437294"/>
    <w:rsid w:val="004375B3"/>
    <w:rsid w:val="00437B99"/>
    <w:rsid w:val="00440360"/>
    <w:rsid w:val="004403F7"/>
    <w:rsid w:val="00440A86"/>
    <w:rsid w:val="00440B33"/>
    <w:rsid w:val="00440B7C"/>
    <w:rsid w:val="00440C8C"/>
    <w:rsid w:val="004412FA"/>
    <w:rsid w:val="0044167F"/>
    <w:rsid w:val="004416E9"/>
    <w:rsid w:val="004418E1"/>
    <w:rsid w:val="00441CBC"/>
    <w:rsid w:val="00441F98"/>
    <w:rsid w:val="0044207C"/>
    <w:rsid w:val="0044224B"/>
    <w:rsid w:val="00442562"/>
    <w:rsid w:val="00442AF7"/>
    <w:rsid w:val="00442E9B"/>
    <w:rsid w:val="004433F5"/>
    <w:rsid w:val="004438E4"/>
    <w:rsid w:val="00443B94"/>
    <w:rsid w:val="00443E1F"/>
    <w:rsid w:val="00443EC1"/>
    <w:rsid w:val="0044403E"/>
    <w:rsid w:val="004441D6"/>
    <w:rsid w:val="00444240"/>
    <w:rsid w:val="004443E1"/>
    <w:rsid w:val="00444649"/>
    <w:rsid w:val="0044485C"/>
    <w:rsid w:val="0044493D"/>
    <w:rsid w:val="0044566E"/>
    <w:rsid w:val="004458A3"/>
    <w:rsid w:val="00445BCC"/>
    <w:rsid w:val="00446009"/>
    <w:rsid w:val="0044603C"/>
    <w:rsid w:val="00446A4C"/>
    <w:rsid w:val="00446A96"/>
    <w:rsid w:val="00446C68"/>
    <w:rsid w:val="00446D05"/>
    <w:rsid w:val="00446F26"/>
    <w:rsid w:val="00447253"/>
    <w:rsid w:val="0044756C"/>
    <w:rsid w:val="00447666"/>
    <w:rsid w:val="00447725"/>
    <w:rsid w:val="004477FF"/>
    <w:rsid w:val="00447AC9"/>
    <w:rsid w:val="00447CE7"/>
    <w:rsid w:val="00447D1A"/>
    <w:rsid w:val="00447D60"/>
    <w:rsid w:val="004502B2"/>
    <w:rsid w:val="00450452"/>
    <w:rsid w:val="0045047E"/>
    <w:rsid w:val="004504E9"/>
    <w:rsid w:val="004505E8"/>
    <w:rsid w:val="00450CD9"/>
    <w:rsid w:val="0045121E"/>
    <w:rsid w:val="00451433"/>
    <w:rsid w:val="004517E0"/>
    <w:rsid w:val="00451970"/>
    <w:rsid w:val="00451D06"/>
    <w:rsid w:val="00451E80"/>
    <w:rsid w:val="0045205A"/>
    <w:rsid w:val="0045230C"/>
    <w:rsid w:val="00452434"/>
    <w:rsid w:val="00452631"/>
    <w:rsid w:val="00452953"/>
    <w:rsid w:val="00452EAE"/>
    <w:rsid w:val="00452EF2"/>
    <w:rsid w:val="00452FEC"/>
    <w:rsid w:val="00453264"/>
    <w:rsid w:val="0045350E"/>
    <w:rsid w:val="00453FCD"/>
    <w:rsid w:val="0045402E"/>
    <w:rsid w:val="00454984"/>
    <w:rsid w:val="004551F2"/>
    <w:rsid w:val="0045521A"/>
    <w:rsid w:val="0045526D"/>
    <w:rsid w:val="00455597"/>
    <w:rsid w:val="00455EBF"/>
    <w:rsid w:val="00456226"/>
    <w:rsid w:val="0045628F"/>
    <w:rsid w:val="004562B8"/>
    <w:rsid w:val="0045650E"/>
    <w:rsid w:val="004568D7"/>
    <w:rsid w:val="00456E0B"/>
    <w:rsid w:val="004574C0"/>
    <w:rsid w:val="004574E7"/>
    <w:rsid w:val="004575B3"/>
    <w:rsid w:val="00457981"/>
    <w:rsid w:val="00457990"/>
    <w:rsid w:val="004579D1"/>
    <w:rsid w:val="00457B44"/>
    <w:rsid w:val="00457B9D"/>
    <w:rsid w:val="00457C7C"/>
    <w:rsid w:val="00457F4C"/>
    <w:rsid w:val="00460114"/>
    <w:rsid w:val="004605F4"/>
    <w:rsid w:val="00461090"/>
    <w:rsid w:val="0046147A"/>
    <w:rsid w:val="0046174C"/>
    <w:rsid w:val="00461CDE"/>
    <w:rsid w:val="00461EE2"/>
    <w:rsid w:val="00462036"/>
    <w:rsid w:val="0046222A"/>
    <w:rsid w:val="004626A0"/>
    <w:rsid w:val="00462914"/>
    <w:rsid w:val="00462B54"/>
    <w:rsid w:val="00463064"/>
    <w:rsid w:val="004631A4"/>
    <w:rsid w:val="0046334D"/>
    <w:rsid w:val="004633A5"/>
    <w:rsid w:val="00463647"/>
    <w:rsid w:val="004636C5"/>
    <w:rsid w:val="004637AF"/>
    <w:rsid w:val="00463DB5"/>
    <w:rsid w:val="004640FD"/>
    <w:rsid w:val="00464118"/>
    <w:rsid w:val="0046432E"/>
    <w:rsid w:val="004645EC"/>
    <w:rsid w:val="0046478A"/>
    <w:rsid w:val="004648CD"/>
    <w:rsid w:val="004648F6"/>
    <w:rsid w:val="004649CD"/>
    <w:rsid w:val="00464C37"/>
    <w:rsid w:val="00465385"/>
    <w:rsid w:val="0046558A"/>
    <w:rsid w:val="004656CF"/>
    <w:rsid w:val="00465C24"/>
    <w:rsid w:val="00465D65"/>
    <w:rsid w:val="00465E91"/>
    <w:rsid w:val="00465EC7"/>
    <w:rsid w:val="00466750"/>
    <w:rsid w:val="00466805"/>
    <w:rsid w:val="0046685B"/>
    <w:rsid w:val="00466ACB"/>
    <w:rsid w:val="00466CFD"/>
    <w:rsid w:val="00466FC4"/>
    <w:rsid w:val="004670A0"/>
    <w:rsid w:val="004676EE"/>
    <w:rsid w:val="0046770A"/>
    <w:rsid w:val="00467A5C"/>
    <w:rsid w:val="00467ABD"/>
    <w:rsid w:val="00467E2B"/>
    <w:rsid w:val="00470174"/>
    <w:rsid w:val="004702F8"/>
    <w:rsid w:val="004703BF"/>
    <w:rsid w:val="004705F6"/>
    <w:rsid w:val="00470923"/>
    <w:rsid w:val="0047095D"/>
    <w:rsid w:val="00470BAE"/>
    <w:rsid w:val="00470C5F"/>
    <w:rsid w:val="00471411"/>
    <w:rsid w:val="00471956"/>
    <w:rsid w:val="00471D36"/>
    <w:rsid w:val="00471DEC"/>
    <w:rsid w:val="00471F0A"/>
    <w:rsid w:val="00472461"/>
    <w:rsid w:val="004724BE"/>
    <w:rsid w:val="0047269F"/>
    <w:rsid w:val="004727AD"/>
    <w:rsid w:val="00472B98"/>
    <w:rsid w:val="00472BC6"/>
    <w:rsid w:val="00472DEE"/>
    <w:rsid w:val="00473141"/>
    <w:rsid w:val="004732CA"/>
    <w:rsid w:val="00473515"/>
    <w:rsid w:val="004735D1"/>
    <w:rsid w:val="00473609"/>
    <w:rsid w:val="00473C3D"/>
    <w:rsid w:val="00473EBA"/>
    <w:rsid w:val="00474334"/>
    <w:rsid w:val="00474445"/>
    <w:rsid w:val="00474484"/>
    <w:rsid w:val="004744A3"/>
    <w:rsid w:val="0047451E"/>
    <w:rsid w:val="00474593"/>
    <w:rsid w:val="00474835"/>
    <w:rsid w:val="00474BAC"/>
    <w:rsid w:val="00474C7E"/>
    <w:rsid w:val="00474EA2"/>
    <w:rsid w:val="0047568F"/>
    <w:rsid w:val="00475B95"/>
    <w:rsid w:val="00475BDA"/>
    <w:rsid w:val="00475BFE"/>
    <w:rsid w:val="00475C23"/>
    <w:rsid w:val="00475C50"/>
    <w:rsid w:val="004762F3"/>
    <w:rsid w:val="00477042"/>
    <w:rsid w:val="00477044"/>
    <w:rsid w:val="0047711B"/>
    <w:rsid w:val="00477404"/>
    <w:rsid w:val="00477612"/>
    <w:rsid w:val="00477B93"/>
    <w:rsid w:val="00477BAF"/>
    <w:rsid w:val="00477C42"/>
    <w:rsid w:val="00477D63"/>
    <w:rsid w:val="00480065"/>
    <w:rsid w:val="00480562"/>
    <w:rsid w:val="00480564"/>
    <w:rsid w:val="004807B5"/>
    <w:rsid w:val="00480897"/>
    <w:rsid w:val="004808B8"/>
    <w:rsid w:val="004809B8"/>
    <w:rsid w:val="00480D77"/>
    <w:rsid w:val="00480DD9"/>
    <w:rsid w:val="0048119A"/>
    <w:rsid w:val="00481708"/>
    <w:rsid w:val="004817E9"/>
    <w:rsid w:val="00481BED"/>
    <w:rsid w:val="00481CFE"/>
    <w:rsid w:val="00481F10"/>
    <w:rsid w:val="004820FA"/>
    <w:rsid w:val="004821B9"/>
    <w:rsid w:val="00482390"/>
    <w:rsid w:val="004824F0"/>
    <w:rsid w:val="00482758"/>
    <w:rsid w:val="00482A75"/>
    <w:rsid w:val="0048307D"/>
    <w:rsid w:val="00483217"/>
    <w:rsid w:val="0048347E"/>
    <w:rsid w:val="00483A0D"/>
    <w:rsid w:val="00483A69"/>
    <w:rsid w:val="00484339"/>
    <w:rsid w:val="004844A0"/>
    <w:rsid w:val="0048468C"/>
    <w:rsid w:val="00484A98"/>
    <w:rsid w:val="00484AA6"/>
    <w:rsid w:val="00484D05"/>
    <w:rsid w:val="00485301"/>
    <w:rsid w:val="00485474"/>
    <w:rsid w:val="00485518"/>
    <w:rsid w:val="00485601"/>
    <w:rsid w:val="00485612"/>
    <w:rsid w:val="00485703"/>
    <w:rsid w:val="00485808"/>
    <w:rsid w:val="00485A0F"/>
    <w:rsid w:val="00485DD4"/>
    <w:rsid w:val="00485E73"/>
    <w:rsid w:val="00485F13"/>
    <w:rsid w:val="00486093"/>
    <w:rsid w:val="0048632D"/>
    <w:rsid w:val="0048697A"/>
    <w:rsid w:val="00486E2E"/>
    <w:rsid w:val="0048701F"/>
    <w:rsid w:val="00487498"/>
    <w:rsid w:val="00487D40"/>
    <w:rsid w:val="00487F96"/>
    <w:rsid w:val="004902A7"/>
    <w:rsid w:val="00490742"/>
    <w:rsid w:val="004908BF"/>
    <w:rsid w:val="00490A31"/>
    <w:rsid w:val="00490E6D"/>
    <w:rsid w:val="004910A6"/>
    <w:rsid w:val="00491575"/>
    <w:rsid w:val="004915F3"/>
    <w:rsid w:val="004916CB"/>
    <w:rsid w:val="0049183D"/>
    <w:rsid w:val="00491880"/>
    <w:rsid w:val="00491A21"/>
    <w:rsid w:val="00491D88"/>
    <w:rsid w:val="00491FDF"/>
    <w:rsid w:val="0049217F"/>
    <w:rsid w:val="00492271"/>
    <w:rsid w:val="004925BF"/>
    <w:rsid w:val="004926AE"/>
    <w:rsid w:val="004927D8"/>
    <w:rsid w:val="004928BF"/>
    <w:rsid w:val="00492943"/>
    <w:rsid w:val="00493021"/>
    <w:rsid w:val="00493277"/>
    <w:rsid w:val="004935ED"/>
    <w:rsid w:val="00493631"/>
    <w:rsid w:val="00493BE7"/>
    <w:rsid w:val="004942B5"/>
    <w:rsid w:val="004943D2"/>
    <w:rsid w:val="00494708"/>
    <w:rsid w:val="0049474F"/>
    <w:rsid w:val="00494E80"/>
    <w:rsid w:val="0049508D"/>
    <w:rsid w:val="00495663"/>
    <w:rsid w:val="004957FE"/>
    <w:rsid w:val="004958AC"/>
    <w:rsid w:val="004958BC"/>
    <w:rsid w:val="00495F81"/>
    <w:rsid w:val="00495FD4"/>
    <w:rsid w:val="0049605C"/>
    <w:rsid w:val="004965C1"/>
    <w:rsid w:val="004965F7"/>
    <w:rsid w:val="00496605"/>
    <w:rsid w:val="004966F6"/>
    <w:rsid w:val="0049687E"/>
    <w:rsid w:val="004969AF"/>
    <w:rsid w:val="00496DA4"/>
    <w:rsid w:val="00496E26"/>
    <w:rsid w:val="00496ECF"/>
    <w:rsid w:val="004970F8"/>
    <w:rsid w:val="004972D7"/>
    <w:rsid w:val="00497552"/>
    <w:rsid w:val="004975AD"/>
    <w:rsid w:val="00497950"/>
    <w:rsid w:val="00497BFA"/>
    <w:rsid w:val="00497FBF"/>
    <w:rsid w:val="004A0049"/>
    <w:rsid w:val="004A053D"/>
    <w:rsid w:val="004A0611"/>
    <w:rsid w:val="004A06F9"/>
    <w:rsid w:val="004A09EC"/>
    <w:rsid w:val="004A0A67"/>
    <w:rsid w:val="004A13EE"/>
    <w:rsid w:val="004A1635"/>
    <w:rsid w:val="004A1698"/>
    <w:rsid w:val="004A179F"/>
    <w:rsid w:val="004A1CF5"/>
    <w:rsid w:val="004A1D47"/>
    <w:rsid w:val="004A1D86"/>
    <w:rsid w:val="004A1FCC"/>
    <w:rsid w:val="004A21A1"/>
    <w:rsid w:val="004A238F"/>
    <w:rsid w:val="004A2565"/>
    <w:rsid w:val="004A267A"/>
    <w:rsid w:val="004A29AE"/>
    <w:rsid w:val="004A29BD"/>
    <w:rsid w:val="004A2BCF"/>
    <w:rsid w:val="004A2F18"/>
    <w:rsid w:val="004A2FFD"/>
    <w:rsid w:val="004A3183"/>
    <w:rsid w:val="004A325C"/>
    <w:rsid w:val="004A3873"/>
    <w:rsid w:val="004A3923"/>
    <w:rsid w:val="004A39C9"/>
    <w:rsid w:val="004A3A12"/>
    <w:rsid w:val="004A3B78"/>
    <w:rsid w:val="004A3FA9"/>
    <w:rsid w:val="004A4036"/>
    <w:rsid w:val="004A40B0"/>
    <w:rsid w:val="004A4133"/>
    <w:rsid w:val="004A41FB"/>
    <w:rsid w:val="004A4309"/>
    <w:rsid w:val="004A45B6"/>
    <w:rsid w:val="004A46FF"/>
    <w:rsid w:val="004A4A56"/>
    <w:rsid w:val="004A4BFA"/>
    <w:rsid w:val="004A4C28"/>
    <w:rsid w:val="004A4CBD"/>
    <w:rsid w:val="004A56B1"/>
    <w:rsid w:val="004A5A65"/>
    <w:rsid w:val="004A5F9D"/>
    <w:rsid w:val="004A60AD"/>
    <w:rsid w:val="004A6101"/>
    <w:rsid w:val="004A6166"/>
    <w:rsid w:val="004A63E5"/>
    <w:rsid w:val="004A66FC"/>
    <w:rsid w:val="004A67E9"/>
    <w:rsid w:val="004A687D"/>
    <w:rsid w:val="004A6896"/>
    <w:rsid w:val="004A6B13"/>
    <w:rsid w:val="004A6C66"/>
    <w:rsid w:val="004A6DB6"/>
    <w:rsid w:val="004A7048"/>
    <w:rsid w:val="004A7057"/>
    <w:rsid w:val="004A70F7"/>
    <w:rsid w:val="004A7200"/>
    <w:rsid w:val="004A73A0"/>
    <w:rsid w:val="004A742E"/>
    <w:rsid w:val="004A7616"/>
    <w:rsid w:val="004A7698"/>
    <w:rsid w:val="004A7B16"/>
    <w:rsid w:val="004A7B5E"/>
    <w:rsid w:val="004A7DEC"/>
    <w:rsid w:val="004A7EFC"/>
    <w:rsid w:val="004B03AD"/>
    <w:rsid w:val="004B0441"/>
    <w:rsid w:val="004B0498"/>
    <w:rsid w:val="004B0514"/>
    <w:rsid w:val="004B0A0A"/>
    <w:rsid w:val="004B0B7E"/>
    <w:rsid w:val="004B0D05"/>
    <w:rsid w:val="004B0D70"/>
    <w:rsid w:val="004B0E80"/>
    <w:rsid w:val="004B102D"/>
    <w:rsid w:val="004B1088"/>
    <w:rsid w:val="004B1125"/>
    <w:rsid w:val="004B12F1"/>
    <w:rsid w:val="004B18FF"/>
    <w:rsid w:val="004B1B7D"/>
    <w:rsid w:val="004B1C4B"/>
    <w:rsid w:val="004B1DA3"/>
    <w:rsid w:val="004B1F04"/>
    <w:rsid w:val="004B208D"/>
    <w:rsid w:val="004B2392"/>
    <w:rsid w:val="004B248D"/>
    <w:rsid w:val="004B2722"/>
    <w:rsid w:val="004B279D"/>
    <w:rsid w:val="004B2891"/>
    <w:rsid w:val="004B2C16"/>
    <w:rsid w:val="004B2C60"/>
    <w:rsid w:val="004B2D06"/>
    <w:rsid w:val="004B2D30"/>
    <w:rsid w:val="004B3300"/>
    <w:rsid w:val="004B370E"/>
    <w:rsid w:val="004B37D3"/>
    <w:rsid w:val="004B3804"/>
    <w:rsid w:val="004B3B67"/>
    <w:rsid w:val="004B3BF2"/>
    <w:rsid w:val="004B3E57"/>
    <w:rsid w:val="004B4507"/>
    <w:rsid w:val="004B458E"/>
    <w:rsid w:val="004B46BB"/>
    <w:rsid w:val="004B4928"/>
    <w:rsid w:val="004B4A31"/>
    <w:rsid w:val="004B4A80"/>
    <w:rsid w:val="004B545E"/>
    <w:rsid w:val="004B590B"/>
    <w:rsid w:val="004B5A3D"/>
    <w:rsid w:val="004B5C07"/>
    <w:rsid w:val="004B60CB"/>
    <w:rsid w:val="004B6673"/>
    <w:rsid w:val="004B6784"/>
    <w:rsid w:val="004B6A3B"/>
    <w:rsid w:val="004B6BAA"/>
    <w:rsid w:val="004B6E81"/>
    <w:rsid w:val="004B6E89"/>
    <w:rsid w:val="004B714C"/>
    <w:rsid w:val="004B7591"/>
    <w:rsid w:val="004B7652"/>
    <w:rsid w:val="004B77B7"/>
    <w:rsid w:val="004B77F4"/>
    <w:rsid w:val="004B7A5F"/>
    <w:rsid w:val="004B7B95"/>
    <w:rsid w:val="004C02D0"/>
    <w:rsid w:val="004C0650"/>
    <w:rsid w:val="004C0726"/>
    <w:rsid w:val="004C07D9"/>
    <w:rsid w:val="004C09A8"/>
    <w:rsid w:val="004C0FF4"/>
    <w:rsid w:val="004C10FE"/>
    <w:rsid w:val="004C12D1"/>
    <w:rsid w:val="004C14AA"/>
    <w:rsid w:val="004C17E0"/>
    <w:rsid w:val="004C1891"/>
    <w:rsid w:val="004C1CB5"/>
    <w:rsid w:val="004C1D7B"/>
    <w:rsid w:val="004C1FE0"/>
    <w:rsid w:val="004C2564"/>
    <w:rsid w:val="004C2670"/>
    <w:rsid w:val="004C29CF"/>
    <w:rsid w:val="004C2AE7"/>
    <w:rsid w:val="004C2C94"/>
    <w:rsid w:val="004C2DEE"/>
    <w:rsid w:val="004C30EF"/>
    <w:rsid w:val="004C3189"/>
    <w:rsid w:val="004C37DA"/>
    <w:rsid w:val="004C3B79"/>
    <w:rsid w:val="004C3D1B"/>
    <w:rsid w:val="004C3EFE"/>
    <w:rsid w:val="004C4088"/>
    <w:rsid w:val="004C473F"/>
    <w:rsid w:val="004C484D"/>
    <w:rsid w:val="004C4B80"/>
    <w:rsid w:val="004C4C21"/>
    <w:rsid w:val="004C4FE9"/>
    <w:rsid w:val="004C507A"/>
    <w:rsid w:val="004C50F1"/>
    <w:rsid w:val="004C5141"/>
    <w:rsid w:val="004C5197"/>
    <w:rsid w:val="004C5665"/>
    <w:rsid w:val="004C57FD"/>
    <w:rsid w:val="004C5AD0"/>
    <w:rsid w:val="004C5C5F"/>
    <w:rsid w:val="004C5C97"/>
    <w:rsid w:val="004C5F4F"/>
    <w:rsid w:val="004C63BB"/>
    <w:rsid w:val="004C641F"/>
    <w:rsid w:val="004C6639"/>
    <w:rsid w:val="004C66B9"/>
    <w:rsid w:val="004C6876"/>
    <w:rsid w:val="004C68D1"/>
    <w:rsid w:val="004C6A42"/>
    <w:rsid w:val="004C6B45"/>
    <w:rsid w:val="004C7402"/>
    <w:rsid w:val="004C76D7"/>
    <w:rsid w:val="004C7882"/>
    <w:rsid w:val="004C7986"/>
    <w:rsid w:val="004C7A5A"/>
    <w:rsid w:val="004C7D58"/>
    <w:rsid w:val="004D01B0"/>
    <w:rsid w:val="004D05DD"/>
    <w:rsid w:val="004D075D"/>
    <w:rsid w:val="004D07EB"/>
    <w:rsid w:val="004D08F4"/>
    <w:rsid w:val="004D0A49"/>
    <w:rsid w:val="004D0B88"/>
    <w:rsid w:val="004D0C27"/>
    <w:rsid w:val="004D0D2B"/>
    <w:rsid w:val="004D0DFB"/>
    <w:rsid w:val="004D1405"/>
    <w:rsid w:val="004D1486"/>
    <w:rsid w:val="004D1617"/>
    <w:rsid w:val="004D17B3"/>
    <w:rsid w:val="004D1875"/>
    <w:rsid w:val="004D18E3"/>
    <w:rsid w:val="004D1AB3"/>
    <w:rsid w:val="004D1AC8"/>
    <w:rsid w:val="004D1C82"/>
    <w:rsid w:val="004D1FD8"/>
    <w:rsid w:val="004D210D"/>
    <w:rsid w:val="004D228F"/>
    <w:rsid w:val="004D254B"/>
    <w:rsid w:val="004D2819"/>
    <w:rsid w:val="004D281A"/>
    <w:rsid w:val="004D2A9D"/>
    <w:rsid w:val="004D2B53"/>
    <w:rsid w:val="004D2B7A"/>
    <w:rsid w:val="004D2C13"/>
    <w:rsid w:val="004D2E82"/>
    <w:rsid w:val="004D2F55"/>
    <w:rsid w:val="004D3041"/>
    <w:rsid w:val="004D30A2"/>
    <w:rsid w:val="004D31E0"/>
    <w:rsid w:val="004D3287"/>
    <w:rsid w:val="004D3494"/>
    <w:rsid w:val="004D34A9"/>
    <w:rsid w:val="004D3571"/>
    <w:rsid w:val="004D3F61"/>
    <w:rsid w:val="004D479B"/>
    <w:rsid w:val="004D48FD"/>
    <w:rsid w:val="004D4CF4"/>
    <w:rsid w:val="004D4E8E"/>
    <w:rsid w:val="004D51BD"/>
    <w:rsid w:val="004D55D1"/>
    <w:rsid w:val="004D56AB"/>
    <w:rsid w:val="004D5F0A"/>
    <w:rsid w:val="004D5FAB"/>
    <w:rsid w:val="004D62F0"/>
    <w:rsid w:val="004D6578"/>
    <w:rsid w:val="004D6797"/>
    <w:rsid w:val="004D693C"/>
    <w:rsid w:val="004D6C77"/>
    <w:rsid w:val="004D6EF5"/>
    <w:rsid w:val="004D6EFB"/>
    <w:rsid w:val="004D6F52"/>
    <w:rsid w:val="004D6F66"/>
    <w:rsid w:val="004D7100"/>
    <w:rsid w:val="004D7660"/>
    <w:rsid w:val="004D76E1"/>
    <w:rsid w:val="004D7E50"/>
    <w:rsid w:val="004D7E55"/>
    <w:rsid w:val="004DD263"/>
    <w:rsid w:val="004E094F"/>
    <w:rsid w:val="004E0B48"/>
    <w:rsid w:val="004E0EE9"/>
    <w:rsid w:val="004E10E4"/>
    <w:rsid w:val="004E134D"/>
    <w:rsid w:val="004E1357"/>
    <w:rsid w:val="004E186D"/>
    <w:rsid w:val="004E1D37"/>
    <w:rsid w:val="004E1F5F"/>
    <w:rsid w:val="004E1FD3"/>
    <w:rsid w:val="004E22B9"/>
    <w:rsid w:val="004E2673"/>
    <w:rsid w:val="004E269F"/>
    <w:rsid w:val="004E2879"/>
    <w:rsid w:val="004E292C"/>
    <w:rsid w:val="004E294A"/>
    <w:rsid w:val="004E296C"/>
    <w:rsid w:val="004E2C6C"/>
    <w:rsid w:val="004E2F96"/>
    <w:rsid w:val="004E2FCF"/>
    <w:rsid w:val="004E38FF"/>
    <w:rsid w:val="004E3A95"/>
    <w:rsid w:val="004E3B79"/>
    <w:rsid w:val="004E406C"/>
    <w:rsid w:val="004E420A"/>
    <w:rsid w:val="004E47B0"/>
    <w:rsid w:val="004E4825"/>
    <w:rsid w:val="004E4899"/>
    <w:rsid w:val="004E49DD"/>
    <w:rsid w:val="004E4A5B"/>
    <w:rsid w:val="004E4AAD"/>
    <w:rsid w:val="004E4FEB"/>
    <w:rsid w:val="004E513E"/>
    <w:rsid w:val="004E52BE"/>
    <w:rsid w:val="004E55D2"/>
    <w:rsid w:val="004E58D2"/>
    <w:rsid w:val="004E59E1"/>
    <w:rsid w:val="004E5AAD"/>
    <w:rsid w:val="004E6073"/>
    <w:rsid w:val="004E6318"/>
    <w:rsid w:val="004E6499"/>
    <w:rsid w:val="004E670D"/>
    <w:rsid w:val="004E6719"/>
    <w:rsid w:val="004E6B7D"/>
    <w:rsid w:val="004E6CB5"/>
    <w:rsid w:val="004E6DD8"/>
    <w:rsid w:val="004E7076"/>
    <w:rsid w:val="004E7104"/>
    <w:rsid w:val="004E7517"/>
    <w:rsid w:val="004E7519"/>
    <w:rsid w:val="004E75AB"/>
    <w:rsid w:val="004E769A"/>
    <w:rsid w:val="004E7746"/>
    <w:rsid w:val="004E795E"/>
    <w:rsid w:val="004E7AEB"/>
    <w:rsid w:val="004E7C01"/>
    <w:rsid w:val="004F00D0"/>
    <w:rsid w:val="004F03D5"/>
    <w:rsid w:val="004F0453"/>
    <w:rsid w:val="004F057B"/>
    <w:rsid w:val="004F0684"/>
    <w:rsid w:val="004F06A5"/>
    <w:rsid w:val="004F07A1"/>
    <w:rsid w:val="004F08D1"/>
    <w:rsid w:val="004F0EEE"/>
    <w:rsid w:val="004F1173"/>
    <w:rsid w:val="004F1221"/>
    <w:rsid w:val="004F1283"/>
    <w:rsid w:val="004F148C"/>
    <w:rsid w:val="004F1973"/>
    <w:rsid w:val="004F1ACF"/>
    <w:rsid w:val="004F1BA7"/>
    <w:rsid w:val="004F1DC8"/>
    <w:rsid w:val="004F20E1"/>
    <w:rsid w:val="004F28C3"/>
    <w:rsid w:val="004F2A15"/>
    <w:rsid w:val="004F2BF3"/>
    <w:rsid w:val="004F2C66"/>
    <w:rsid w:val="004F2CB7"/>
    <w:rsid w:val="004F2F39"/>
    <w:rsid w:val="004F2F52"/>
    <w:rsid w:val="004F3029"/>
    <w:rsid w:val="004F310E"/>
    <w:rsid w:val="004F3156"/>
    <w:rsid w:val="004F31AE"/>
    <w:rsid w:val="004F32DC"/>
    <w:rsid w:val="004F341F"/>
    <w:rsid w:val="004F383C"/>
    <w:rsid w:val="004F3A8E"/>
    <w:rsid w:val="004F3B60"/>
    <w:rsid w:val="004F3CB6"/>
    <w:rsid w:val="004F3F7A"/>
    <w:rsid w:val="004F42C2"/>
    <w:rsid w:val="004F491F"/>
    <w:rsid w:val="004F4A13"/>
    <w:rsid w:val="004F502A"/>
    <w:rsid w:val="004F53E2"/>
    <w:rsid w:val="004F545A"/>
    <w:rsid w:val="004F5646"/>
    <w:rsid w:val="004F585C"/>
    <w:rsid w:val="004F58D3"/>
    <w:rsid w:val="004F5C07"/>
    <w:rsid w:val="004F5CEF"/>
    <w:rsid w:val="004F5D2B"/>
    <w:rsid w:val="004F5F48"/>
    <w:rsid w:val="004F5F65"/>
    <w:rsid w:val="004F6230"/>
    <w:rsid w:val="004F628E"/>
    <w:rsid w:val="004F6439"/>
    <w:rsid w:val="004F65C1"/>
    <w:rsid w:val="004F6794"/>
    <w:rsid w:val="004F693F"/>
    <w:rsid w:val="004F7358"/>
    <w:rsid w:val="004F750C"/>
    <w:rsid w:val="004F7531"/>
    <w:rsid w:val="004F76B6"/>
    <w:rsid w:val="004F7F2F"/>
    <w:rsid w:val="004F7F99"/>
    <w:rsid w:val="0050005E"/>
    <w:rsid w:val="00500160"/>
    <w:rsid w:val="005001B9"/>
    <w:rsid w:val="005003BB"/>
    <w:rsid w:val="00500586"/>
    <w:rsid w:val="005006F4"/>
    <w:rsid w:val="005007BA"/>
    <w:rsid w:val="0050085E"/>
    <w:rsid w:val="00500A3C"/>
    <w:rsid w:val="00500ACD"/>
    <w:rsid w:val="00500B83"/>
    <w:rsid w:val="00500D49"/>
    <w:rsid w:val="00500E37"/>
    <w:rsid w:val="00500E4B"/>
    <w:rsid w:val="00500FC1"/>
    <w:rsid w:val="00500FCE"/>
    <w:rsid w:val="005010D6"/>
    <w:rsid w:val="00501138"/>
    <w:rsid w:val="00501181"/>
    <w:rsid w:val="005012C0"/>
    <w:rsid w:val="005015C6"/>
    <w:rsid w:val="005017F8"/>
    <w:rsid w:val="00501A5D"/>
    <w:rsid w:val="00501C81"/>
    <w:rsid w:val="00501CF6"/>
    <w:rsid w:val="00501F21"/>
    <w:rsid w:val="00501F68"/>
    <w:rsid w:val="00501F6F"/>
    <w:rsid w:val="00501FED"/>
    <w:rsid w:val="00501FFE"/>
    <w:rsid w:val="005023DC"/>
    <w:rsid w:val="00502770"/>
    <w:rsid w:val="00502C17"/>
    <w:rsid w:val="00502C52"/>
    <w:rsid w:val="00502CEE"/>
    <w:rsid w:val="00503344"/>
    <w:rsid w:val="00503498"/>
    <w:rsid w:val="0050376E"/>
    <w:rsid w:val="00503797"/>
    <w:rsid w:val="0050390F"/>
    <w:rsid w:val="00503994"/>
    <w:rsid w:val="00503A82"/>
    <w:rsid w:val="00503AB4"/>
    <w:rsid w:val="00503C46"/>
    <w:rsid w:val="00504061"/>
    <w:rsid w:val="0050462E"/>
    <w:rsid w:val="00504A0B"/>
    <w:rsid w:val="00504A66"/>
    <w:rsid w:val="00504B27"/>
    <w:rsid w:val="00504DE0"/>
    <w:rsid w:val="00504E91"/>
    <w:rsid w:val="00504F2E"/>
    <w:rsid w:val="00505176"/>
    <w:rsid w:val="00505210"/>
    <w:rsid w:val="005054D2"/>
    <w:rsid w:val="00505BAE"/>
    <w:rsid w:val="00505C52"/>
    <w:rsid w:val="00505E22"/>
    <w:rsid w:val="005060F6"/>
    <w:rsid w:val="005061B2"/>
    <w:rsid w:val="005062FE"/>
    <w:rsid w:val="00506956"/>
    <w:rsid w:val="00506973"/>
    <w:rsid w:val="005069BD"/>
    <w:rsid w:val="00506F90"/>
    <w:rsid w:val="0050707B"/>
    <w:rsid w:val="0050711C"/>
    <w:rsid w:val="00507243"/>
    <w:rsid w:val="005074E8"/>
    <w:rsid w:val="0050753C"/>
    <w:rsid w:val="005075E4"/>
    <w:rsid w:val="005079D2"/>
    <w:rsid w:val="00507B89"/>
    <w:rsid w:val="00510370"/>
    <w:rsid w:val="005105DA"/>
    <w:rsid w:val="00510FDF"/>
    <w:rsid w:val="00511267"/>
    <w:rsid w:val="00511662"/>
    <w:rsid w:val="005117F7"/>
    <w:rsid w:val="005118AA"/>
    <w:rsid w:val="00511C48"/>
    <w:rsid w:val="00511CE8"/>
    <w:rsid w:val="00511D3F"/>
    <w:rsid w:val="00511D63"/>
    <w:rsid w:val="00511FFD"/>
    <w:rsid w:val="00512025"/>
    <w:rsid w:val="005123C7"/>
    <w:rsid w:val="005127C1"/>
    <w:rsid w:val="0051299B"/>
    <w:rsid w:val="00512BD8"/>
    <w:rsid w:val="00512CC3"/>
    <w:rsid w:val="00512D30"/>
    <w:rsid w:val="00512D64"/>
    <w:rsid w:val="0051339F"/>
    <w:rsid w:val="00513553"/>
    <w:rsid w:val="005138B1"/>
    <w:rsid w:val="00513924"/>
    <w:rsid w:val="00513DC7"/>
    <w:rsid w:val="00513E5D"/>
    <w:rsid w:val="00513E6D"/>
    <w:rsid w:val="00513F21"/>
    <w:rsid w:val="00514161"/>
    <w:rsid w:val="00514559"/>
    <w:rsid w:val="00514685"/>
    <w:rsid w:val="00514976"/>
    <w:rsid w:val="00514A33"/>
    <w:rsid w:val="00515270"/>
    <w:rsid w:val="00515380"/>
    <w:rsid w:val="005153F3"/>
    <w:rsid w:val="0051549E"/>
    <w:rsid w:val="005155DD"/>
    <w:rsid w:val="005155F1"/>
    <w:rsid w:val="005157C5"/>
    <w:rsid w:val="00515B60"/>
    <w:rsid w:val="00515C84"/>
    <w:rsid w:val="00515DC1"/>
    <w:rsid w:val="00516118"/>
    <w:rsid w:val="0051639F"/>
    <w:rsid w:val="005166DB"/>
    <w:rsid w:val="005166DF"/>
    <w:rsid w:val="0051676A"/>
    <w:rsid w:val="00516C18"/>
    <w:rsid w:val="005171F2"/>
    <w:rsid w:val="005176CA"/>
    <w:rsid w:val="0051783F"/>
    <w:rsid w:val="00517A74"/>
    <w:rsid w:val="00517B22"/>
    <w:rsid w:val="00517DDF"/>
    <w:rsid w:val="00517ED3"/>
    <w:rsid w:val="00520091"/>
    <w:rsid w:val="00520495"/>
    <w:rsid w:val="00520498"/>
    <w:rsid w:val="00520530"/>
    <w:rsid w:val="005206F3"/>
    <w:rsid w:val="00520798"/>
    <w:rsid w:val="00520803"/>
    <w:rsid w:val="00520D09"/>
    <w:rsid w:val="00520E11"/>
    <w:rsid w:val="00520FFC"/>
    <w:rsid w:val="0052116B"/>
    <w:rsid w:val="00521244"/>
    <w:rsid w:val="005213EB"/>
    <w:rsid w:val="005214F7"/>
    <w:rsid w:val="00521758"/>
    <w:rsid w:val="00521BB8"/>
    <w:rsid w:val="00521DDF"/>
    <w:rsid w:val="00521F7D"/>
    <w:rsid w:val="005221F0"/>
    <w:rsid w:val="00522212"/>
    <w:rsid w:val="005225FE"/>
    <w:rsid w:val="00522660"/>
    <w:rsid w:val="00522756"/>
    <w:rsid w:val="005227A8"/>
    <w:rsid w:val="00522967"/>
    <w:rsid w:val="00522A6A"/>
    <w:rsid w:val="00522B82"/>
    <w:rsid w:val="005235D1"/>
    <w:rsid w:val="005236C0"/>
    <w:rsid w:val="00523C7A"/>
    <w:rsid w:val="00523DCF"/>
    <w:rsid w:val="0052409B"/>
    <w:rsid w:val="005241C7"/>
    <w:rsid w:val="0052441D"/>
    <w:rsid w:val="00524457"/>
    <w:rsid w:val="0052445F"/>
    <w:rsid w:val="005244E9"/>
    <w:rsid w:val="00524A7D"/>
    <w:rsid w:val="00524E4E"/>
    <w:rsid w:val="00524FBE"/>
    <w:rsid w:val="005250AF"/>
    <w:rsid w:val="00525268"/>
    <w:rsid w:val="00525367"/>
    <w:rsid w:val="005253CA"/>
    <w:rsid w:val="005253FC"/>
    <w:rsid w:val="005256A7"/>
    <w:rsid w:val="00525745"/>
    <w:rsid w:val="005259C4"/>
    <w:rsid w:val="00525ACA"/>
    <w:rsid w:val="00525B2F"/>
    <w:rsid w:val="0052604A"/>
    <w:rsid w:val="005260B6"/>
    <w:rsid w:val="005260FD"/>
    <w:rsid w:val="0052638F"/>
    <w:rsid w:val="00526495"/>
    <w:rsid w:val="005269C5"/>
    <w:rsid w:val="00526AD2"/>
    <w:rsid w:val="00526BC4"/>
    <w:rsid w:val="00526DF6"/>
    <w:rsid w:val="00526EAF"/>
    <w:rsid w:val="00526EF7"/>
    <w:rsid w:val="00527084"/>
    <w:rsid w:val="005270FC"/>
    <w:rsid w:val="00527486"/>
    <w:rsid w:val="0052773D"/>
    <w:rsid w:val="00527841"/>
    <w:rsid w:val="00527874"/>
    <w:rsid w:val="005279AE"/>
    <w:rsid w:val="00527E88"/>
    <w:rsid w:val="00527F6D"/>
    <w:rsid w:val="005301C3"/>
    <w:rsid w:val="005304E4"/>
    <w:rsid w:val="0053067D"/>
    <w:rsid w:val="00530709"/>
    <w:rsid w:val="00530736"/>
    <w:rsid w:val="00530AB1"/>
    <w:rsid w:val="00530C32"/>
    <w:rsid w:val="00530DB1"/>
    <w:rsid w:val="00530E8C"/>
    <w:rsid w:val="00530FA3"/>
    <w:rsid w:val="00531069"/>
    <w:rsid w:val="005312A7"/>
    <w:rsid w:val="0053144B"/>
    <w:rsid w:val="00531B3F"/>
    <w:rsid w:val="00531F66"/>
    <w:rsid w:val="00531FA2"/>
    <w:rsid w:val="005320CB"/>
    <w:rsid w:val="00532494"/>
    <w:rsid w:val="00532776"/>
    <w:rsid w:val="00532B13"/>
    <w:rsid w:val="00532B34"/>
    <w:rsid w:val="00532CB2"/>
    <w:rsid w:val="00532D10"/>
    <w:rsid w:val="00533149"/>
    <w:rsid w:val="00533566"/>
    <w:rsid w:val="0053371D"/>
    <w:rsid w:val="005337BB"/>
    <w:rsid w:val="00533B84"/>
    <w:rsid w:val="005343F1"/>
    <w:rsid w:val="00534593"/>
    <w:rsid w:val="00534748"/>
    <w:rsid w:val="0053498F"/>
    <w:rsid w:val="00534A1C"/>
    <w:rsid w:val="00534AAE"/>
    <w:rsid w:val="00534BC0"/>
    <w:rsid w:val="00534D7D"/>
    <w:rsid w:val="005350DC"/>
    <w:rsid w:val="00535252"/>
    <w:rsid w:val="0053539E"/>
    <w:rsid w:val="0053567D"/>
    <w:rsid w:val="005357E6"/>
    <w:rsid w:val="00535AAD"/>
    <w:rsid w:val="00535C6B"/>
    <w:rsid w:val="00535C83"/>
    <w:rsid w:val="00535CB4"/>
    <w:rsid w:val="00535DFF"/>
    <w:rsid w:val="00536010"/>
    <w:rsid w:val="0053606A"/>
    <w:rsid w:val="0053614A"/>
    <w:rsid w:val="00536237"/>
    <w:rsid w:val="005367AC"/>
    <w:rsid w:val="00536896"/>
    <w:rsid w:val="00536AD5"/>
    <w:rsid w:val="0053709D"/>
    <w:rsid w:val="00537146"/>
    <w:rsid w:val="00537904"/>
    <w:rsid w:val="00537A65"/>
    <w:rsid w:val="00537A77"/>
    <w:rsid w:val="00537A7E"/>
    <w:rsid w:val="00537C63"/>
    <w:rsid w:val="00540310"/>
    <w:rsid w:val="005408E1"/>
    <w:rsid w:val="00540EB6"/>
    <w:rsid w:val="00540F9D"/>
    <w:rsid w:val="00541386"/>
    <w:rsid w:val="00541487"/>
    <w:rsid w:val="0054154D"/>
    <w:rsid w:val="00541A14"/>
    <w:rsid w:val="00541B77"/>
    <w:rsid w:val="00541DF0"/>
    <w:rsid w:val="00541F3D"/>
    <w:rsid w:val="00542091"/>
    <w:rsid w:val="005420F8"/>
    <w:rsid w:val="0054211F"/>
    <w:rsid w:val="005422EE"/>
    <w:rsid w:val="005426BB"/>
    <w:rsid w:val="00542798"/>
    <w:rsid w:val="005427D0"/>
    <w:rsid w:val="00542D62"/>
    <w:rsid w:val="00542E34"/>
    <w:rsid w:val="00542E7F"/>
    <w:rsid w:val="00543021"/>
    <w:rsid w:val="0054316E"/>
    <w:rsid w:val="00543462"/>
    <w:rsid w:val="005435F6"/>
    <w:rsid w:val="0054370B"/>
    <w:rsid w:val="0054376B"/>
    <w:rsid w:val="00543834"/>
    <w:rsid w:val="005438BB"/>
    <w:rsid w:val="0054390B"/>
    <w:rsid w:val="00543A5B"/>
    <w:rsid w:val="00543C34"/>
    <w:rsid w:val="00543C6B"/>
    <w:rsid w:val="00543E92"/>
    <w:rsid w:val="00543F9C"/>
    <w:rsid w:val="00543FA3"/>
    <w:rsid w:val="00543FEE"/>
    <w:rsid w:val="00544300"/>
    <w:rsid w:val="00544774"/>
    <w:rsid w:val="00544BF1"/>
    <w:rsid w:val="005450CD"/>
    <w:rsid w:val="00545223"/>
    <w:rsid w:val="00545290"/>
    <w:rsid w:val="0054542F"/>
    <w:rsid w:val="005454AC"/>
    <w:rsid w:val="005456A2"/>
    <w:rsid w:val="00545C42"/>
    <w:rsid w:val="00545D06"/>
    <w:rsid w:val="00545DB7"/>
    <w:rsid w:val="00545DDB"/>
    <w:rsid w:val="00545F2D"/>
    <w:rsid w:val="00546034"/>
    <w:rsid w:val="005461AA"/>
    <w:rsid w:val="005462D0"/>
    <w:rsid w:val="00546AD0"/>
    <w:rsid w:val="00546C79"/>
    <w:rsid w:val="00546D39"/>
    <w:rsid w:val="00546F59"/>
    <w:rsid w:val="00546F85"/>
    <w:rsid w:val="005472D5"/>
    <w:rsid w:val="005472F3"/>
    <w:rsid w:val="00547A88"/>
    <w:rsid w:val="00547AED"/>
    <w:rsid w:val="00547D00"/>
    <w:rsid w:val="00547FD8"/>
    <w:rsid w:val="00547FDE"/>
    <w:rsid w:val="0055000A"/>
    <w:rsid w:val="0055036C"/>
    <w:rsid w:val="0055047F"/>
    <w:rsid w:val="0055087D"/>
    <w:rsid w:val="00550AB0"/>
    <w:rsid w:val="00550BEB"/>
    <w:rsid w:val="00550CBF"/>
    <w:rsid w:val="00550E84"/>
    <w:rsid w:val="00551368"/>
    <w:rsid w:val="005513AC"/>
    <w:rsid w:val="0055141A"/>
    <w:rsid w:val="00551759"/>
    <w:rsid w:val="005524B0"/>
    <w:rsid w:val="005524B4"/>
    <w:rsid w:val="00552A03"/>
    <w:rsid w:val="00552B0F"/>
    <w:rsid w:val="00552C3B"/>
    <w:rsid w:val="00552CD2"/>
    <w:rsid w:val="00552F7C"/>
    <w:rsid w:val="00552FCC"/>
    <w:rsid w:val="0055319A"/>
    <w:rsid w:val="0055341D"/>
    <w:rsid w:val="0055344F"/>
    <w:rsid w:val="00553893"/>
    <w:rsid w:val="00553D16"/>
    <w:rsid w:val="00553DFB"/>
    <w:rsid w:val="00554139"/>
    <w:rsid w:val="00554316"/>
    <w:rsid w:val="00554894"/>
    <w:rsid w:val="00554A84"/>
    <w:rsid w:val="00554F08"/>
    <w:rsid w:val="00554FFD"/>
    <w:rsid w:val="00555546"/>
    <w:rsid w:val="005555DB"/>
    <w:rsid w:val="005556E0"/>
    <w:rsid w:val="0055584F"/>
    <w:rsid w:val="0055587F"/>
    <w:rsid w:val="00555AE0"/>
    <w:rsid w:val="00555AEC"/>
    <w:rsid w:val="00555B16"/>
    <w:rsid w:val="00555F09"/>
    <w:rsid w:val="00556028"/>
    <w:rsid w:val="00556076"/>
    <w:rsid w:val="0055681D"/>
    <w:rsid w:val="00556845"/>
    <w:rsid w:val="00556B07"/>
    <w:rsid w:val="00556BD6"/>
    <w:rsid w:val="00556ED7"/>
    <w:rsid w:val="00556EFB"/>
    <w:rsid w:val="00557296"/>
    <w:rsid w:val="005577B0"/>
    <w:rsid w:val="00557B39"/>
    <w:rsid w:val="00557BFE"/>
    <w:rsid w:val="00557C7F"/>
    <w:rsid w:val="0056013B"/>
    <w:rsid w:val="00560192"/>
    <w:rsid w:val="005604B6"/>
    <w:rsid w:val="00560A65"/>
    <w:rsid w:val="005610FA"/>
    <w:rsid w:val="00561241"/>
    <w:rsid w:val="0056192C"/>
    <w:rsid w:val="00561AB3"/>
    <w:rsid w:val="00561C16"/>
    <w:rsid w:val="00561D21"/>
    <w:rsid w:val="00562084"/>
    <w:rsid w:val="0056209B"/>
    <w:rsid w:val="005620BC"/>
    <w:rsid w:val="005623EA"/>
    <w:rsid w:val="005626AD"/>
    <w:rsid w:val="00562EA1"/>
    <w:rsid w:val="005630B7"/>
    <w:rsid w:val="005632E4"/>
    <w:rsid w:val="00563338"/>
    <w:rsid w:val="0056375B"/>
    <w:rsid w:val="00563C3A"/>
    <w:rsid w:val="00563DF2"/>
    <w:rsid w:val="00563F13"/>
    <w:rsid w:val="00564369"/>
    <w:rsid w:val="00564B82"/>
    <w:rsid w:val="00564C58"/>
    <w:rsid w:val="00565095"/>
    <w:rsid w:val="00565333"/>
    <w:rsid w:val="0056574F"/>
    <w:rsid w:val="005658BD"/>
    <w:rsid w:val="005659B6"/>
    <w:rsid w:val="005659E8"/>
    <w:rsid w:val="00565AA0"/>
    <w:rsid w:val="00565BB7"/>
    <w:rsid w:val="00565DB9"/>
    <w:rsid w:val="00565F80"/>
    <w:rsid w:val="00565FA4"/>
    <w:rsid w:val="005661C7"/>
    <w:rsid w:val="00566395"/>
    <w:rsid w:val="0056644C"/>
    <w:rsid w:val="005667BA"/>
    <w:rsid w:val="0056694D"/>
    <w:rsid w:val="005669BC"/>
    <w:rsid w:val="00566AD4"/>
    <w:rsid w:val="00566D15"/>
    <w:rsid w:val="00566E8F"/>
    <w:rsid w:val="00567154"/>
    <w:rsid w:val="005672D6"/>
    <w:rsid w:val="005674D9"/>
    <w:rsid w:val="00567562"/>
    <w:rsid w:val="005675DF"/>
    <w:rsid w:val="005679ED"/>
    <w:rsid w:val="00567B35"/>
    <w:rsid w:val="00567BDA"/>
    <w:rsid w:val="00567BE3"/>
    <w:rsid w:val="00567DE1"/>
    <w:rsid w:val="00567E4C"/>
    <w:rsid w:val="00570457"/>
    <w:rsid w:val="00570EED"/>
    <w:rsid w:val="00570F18"/>
    <w:rsid w:val="0057107A"/>
    <w:rsid w:val="0057141A"/>
    <w:rsid w:val="005716FC"/>
    <w:rsid w:val="005717F7"/>
    <w:rsid w:val="0057198F"/>
    <w:rsid w:val="00571AF9"/>
    <w:rsid w:val="00571D2A"/>
    <w:rsid w:val="00571DEE"/>
    <w:rsid w:val="00571F9E"/>
    <w:rsid w:val="00571FE8"/>
    <w:rsid w:val="005720B7"/>
    <w:rsid w:val="005723C9"/>
    <w:rsid w:val="00572546"/>
    <w:rsid w:val="005725E3"/>
    <w:rsid w:val="005727BD"/>
    <w:rsid w:val="00572C2A"/>
    <w:rsid w:val="00572EF2"/>
    <w:rsid w:val="00572FAA"/>
    <w:rsid w:val="00573335"/>
    <w:rsid w:val="00573587"/>
    <w:rsid w:val="00573A3E"/>
    <w:rsid w:val="00573A4A"/>
    <w:rsid w:val="00573B54"/>
    <w:rsid w:val="00573CA1"/>
    <w:rsid w:val="00573F56"/>
    <w:rsid w:val="005744F6"/>
    <w:rsid w:val="00574671"/>
    <w:rsid w:val="005748D1"/>
    <w:rsid w:val="00574B37"/>
    <w:rsid w:val="00575421"/>
    <w:rsid w:val="005754ED"/>
    <w:rsid w:val="0057572B"/>
    <w:rsid w:val="00575AE0"/>
    <w:rsid w:val="00575B15"/>
    <w:rsid w:val="00575B53"/>
    <w:rsid w:val="00575C94"/>
    <w:rsid w:val="00575CAC"/>
    <w:rsid w:val="00575DEF"/>
    <w:rsid w:val="00575F16"/>
    <w:rsid w:val="00576C5F"/>
    <w:rsid w:val="00576DFD"/>
    <w:rsid w:val="00576E99"/>
    <w:rsid w:val="00577004"/>
    <w:rsid w:val="005771F0"/>
    <w:rsid w:val="0057740D"/>
    <w:rsid w:val="005774BA"/>
    <w:rsid w:val="005778C8"/>
    <w:rsid w:val="005778EF"/>
    <w:rsid w:val="00577A25"/>
    <w:rsid w:val="00577A43"/>
    <w:rsid w:val="00577A7F"/>
    <w:rsid w:val="0058013F"/>
    <w:rsid w:val="005801A4"/>
    <w:rsid w:val="005807BD"/>
    <w:rsid w:val="00580A06"/>
    <w:rsid w:val="00580E44"/>
    <w:rsid w:val="0058131B"/>
    <w:rsid w:val="00581567"/>
    <w:rsid w:val="005816C9"/>
    <w:rsid w:val="005816FA"/>
    <w:rsid w:val="005818C7"/>
    <w:rsid w:val="00581920"/>
    <w:rsid w:val="00581E4B"/>
    <w:rsid w:val="0058211D"/>
    <w:rsid w:val="0058248A"/>
    <w:rsid w:val="005825DE"/>
    <w:rsid w:val="005826EA"/>
    <w:rsid w:val="0058279F"/>
    <w:rsid w:val="00582A53"/>
    <w:rsid w:val="0058358D"/>
    <w:rsid w:val="0058385F"/>
    <w:rsid w:val="00583917"/>
    <w:rsid w:val="0058393E"/>
    <w:rsid w:val="00583A21"/>
    <w:rsid w:val="00583A33"/>
    <w:rsid w:val="00583DAA"/>
    <w:rsid w:val="00583E24"/>
    <w:rsid w:val="00583F94"/>
    <w:rsid w:val="00584435"/>
    <w:rsid w:val="0058453E"/>
    <w:rsid w:val="00584619"/>
    <w:rsid w:val="00584933"/>
    <w:rsid w:val="0058494B"/>
    <w:rsid w:val="00584BE4"/>
    <w:rsid w:val="00584BFC"/>
    <w:rsid w:val="00584F44"/>
    <w:rsid w:val="00585059"/>
    <w:rsid w:val="00585198"/>
    <w:rsid w:val="005852F7"/>
    <w:rsid w:val="005853DC"/>
    <w:rsid w:val="0058546C"/>
    <w:rsid w:val="005854C4"/>
    <w:rsid w:val="00585A79"/>
    <w:rsid w:val="00585D6F"/>
    <w:rsid w:val="00585DE1"/>
    <w:rsid w:val="00585E1A"/>
    <w:rsid w:val="005860AF"/>
    <w:rsid w:val="005867D2"/>
    <w:rsid w:val="0058687D"/>
    <w:rsid w:val="005869CB"/>
    <w:rsid w:val="00586A82"/>
    <w:rsid w:val="005870E2"/>
    <w:rsid w:val="0058724E"/>
    <w:rsid w:val="005872B1"/>
    <w:rsid w:val="005875A5"/>
    <w:rsid w:val="00587876"/>
    <w:rsid w:val="0058798E"/>
    <w:rsid w:val="00587C32"/>
    <w:rsid w:val="0059013D"/>
    <w:rsid w:val="005902E2"/>
    <w:rsid w:val="00590781"/>
    <w:rsid w:val="00590862"/>
    <w:rsid w:val="005909A8"/>
    <w:rsid w:val="00590D4E"/>
    <w:rsid w:val="00590E3D"/>
    <w:rsid w:val="005910E0"/>
    <w:rsid w:val="00591C16"/>
    <w:rsid w:val="00592624"/>
    <w:rsid w:val="0059271D"/>
    <w:rsid w:val="00592808"/>
    <w:rsid w:val="00592A0D"/>
    <w:rsid w:val="00592A8E"/>
    <w:rsid w:val="00592B45"/>
    <w:rsid w:val="00592BFB"/>
    <w:rsid w:val="00592BFF"/>
    <w:rsid w:val="00593683"/>
    <w:rsid w:val="00593818"/>
    <w:rsid w:val="00593C7F"/>
    <w:rsid w:val="00593FA4"/>
    <w:rsid w:val="00594376"/>
    <w:rsid w:val="005944B6"/>
    <w:rsid w:val="00594674"/>
    <w:rsid w:val="00594768"/>
    <w:rsid w:val="00594A61"/>
    <w:rsid w:val="00594A7C"/>
    <w:rsid w:val="00594E1B"/>
    <w:rsid w:val="00594F1D"/>
    <w:rsid w:val="00594F6F"/>
    <w:rsid w:val="005953AD"/>
    <w:rsid w:val="005956B6"/>
    <w:rsid w:val="005956E3"/>
    <w:rsid w:val="0059586F"/>
    <w:rsid w:val="00595894"/>
    <w:rsid w:val="00595996"/>
    <w:rsid w:val="00595AB2"/>
    <w:rsid w:val="00595D47"/>
    <w:rsid w:val="00596154"/>
    <w:rsid w:val="005963CC"/>
    <w:rsid w:val="00596841"/>
    <w:rsid w:val="00596861"/>
    <w:rsid w:val="00596C9B"/>
    <w:rsid w:val="00596CF9"/>
    <w:rsid w:val="00596E19"/>
    <w:rsid w:val="00596E42"/>
    <w:rsid w:val="00596E80"/>
    <w:rsid w:val="0059705C"/>
    <w:rsid w:val="0059712A"/>
    <w:rsid w:val="00597217"/>
    <w:rsid w:val="005973F6"/>
    <w:rsid w:val="005978AA"/>
    <w:rsid w:val="0059794D"/>
    <w:rsid w:val="00597AA8"/>
    <w:rsid w:val="00597DA7"/>
    <w:rsid w:val="00597DEB"/>
    <w:rsid w:val="005A02D7"/>
    <w:rsid w:val="005A071A"/>
    <w:rsid w:val="005A0753"/>
    <w:rsid w:val="005A07F1"/>
    <w:rsid w:val="005A09E8"/>
    <w:rsid w:val="005A0E45"/>
    <w:rsid w:val="005A1113"/>
    <w:rsid w:val="005A1369"/>
    <w:rsid w:val="005A1582"/>
    <w:rsid w:val="005A16FB"/>
    <w:rsid w:val="005A1855"/>
    <w:rsid w:val="005A1986"/>
    <w:rsid w:val="005A1C71"/>
    <w:rsid w:val="005A1C7C"/>
    <w:rsid w:val="005A2049"/>
    <w:rsid w:val="005A20DA"/>
    <w:rsid w:val="005A21B7"/>
    <w:rsid w:val="005A241E"/>
    <w:rsid w:val="005A27FB"/>
    <w:rsid w:val="005A28B4"/>
    <w:rsid w:val="005A2FEF"/>
    <w:rsid w:val="005A3189"/>
    <w:rsid w:val="005A37C7"/>
    <w:rsid w:val="005A38AA"/>
    <w:rsid w:val="005A3923"/>
    <w:rsid w:val="005A3C3C"/>
    <w:rsid w:val="005A3C9B"/>
    <w:rsid w:val="005A4182"/>
    <w:rsid w:val="005A418F"/>
    <w:rsid w:val="005A4203"/>
    <w:rsid w:val="005A462E"/>
    <w:rsid w:val="005A46A3"/>
    <w:rsid w:val="005A46F6"/>
    <w:rsid w:val="005A472C"/>
    <w:rsid w:val="005A4869"/>
    <w:rsid w:val="005A4897"/>
    <w:rsid w:val="005A4A43"/>
    <w:rsid w:val="005A4C3D"/>
    <w:rsid w:val="005A4C76"/>
    <w:rsid w:val="005A519A"/>
    <w:rsid w:val="005A51A0"/>
    <w:rsid w:val="005A5325"/>
    <w:rsid w:val="005A5435"/>
    <w:rsid w:val="005A5557"/>
    <w:rsid w:val="005A5571"/>
    <w:rsid w:val="005A573A"/>
    <w:rsid w:val="005A60E0"/>
    <w:rsid w:val="005A61A7"/>
    <w:rsid w:val="005A61F3"/>
    <w:rsid w:val="005A627D"/>
    <w:rsid w:val="005A64DD"/>
    <w:rsid w:val="005A66B9"/>
    <w:rsid w:val="005A6DE2"/>
    <w:rsid w:val="005A6F61"/>
    <w:rsid w:val="005A6F92"/>
    <w:rsid w:val="005A6FED"/>
    <w:rsid w:val="005A70E5"/>
    <w:rsid w:val="005A7323"/>
    <w:rsid w:val="005A777A"/>
    <w:rsid w:val="005A78B2"/>
    <w:rsid w:val="005A7A57"/>
    <w:rsid w:val="005A7AA4"/>
    <w:rsid w:val="005A7AFA"/>
    <w:rsid w:val="005B05E7"/>
    <w:rsid w:val="005B05FF"/>
    <w:rsid w:val="005B0AE8"/>
    <w:rsid w:val="005B0B39"/>
    <w:rsid w:val="005B1001"/>
    <w:rsid w:val="005B10EF"/>
    <w:rsid w:val="005B13CE"/>
    <w:rsid w:val="005B166A"/>
    <w:rsid w:val="005B1799"/>
    <w:rsid w:val="005B1889"/>
    <w:rsid w:val="005B1A25"/>
    <w:rsid w:val="005B1B3E"/>
    <w:rsid w:val="005B1BC4"/>
    <w:rsid w:val="005B1D50"/>
    <w:rsid w:val="005B2627"/>
    <w:rsid w:val="005B2836"/>
    <w:rsid w:val="005B29D4"/>
    <w:rsid w:val="005B2C40"/>
    <w:rsid w:val="005B2D3D"/>
    <w:rsid w:val="005B33B6"/>
    <w:rsid w:val="005B37D1"/>
    <w:rsid w:val="005B380D"/>
    <w:rsid w:val="005B3B14"/>
    <w:rsid w:val="005B3C66"/>
    <w:rsid w:val="005B3D11"/>
    <w:rsid w:val="005B411C"/>
    <w:rsid w:val="005B4BA3"/>
    <w:rsid w:val="005B4E4D"/>
    <w:rsid w:val="005B4EE9"/>
    <w:rsid w:val="005B5538"/>
    <w:rsid w:val="005B5D5F"/>
    <w:rsid w:val="005B5F1D"/>
    <w:rsid w:val="005B5FE8"/>
    <w:rsid w:val="005B63CD"/>
    <w:rsid w:val="005B6661"/>
    <w:rsid w:val="005B668D"/>
    <w:rsid w:val="005B6894"/>
    <w:rsid w:val="005B6B61"/>
    <w:rsid w:val="005B6C18"/>
    <w:rsid w:val="005B6E5D"/>
    <w:rsid w:val="005B6ED8"/>
    <w:rsid w:val="005B6F74"/>
    <w:rsid w:val="005B6FEC"/>
    <w:rsid w:val="005B6FF5"/>
    <w:rsid w:val="005B706B"/>
    <w:rsid w:val="005B7121"/>
    <w:rsid w:val="005B7243"/>
    <w:rsid w:val="005B779C"/>
    <w:rsid w:val="005B78AE"/>
    <w:rsid w:val="005B7B2E"/>
    <w:rsid w:val="005B7B47"/>
    <w:rsid w:val="005B7C9F"/>
    <w:rsid w:val="005C0050"/>
    <w:rsid w:val="005C01A8"/>
    <w:rsid w:val="005C06F8"/>
    <w:rsid w:val="005C072C"/>
    <w:rsid w:val="005C0E15"/>
    <w:rsid w:val="005C1023"/>
    <w:rsid w:val="005C1199"/>
    <w:rsid w:val="005C1384"/>
    <w:rsid w:val="005C13B2"/>
    <w:rsid w:val="005C17A1"/>
    <w:rsid w:val="005C1815"/>
    <w:rsid w:val="005C1ADF"/>
    <w:rsid w:val="005C1AEC"/>
    <w:rsid w:val="005C1E7A"/>
    <w:rsid w:val="005C1FC1"/>
    <w:rsid w:val="005C252B"/>
    <w:rsid w:val="005C27E3"/>
    <w:rsid w:val="005C300D"/>
    <w:rsid w:val="005C33AA"/>
    <w:rsid w:val="005C37CB"/>
    <w:rsid w:val="005C3A45"/>
    <w:rsid w:val="005C3BE8"/>
    <w:rsid w:val="005C3EF8"/>
    <w:rsid w:val="005C3FE3"/>
    <w:rsid w:val="005C43CC"/>
    <w:rsid w:val="005C459C"/>
    <w:rsid w:val="005C475A"/>
    <w:rsid w:val="005C4E7C"/>
    <w:rsid w:val="005C52E3"/>
    <w:rsid w:val="005C59A2"/>
    <w:rsid w:val="005C5A0F"/>
    <w:rsid w:val="005C5AB2"/>
    <w:rsid w:val="005C5AD5"/>
    <w:rsid w:val="005C5C95"/>
    <w:rsid w:val="005C614F"/>
    <w:rsid w:val="005C6EF3"/>
    <w:rsid w:val="005C71FB"/>
    <w:rsid w:val="005C72B0"/>
    <w:rsid w:val="005C7390"/>
    <w:rsid w:val="005C74C5"/>
    <w:rsid w:val="005C76CC"/>
    <w:rsid w:val="005C7775"/>
    <w:rsid w:val="005C7EAF"/>
    <w:rsid w:val="005C7FCF"/>
    <w:rsid w:val="005D02FB"/>
    <w:rsid w:val="005D08DF"/>
    <w:rsid w:val="005D0D1A"/>
    <w:rsid w:val="005D0EFF"/>
    <w:rsid w:val="005D1457"/>
    <w:rsid w:val="005D14B9"/>
    <w:rsid w:val="005D1864"/>
    <w:rsid w:val="005D1A83"/>
    <w:rsid w:val="005D1A9F"/>
    <w:rsid w:val="005D1C71"/>
    <w:rsid w:val="005D1D91"/>
    <w:rsid w:val="005D205E"/>
    <w:rsid w:val="005D24D7"/>
    <w:rsid w:val="005D2847"/>
    <w:rsid w:val="005D28CC"/>
    <w:rsid w:val="005D292F"/>
    <w:rsid w:val="005D2986"/>
    <w:rsid w:val="005D29F6"/>
    <w:rsid w:val="005D2A50"/>
    <w:rsid w:val="005D2A87"/>
    <w:rsid w:val="005D2B69"/>
    <w:rsid w:val="005D2F0B"/>
    <w:rsid w:val="005D3264"/>
    <w:rsid w:val="005D34BD"/>
    <w:rsid w:val="005D34EA"/>
    <w:rsid w:val="005D368B"/>
    <w:rsid w:val="005D3E8E"/>
    <w:rsid w:val="005D40A9"/>
    <w:rsid w:val="005D41C6"/>
    <w:rsid w:val="005D42BD"/>
    <w:rsid w:val="005D45B5"/>
    <w:rsid w:val="005D4661"/>
    <w:rsid w:val="005D47EE"/>
    <w:rsid w:val="005D4C57"/>
    <w:rsid w:val="005D4DD5"/>
    <w:rsid w:val="005D4FE1"/>
    <w:rsid w:val="005D503E"/>
    <w:rsid w:val="005D5075"/>
    <w:rsid w:val="005D50C0"/>
    <w:rsid w:val="005D52FA"/>
    <w:rsid w:val="005D5403"/>
    <w:rsid w:val="005D56A2"/>
    <w:rsid w:val="005D600E"/>
    <w:rsid w:val="005D600F"/>
    <w:rsid w:val="005D6013"/>
    <w:rsid w:val="005D6101"/>
    <w:rsid w:val="005D6240"/>
    <w:rsid w:val="005D6612"/>
    <w:rsid w:val="005D66F5"/>
    <w:rsid w:val="005D6759"/>
    <w:rsid w:val="005D697E"/>
    <w:rsid w:val="005D6D99"/>
    <w:rsid w:val="005D7088"/>
    <w:rsid w:val="005D7548"/>
    <w:rsid w:val="005D76AE"/>
    <w:rsid w:val="005D76DE"/>
    <w:rsid w:val="005D7713"/>
    <w:rsid w:val="005D777B"/>
    <w:rsid w:val="005D77DE"/>
    <w:rsid w:val="005D7D29"/>
    <w:rsid w:val="005D7EBF"/>
    <w:rsid w:val="005E00F3"/>
    <w:rsid w:val="005E02D2"/>
    <w:rsid w:val="005E05A1"/>
    <w:rsid w:val="005E06A1"/>
    <w:rsid w:val="005E09E4"/>
    <w:rsid w:val="005E0A6E"/>
    <w:rsid w:val="005E0D78"/>
    <w:rsid w:val="005E100D"/>
    <w:rsid w:val="005E1726"/>
    <w:rsid w:val="005E1930"/>
    <w:rsid w:val="005E1DAB"/>
    <w:rsid w:val="005E235A"/>
    <w:rsid w:val="005E2513"/>
    <w:rsid w:val="005E25C0"/>
    <w:rsid w:val="005E266F"/>
    <w:rsid w:val="005E2BCF"/>
    <w:rsid w:val="005E2FA1"/>
    <w:rsid w:val="005E348B"/>
    <w:rsid w:val="005E38DE"/>
    <w:rsid w:val="005E3AB7"/>
    <w:rsid w:val="005E3B4C"/>
    <w:rsid w:val="005E3ECB"/>
    <w:rsid w:val="005E3F34"/>
    <w:rsid w:val="005E421C"/>
    <w:rsid w:val="005E4241"/>
    <w:rsid w:val="005E4504"/>
    <w:rsid w:val="005E4C56"/>
    <w:rsid w:val="005E4EF0"/>
    <w:rsid w:val="005E50E8"/>
    <w:rsid w:val="005E54A8"/>
    <w:rsid w:val="005E5614"/>
    <w:rsid w:val="005E5734"/>
    <w:rsid w:val="005E5741"/>
    <w:rsid w:val="005E5980"/>
    <w:rsid w:val="005E5EC3"/>
    <w:rsid w:val="005E5ED0"/>
    <w:rsid w:val="005E602B"/>
    <w:rsid w:val="005E6150"/>
    <w:rsid w:val="005E61B6"/>
    <w:rsid w:val="005E63C7"/>
    <w:rsid w:val="005E6487"/>
    <w:rsid w:val="005E651F"/>
    <w:rsid w:val="005E664C"/>
    <w:rsid w:val="005E68E1"/>
    <w:rsid w:val="005E6971"/>
    <w:rsid w:val="005E6D4E"/>
    <w:rsid w:val="005E70FB"/>
    <w:rsid w:val="005E72C2"/>
    <w:rsid w:val="005E73CE"/>
    <w:rsid w:val="005E77E3"/>
    <w:rsid w:val="005E782C"/>
    <w:rsid w:val="005E7CA5"/>
    <w:rsid w:val="005F02A1"/>
    <w:rsid w:val="005F032D"/>
    <w:rsid w:val="005F0616"/>
    <w:rsid w:val="005F0727"/>
    <w:rsid w:val="005F077C"/>
    <w:rsid w:val="005F07DC"/>
    <w:rsid w:val="005F0C34"/>
    <w:rsid w:val="005F0EAB"/>
    <w:rsid w:val="005F0FB4"/>
    <w:rsid w:val="005F13BD"/>
    <w:rsid w:val="005F1859"/>
    <w:rsid w:val="005F191C"/>
    <w:rsid w:val="005F1A8D"/>
    <w:rsid w:val="005F1AC8"/>
    <w:rsid w:val="005F1B25"/>
    <w:rsid w:val="005F21AF"/>
    <w:rsid w:val="005F21FB"/>
    <w:rsid w:val="005F257C"/>
    <w:rsid w:val="005F25E2"/>
    <w:rsid w:val="005F27E3"/>
    <w:rsid w:val="005F2B4F"/>
    <w:rsid w:val="005F2B6B"/>
    <w:rsid w:val="005F347F"/>
    <w:rsid w:val="005F3483"/>
    <w:rsid w:val="005F35AA"/>
    <w:rsid w:val="005F38CE"/>
    <w:rsid w:val="005F3F1F"/>
    <w:rsid w:val="005F40DE"/>
    <w:rsid w:val="005F41C9"/>
    <w:rsid w:val="005F43BB"/>
    <w:rsid w:val="005F4421"/>
    <w:rsid w:val="005F4927"/>
    <w:rsid w:val="005F49F4"/>
    <w:rsid w:val="005F4ABD"/>
    <w:rsid w:val="005F4B7D"/>
    <w:rsid w:val="005F4BCB"/>
    <w:rsid w:val="005F4D34"/>
    <w:rsid w:val="005F4DB6"/>
    <w:rsid w:val="005F4E65"/>
    <w:rsid w:val="005F4F77"/>
    <w:rsid w:val="005F557D"/>
    <w:rsid w:val="005F56F3"/>
    <w:rsid w:val="005F572A"/>
    <w:rsid w:val="005F5797"/>
    <w:rsid w:val="005F58B8"/>
    <w:rsid w:val="005F59E5"/>
    <w:rsid w:val="005F5A0F"/>
    <w:rsid w:val="005F5EDF"/>
    <w:rsid w:val="005F5F45"/>
    <w:rsid w:val="005F6035"/>
    <w:rsid w:val="005F6096"/>
    <w:rsid w:val="005F61C5"/>
    <w:rsid w:val="005F63D8"/>
    <w:rsid w:val="005F64FB"/>
    <w:rsid w:val="005F67EC"/>
    <w:rsid w:val="005F68BD"/>
    <w:rsid w:val="005F6A3F"/>
    <w:rsid w:val="005F6BBB"/>
    <w:rsid w:val="005F6C45"/>
    <w:rsid w:val="005F71EC"/>
    <w:rsid w:val="005F729D"/>
    <w:rsid w:val="005F77DC"/>
    <w:rsid w:val="005F7804"/>
    <w:rsid w:val="005F789F"/>
    <w:rsid w:val="005F78FC"/>
    <w:rsid w:val="005F7A0F"/>
    <w:rsid w:val="006000CD"/>
    <w:rsid w:val="006000FB"/>
    <w:rsid w:val="00600265"/>
    <w:rsid w:val="00600673"/>
    <w:rsid w:val="006006C3"/>
    <w:rsid w:val="006006E4"/>
    <w:rsid w:val="00600754"/>
    <w:rsid w:val="00600B1E"/>
    <w:rsid w:val="00600D88"/>
    <w:rsid w:val="00600FC9"/>
    <w:rsid w:val="0060119A"/>
    <w:rsid w:val="00601AC3"/>
    <w:rsid w:val="006022C1"/>
    <w:rsid w:val="006022D0"/>
    <w:rsid w:val="0060251E"/>
    <w:rsid w:val="00602905"/>
    <w:rsid w:val="00602A2E"/>
    <w:rsid w:val="00602A68"/>
    <w:rsid w:val="00602BA7"/>
    <w:rsid w:val="00602C95"/>
    <w:rsid w:val="00602DDE"/>
    <w:rsid w:val="00602E0C"/>
    <w:rsid w:val="0060339B"/>
    <w:rsid w:val="006034DC"/>
    <w:rsid w:val="00603552"/>
    <w:rsid w:val="00603B70"/>
    <w:rsid w:val="00603C6E"/>
    <w:rsid w:val="00603DFE"/>
    <w:rsid w:val="00604188"/>
    <w:rsid w:val="006041C6"/>
    <w:rsid w:val="00604335"/>
    <w:rsid w:val="006046E4"/>
    <w:rsid w:val="00604BC5"/>
    <w:rsid w:val="00604D85"/>
    <w:rsid w:val="00604FA3"/>
    <w:rsid w:val="00604FFA"/>
    <w:rsid w:val="00605037"/>
    <w:rsid w:val="00605299"/>
    <w:rsid w:val="0060577C"/>
    <w:rsid w:val="006058B4"/>
    <w:rsid w:val="006059B6"/>
    <w:rsid w:val="00605E04"/>
    <w:rsid w:val="00605E0D"/>
    <w:rsid w:val="00605E1D"/>
    <w:rsid w:val="00605FFE"/>
    <w:rsid w:val="00606318"/>
    <w:rsid w:val="006063F2"/>
    <w:rsid w:val="0060650C"/>
    <w:rsid w:val="00606525"/>
    <w:rsid w:val="006065CC"/>
    <w:rsid w:val="0060693B"/>
    <w:rsid w:val="00606B37"/>
    <w:rsid w:val="00606B49"/>
    <w:rsid w:val="00606FF6"/>
    <w:rsid w:val="00607252"/>
    <w:rsid w:val="0060752C"/>
    <w:rsid w:val="00607624"/>
    <w:rsid w:val="00607C2E"/>
    <w:rsid w:val="00607C54"/>
    <w:rsid w:val="00610027"/>
    <w:rsid w:val="00610137"/>
    <w:rsid w:val="0061038C"/>
    <w:rsid w:val="0061056B"/>
    <w:rsid w:val="006106C1"/>
    <w:rsid w:val="006106F4"/>
    <w:rsid w:val="00610B28"/>
    <w:rsid w:val="00610E4B"/>
    <w:rsid w:val="00610F52"/>
    <w:rsid w:val="0061124A"/>
    <w:rsid w:val="006112A0"/>
    <w:rsid w:val="006112D0"/>
    <w:rsid w:val="0061167D"/>
    <w:rsid w:val="0061169D"/>
    <w:rsid w:val="00611737"/>
    <w:rsid w:val="00611752"/>
    <w:rsid w:val="00611B07"/>
    <w:rsid w:val="00611C1D"/>
    <w:rsid w:val="00611C60"/>
    <w:rsid w:val="00611D2A"/>
    <w:rsid w:val="00611F0D"/>
    <w:rsid w:val="00612019"/>
    <w:rsid w:val="00612388"/>
    <w:rsid w:val="00612904"/>
    <w:rsid w:val="00612E32"/>
    <w:rsid w:val="00612FDD"/>
    <w:rsid w:val="006132FD"/>
    <w:rsid w:val="006133A6"/>
    <w:rsid w:val="006134CA"/>
    <w:rsid w:val="006136FB"/>
    <w:rsid w:val="00613846"/>
    <w:rsid w:val="00613E6D"/>
    <w:rsid w:val="00613ECE"/>
    <w:rsid w:val="0061461E"/>
    <w:rsid w:val="00614646"/>
    <w:rsid w:val="00614682"/>
    <w:rsid w:val="006148C3"/>
    <w:rsid w:val="0061494C"/>
    <w:rsid w:val="00614B35"/>
    <w:rsid w:val="00614DE8"/>
    <w:rsid w:val="00614EC3"/>
    <w:rsid w:val="006152D6"/>
    <w:rsid w:val="006154EE"/>
    <w:rsid w:val="00615686"/>
    <w:rsid w:val="00615A35"/>
    <w:rsid w:val="00615C73"/>
    <w:rsid w:val="006161CA"/>
    <w:rsid w:val="0061652C"/>
    <w:rsid w:val="006165A9"/>
    <w:rsid w:val="00616755"/>
    <w:rsid w:val="00616838"/>
    <w:rsid w:val="00616B24"/>
    <w:rsid w:val="00616B8C"/>
    <w:rsid w:val="00616BC0"/>
    <w:rsid w:val="00616C4A"/>
    <w:rsid w:val="00616F75"/>
    <w:rsid w:val="00616F92"/>
    <w:rsid w:val="00617108"/>
    <w:rsid w:val="00617211"/>
    <w:rsid w:val="00617264"/>
    <w:rsid w:val="0061750E"/>
    <w:rsid w:val="006175A7"/>
    <w:rsid w:val="00617652"/>
    <w:rsid w:val="0061777D"/>
    <w:rsid w:val="0061784D"/>
    <w:rsid w:val="00617B8B"/>
    <w:rsid w:val="00617C18"/>
    <w:rsid w:val="00617C50"/>
    <w:rsid w:val="00617F79"/>
    <w:rsid w:val="00620231"/>
    <w:rsid w:val="006207B2"/>
    <w:rsid w:val="006207ED"/>
    <w:rsid w:val="00620AFF"/>
    <w:rsid w:val="00620B98"/>
    <w:rsid w:val="0062140E"/>
    <w:rsid w:val="00621753"/>
    <w:rsid w:val="00621F29"/>
    <w:rsid w:val="006220B3"/>
    <w:rsid w:val="00622143"/>
    <w:rsid w:val="00622388"/>
    <w:rsid w:val="00622669"/>
    <w:rsid w:val="006226A0"/>
    <w:rsid w:val="0062286A"/>
    <w:rsid w:val="006228D2"/>
    <w:rsid w:val="00622B1A"/>
    <w:rsid w:val="00622E0B"/>
    <w:rsid w:val="00622E5B"/>
    <w:rsid w:val="00622EFD"/>
    <w:rsid w:val="00622FE1"/>
    <w:rsid w:val="006230E8"/>
    <w:rsid w:val="0062325B"/>
    <w:rsid w:val="006233FC"/>
    <w:rsid w:val="00623438"/>
    <w:rsid w:val="006237DE"/>
    <w:rsid w:val="00623960"/>
    <w:rsid w:val="006239FD"/>
    <w:rsid w:val="00623DC0"/>
    <w:rsid w:val="00623F3E"/>
    <w:rsid w:val="006240FF"/>
    <w:rsid w:val="0062416C"/>
    <w:rsid w:val="006241BC"/>
    <w:rsid w:val="00624470"/>
    <w:rsid w:val="00624510"/>
    <w:rsid w:val="006246F3"/>
    <w:rsid w:val="0062488E"/>
    <w:rsid w:val="006249B1"/>
    <w:rsid w:val="00624C8A"/>
    <w:rsid w:val="00624CAC"/>
    <w:rsid w:val="00624F4E"/>
    <w:rsid w:val="00624F7C"/>
    <w:rsid w:val="006253B7"/>
    <w:rsid w:val="00625547"/>
    <w:rsid w:val="00625549"/>
    <w:rsid w:val="006257E4"/>
    <w:rsid w:val="00625C1A"/>
    <w:rsid w:val="00625C77"/>
    <w:rsid w:val="00625CE5"/>
    <w:rsid w:val="00625EE9"/>
    <w:rsid w:val="00626071"/>
    <w:rsid w:val="00626095"/>
    <w:rsid w:val="00626216"/>
    <w:rsid w:val="00626652"/>
    <w:rsid w:val="0062675C"/>
    <w:rsid w:val="006267E9"/>
    <w:rsid w:val="00626905"/>
    <w:rsid w:val="00626C37"/>
    <w:rsid w:val="00626C39"/>
    <w:rsid w:val="00626F07"/>
    <w:rsid w:val="00626FCF"/>
    <w:rsid w:val="0062707D"/>
    <w:rsid w:val="006274F5"/>
    <w:rsid w:val="00627E4B"/>
    <w:rsid w:val="0063001E"/>
    <w:rsid w:val="00630142"/>
    <w:rsid w:val="00630256"/>
    <w:rsid w:val="0063030B"/>
    <w:rsid w:val="00630566"/>
    <w:rsid w:val="0063071F"/>
    <w:rsid w:val="00630749"/>
    <w:rsid w:val="0063075D"/>
    <w:rsid w:val="006309CA"/>
    <w:rsid w:val="006309D8"/>
    <w:rsid w:val="00630C5E"/>
    <w:rsid w:val="00630CFB"/>
    <w:rsid w:val="00630F4F"/>
    <w:rsid w:val="00631056"/>
    <w:rsid w:val="00631552"/>
    <w:rsid w:val="00631638"/>
    <w:rsid w:val="00631655"/>
    <w:rsid w:val="00631873"/>
    <w:rsid w:val="00631891"/>
    <w:rsid w:val="006318C0"/>
    <w:rsid w:val="00631BCE"/>
    <w:rsid w:val="00631DC7"/>
    <w:rsid w:val="00631E00"/>
    <w:rsid w:val="00631E43"/>
    <w:rsid w:val="00632111"/>
    <w:rsid w:val="00632459"/>
    <w:rsid w:val="006324BB"/>
    <w:rsid w:val="0063251C"/>
    <w:rsid w:val="006326DF"/>
    <w:rsid w:val="0063276D"/>
    <w:rsid w:val="006327CF"/>
    <w:rsid w:val="00632895"/>
    <w:rsid w:val="00632A61"/>
    <w:rsid w:val="00632B0E"/>
    <w:rsid w:val="00632E50"/>
    <w:rsid w:val="00632FD8"/>
    <w:rsid w:val="006334AC"/>
    <w:rsid w:val="00633C36"/>
    <w:rsid w:val="00633C83"/>
    <w:rsid w:val="00633DBE"/>
    <w:rsid w:val="0063426D"/>
    <w:rsid w:val="0063440B"/>
    <w:rsid w:val="0063456F"/>
    <w:rsid w:val="0063461D"/>
    <w:rsid w:val="006347E7"/>
    <w:rsid w:val="006347F4"/>
    <w:rsid w:val="006347FC"/>
    <w:rsid w:val="00634815"/>
    <w:rsid w:val="00634826"/>
    <w:rsid w:val="00634AA9"/>
    <w:rsid w:val="00634B42"/>
    <w:rsid w:val="00634D4F"/>
    <w:rsid w:val="00634D53"/>
    <w:rsid w:val="00635027"/>
    <w:rsid w:val="006353D3"/>
    <w:rsid w:val="00635524"/>
    <w:rsid w:val="00635560"/>
    <w:rsid w:val="006355C4"/>
    <w:rsid w:val="00635CB0"/>
    <w:rsid w:val="00635D4B"/>
    <w:rsid w:val="00636284"/>
    <w:rsid w:val="006362EC"/>
    <w:rsid w:val="00636486"/>
    <w:rsid w:val="006365CC"/>
    <w:rsid w:val="0063660C"/>
    <w:rsid w:val="0063662A"/>
    <w:rsid w:val="00636664"/>
    <w:rsid w:val="00636694"/>
    <w:rsid w:val="00636896"/>
    <w:rsid w:val="00636EBB"/>
    <w:rsid w:val="00637170"/>
    <w:rsid w:val="006371B1"/>
    <w:rsid w:val="00637208"/>
    <w:rsid w:val="006374E0"/>
    <w:rsid w:val="00637764"/>
    <w:rsid w:val="00637C38"/>
    <w:rsid w:val="00637CBA"/>
    <w:rsid w:val="00637F64"/>
    <w:rsid w:val="0064047E"/>
    <w:rsid w:val="00640576"/>
    <w:rsid w:val="0064059A"/>
    <w:rsid w:val="00640962"/>
    <w:rsid w:val="00640AC5"/>
    <w:rsid w:val="00640B1B"/>
    <w:rsid w:val="006410AF"/>
    <w:rsid w:val="0064126C"/>
    <w:rsid w:val="006413AA"/>
    <w:rsid w:val="006416D2"/>
    <w:rsid w:val="00641800"/>
    <w:rsid w:val="00641A66"/>
    <w:rsid w:val="00641A83"/>
    <w:rsid w:val="00641D62"/>
    <w:rsid w:val="00641D96"/>
    <w:rsid w:val="006422C2"/>
    <w:rsid w:val="006423AA"/>
    <w:rsid w:val="006425CA"/>
    <w:rsid w:val="0064278C"/>
    <w:rsid w:val="00642B48"/>
    <w:rsid w:val="00642C62"/>
    <w:rsid w:val="00642E37"/>
    <w:rsid w:val="00642F08"/>
    <w:rsid w:val="0064319B"/>
    <w:rsid w:val="006434DC"/>
    <w:rsid w:val="0064397B"/>
    <w:rsid w:val="00643A41"/>
    <w:rsid w:val="00643A74"/>
    <w:rsid w:val="00643AF4"/>
    <w:rsid w:val="00643E24"/>
    <w:rsid w:val="00643E35"/>
    <w:rsid w:val="00644178"/>
    <w:rsid w:val="006441F6"/>
    <w:rsid w:val="0064422A"/>
    <w:rsid w:val="0064425B"/>
    <w:rsid w:val="00644A7B"/>
    <w:rsid w:val="00644B8F"/>
    <w:rsid w:val="00644CDD"/>
    <w:rsid w:val="00644D3A"/>
    <w:rsid w:val="00644DE9"/>
    <w:rsid w:val="00644FC4"/>
    <w:rsid w:val="0064516B"/>
    <w:rsid w:val="00645240"/>
    <w:rsid w:val="006453C9"/>
    <w:rsid w:val="006454B5"/>
    <w:rsid w:val="006455AF"/>
    <w:rsid w:val="0064593A"/>
    <w:rsid w:val="00645BDE"/>
    <w:rsid w:val="00645E59"/>
    <w:rsid w:val="00645F5B"/>
    <w:rsid w:val="0064603A"/>
    <w:rsid w:val="00646073"/>
    <w:rsid w:val="0064633D"/>
    <w:rsid w:val="006465C3"/>
    <w:rsid w:val="0064669D"/>
    <w:rsid w:val="00646C6F"/>
    <w:rsid w:val="00646DD0"/>
    <w:rsid w:val="006470C4"/>
    <w:rsid w:val="00647163"/>
    <w:rsid w:val="0064720C"/>
    <w:rsid w:val="0064722E"/>
    <w:rsid w:val="0064763D"/>
    <w:rsid w:val="006478DF"/>
    <w:rsid w:val="00647980"/>
    <w:rsid w:val="00647A7F"/>
    <w:rsid w:val="00647E22"/>
    <w:rsid w:val="006503E8"/>
    <w:rsid w:val="00650941"/>
    <w:rsid w:val="00650C28"/>
    <w:rsid w:val="00650E6D"/>
    <w:rsid w:val="006510C1"/>
    <w:rsid w:val="006510CE"/>
    <w:rsid w:val="006512D6"/>
    <w:rsid w:val="00651812"/>
    <w:rsid w:val="0065196B"/>
    <w:rsid w:val="00651BBB"/>
    <w:rsid w:val="00651C59"/>
    <w:rsid w:val="00651D74"/>
    <w:rsid w:val="006521AB"/>
    <w:rsid w:val="006522A8"/>
    <w:rsid w:val="00652880"/>
    <w:rsid w:val="00652994"/>
    <w:rsid w:val="00652C3A"/>
    <w:rsid w:val="00652DB7"/>
    <w:rsid w:val="00652FCE"/>
    <w:rsid w:val="0065394F"/>
    <w:rsid w:val="00653B1B"/>
    <w:rsid w:val="00653E23"/>
    <w:rsid w:val="006541F5"/>
    <w:rsid w:val="006543BA"/>
    <w:rsid w:val="006544AB"/>
    <w:rsid w:val="00654926"/>
    <w:rsid w:val="00654D72"/>
    <w:rsid w:val="006553F3"/>
    <w:rsid w:val="006556B3"/>
    <w:rsid w:val="006556D1"/>
    <w:rsid w:val="006556D9"/>
    <w:rsid w:val="006559CC"/>
    <w:rsid w:val="00655AEE"/>
    <w:rsid w:val="00655BB2"/>
    <w:rsid w:val="00655CE4"/>
    <w:rsid w:val="0065607A"/>
    <w:rsid w:val="006564CB"/>
    <w:rsid w:val="006565F7"/>
    <w:rsid w:val="006566BF"/>
    <w:rsid w:val="006569FE"/>
    <w:rsid w:val="00656CDB"/>
    <w:rsid w:val="00656DA0"/>
    <w:rsid w:val="00657123"/>
    <w:rsid w:val="00657189"/>
    <w:rsid w:val="0065724E"/>
    <w:rsid w:val="00657502"/>
    <w:rsid w:val="006576EC"/>
    <w:rsid w:val="00657F90"/>
    <w:rsid w:val="0066002D"/>
    <w:rsid w:val="006600DB"/>
    <w:rsid w:val="00660596"/>
    <w:rsid w:val="0066064E"/>
    <w:rsid w:val="00660BF1"/>
    <w:rsid w:val="006613C0"/>
    <w:rsid w:val="006613DD"/>
    <w:rsid w:val="0066194E"/>
    <w:rsid w:val="00661C46"/>
    <w:rsid w:val="0066202F"/>
    <w:rsid w:val="006622A8"/>
    <w:rsid w:val="006624E8"/>
    <w:rsid w:val="006626BE"/>
    <w:rsid w:val="00662A5F"/>
    <w:rsid w:val="00662A67"/>
    <w:rsid w:val="00662B41"/>
    <w:rsid w:val="00662C07"/>
    <w:rsid w:val="00662DE3"/>
    <w:rsid w:val="00662E5E"/>
    <w:rsid w:val="00662FBD"/>
    <w:rsid w:val="006630FC"/>
    <w:rsid w:val="0066312C"/>
    <w:rsid w:val="00663147"/>
    <w:rsid w:val="00663344"/>
    <w:rsid w:val="00663C93"/>
    <w:rsid w:val="00663DFB"/>
    <w:rsid w:val="00664416"/>
    <w:rsid w:val="006644E1"/>
    <w:rsid w:val="006645EC"/>
    <w:rsid w:val="00664642"/>
    <w:rsid w:val="00664674"/>
    <w:rsid w:val="00664C0C"/>
    <w:rsid w:val="0066506E"/>
    <w:rsid w:val="006652D3"/>
    <w:rsid w:val="0066540D"/>
    <w:rsid w:val="00665888"/>
    <w:rsid w:val="0066616B"/>
    <w:rsid w:val="0066618F"/>
    <w:rsid w:val="0066653C"/>
    <w:rsid w:val="006667D9"/>
    <w:rsid w:val="00666805"/>
    <w:rsid w:val="00666CBE"/>
    <w:rsid w:val="00667409"/>
    <w:rsid w:val="00667702"/>
    <w:rsid w:val="00667767"/>
    <w:rsid w:val="00667B59"/>
    <w:rsid w:val="00667BC6"/>
    <w:rsid w:val="00667C3E"/>
    <w:rsid w:val="00667CF3"/>
    <w:rsid w:val="00667F94"/>
    <w:rsid w:val="00670380"/>
    <w:rsid w:val="00670495"/>
    <w:rsid w:val="0067050A"/>
    <w:rsid w:val="006705D5"/>
    <w:rsid w:val="006706B5"/>
    <w:rsid w:val="00670722"/>
    <w:rsid w:val="00670C07"/>
    <w:rsid w:val="00670F00"/>
    <w:rsid w:val="00670F72"/>
    <w:rsid w:val="00670F81"/>
    <w:rsid w:val="00671047"/>
    <w:rsid w:val="0067120E"/>
    <w:rsid w:val="00671488"/>
    <w:rsid w:val="0067148B"/>
    <w:rsid w:val="0067158A"/>
    <w:rsid w:val="00671738"/>
    <w:rsid w:val="006719B2"/>
    <w:rsid w:val="00671FF4"/>
    <w:rsid w:val="006720FF"/>
    <w:rsid w:val="00672110"/>
    <w:rsid w:val="00672B3C"/>
    <w:rsid w:val="00672C45"/>
    <w:rsid w:val="00672D2F"/>
    <w:rsid w:val="00672F79"/>
    <w:rsid w:val="0067319C"/>
    <w:rsid w:val="00673941"/>
    <w:rsid w:val="00673B38"/>
    <w:rsid w:val="00673DC1"/>
    <w:rsid w:val="00673F42"/>
    <w:rsid w:val="00674042"/>
    <w:rsid w:val="006742E2"/>
    <w:rsid w:val="006744B2"/>
    <w:rsid w:val="006748F0"/>
    <w:rsid w:val="00674D58"/>
    <w:rsid w:val="0067504E"/>
    <w:rsid w:val="00675355"/>
    <w:rsid w:val="006754AF"/>
    <w:rsid w:val="006758C9"/>
    <w:rsid w:val="00675A5F"/>
    <w:rsid w:val="006764BC"/>
    <w:rsid w:val="006769C4"/>
    <w:rsid w:val="00676B0C"/>
    <w:rsid w:val="00676C6F"/>
    <w:rsid w:val="00677456"/>
    <w:rsid w:val="006774B0"/>
    <w:rsid w:val="00677627"/>
    <w:rsid w:val="006776C7"/>
    <w:rsid w:val="00677743"/>
    <w:rsid w:val="00677A67"/>
    <w:rsid w:val="00677A87"/>
    <w:rsid w:val="00677BD5"/>
    <w:rsid w:val="00677CD8"/>
    <w:rsid w:val="00677DC9"/>
    <w:rsid w:val="00677E3C"/>
    <w:rsid w:val="00677F68"/>
    <w:rsid w:val="0068020B"/>
    <w:rsid w:val="0068025E"/>
    <w:rsid w:val="00680276"/>
    <w:rsid w:val="0068051B"/>
    <w:rsid w:val="006805D9"/>
    <w:rsid w:val="00680912"/>
    <w:rsid w:val="00680E8B"/>
    <w:rsid w:val="0068150F"/>
    <w:rsid w:val="0068181C"/>
    <w:rsid w:val="006818D0"/>
    <w:rsid w:val="006819A3"/>
    <w:rsid w:val="00681C30"/>
    <w:rsid w:val="00681D51"/>
    <w:rsid w:val="00681E2F"/>
    <w:rsid w:val="00682129"/>
    <w:rsid w:val="00682225"/>
    <w:rsid w:val="006822CB"/>
    <w:rsid w:val="00682373"/>
    <w:rsid w:val="00682474"/>
    <w:rsid w:val="0068266C"/>
    <w:rsid w:val="00682B11"/>
    <w:rsid w:val="00682B55"/>
    <w:rsid w:val="00682E55"/>
    <w:rsid w:val="00682E7A"/>
    <w:rsid w:val="0068340E"/>
    <w:rsid w:val="00683528"/>
    <w:rsid w:val="00683701"/>
    <w:rsid w:val="00683722"/>
    <w:rsid w:val="00683BFC"/>
    <w:rsid w:val="00683C5A"/>
    <w:rsid w:val="00683D2F"/>
    <w:rsid w:val="00684044"/>
    <w:rsid w:val="006840B2"/>
    <w:rsid w:val="006843F6"/>
    <w:rsid w:val="006845FD"/>
    <w:rsid w:val="0068491F"/>
    <w:rsid w:val="00684AE0"/>
    <w:rsid w:val="00684D91"/>
    <w:rsid w:val="00684F4C"/>
    <w:rsid w:val="00685055"/>
    <w:rsid w:val="006851A2"/>
    <w:rsid w:val="0068563E"/>
    <w:rsid w:val="00685DE4"/>
    <w:rsid w:val="00686019"/>
    <w:rsid w:val="00686118"/>
    <w:rsid w:val="006861C0"/>
    <w:rsid w:val="00686596"/>
    <w:rsid w:val="0068676C"/>
    <w:rsid w:val="00686896"/>
    <w:rsid w:val="00686CC2"/>
    <w:rsid w:val="00686EBA"/>
    <w:rsid w:val="00686F00"/>
    <w:rsid w:val="00686F2B"/>
    <w:rsid w:val="0068720B"/>
    <w:rsid w:val="00687321"/>
    <w:rsid w:val="00687C97"/>
    <w:rsid w:val="00687D5A"/>
    <w:rsid w:val="00690324"/>
    <w:rsid w:val="006904C2"/>
    <w:rsid w:val="006904DD"/>
    <w:rsid w:val="00690524"/>
    <w:rsid w:val="00690E71"/>
    <w:rsid w:val="006911C8"/>
    <w:rsid w:val="0069139D"/>
    <w:rsid w:val="00691459"/>
    <w:rsid w:val="00691644"/>
    <w:rsid w:val="00691974"/>
    <w:rsid w:val="0069281E"/>
    <w:rsid w:val="00692D12"/>
    <w:rsid w:val="00692EDC"/>
    <w:rsid w:val="00693137"/>
    <w:rsid w:val="0069326E"/>
    <w:rsid w:val="0069341F"/>
    <w:rsid w:val="00693531"/>
    <w:rsid w:val="00693619"/>
    <w:rsid w:val="00693842"/>
    <w:rsid w:val="00693888"/>
    <w:rsid w:val="00693C87"/>
    <w:rsid w:val="00693D3E"/>
    <w:rsid w:val="00694027"/>
    <w:rsid w:val="0069457A"/>
    <w:rsid w:val="006946D1"/>
    <w:rsid w:val="006949A7"/>
    <w:rsid w:val="00694B4A"/>
    <w:rsid w:val="00694B53"/>
    <w:rsid w:val="00694B55"/>
    <w:rsid w:val="00694B65"/>
    <w:rsid w:val="00694C69"/>
    <w:rsid w:val="00694D53"/>
    <w:rsid w:val="00694E58"/>
    <w:rsid w:val="00694FBE"/>
    <w:rsid w:val="00694FD4"/>
    <w:rsid w:val="006950FA"/>
    <w:rsid w:val="006951CE"/>
    <w:rsid w:val="006951E5"/>
    <w:rsid w:val="006951FF"/>
    <w:rsid w:val="0069536E"/>
    <w:rsid w:val="0069551F"/>
    <w:rsid w:val="006955D5"/>
    <w:rsid w:val="00695B5A"/>
    <w:rsid w:val="00695D1E"/>
    <w:rsid w:val="00695DBB"/>
    <w:rsid w:val="00695FCA"/>
    <w:rsid w:val="0069611E"/>
    <w:rsid w:val="006961F7"/>
    <w:rsid w:val="00696335"/>
    <w:rsid w:val="00696495"/>
    <w:rsid w:val="006965AE"/>
    <w:rsid w:val="00696A4D"/>
    <w:rsid w:val="00696C70"/>
    <w:rsid w:val="00696FB5"/>
    <w:rsid w:val="00697608"/>
    <w:rsid w:val="00697AC9"/>
    <w:rsid w:val="00697D19"/>
    <w:rsid w:val="00697EBB"/>
    <w:rsid w:val="006A0052"/>
    <w:rsid w:val="006A0505"/>
    <w:rsid w:val="006A05C7"/>
    <w:rsid w:val="006A08AA"/>
    <w:rsid w:val="006A08CA"/>
    <w:rsid w:val="006A0E43"/>
    <w:rsid w:val="006A102D"/>
    <w:rsid w:val="006A11E4"/>
    <w:rsid w:val="006A15CF"/>
    <w:rsid w:val="006A1632"/>
    <w:rsid w:val="006A16F0"/>
    <w:rsid w:val="006A17A5"/>
    <w:rsid w:val="006A1C2A"/>
    <w:rsid w:val="006A20A4"/>
    <w:rsid w:val="006A21C6"/>
    <w:rsid w:val="006A22E8"/>
    <w:rsid w:val="006A25C8"/>
    <w:rsid w:val="006A29FF"/>
    <w:rsid w:val="006A2AB9"/>
    <w:rsid w:val="006A2CF1"/>
    <w:rsid w:val="006A2DB4"/>
    <w:rsid w:val="006A350E"/>
    <w:rsid w:val="006A39BE"/>
    <w:rsid w:val="006A414D"/>
    <w:rsid w:val="006A41F8"/>
    <w:rsid w:val="006A4213"/>
    <w:rsid w:val="006A42A5"/>
    <w:rsid w:val="006A42D0"/>
    <w:rsid w:val="006A451E"/>
    <w:rsid w:val="006A4554"/>
    <w:rsid w:val="006A45BB"/>
    <w:rsid w:val="006A47CA"/>
    <w:rsid w:val="006A4E52"/>
    <w:rsid w:val="006A4FC8"/>
    <w:rsid w:val="006A50F1"/>
    <w:rsid w:val="006A517B"/>
    <w:rsid w:val="006A55E1"/>
    <w:rsid w:val="006A5650"/>
    <w:rsid w:val="006A603D"/>
    <w:rsid w:val="006A607B"/>
    <w:rsid w:val="006A60FA"/>
    <w:rsid w:val="006A61EC"/>
    <w:rsid w:val="006A6296"/>
    <w:rsid w:val="006A6378"/>
    <w:rsid w:val="006A66C8"/>
    <w:rsid w:val="006A6E27"/>
    <w:rsid w:val="006A6EAC"/>
    <w:rsid w:val="006A6ED2"/>
    <w:rsid w:val="006A6FB8"/>
    <w:rsid w:val="006A72B0"/>
    <w:rsid w:val="006A74E5"/>
    <w:rsid w:val="006A7776"/>
    <w:rsid w:val="006A7A46"/>
    <w:rsid w:val="006A7AAA"/>
    <w:rsid w:val="006A7AB4"/>
    <w:rsid w:val="006A7C85"/>
    <w:rsid w:val="006A7DED"/>
    <w:rsid w:val="006B02C4"/>
    <w:rsid w:val="006B04FE"/>
    <w:rsid w:val="006B04FF"/>
    <w:rsid w:val="006B05D4"/>
    <w:rsid w:val="006B075C"/>
    <w:rsid w:val="006B0856"/>
    <w:rsid w:val="006B0894"/>
    <w:rsid w:val="006B0932"/>
    <w:rsid w:val="006B18C5"/>
    <w:rsid w:val="006B1932"/>
    <w:rsid w:val="006B1A4A"/>
    <w:rsid w:val="006B1B85"/>
    <w:rsid w:val="006B1F47"/>
    <w:rsid w:val="006B1FDA"/>
    <w:rsid w:val="006B2542"/>
    <w:rsid w:val="006B26FF"/>
    <w:rsid w:val="006B270D"/>
    <w:rsid w:val="006B2995"/>
    <w:rsid w:val="006B2CFF"/>
    <w:rsid w:val="006B30D8"/>
    <w:rsid w:val="006B3320"/>
    <w:rsid w:val="006B36AE"/>
    <w:rsid w:val="006B3980"/>
    <w:rsid w:val="006B3A61"/>
    <w:rsid w:val="006B3AEB"/>
    <w:rsid w:val="006B3E4D"/>
    <w:rsid w:val="006B417B"/>
    <w:rsid w:val="006B4449"/>
    <w:rsid w:val="006B46E7"/>
    <w:rsid w:val="006B474F"/>
    <w:rsid w:val="006B4972"/>
    <w:rsid w:val="006B4C0C"/>
    <w:rsid w:val="006B4EAB"/>
    <w:rsid w:val="006B4F07"/>
    <w:rsid w:val="006B5091"/>
    <w:rsid w:val="006B50B8"/>
    <w:rsid w:val="006B50F9"/>
    <w:rsid w:val="006B553F"/>
    <w:rsid w:val="006B5756"/>
    <w:rsid w:val="006B593B"/>
    <w:rsid w:val="006B5A61"/>
    <w:rsid w:val="006B5ADC"/>
    <w:rsid w:val="006B5C4C"/>
    <w:rsid w:val="006B5D79"/>
    <w:rsid w:val="006B5FBC"/>
    <w:rsid w:val="006B64E8"/>
    <w:rsid w:val="006B654C"/>
    <w:rsid w:val="006B6AEF"/>
    <w:rsid w:val="006B6DA1"/>
    <w:rsid w:val="006B7673"/>
    <w:rsid w:val="006B76C2"/>
    <w:rsid w:val="006B7877"/>
    <w:rsid w:val="006B7C8E"/>
    <w:rsid w:val="006B7CBC"/>
    <w:rsid w:val="006C02CD"/>
    <w:rsid w:val="006C06A9"/>
    <w:rsid w:val="006C0DFA"/>
    <w:rsid w:val="006C106C"/>
    <w:rsid w:val="006C132E"/>
    <w:rsid w:val="006C13A3"/>
    <w:rsid w:val="006C1482"/>
    <w:rsid w:val="006C157B"/>
    <w:rsid w:val="006C16F5"/>
    <w:rsid w:val="006C1822"/>
    <w:rsid w:val="006C1B59"/>
    <w:rsid w:val="006C1CB5"/>
    <w:rsid w:val="006C1DBF"/>
    <w:rsid w:val="006C21F1"/>
    <w:rsid w:val="006C2364"/>
    <w:rsid w:val="006C23EC"/>
    <w:rsid w:val="006C24AE"/>
    <w:rsid w:val="006C2ABA"/>
    <w:rsid w:val="006C2AF5"/>
    <w:rsid w:val="006C2B59"/>
    <w:rsid w:val="006C2C61"/>
    <w:rsid w:val="006C2C86"/>
    <w:rsid w:val="006C2C8B"/>
    <w:rsid w:val="006C2CC5"/>
    <w:rsid w:val="006C2D1A"/>
    <w:rsid w:val="006C34A1"/>
    <w:rsid w:val="006C3686"/>
    <w:rsid w:val="006C38EF"/>
    <w:rsid w:val="006C390C"/>
    <w:rsid w:val="006C3BCF"/>
    <w:rsid w:val="006C3BEF"/>
    <w:rsid w:val="006C3C80"/>
    <w:rsid w:val="006C3EBC"/>
    <w:rsid w:val="006C4043"/>
    <w:rsid w:val="006C41C1"/>
    <w:rsid w:val="006C41ED"/>
    <w:rsid w:val="006C43FB"/>
    <w:rsid w:val="006C4713"/>
    <w:rsid w:val="006C479A"/>
    <w:rsid w:val="006C4950"/>
    <w:rsid w:val="006C49AF"/>
    <w:rsid w:val="006C4F0A"/>
    <w:rsid w:val="006C52B9"/>
    <w:rsid w:val="006C5477"/>
    <w:rsid w:val="006C559A"/>
    <w:rsid w:val="006C58E3"/>
    <w:rsid w:val="006C5A8D"/>
    <w:rsid w:val="006C5CDD"/>
    <w:rsid w:val="006C5D0C"/>
    <w:rsid w:val="006C6346"/>
    <w:rsid w:val="006C69EC"/>
    <w:rsid w:val="006C6B24"/>
    <w:rsid w:val="006C6B75"/>
    <w:rsid w:val="006C6ED1"/>
    <w:rsid w:val="006C6F68"/>
    <w:rsid w:val="006C7003"/>
    <w:rsid w:val="006C748E"/>
    <w:rsid w:val="006C74BE"/>
    <w:rsid w:val="006C75AA"/>
    <w:rsid w:val="006C7C2C"/>
    <w:rsid w:val="006C7FB8"/>
    <w:rsid w:val="006C7FCD"/>
    <w:rsid w:val="006C7FF1"/>
    <w:rsid w:val="006D0031"/>
    <w:rsid w:val="006D01D6"/>
    <w:rsid w:val="006D02AA"/>
    <w:rsid w:val="006D02D4"/>
    <w:rsid w:val="006D0A9E"/>
    <w:rsid w:val="006D0C90"/>
    <w:rsid w:val="006D0E76"/>
    <w:rsid w:val="006D0F89"/>
    <w:rsid w:val="006D13EC"/>
    <w:rsid w:val="006D192F"/>
    <w:rsid w:val="006D1A50"/>
    <w:rsid w:val="006D1DFE"/>
    <w:rsid w:val="006D20A4"/>
    <w:rsid w:val="006D24BF"/>
    <w:rsid w:val="006D2560"/>
    <w:rsid w:val="006D2F47"/>
    <w:rsid w:val="006D2F53"/>
    <w:rsid w:val="006D3025"/>
    <w:rsid w:val="006D328B"/>
    <w:rsid w:val="006D3570"/>
    <w:rsid w:val="006D3620"/>
    <w:rsid w:val="006D3C07"/>
    <w:rsid w:val="006D41CE"/>
    <w:rsid w:val="006D4324"/>
    <w:rsid w:val="006D4388"/>
    <w:rsid w:val="006D460E"/>
    <w:rsid w:val="006D472A"/>
    <w:rsid w:val="006D4CA2"/>
    <w:rsid w:val="006D50F6"/>
    <w:rsid w:val="006D5176"/>
    <w:rsid w:val="006D5201"/>
    <w:rsid w:val="006D5313"/>
    <w:rsid w:val="006D535C"/>
    <w:rsid w:val="006D5510"/>
    <w:rsid w:val="006D55C0"/>
    <w:rsid w:val="006D5820"/>
    <w:rsid w:val="006D5886"/>
    <w:rsid w:val="006D5F9A"/>
    <w:rsid w:val="006D6703"/>
    <w:rsid w:val="006D6944"/>
    <w:rsid w:val="006D6989"/>
    <w:rsid w:val="006D6AFE"/>
    <w:rsid w:val="006D6F24"/>
    <w:rsid w:val="006D74ED"/>
    <w:rsid w:val="006D7785"/>
    <w:rsid w:val="006D78EB"/>
    <w:rsid w:val="006D7C6D"/>
    <w:rsid w:val="006D7F5B"/>
    <w:rsid w:val="006E009F"/>
    <w:rsid w:val="006E03A1"/>
    <w:rsid w:val="006E058C"/>
    <w:rsid w:val="006E0922"/>
    <w:rsid w:val="006E0B0D"/>
    <w:rsid w:val="006E0B3B"/>
    <w:rsid w:val="006E0ED9"/>
    <w:rsid w:val="006E0EF4"/>
    <w:rsid w:val="006E0F5D"/>
    <w:rsid w:val="006E0FA4"/>
    <w:rsid w:val="006E13A6"/>
    <w:rsid w:val="006E13C3"/>
    <w:rsid w:val="006E1629"/>
    <w:rsid w:val="006E16D5"/>
    <w:rsid w:val="006E16F2"/>
    <w:rsid w:val="006E1916"/>
    <w:rsid w:val="006E198B"/>
    <w:rsid w:val="006E1B66"/>
    <w:rsid w:val="006E2008"/>
    <w:rsid w:val="006E22DB"/>
    <w:rsid w:val="006E2427"/>
    <w:rsid w:val="006E2429"/>
    <w:rsid w:val="006E2656"/>
    <w:rsid w:val="006E28FF"/>
    <w:rsid w:val="006E2BB3"/>
    <w:rsid w:val="006E3385"/>
    <w:rsid w:val="006E3848"/>
    <w:rsid w:val="006E38A2"/>
    <w:rsid w:val="006E39E2"/>
    <w:rsid w:val="006E3A41"/>
    <w:rsid w:val="006E3D01"/>
    <w:rsid w:val="006E3DA4"/>
    <w:rsid w:val="006E4021"/>
    <w:rsid w:val="006E402D"/>
    <w:rsid w:val="006E42CD"/>
    <w:rsid w:val="006E4654"/>
    <w:rsid w:val="006E4690"/>
    <w:rsid w:val="006E47A5"/>
    <w:rsid w:val="006E48EE"/>
    <w:rsid w:val="006E4A43"/>
    <w:rsid w:val="006E4B4C"/>
    <w:rsid w:val="006E4FBF"/>
    <w:rsid w:val="006E50E1"/>
    <w:rsid w:val="006E511F"/>
    <w:rsid w:val="006E5147"/>
    <w:rsid w:val="006E5269"/>
    <w:rsid w:val="006E54D0"/>
    <w:rsid w:val="006E5789"/>
    <w:rsid w:val="006E5934"/>
    <w:rsid w:val="006E5BC2"/>
    <w:rsid w:val="006E5D74"/>
    <w:rsid w:val="006E5DDC"/>
    <w:rsid w:val="006E5E0B"/>
    <w:rsid w:val="006E5F40"/>
    <w:rsid w:val="006E5F44"/>
    <w:rsid w:val="006E65EF"/>
    <w:rsid w:val="006E6779"/>
    <w:rsid w:val="006E6BC2"/>
    <w:rsid w:val="006E6CE7"/>
    <w:rsid w:val="006E6D96"/>
    <w:rsid w:val="006E744A"/>
    <w:rsid w:val="006E77A5"/>
    <w:rsid w:val="006E77BB"/>
    <w:rsid w:val="006E780C"/>
    <w:rsid w:val="006E7823"/>
    <w:rsid w:val="006E7A16"/>
    <w:rsid w:val="006E7BD2"/>
    <w:rsid w:val="006E7EF3"/>
    <w:rsid w:val="006E7FB6"/>
    <w:rsid w:val="006F020F"/>
    <w:rsid w:val="006F0292"/>
    <w:rsid w:val="006F03E9"/>
    <w:rsid w:val="006F061C"/>
    <w:rsid w:val="006F0800"/>
    <w:rsid w:val="006F08FA"/>
    <w:rsid w:val="006F091C"/>
    <w:rsid w:val="006F0A30"/>
    <w:rsid w:val="006F0C3D"/>
    <w:rsid w:val="006F0DD2"/>
    <w:rsid w:val="006F1024"/>
    <w:rsid w:val="006F106D"/>
    <w:rsid w:val="006F129F"/>
    <w:rsid w:val="006F13E0"/>
    <w:rsid w:val="006F1488"/>
    <w:rsid w:val="006F15FC"/>
    <w:rsid w:val="006F1C2B"/>
    <w:rsid w:val="006F1F36"/>
    <w:rsid w:val="006F252E"/>
    <w:rsid w:val="006F26B4"/>
    <w:rsid w:val="006F26FB"/>
    <w:rsid w:val="006F2A0D"/>
    <w:rsid w:val="006F2D0A"/>
    <w:rsid w:val="006F2D32"/>
    <w:rsid w:val="006F2D7F"/>
    <w:rsid w:val="006F319D"/>
    <w:rsid w:val="006F3549"/>
    <w:rsid w:val="006F3ABE"/>
    <w:rsid w:val="006F3C1F"/>
    <w:rsid w:val="006F41F0"/>
    <w:rsid w:val="006F45A4"/>
    <w:rsid w:val="006F474D"/>
    <w:rsid w:val="006F4A89"/>
    <w:rsid w:val="006F4B10"/>
    <w:rsid w:val="006F4C65"/>
    <w:rsid w:val="006F4CC9"/>
    <w:rsid w:val="006F4FB4"/>
    <w:rsid w:val="006F52B7"/>
    <w:rsid w:val="006F5308"/>
    <w:rsid w:val="006F5A7C"/>
    <w:rsid w:val="006F5CC2"/>
    <w:rsid w:val="006F62BD"/>
    <w:rsid w:val="006F6303"/>
    <w:rsid w:val="006F6316"/>
    <w:rsid w:val="006F65A2"/>
    <w:rsid w:val="006F6885"/>
    <w:rsid w:val="006F6976"/>
    <w:rsid w:val="006F6C31"/>
    <w:rsid w:val="006F73FF"/>
    <w:rsid w:val="006F7495"/>
    <w:rsid w:val="006F74B5"/>
    <w:rsid w:val="006F7609"/>
    <w:rsid w:val="006F769E"/>
    <w:rsid w:val="006F76D1"/>
    <w:rsid w:val="006F7A56"/>
    <w:rsid w:val="006F7C49"/>
    <w:rsid w:val="006F7C91"/>
    <w:rsid w:val="006F7DEF"/>
    <w:rsid w:val="007000C9"/>
    <w:rsid w:val="00700127"/>
    <w:rsid w:val="00700533"/>
    <w:rsid w:val="007006C6"/>
    <w:rsid w:val="0070072F"/>
    <w:rsid w:val="0070084F"/>
    <w:rsid w:val="00700C5F"/>
    <w:rsid w:val="00700CF2"/>
    <w:rsid w:val="00700F0E"/>
    <w:rsid w:val="00700F78"/>
    <w:rsid w:val="007011CC"/>
    <w:rsid w:val="007012D2"/>
    <w:rsid w:val="0070150E"/>
    <w:rsid w:val="007016DD"/>
    <w:rsid w:val="00701735"/>
    <w:rsid w:val="00701CC3"/>
    <w:rsid w:val="00701FA2"/>
    <w:rsid w:val="00702381"/>
    <w:rsid w:val="007024FB"/>
    <w:rsid w:val="00702577"/>
    <w:rsid w:val="007028A3"/>
    <w:rsid w:val="00702C03"/>
    <w:rsid w:val="00702F8D"/>
    <w:rsid w:val="00703238"/>
    <w:rsid w:val="00703253"/>
    <w:rsid w:val="007032EF"/>
    <w:rsid w:val="00703F05"/>
    <w:rsid w:val="00703F11"/>
    <w:rsid w:val="007043D6"/>
    <w:rsid w:val="00704788"/>
    <w:rsid w:val="0070489C"/>
    <w:rsid w:val="00704C5B"/>
    <w:rsid w:val="0070504E"/>
    <w:rsid w:val="00705212"/>
    <w:rsid w:val="007055E4"/>
    <w:rsid w:val="00705AE3"/>
    <w:rsid w:val="00705DB8"/>
    <w:rsid w:val="00705F50"/>
    <w:rsid w:val="0070625C"/>
    <w:rsid w:val="007066F3"/>
    <w:rsid w:val="00706852"/>
    <w:rsid w:val="00706929"/>
    <w:rsid w:val="00706B80"/>
    <w:rsid w:val="00706BD9"/>
    <w:rsid w:val="00706BE3"/>
    <w:rsid w:val="00706C8C"/>
    <w:rsid w:val="0070746A"/>
    <w:rsid w:val="0070748A"/>
    <w:rsid w:val="007076A2"/>
    <w:rsid w:val="00707A4C"/>
    <w:rsid w:val="00707A98"/>
    <w:rsid w:val="00707C31"/>
    <w:rsid w:val="00707C85"/>
    <w:rsid w:val="00707E5B"/>
    <w:rsid w:val="00707E8C"/>
    <w:rsid w:val="00707F24"/>
    <w:rsid w:val="00707FE1"/>
    <w:rsid w:val="00710145"/>
    <w:rsid w:val="00710278"/>
    <w:rsid w:val="00710349"/>
    <w:rsid w:val="0071035A"/>
    <w:rsid w:val="0071049B"/>
    <w:rsid w:val="0071061F"/>
    <w:rsid w:val="0071098F"/>
    <w:rsid w:val="00710E62"/>
    <w:rsid w:val="00711412"/>
    <w:rsid w:val="00711738"/>
    <w:rsid w:val="0071176D"/>
    <w:rsid w:val="0071179B"/>
    <w:rsid w:val="00711C71"/>
    <w:rsid w:val="00711D57"/>
    <w:rsid w:val="00711FD3"/>
    <w:rsid w:val="00712304"/>
    <w:rsid w:val="007127C1"/>
    <w:rsid w:val="00712ACA"/>
    <w:rsid w:val="00713225"/>
    <w:rsid w:val="00713AD3"/>
    <w:rsid w:val="00713B79"/>
    <w:rsid w:val="00713BB3"/>
    <w:rsid w:val="00713E5D"/>
    <w:rsid w:val="00714095"/>
    <w:rsid w:val="007140E8"/>
    <w:rsid w:val="007141F4"/>
    <w:rsid w:val="00714972"/>
    <w:rsid w:val="00714F97"/>
    <w:rsid w:val="0071529D"/>
    <w:rsid w:val="0071542B"/>
    <w:rsid w:val="0071548F"/>
    <w:rsid w:val="00715606"/>
    <w:rsid w:val="0071567F"/>
    <w:rsid w:val="00715751"/>
    <w:rsid w:val="00715BA9"/>
    <w:rsid w:val="00715F7B"/>
    <w:rsid w:val="0071682C"/>
    <w:rsid w:val="00716FE6"/>
    <w:rsid w:val="0071717E"/>
    <w:rsid w:val="007171E9"/>
    <w:rsid w:val="007175A7"/>
    <w:rsid w:val="00717B3E"/>
    <w:rsid w:val="00720232"/>
    <w:rsid w:val="00720252"/>
    <w:rsid w:val="007205E1"/>
    <w:rsid w:val="0072095F"/>
    <w:rsid w:val="007209B9"/>
    <w:rsid w:val="00720A5C"/>
    <w:rsid w:val="00720B03"/>
    <w:rsid w:val="0072108E"/>
    <w:rsid w:val="007215AA"/>
    <w:rsid w:val="007215E5"/>
    <w:rsid w:val="007216B7"/>
    <w:rsid w:val="00721767"/>
    <w:rsid w:val="00721826"/>
    <w:rsid w:val="00721857"/>
    <w:rsid w:val="007218DE"/>
    <w:rsid w:val="00721A20"/>
    <w:rsid w:val="00721C77"/>
    <w:rsid w:val="007220C2"/>
    <w:rsid w:val="00722261"/>
    <w:rsid w:val="007223D1"/>
    <w:rsid w:val="0072299A"/>
    <w:rsid w:val="00722B70"/>
    <w:rsid w:val="00722D6F"/>
    <w:rsid w:val="00722F5B"/>
    <w:rsid w:val="00723062"/>
    <w:rsid w:val="007231DD"/>
    <w:rsid w:val="00723770"/>
    <w:rsid w:val="00723AD2"/>
    <w:rsid w:val="007241A7"/>
    <w:rsid w:val="007241BE"/>
    <w:rsid w:val="00724340"/>
    <w:rsid w:val="00724786"/>
    <w:rsid w:val="00724941"/>
    <w:rsid w:val="00724D2B"/>
    <w:rsid w:val="00724FEE"/>
    <w:rsid w:val="0072512A"/>
    <w:rsid w:val="00725356"/>
    <w:rsid w:val="00725966"/>
    <w:rsid w:val="007259A2"/>
    <w:rsid w:val="00725F78"/>
    <w:rsid w:val="0072602D"/>
    <w:rsid w:val="007261CF"/>
    <w:rsid w:val="00726384"/>
    <w:rsid w:val="007264B1"/>
    <w:rsid w:val="00726AD7"/>
    <w:rsid w:val="00726C80"/>
    <w:rsid w:val="00726F11"/>
    <w:rsid w:val="00726FDC"/>
    <w:rsid w:val="0072709A"/>
    <w:rsid w:val="00727529"/>
    <w:rsid w:val="007277A1"/>
    <w:rsid w:val="00727930"/>
    <w:rsid w:val="00727AAD"/>
    <w:rsid w:val="00730160"/>
    <w:rsid w:val="0073020B"/>
    <w:rsid w:val="007305AB"/>
    <w:rsid w:val="0073072C"/>
    <w:rsid w:val="00730C53"/>
    <w:rsid w:val="0073130B"/>
    <w:rsid w:val="00731721"/>
    <w:rsid w:val="00731769"/>
    <w:rsid w:val="00731884"/>
    <w:rsid w:val="007319F8"/>
    <w:rsid w:val="00731C62"/>
    <w:rsid w:val="00731EE6"/>
    <w:rsid w:val="0073211A"/>
    <w:rsid w:val="007325D5"/>
    <w:rsid w:val="0073271E"/>
    <w:rsid w:val="00732C26"/>
    <w:rsid w:val="00732C2F"/>
    <w:rsid w:val="00732D7D"/>
    <w:rsid w:val="00733081"/>
    <w:rsid w:val="0073347A"/>
    <w:rsid w:val="007334B5"/>
    <w:rsid w:val="0073356D"/>
    <w:rsid w:val="0073359C"/>
    <w:rsid w:val="007336AE"/>
    <w:rsid w:val="00733C8E"/>
    <w:rsid w:val="00733E17"/>
    <w:rsid w:val="00734090"/>
    <w:rsid w:val="007341EF"/>
    <w:rsid w:val="00734249"/>
    <w:rsid w:val="007343D5"/>
    <w:rsid w:val="00734420"/>
    <w:rsid w:val="00734440"/>
    <w:rsid w:val="00734465"/>
    <w:rsid w:val="007344BF"/>
    <w:rsid w:val="00734D16"/>
    <w:rsid w:val="00734F40"/>
    <w:rsid w:val="00734FA3"/>
    <w:rsid w:val="00735025"/>
    <w:rsid w:val="007355A6"/>
    <w:rsid w:val="00735B64"/>
    <w:rsid w:val="00735BD9"/>
    <w:rsid w:val="00735C36"/>
    <w:rsid w:val="00735F43"/>
    <w:rsid w:val="0073661A"/>
    <w:rsid w:val="00736675"/>
    <w:rsid w:val="007368D0"/>
    <w:rsid w:val="00736915"/>
    <w:rsid w:val="00736E5C"/>
    <w:rsid w:val="007371A8"/>
    <w:rsid w:val="007371C6"/>
    <w:rsid w:val="007371D7"/>
    <w:rsid w:val="007372F7"/>
    <w:rsid w:val="00737364"/>
    <w:rsid w:val="00737503"/>
    <w:rsid w:val="0073792A"/>
    <w:rsid w:val="00737BFB"/>
    <w:rsid w:val="00737D4D"/>
    <w:rsid w:val="00737E19"/>
    <w:rsid w:val="00737F87"/>
    <w:rsid w:val="00740368"/>
    <w:rsid w:val="00740410"/>
    <w:rsid w:val="00740830"/>
    <w:rsid w:val="00740A71"/>
    <w:rsid w:val="00740E94"/>
    <w:rsid w:val="00740FA6"/>
    <w:rsid w:val="00741167"/>
    <w:rsid w:val="0074146C"/>
    <w:rsid w:val="00741A07"/>
    <w:rsid w:val="00741A31"/>
    <w:rsid w:val="00741B46"/>
    <w:rsid w:val="00741F79"/>
    <w:rsid w:val="00742031"/>
    <w:rsid w:val="007420C7"/>
    <w:rsid w:val="0074223A"/>
    <w:rsid w:val="00742532"/>
    <w:rsid w:val="00742648"/>
    <w:rsid w:val="00742CFE"/>
    <w:rsid w:val="00742D11"/>
    <w:rsid w:val="00742EBB"/>
    <w:rsid w:val="00743047"/>
    <w:rsid w:val="007431AA"/>
    <w:rsid w:val="00743579"/>
    <w:rsid w:val="00743891"/>
    <w:rsid w:val="007439CC"/>
    <w:rsid w:val="00743CAC"/>
    <w:rsid w:val="00743CC3"/>
    <w:rsid w:val="00743E88"/>
    <w:rsid w:val="00743F25"/>
    <w:rsid w:val="00744015"/>
    <w:rsid w:val="00744041"/>
    <w:rsid w:val="00744062"/>
    <w:rsid w:val="0074436B"/>
    <w:rsid w:val="007446F4"/>
    <w:rsid w:val="00744E10"/>
    <w:rsid w:val="00744F3B"/>
    <w:rsid w:val="007450A5"/>
    <w:rsid w:val="0074516C"/>
    <w:rsid w:val="007453BE"/>
    <w:rsid w:val="007453E9"/>
    <w:rsid w:val="007455F6"/>
    <w:rsid w:val="007458D5"/>
    <w:rsid w:val="00745937"/>
    <w:rsid w:val="00745C92"/>
    <w:rsid w:val="007460DA"/>
    <w:rsid w:val="0074622A"/>
    <w:rsid w:val="00746977"/>
    <w:rsid w:val="007469A6"/>
    <w:rsid w:val="00746D8B"/>
    <w:rsid w:val="00747126"/>
    <w:rsid w:val="007473CD"/>
    <w:rsid w:val="007476A0"/>
    <w:rsid w:val="007477C5"/>
    <w:rsid w:val="0074792C"/>
    <w:rsid w:val="00747938"/>
    <w:rsid w:val="00747B66"/>
    <w:rsid w:val="00747FBD"/>
    <w:rsid w:val="00750C85"/>
    <w:rsid w:val="00750EC3"/>
    <w:rsid w:val="00750FCF"/>
    <w:rsid w:val="007510D7"/>
    <w:rsid w:val="007512B3"/>
    <w:rsid w:val="0075140C"/>
    <w:rsid w:val="00751551"/>
    <w:rsid w:val="007515D1"/>
    <w:rsid w:val="007517DA"/>
    <w:rsid w:val="00751B95"/>
    <w:rsid w:val="0075204A"/>
    <w:rsid w:val="007521C4"/>
    <w:rsid w:val="00752939"/>
    <w:rsid w:val="00752BEB"/>
    <w:rsid w:val="00752D13"/>
    <w:rsid w:val="00752DD8"/>
    <w:rsid w:val="0075312C"/>
    <w:rsid w:val="0075319E"/>
    <w:rsid w:val="007532FA"/>
    <w:rsid w:val="00753671"/>
    <w:rsid w:val="00753757"/>
    <w:rsid w:val="0075377A"/>
    <w:rsid w:val="00753963"/>
    <w:rsid w:val="00753A38"/>
    <w:rsid w:val="00753D0A"/>
    <w:rsid w:val="007541E4"/>
    <w:rsid w:val="0075469A"/>
    <w:rsid w:val="00754A6C"/>
    <w:rsid w:val="00754A9C"/>
    <w:rsid w:val="00755467"/>
    <w:rsid w:val="00755817"/>
    <w:rsid w:val="00755A32"/>
    <w:rsid w:val="00755B12"/>
    <w:rsid w:val="00755D93"/>
    <w:rsid w:val="00755DCB"/>
    <w:rsid w:val="00755E5C"/>
    <w:rsid w:val="007561BE"/>
    <w:rsid w:val="00756A7B"/>
    <w:rsid w:val="00756CCC"/>
    <w:rsid w:val="00756EF9"/>
    <w:rsid w:val="00757035"/>
    <w:rsid w:val="00757186"/>
    <w:rsid w:val="007573D6"/>
    <w:rsid w:val="007574A3"/>
    <w:rsid w:val="007578E1"/>
    <w:rsid w:val="00757A6A"/>
    <w:rsid w:val="00757CF3"/>
    <w:rsid w:val="00757D01"/>
    <w:rsid w:val="00757DB0"/>
    <w:rsid w:val="0076006D"/>
    <w:rsid w:val="00760768"/>
    <w:rsid w:val="00760BCC"/>
    <w:rsid w:val="00760C0E"/>
    <w:rsid w:val="0076106B"/>
    <w:rsid w:val="00761320"/>
    <w:rsid w:val="007617FB"/>
    <w:rsid w:val="00761830"/>
    <w:rsid w:val="00761A7B"/>
    <w:rsid w:val="00761B1E"/>
    <w:rsid w:val="00761B62"/>
    <w:rsid w:val="00761EB7"/>
    <w:rsid w:val="007621FF"/>
    <w:rsid w:val="00762AFB"/>
    <w:rsid w:val="007630F5"/>
    <w:rsid w:val="00763275"/>
    <w:rsid w:val="00763388"/>
    <w:rsid w:val="007637BC"/>
    <w:rsid w:val="007639D9"/>
    <w:rsid w:val="00763ED0"/>
    <w:rsid w:val="007640AF"/>
    <w:rsid w:val="0076440A"/>
    <w:rsid w:val="007646DE"/>
    <w:rsid w:val="0076473B"/>
    <w:rsid w:val="0076475B"/>
    <w:rsid w:val="00764AC3"/>
    <w:rsid w:val="00764B31"/>
    <w:rsid w:val="00764B5D"/>
    <w:rsid w:val="00764D00"/>
    <w:rsid w:val="00764D72"/>
    <w:rsid w:val="00764FD5"/>
    <w:rsid w:val="0076517D"/>
    <w:rsid w:val="007655A9"/>
    <w:rsid w:val="007656A1"/>
    <w:rsid w:val="007656CA"/>
    <w:rsid w:val="00765956"/>
    <w:rsid w:val="00765A07"/>
    <w:rsid w:val="00765BA8"/>
    <w:rsid w:val="00765F42"/>
    <w:rsid w:val="00766007"/>
    <w:rsid w:val="007664F7"/>
    <w:rsid w:val="00766C39"/>
    <w:rsid w:val="00767193"/>
    <w:rsid w:val="007673C8"/>
    <w:rsid w:val="00767768"/>
    <w:rsid w:val="0076784F"/>
    <w:rsid w:val="00767BF3"/>
    <w:rsid w:val="00767D63"/>
    <w:rsid w:val="00767D9C"/>
    <w:rsid w:val="00767FFC"/>
    <w:rsid w:val="0077018F"/>
    <w:rsid w:val="00770A26"/>
    <w:rsid w:val="00770B1F"/>
    <w:rsid w:val="00770FA5"/>
    <w:rsid w:val="007713BF"/>
    <w:rsid w:val="00771583"/>
    <w:rsid w:val="00771608"/>
    <w:rsid w:val="0077163A"/>
    <w:rsid w:val="0077172C"/>
    <w:rsid w:val="007717E4"/>
    <w:rsid w:val="00771FB5"/>
    <w:rsid w:val="007722EC"/>
    <w:rsid w:val="007724A7"/>
    <w:rsid w:val="00772657"/>
    <w:rsid w:val="007726A3"/>
    <w:rsid w:val="007726FA"/>
    <w:rsid w:val="00772945"/>
    <w:rsid w:val="00772B73"/>
    <w:rsid w:val="007730BE"/>
    <w:rsid w:val="007731BC"/>
    <w:rsid w:val="0077330B"/>
    <w:rsid w:val="00773328"/>
    <w:rsid w:val="00773481"/>
    <w:rsid w:val="00773913"/>
    <w:rsid w:val="0077392B"/>
    <w:rsid w:val="007739CF"/>
    <w:rsid w:val="00773AAD"/>
    <w:rsid w:val="00773C3D"/>
    <w:rsid w:val="00773CB6"/>
    <w:rsid w:val="00773F45"/>
    <w:rsid w:val="007741E7"/>
    <w:rsid w:val="007746ED"/>
    <w:rsid w:val="00774814"/>
    <w:rsid w:val="00774B93"/>
    <w:rsid w:val="00774EAF"/>
    <w:rsid w:val="00774FC7"/>
    <w:rsid w:val="00775231"/>
    <w:rsid w:val="00775434"/>
    <w:rsid w:val="007754C3"/>
    <w:rsid w:val="0077554D"/>
    <w:rsid w:val="00775567"/>
    <w:rsid w:val="007757C6"/>
    <w:rsid w:val="007757C9"/>
    <w:rsid w:val="007757F7"/>
    <w:rsid w:val="00775C40"/>
    <w:rsid w:val="00775C59"/>
    <w:rsid w:val="0077629F"/>
    <w:rsid w:val="0077645D"/>
    <w:rsid w:val="00776542"/>
    <w:rsid w:val="007765D0"/>
    <w:rsid w:val="00776749"/>
    <w:rsid w:val="00776856"/>
    <w:rsid w:val="00776E2E"/>
    <w:rsid w:val="007772AC"/>
    <w:rsid w:val="00777442"/>
    <w:rsid w:val="00777451"/>
    <w:rsid w:val="0077791A"/>
    <w:rsid w:val="007779A3"/>
    <w:rsid w:val="00777ADC"/>
    <w:rsid w:val="00777B5C"/>
    <w:rsid w:val="007802E7"/>
    <w:rsid w:val="007807BE"/>
    <w:rsid w:val="00780866"/>
    <w:rsid w:val="00780A96"/>
    <w:rsid w:val="00780B1A"/>
    <w:rsid w:val="00780D45"/>
    <w:rsid w:val="00780F3F"/>
    <w:rsid w:val="00781260"/>
    <w:rsid w:val="007812E7"/>
    <w:rsid w:val="00781315"/>
    <w:rsid w:val="00781546"/>
    <w:rsid w:val="0078159F"/>
    <w:rsid w:val="007819ED"/>
    <w:rsid w:val="00781A97"/>
    <w:rsid w:val="00781E7D"/>
    <w:rsid w:val="00781E8E"/>
    <w:rsid w:val="00782065"/>
    <w:rsid w:val="007822F0"/>
    <w:rsid w:val="0078238E"/>
    <w:rsid w:val="00782419"/>
    <w:rsid w:val="007824BC"/>
    <w:rsid w:val="00782D2D"/>
    <w:rsid w:val="00782DFC"/>
    <w:rsid w:val="00782EC4"/>
    <w:rsid w:val="00782EEE"/>
    <w:rsid w:val="00783153"/>
    <w:rsid w:val="00783331"/>
    <w:rsid w:val="0078390D"/>
    <w:rsid w:val="00783A74"/>
    <w:rsid w:val="00783AE5"/>
    <w:rsid w:val="00783F0C"/>
    <w:rsid w:val="00784B98"/>
    <w:rsid w:val="0078502F"/>
    <w:rsid w:val="0078539C"/>
    <w:rsid w:val="007853C2"/>
    <w:rsid w:val="00785777"/>
    <w:rsid w:val="007857DC"/>
    <w:rsid w:val="00785AEF"/>
    <w:rsid w:val="00785C83"/>
    <w:rsid w:val="00785DFE"/>
    <w:rsid w:val="00785F60"/>
    <w:rsid w:val="00785F68"/>
    <w:rsid w:val="00786414"/>
    <w:rsid w:val="007864DA"/>
    <w:rsid w:val="00786524"/>
    <w:rsid w:val="0078684E"/>
    <w:rsid w:val="00786ED8"/>
    <w:rsid w:val="007873AA"/>
    <w:rsid w:val="007873BA"/>
    <w:rsid w:val="00787491"/>
    <w:rsid w:val="0078759B"/>
    <w:rsid w:val="007875D7"/>
    <w:rsid w:val="00787807"/>
    <w:rsid w:val="00787825"/>
    <w:rsid w:val="007879B9"/>
    <w:rsid w:val="00787A15"/>
    <w:rsid w:val="00787CA6"/>
    <w:rsid w:val="00787CF3"/>
    <w:rsid w:val="00787D20"/>
    <w:rsid w:val="00787EB0"/>
    <w:rsid w:val="00787FD1"/>
    <w:rsid w:val="0079001F"/>
    <w:rsid w:val="00790362"/>
    <w:rsid w:val="007904EA"/>
    <w:rsid w:val="0079065C"/>
    <w:rsid w:val="007906A9"/>
    <w:rsid w:val="00790767"/>
    <w:rsid w:val="00790A3B"/>
    <w:rsid w:val="00790B5F"/>
    <w:rsid w:val="0079108A"/>
    <w:rsid w:val="007911B6"/>
    <w:rsid w:val="00791433"/>
    <w:rsid w:val="007919E4"/>
    <w:rsid w:val="00791A51"/>
    <w:rsid w:val="00791AD5"/>
    <w:rsid w:val="00791BF5"/>
    <w:rsid w:val="00791C07"/>
    <w:rsid w:val="0079201D"/>
    <w:rsid w:val="00792061"/>
    <w:rsid w:val="007920FE"/>
    <w:rsid w:val="00792431"/>
    <w:rsid w:val="007924E1"/>
    <w:rsid w:val="007925BF"/>
    <w:rsid w:val="007930B7"/>
    <w:rsid w:val="00793237"/>
    <w:rsid w:val="00793541"/>
    <w:rsid w:val="0079366E"/>
    <w:rsid w:val="00794032"/>
    <w:rsid w:val="00794234"/>
    <w:rsid w:val="007946AA"/>
    <w:rsid w:val="007946B2"/>
    <w:rsid w:val="0079479F"/>
    <w:rsid w:val="00794CA5"/>
    <w:rsid w:val="00794D41"/>
    <w:rsid w:val="00794E6A"/>
    <w:rsid w:val="00794F5F"/>
    <w:rsid w:val="007953AE"/>
    <w:rsid w:val="00795432"/>
    <w:rsid w:val="007954CF"/>
    <w:rsid w:val="00795515"/>
    <w:rsid w:val="00795730"/>
    <w:rsid w:val="007958E5"/>
    <w:rsid w:val="00795DF5"/>
    <w:rsid w:val="00795E2E"/>
    <w:rsid w:val="0079691E"/>
    <w:rsid w:val="007969E4"/>
    <w:rsid w:val="00796CD0"/>
    <w:rsid w:val="00796E5B"/>
    <w:rsid w:val="00796E96"/>
    <w:rsid w:val="00797093"/>
    <w:rsid w:val="007970C0"/>
    <w:rsid w:val="0079768A"/>
    <w:rsid w:val="0079776F"/>
    <w:rsid w:val="00797CD7"/>
    <w:rsid w:val="007A0003"/>
    <w:rsid w:val="007A0131"/>
    <w:rsid w:val="007A0395"/>
    <w:rsid w:val="007A0433"/>
    <w:rsid w:val="007A04E1"/>
    <w:rsid w:val="007A06CB"/>
    <w:rsid w:val="007A08CD"/>
    <w:rsid w:val="007A08CE"/>
    <w:rsid w:val="007A092C"/>
    <w:rsid w:val="007A0BC8"/>
    <w:rsid w:val="007A0F3F"/>
    <w:rsid w:val="007A1364"/>
    <w:rsid w:val="007A1785"/>
    <w:rsid w:val="007A1889"/>
    <w:rsid w:val="007A1939"/>
    <w:rsid w:val="007A1F2D"/>
    <w:rsid w:val="007A2179"/>
    <w:rsid w:val="007A2286"/>
    <w:rsid w:val="007A245F"/>
    <w:rsid w:val="007A2485"/>
    <w:rsid w:val="007A24A0"/>
    <w:rsid w:val="007A2702"/>
    <w:rsid w:val="007A2720"/>
    <w:rsid w:val="007A2723"/>
    <w:rsid w:val="007A2769"/>
    <w:rsid w:val="007A2824"/>
    <w:rsid w:val="007A28EC"/>
    <w:rsid w:val="007A2938"/>
    <w:rsid w:val="007A2CCB"/>
    <w:rsid w:val="007A2DB0"/>
    <w:rsid w:val="007A2E83"/>
    <w:rsid w:val="007A32C6"/>
    <w:rsid w:val="007A332C"/>
    <w:rsid w:val="007A35AC"/>
    <w:rsid w:val="007A3B9A"/>
    <w:rsid w:val="007A3D1C"/>
    <w:rsid w:val="007A3E5B"/>
    <w:rsid w:val="007A3FC1"/>
    <w:rsid w:val="007A4094"/>
    <w:rsid w:val="007A4171"/>
    <w:rsid w:val="007A41A1"/>
    <w:rsid w:val="007A41B9"/>
    <w:rsid w:val="007A4377"/>
    <w:rsid w:val="007A45FB"/>
    <w:rsid w:val="007A4637"/>
    <w:rsid w:val="007A48CA"/>
    <w:rsid w:val="007A4AB2"/>
    <w:rsid w:val="007A4E13"/>
    <w:rsid w:val="007A561B"/>
    <w:rsid w:val="007A58DD"/>
    <w:rsid w:val="007A5E68"/>
    <w:rsid w:val="007A602B"/>
    <w:rsid w:val="007A63C9"/>
    <w:rsid w:val="007A64DE"/>
    <w:rsid w:val="007A6518"/>
    <w:rsid w:val="007A6945"/>
    <w:rsid w:val="007A6CFC"/>
    <w:rsid w:val="007A71CE"/>
    <w:rsid w:val="007A7442"/>
    <w:rsid w:val="007A7825"/>
    <w:rsid w:val="007A7925"/>
    <w:rsid w:val="007A7E62"/>
    <w:rsid w:val="007A7E8C"/>
    <w:rsid w:val="007B07B2"/>
    <w:rsid w:val="007B08C9"/>
    <w:rsid w:val="007B0A22"/>
    <w:rsid w:val="007B0CAC"/>
    <w:rsid w:val="007B0E20"/>
    <w:rsid w:val="007B1206"/>
    <w:rsid w:val="007B14FD"/>
    <w:rsid w:val="007B15A6"/>
    <w:rsid w:val="007B18D5"/>
    <w:rsid w:val="007B1B6D"/>
    <w:rsid w:val="007B1BF7"/>
    <w:rsid w:val="007B1DA8"/>
    <w:rsid w:val="007B202C"/>
    <w:rsid w:val="007B265A"/>
    <w:rsid w:val="007B26E2"/>
    <w:rsid w:val="007B27BE"/>
    <w:rsid w:val="007B2892"/>
    <w:rsid w:val="007B2965"/>
    <w:rsid w:val="007B2CF9"/>
    <w:rsid w:val="007B2FD6"/>
    <w:rsid w:val="007B31A8"/>
    <w:rsid w:val="007B321C"/>
    <w:rsid w:val="007B33E5"/>
    <w:rsid w:val="007B36BF"/>
    <w:rsid w:val="007B3C14"/>
    <w:rsid w:val="007B3D0B"/>
    <w:rsid w:val="007B3DF6"/>
    <w:rsid w:val="007B454A"/>
    <w:rsid w:val="007B4591"/>
    <w:rsid w:val="007B45DE"/>
    <w:rsid w:val="007B46A6"/>
    <w:rsid w:val="007B4757"/>
    <w:rsid w:val="007B4A47"/>
    <w:rsid w:val="007B4A59"/>
    <w:rsid w:val="007B4D42"/>
    <w:rsid w:val="007B4F33"/>
    <w:rsid w:val="007B4FD1"/>
    <w:rsid w:val="007B51AA"/>
    <w:rsid w:val="007B51CD"/>
    <w:rsid w:val="007B5298"/>
    <w:rsid w:val="007B5502"/>
    <w:rsid w:val="007B577C"/>
    <w:rsid w:val="007B598C"/>
    <w:rsid w:val="007B5A2F"/>
    <w:rsid w:val="007B5B27"/>
    <w:rsid w:val="007B5B32"/>
    <w:rsid w:val="007B5C11"/>
    <w:rsid w:val="007B5C75"/>
    <w:rsid w:val="007B5DBD"/>
    <w:rsid w:val="007B5E58"/>
    <w:rsid w:val="007B5FA4"/>
    <w:rsid w:val="007B610F"/>
    <w:rsid w:val="007B629E"/>
    <w:rsid w:val="007B63CF"/>
    <w:rsid w:val="007B69D8"/>
    <w:rsid w:val="007B6A2C"/>
    <w:rsid w:val="007B6AEE"/>
    <w:rsid w:val="007B6F53"/>
    <w:rsid w:val="007B713D"/>
    <w:rsid w:val="007B714F"/>
    <w:rsid w:val="007B71E3"/>
    <w:rsid w:val="007B7331"/>
    <w:rsid w:val="007B745C"/>
    <w:rsid w:val="007B7472"/>
    <w:rsid w:val="007B7573"/>
    <w:rsid w:val="007B7A13"/>
    <w:rsid w:val="007B7AAB"/>
    <w:rsid w:val="007C024F"/>
    <w:rsid w:val="007C03BB"/>
    <w:rsid w:val="007C06B2"/>
    <w:rsid w:val="007C124F"/>
    <w:rsid w:val="007C1D9D"/>
    <w:rsid w:val="007C1E78"/>
    <w:rsid w:val="007C2198"/>
    <w:rsid w:val="007C223B"/>
    <w:rsid w:val="007C229C"/>
    <w:rsid w:val="007C25FD"/>
    <w:rsid w:val="007C263D"/>
    <w:rsid w:val="007C264C"/>
    <w:rsid w:val="007C28CF"/>
    <w:rsid w:val="007C2941"/>
    <w:rsid w:val="007C29D7"/>
    <w:rsid w:val="007C2A9E"/>
    <w:rsid w:val="007C2E93"/>
    <w:rsid w:val="007C2FC6"/>
    <w:rsid w:val="007C314F"/>
    <w:rsid w:val="007C3215"/>
    <w:rsid w:val="007C3329"/>
    <w:rsid w:val="007C34DE"/>
    <w:rsid w:val="007C36CD"/>
    <w:rsid w:val="007C38B5"/>
    <w:rsid w:val="007C404B"/>
    <w:rsid w:val="007C4077"/>
    <w:rsid w:val="007C4187"/>
    <w:rsid w:val="007C41A0"/>
    <w:rsid w:val="007C42EC"/>
    <w:rsid w:val="007C492A"/>
    <w:rsid w:val="007C4A68"/>
    <w:rsid w:val="007C4BAE"/>
    <w:rsid w:val="007C4BEE"/>
    <w:rsid w:val="007C4D64"/>
    <w:rsid w:val="007C4EF0"/>
    <w:rsid w:val="007C4FAE"/>
    <w:rsid w:val="007C57C2"/>
    <w:rsid w:val="007C5BA9"/>
    <w:rsid w:val="007C62AC"/>
    <w:rsid w:val="007C667A"/>
    <w:rsid w:val="007C6A89"/>
    <w:rsid w:val="007C6CD2"/>
    <w:rsid w:val="007C6D50"/>
    <w:rsid w:val="007C6F2E"/>
    <w:rsid w:val="007C6FF9"/>
    <w:rsid w:val="007C7375"/>
    <w:rsid w:val="007C73CF"/>
    <w:rsid w:val="007C7502"/>
    <w:rsid w:val="007C7617"/>
    <w:rsid w:val="007C764E"/>
    <w:rsid w:val="007C77C5"/>
    <w:rsid w:val="007C7D1A"/>
    <w:rsid w:val="007C7E37"/>
    <w:rsid w:val="007D01AF"/>
    <w:rsid w:val="007D039C"/>
    <w:rsid w:val="007D044C"/>
    <w:rsid w:val="007D0ABB"/>
    <w:rsid w:val="007D0C38"/>
    <w:rsid w:val="007D0FFB"/>
    <w:rsid w:val="007D10C8"/>
    <w:rsid w:val="007D1269"/>
    <w:rsid w:val="007D12A6"/>
    <w:rsid w:val="007D138D"/>
    <w:rsid w:val="007D1406"/>
    <w:rsid w:val="007D1C9D"/>
    <w:rsid w:val="007D1CE2"/>
    <w:rsid w:val="007D1D3B"/>
    <w:rsid w:val="007D1DF0"/>
    <w:rsid w:val="007D1E79"/>
    <w:rsid w:val="007D20B0"/>
    <w:rsid w:val="007D2102"/>
    <w:rsid w:val="007D24CF"/>
    <w:rsid w:val="007D2A15"/>
    <w:rsid w:val="007D2CAF"/>
    <w:rsid w:val="007D3122"/>
    <w:rsid w:val="007D3165"/>
    <w:rsid w:val="007D31C1"/>
    <w:rsid w:val="007D32B3"/>
    <w:rsid w:val="007D3560"/>
    <w:rsid w:val="007D3CD3"/>
    <w:rsid w:val="007D3DC8"/>
    <w:rsid w:val="007D3DF2"/>
    <w:rsid w:val="007D4068"/>
    <w:rsid w:val="007D41C3"/>
    <w:rsid w:val="007D41FF"/>
    <w:rsid w:val="007D4284"/>
    <w:rsid w:val="007D4621"/>
    <w:rsid w:val="007D47A8"/>
    <w:rsid w:val="007D4982"/>
    <w:rsid w:val="007D4BCA"/>
    <w:rsid w:val="007D4D87"/>
    <w:rsid w:val="007D4E55"/>
    <w:rsid w:val="007D5088"/>
    <w:rsid w:val="007D5188"/>
    <w:rsid w:val="007D54A2"/>
    <w:rsid w:val="007D5696"/>
    <w:rsid w:val="007D5787"/>
    <w:rsid w:val="007D5960"/>
    <w:rsid w:val="007D5A97"/>
    <w:rsid w:val="007D6002"/>
    <w:rsid w:val="007D606A"/>
    <w:rsid w:val="007D6193"/>
    <w:rsid w:val="007D639E"/>
    <w:rsid w:val="007D64E4"/>
    <w:rsid w:val="007D65F6"/>
    <w:rsid w:val="007D6627"/>
    <w:rsid w:val="007D69E8"/>
    <w:rsid w:val="007D6C0C"/>
    <w:rsid w:val="007D715C"/>
    <w:rsid w:val="007D7882"/>
    <w:rsid w:val="007D78A7"/>
    <w:rsid w:val="007D7C3C"/>
    <w:rsid w:val="007D7D31"/>
    <w:rsid w:val="007E025A"/>
    <w:rsid w:val="007E0451"/>
    <w:rsid w:val="007E0521"/>
    <w:rsid w:val="007E065C"/>
    <w:rsid w:val="007E0976"/>
    <w:rsid w:val="007E0D25"/>
    <w:rsid w:val="007E114E"/>
    <w:rsid w:val="007E1282"/>
    <w:rsid w:val="007E1416"/>
    <w:rsid w:val="007E14AC"/>
    <w:rsid w:val="007E1524"/>
    <w:rsid w:val="007E15F0"/>
    <w:rsid w:val="007E17FA"/>
    <w:rsid w:val="007E1883"/>
    <w:rsid w:val="007E19F8"/>
    <w:rsid w:val="007E1D26"/>
    <w:rsid w:val="007E2B82"/>
    <w:rsid w:val="007E2DD3"/>
    <w:rsid w:val="007E33B9"/>
    <w:rsid w:val="007E3460"/>
    <w:rsid w:val="007E3588"/>
    <w:rsid w:val="007E36ED"/>
    <w:rsid w:val="007E378E"/>
    <w:rsid w:val="007E3852"/>
    <w:rsid w:val="007E3B21"/>
    <w:rsid w:val="007E3E58"/>
    <w:rsid w:val="007E3F37"/>
    <w:rsid w:val="007E4015"/>
    <w:rsid w:val="007E42E6"/>
    <w:rsid w:val="007E46BF"/>
    <w:rsid w:val="007E487F"/>
    <w:rsid w:val="007E4A0D"/>
    <w:rsid w:val="007E4B2D"/>
    <w:rsid w:val="007E4C3F"/>
    <w:rsid w:val="007E5265"/>
    <w:rsid w:val="007E5328"/>
    <w:rsid w:val="007E5388"/>
    <w:rsid w:val="007E54E0"/>
    <w:rsid w:val="007E57E5"/>
    <w:rsid w:val="007E587D"/>
    <w:rsid w:val="007E58C0"/>
    <w:rsid w:val="007E5A40"/>
    <w:rsid w:val="007E5B6B"/>
    <w:rsid w:val="007E5CE8"/>
    <w:rsid w:val="007E5F71"/>
    <w:rsid w:val="007E60C0"/>
    <w:rsid w:val="007E6447"/>
    <w:rsid w:val="007E6757"/>
    <w:rsid w:val="007E68C0"/>
    <w:rsid w:val="007E6BD6"/>
    <w:rsid w:val="007E6CE0"/>
    <w:rsid w:val="007E6D75"/>
    <w:rsid w:val="007E6D9B"/>
    <w:rsid w:val="007E6DE7"/>
    <w:rsid w:val="007E6F7D"/>
    <w:rsid w:val="007E7124"/>
    <w:rsid w:val="007E71E9"/>
    <w:rsid w:val="007E74E3"/>
    <w:rsid w:val="007E76CB"/>
    <w:rsid w:val="007E7721"/>
    <w:rsid w:val="007E77E9"/>
    <w:rsid w:val="007E79BA"/>
    <w:rsid w:val="007E7B1C"/>
    <w:rsid w:val="007E7C5C"/>
    <w:rsid w:val="007E7CB2"/>
    <w:rsid w:val="007E7CF2"/>
    <w:rsid w:val="007F029C"/>
    <w:rsid w:val="007F02B2"/>
    <w:rsid w:val="007F02C7"/>
    <w:rsid w:val="007F032B"/>
    <w:rsid w:val="007F032D"/>
    <w:rsid w:val="007F03E4"/>
    <w:rsid w:val="007F03FE"/>
    <w:rsid w:val="007F092E"/>
    <w:rsid w:val="007F0CBE"/>
    <w:rsid w:val="007F10CC"/>
    <w:rsid w:val="007F11E8"/>
    <w:rsid w:val="007F11ED"/>
    <w:rsid w:val="007F12E0"/>
    <w:rsid w:val="007F160D"/>
    <w:rsid w:val="007F17FF"/>
    <w:rsid w:val="007F1873"/>
    <w:rsid w:val="007F18C4"/>
    <w:rsid w:val="007F1BFB"/>
    <w:rsid w:val="007F1D06"/>
    <w:rsid w:val="007F1D2C"/>
    <w:rsid w:val="007F1ECD"/>
    <w:rsid w:val="007F2165"/>
    <w:rsid w:val="007F219B"/>
    <w:rsid w:val="007F2ACA"/>
    <w:rsid w:val="007F2C72"/>
    <w:rsid w:val="007F2D94"/>
    <w:rsid w:val="007F2DFD"/>
    <w:rsid w:val="007F2EB2"/>
    <w:rsid w:val="007F2F7E"/>
    <w:rsid w:val="007F3034"/>
    <w:rsid w:val="007F344C"/>
    <w:rsid w:val="007F3745"/>
    <w:rsid w:val="007F51E7"/>
    <w:rsid w:val="007F5287"/>
    <w:rsid w:val="007F5799"/>
    <w:rsid w:val="007F580A"/>
    <w:rsid w:val="007F5904"/>
    <w:rsid w:val="007F5A11"/>
    <w:rsid w:val="007F5BF1"/>
    <w:rsid w:val="007F62F3"/>
    <w:rsid w:val="007F651C"/>
    <w:rsid w:val="007F66F4"/>
    <w:rsid w:val="007F68DC"/>
    <w:rsid w:val="007F68DF"/>
    <w:rsid w:val="007F6B28"/>
    <w:rsid w:val="007F6D6C"/>
    <w:rsid w:val="007F70A8"/>
    <w:rsid w:val="007F70B9"/>
    <w:rsid w:val="007F7137"/>
    <w:rsid w:val="007F72A5"/>
    <w:rsid w:val="007F731F"/>
    <w:rsid w:val="007F7640"/>
    <w:rsid w:val="007F7679"/>
    <w:rsid w:val="007F7A75"/>
    <w:rsid w:val="007F7C48"/>
    <w:rsid w:val="007F7D6B"/>
    <w:rsid w:val="007F7E7A"/>
    <w:rsid w:val="007F7ECC"/>
    <w:rsid w:val="0080006E"/>
    <w:rsid w:val="00800462"/>
    <w:rsid w:val="0080048C"/>
    <w:rsid w:val="00800512"/>
    <w:rsid w:val="008008DF"/>
    <w:rsid w:val="00800B4B"/>
    <w:rsid w:val="00800E62"/>
    <w:rsid w:val="00800F35"/>
    <w:rsid w:val="008010D7"/>
    <w:rsid w:val="008011D4"/>
    <w:rsid w:val="0080128D"/>
    <w:rsid w:val="00801475"/>
    <w:rsid w:val="0080147D"/>
    <w:rsid w:val="008016CA"/>
    <w:rsid w:val="008017B6"/>
    <w:rsid w:val="00801AE9"/>
    <w:rsid w:val="00801D7E"/>
    <w:rsid w:val="00801DB0"/>
    <w:rsid w:val="00802539"/>
    <w:rsid w:val="00802754"/>
    <w:rsid w:val="00802A65"/>
    <w:rsid w:val="00802DF1"/>
    <w:rsid w:val="00802F4C"/>
    <w:rsid w:val="008030EB"/>
    <w:rsid w:val="00803432"/>
    <w:rsid w:val="00803443"/>
    <w:rsid w:val="008036C0"/>
    <w:rsid w:val="008037E5"/>
    <w:rsid w:val="00803F2E"/>
    <w:rsid w:val="00804131"/>
    <w:rsid w:val="00804144"/>
    <w:rsid w:val="008041B9"/>
    <w:rsid w:val="008041DE"/>
    <w:rsid w:val="0080450E"/>
    <w:rsid w:val="00804530"/>
    <w:rsid w:val="008048F5"/>
    <w:rsid w:val="00804A6F"/>
    <w:rsid w:val="00804B1E"/>
    <w:rsid w:val="00804C3C"/>
    <w:rsid w:val="00804D52"/>
    <w:rsid w:val="00805073"/>
    <w:rsid w:val="00805159"/>
    <w:rsid w:val="0080516A"/>
    <w:rsid w:val="00805930"/>
    <w:rsid w:val="00805D9C"/>
    <w:rsid w:val="00805F32"/>
    <w:rsid w:val="008061D6"/>
    <w:rsid w:val="0080646D"/>
    <w:rsid w:val="0080680D"/>
    <w:rsid w:val="00806E2F"/>
    <w:rsid w:val="00806E75"/>
    <w:rsid w:val="00807138"/>
    <w:rsid w:val="0080714A"/>
    <w:rsid w:val="0080786A"/>
    <w:rsid w:val="00807AA3"/>
    <w:rsid w:val="00807CA2"/>
    <w:rsid w:val="00807F10"/>
    <w:rsid w:val="00807FB7"/>
    <w:rsid w:val="00810139"/>
    <w:rsid w:val="00810552"/>
    <w:rsid w:val="008105B3"/>
    <w:rsid w:val="008111CF"/>
    <w:rsid w:val="0081163F"/>
    <w:rsid w:val="00811CEA"/>
    <w:rsid w:val="00811D79"/>
    <w:rsid w:val="00811FCF"/>
    <w:rsid w:val="008127F9"/>
    <w:rsid w:val="00812A4B"/>
    <w:rsid w:val="00812C05"/>
    <w:rsid w:val="00812CBA"/>
    <w:rsid w:val="00812DF0"/>
    <w:rsid w:val="00812FA4"/>
    <w:rsid w:val="008130B3"/>
    <w:rsid w:val="008130C4"/>
    <w:rsid w:val="0081322A"/>
    <w:rsid w:val="00813454"/>
    <w:rsid w:val="00813678"/>
    <w:rsid w:val="0081367C"/>
    <w:rsid w:val="00813706"/>
    <w:rsid w:val="008137B6"/>
    <w:rsid w:val="0081391C"/>
    <w:rsid w:val="0081394E"/>
    <w:rsid w:val="00813A02"/>
    <w:rsid w:val="00813B8D"/>
    <w:rsid w:val="00813C26"/>
    <w:rsid w:val="00813DC6"/>
    <w:rsid w:val="00813DC9"/>
    <w:rsid w:val="00813F34"/>
    <w:rsid w:val="0081423C"/>
    <w:rsid w:val="008143A1"/>
    <w:rsid w:val="00814693"/>
    <w:rsid w:val="00814746"/>
    <w:rsid w:val="008147D8"/>
    <w:rsid w:val="00814884"/>
    <w:rsid w:val="008148C2"/>
    <w:rsid w:val="00814953"/>
    <w:rsid w:val="00814C4A"/>
    <w:rsid w:val="00814D2B"/>
    <w:rsid w:val="00814E16"/>
    <w:rsid w:val="00814FFC"/>
    <w:rsid w:val="0081500C"/>
    <w:rsid w:val="00815055"/>
    <w:rsid w:val="008151CC"/>
    <w:rsid w:val="0081521F"/>
    <w:rsid w:val="008153C9"/>
    <w:rsid w:val="00815617"/>
    <w:rsid w:val="00815E12"/>
    <w:rsid w:val="00816008"/>
    <w:rsid w:val="008162AB"/>
    <w:rsid w:val="008164EB"/>
    <w:rsid w:val="008167A6"/>
    <w:rsid w:val="008169C0"/>
    <w:rsid w:val="008169E7"/>
    <w:rsid w:val="00816AB9"/>
    <w:rsid w:val="00816E7C"/>
    <w:rsid w:val="0081766B"/>
    <w:rsid w:val="00817A08"/>
    <w:rsid w:val="00817A68"/>
    <w:rsid w:val="00820071"/>
    <w:rsid w:val="00820281"/>
    <w:rsid w:val="008203C0"/>
    <w:rsid w:val="008203EF"/>
    <w:rsid w:val="00820757"/>
    <w:rsid w:val="00820BC4"/>
    <w:rsid w:val="00820C13"/>
    <w:rsid w:val="00820CB3"/>
    <w:rsid w:val="00820D00"/>
    <w:rsid w:val="00820FF8"/>
    <w:rsid w:val="0082130E"/>
    <w:rsid w:val="0082132D"/>
    <w:rsid w:val="00821747"/>
    <w:rsid w:val="00821C6A"/>
    <w:rsid w:val="00821EDE"/>
    <w:rsid w:val="00821EE3"/>
    <w:rsid w:val="00822048"/>
    <w:rsid w:val="0082235F"/>
    <w:rsid w:val="0082253F"/>
    <w:rsid w:val="00822AEA"/>
    <w:rsid w:val="00822B6B"/>
    <w:rsid w:val="00822C58"/>
    <w:rsid w:val="00822CC6"/>
    <w:rsid w:val="00822D96"/>
    <w:rsid w:val="008233E7"/>
    <w:rsid w:val="0082353F"/>
    <w:rsid w:val="0082355C"/>
    <w:rsid w:val="00823611"/>
    <w:rsid w:val="0082396F"/>
    <w:rsid w:val="00823A0C"/>
    <w:rsid w:val="00823AEB"/>
    <w:rsid w:val="00823B79"/>
    <w:rsid w:val="00823C4B"/>
    <w:rsid w:val="00823DB2"/>
    <w:rsid w:val="00823E43"/>
    <w:rsid w:val="00823F22"/>
    <w:rsid w:val="00824174"/>
    <w:rsid w:val="008249A1"/>
    <w:rsid w:val="00824E21"/>
    <w:rsid w:val="008251F4"/>
    <w:rsid w:val="008252C7"/>
    <w:rsid w:val="008253BF"/>
    <w:rsid w:val="008256B0"/>
    <w:rsid w:val="008256FF"/>
    <w:rsid w:val="00825933"/>
    <w:rsid w:val="00825FFF"/>
    <w:rsid w:val="0082604B"/>
    <w:rsid w:val="00826220"/>
    <w:rsid w:val="008264F4"/>
    <w:rsid w:val="0082665D"/>
    <w:rsid w:val="00826747"/>
    <w:rsid w:val="008267DA"/>
    <w:rsid w:val="00826816"/>
    <w:rsid w:val="00826C83"/>
    <w:rsid w:val="00826D47"/>
    <w:rsid w:val="00827368"/>
    <w:rsid w:val="008273F7"/>
    <w:rsid w:val="0082775A"/>
    <w:rsid w:val="00827AAC"/>
    <w:rsid w:val="00827C83"/>
    <w:rsid w:val="00827D6E"/>
    <w:rsid w:val="00827DC0"/>
    <w:rsid w:val="00827DEF"/>
    <w:rsid w:val="00827F0B"/>
    <w:rsid w:val="00827F65"/>
    <w:rsid w:val="00830040"/>
    <w:rsid w:val="0083010F"/>
    <w:rsid w:val="008302B7"/>
    <w:rsid w:val="00830340"/>
    <w:rsid w:val="008303A5"/>
    <w:rsid w:val="00830561"/>
    <w:rsid w:val="00830A36"/>
    <w:rsid w:val="00830F45"/>
    <w:rsid w:val="0083115E"/>
    <w:rsid w:val="00831160"/>
    <w:rsid w:val="0083117D"/>
    <w:rsid w:val="008311BC"/>
    <w:rsid w:val="00831279"/>
    <w:rsid w:val="0083154C"/>
    <w:rsid w:val="00831864"/>
    <w:rsid w:val="008318FD"/>
    <w:rsid w:val="00831F0B"/>
    <w:rsid w:val="00831FC2"/>
    <w:rsid w:val="0083225C"/>
    <w:rsid w:val="0083256E"/>
    <w:rsid w:val="0083269B"/>
    <w:rsid w:val="00832835"/>
    <w:rsid w:val="00832B42"/>
    <w:rsid w:val="00832BB0"/>
    <w:rsid w:val="00832D79"/>
    <w:rsid w:val="00832F98"/>
    <w:rsid w:val="008330FE"/>
    <w:rsid w:val="008333AF"/>
    <w:rsid w:val="00833682"/>
    <w:rsid w:val="008337D2"/>
    <w:rsid w:val="00833A60"/>
    <w:rsid w:val="00833B23"/>
    <w:rsid w:val="00833DDB"/>
    <w:rsid w:val="00833E6F"/>
    <w:rsid w:val="00833F3F"/>
    <w:rsid w:val="0083438F"/>
    <w:rsid w:val="00834608"/>
    <w:rsid w:val="008346F0"/>
    <w:rsid w:val="008349B6"/>
    <w:rsid w:val="00834C54"/>
    <w:rsid w:val="00834ED2"/>
    <w:rsid w:val="0083508E"/>
    <w:rsid w:val="0083582D"/>
    <w:rsid w:val="00835B07"/>
    <w:rsid w:val="00835BC1"/>
    <w:rsid w:val="00835D78"/>
    <w:rsid w:val="00835F6A"/>
    <w:rsid w:val="0083608A"/>
    <w:rsid w:val="0083639B"/>
    <w:rsid w:val="00836562"/>
    <w:rsid w:val="00836D98"/>
    <w:rsid w:val="00837145"/>
    <w:rsid w:val="0083760E"/>
    <w:rsid w:val="0083793B"/>
    <w:rsid w:val="00837AA4"/>
    <w:rsid w:val="00837FBB"/>
    <w:rsid w:val="008404F3"/>
    <w:rsid w:val="0084089D"/>
    <w:rsid w:val="00840A12"/>
    <w:rsid w:val="00840A83"/>
    <w:rsid w:val="00840CA5"/>
    <w:rsid w:val="0084147D"/>
    <w:rsid w:val="00841533"/>
    <w:rsid w:val="00841A52"/>
    <w:rsid w:val="00841B13"/>
    <w:rsid w:val="00841E92"/>
    <w:rsid w:val="00841F43"/>
    <w:rsid w:val="0084298E"/>
    <w:rsid w:val="00842AB6"/>
    <w:rsid w:val="00842E09"/>
    <w:rsid w:val="00843016"/>
    <w:rsid w:val="00843577"/>
    <w:rsid w:val="00843CE5"/>
    <w:rsid w:val="00843E6F"/>
    <w:rsid w:val="008441CE"/>
    <w:rsid w:val="008443E7"/>
    <w:rsid w:val="00844562"/>
    <w:rsid w:val="00844890"/>
    <w:rsid w:val="00844A90"/>
    <w:rsid w:val="00844C88"/>
    <w:rsid w:val="00844E7A"/>
    <w:rsid w:val="00844F83"/>
    <w:rsid w:val="0084524A"/>
    <w:rsid w:val="0084541E"/>
    <w:rsid w:val="00845487"/>
    <w:rsid w:val="00845499"/>
    <w:rsid w:val="008454CC"/>
    <w:rsid w:val="008456CE"/>
    <w:rsid w:val="00845881"/>
    <w:rsid w:val="008459D4"/>
    <w:rsid w:val="008460D6"/>
    <w:rsid w:val="00846C00"/>
    <w:rsid w:val="00846E05"/>
    <w:rsid w:val="00846E4A"/>
    <w:rsid w:val="00846F3A"/>
    <w:rsid w:val="008471D5"/>
    <w:rsid w:val="00847517"/>
    <w:rsid w:val="00847C2B"/>
    <w:rsid w:val="00850128"/>
    <w:rsid w:val="008503D0"/>
    <w:rsid w:val="00850581"/>
    <w:rsid w:val="00850832"/>
    <w:rsid w:val="00850A66"/>
    <w:rsid w:val="00850CCC"/>
    <w:rsid w:val="00850D05"/>
    <w:rsid w:val="00851046"/>
    <w:rsid w:val="00851100"/>
    <w:rsid w:val="00851111"/>
    <w:rsid w:val="008511A9"/>
    <w:rsid w:val="00851201"/>
    <w:rsid w:val="0085127C"/>
    <w:rsid w:val="008512B5"/>
    <w:rsid w:val="0085159D"/>
    <w:rsid w:val="00851654"/>
    <w:rsid w:val="00851AF5"/>
    <w:rsid w:val="00851DAA"/>
    <w:rsid w:val="00851E3A"/>
    <w:rsid w:val="00851EA9"/>
    <w:rsid w:val="00851FB5"/>
    <w:rsid w:val="008521DB"/>
    <w:rsid w:val="008522D5"/>
    <w:rsid w:val="008523B5"/>
    <w:rsid w:val="00852677"/>
    <w:rsid w:val="00852766"/>
    <w:rsid w:val="0085276B"/>
    <w:rsid w:val="008527D1"/>
    <w:rsid w:val="00852984"/>
    <w:rsid w:val="00852A40"/>
    <w:rsid w:val="00852B97"/>
    <w:rsid w:val="00852DB9"/>
    <w:rsid w:val="00852EC6"/>
    <w:rsid w:val="008531BE"/>
    <w:rsid w:val="008533EE"/>
    <w:rsid w:val="00853921"/>
    <w:rsid w:val="00853B1F"/>
    <w:rsid w:val="00853B4B"/>
    <w:rsid w:val="00853D89"/>
    <w:rsid w:val="0085404C"/>
    <w:rsid w:val="00854332"/>
    <w:rsid w:val="008543AB"/>
    <w:rsid w:val="00854670"/>
    <w:rsid w:val="00854724"/>
    <w:rsid w:val="00854CBF"/>
    <w:rsid w:val="00854DAA"/>
    <w:rsid w:val="008550CB"/>
    <w:rsid w:val="00855513"/>
    <w:rsid w:val="00855761"/>
    <w:rsid w:val="00855B60"/>
    <w:rsid w:val="00855BEE"/>
    <w:rsid w:val="00855E0B"/>
    <w:rsid w:val="008560B9"/>
    <w:rsid w:val="008561E8"/>
    <w:rsid w:val="00856A20"/>
    <w:rsid w:val="00856C9A"/>
    <w:rsid w:val="00856D81"/>
    <w:rsid w:val="008570DB"/>
    <w:rsid w:val="0085710F"/>
    <w:rsid w:val="0085718B"/>
    <w:rsid w:val="0085776F"/>
    <w:rsid w:val="00857897"/>
    <w:rsid w:val="00857A69"/>
    <w:rsid w:val="00857B40"/>
    <w:rsid w:val="0086028E"/>
    <w:rsid w:val="0086032B"/>
    <w:rsid w:val="008603CB"/>
    <w:rsid w:val="0086044F"/>
    <w:rsid w:val="00860589"/>
    <w:rsid w:val="0086068F"/>
    <w:rsid w:val="00860793"/>
    <w:rsid w:val="008608A3"/>
    <w:rsid w:val="0086092E"/>
    <w:rsid w:val="008609F5"/>
    <w:rsid w:val="00860A8F"/>
    <w:rsid w:val="00860B4C"/>
    <w:rsid w:val="00860D6C"/>
    <w:rsid w:val="00860F5F"/>
    <w:rsid w:val="008612B7"/>
    <w:rsid w:val="0086169D"/>
    <w:rsid w:val="00861B3D"/>
    <w:rsid w:val="00861B8D"/>
    <w:rsid w:val="00862196"/>
    <w:rsid w:val="008622FB"/>
    <w:rsid w:val="0086242C"/>
    <w:rsid w:val="0086256A"/>
    <w:rsid w:val="008626B9"/>
    <w:rsid w:val="00862721"/>
    <w:rsid w:val="00862BB2"/>
    <w:rsid w:val="00863389"/>
    <w:rsid w:val="0086362C"/>
    <w:rsid w:val="00863847"/>
    <w:rsid w:val="0086396F"/>
    <w:rsid w:val="00863A17"/>
    <w:rsid w:val="0086447F"/>
    <w:rsid w:val="00864737"/>
    <w:rsid w:val="008647DE"/>
    <w:rsid w:val="00864953"/>
    <w:rsid w:val="00864A8A"/>
    <w:rsid w:val="00864B95"/>
    <w:rsid w:val="00864C3F"/>
    <w:rsid w:val="00864DEB"/>
    <w:rsid w:val="00864E48"/>
    <w:rsid w:val="008653CE"/>
    <w:rsid w:val="0086549E"/>
    <w:rsid w:val="008656A2"/>
    <w:rsid w:val="00865737"/>
    <w:rsid w:val="00865931"/>
    <w:rsid w:val="00865D1C"/>
    <w:rsid w:val="00865E72"/>
    <w:rsid w:val="00865EEB"/>
    <w:rsid w:val="00865F33"/>
    <w:rsid w:val="00866142"/>
    <w:rsid w:val="00866277"/>
    <w:rsid w:val="0086631B"/>
    <w:rsid w:val="0086635E"/>
    <w:rsid w:val="0086663F"/>
    <w:rsid w:val="00866788"/>
    <w:rsid w:val="008667B8"/>
    <w:rsid w:val="00866864"/>
    <w:rsid w:val="008668F6"/>
    <w:rsid w:val="00866A85"/>
    <w:rsid w:val="00866CC0"/>
    <w:rsid w:val="00866EFA"/>
    <w:rsid w:val="00867003"/>
    <w:rsid w:val="00867488"/>
    <w:rsid w:val="008675B1"/>
    <w:rsid w:val="0086774E"/>
    <w:rsid w:val="008679F0"/>
    <w:rsid w:val="00867B06"/>
    <w:rsid w:val="00867DA2"/>
    <w:rsid w:val="00870122"/>
    <w:rsid w:val="008705D6"/>
    <w:rsid w:val="00870715"/>
    <w:rsid w:val="00870BF0"/>
    <w:rsid w:val="00870BFB"/>
    <w:rsid w:val="00870C2B"/>
    <w:rsid w:val="00870CDD"/>
    <w:rsid w:val="00870E05"/>
    <w:rsid w:val="008712E0"/>
    <w:rsid w:val="008713BA"/>
    <w:rsid w:val="00871B8B"/>
    <w:rsid w:val="00871C23"/>
    <w:rsid w:val="00871C8A"/>
    <w:rsid w:val="00871C95"/>
    <w:rsid w:val="00871DDA"/>
    <w:rsid w:val="00872175"/>
    <w:rsid w:val="00872295"/>
    <w:rsid w:val="008723B7"/>
    <w:rsid w:val="008724D1"/>
    <w:rsid w:val="00872735"/>
    <w:rsid w:val="008727F1"/>
    <w:rsid w:val="0087295E"/>
    <w:rsid w:val="008731B8"/>
    <w:rsid w:val="0087324C"/>
    <w:rsid w:val="00873269"/>
    <w:rsid w:val="008735C6"/>
    <w:rsid w:val="00873620"/>
    <w:rsid w:val="00873BDE"/>
    <w:rsid w:val="00873C67"/>
    <w:rsid w:val="00873EFF"/>
    <w:rsid w:val="00874159"/>
    <w:rsid w:val="008743F0"/>
    <w:rsid w:val="00874545"/>
    <w:rsid w:val="008745A5"/>
    <w:rsid w:val="008747A6"/>
    <w:rsid w:val="00874ABD"/>
    <w:rsid w:val="00874DB0"/>
    <w:rsid w:val="00874E64"/>
    <w:rsid w:val="00875037"/>
    <w:rsid w:val="0087566D"/>
    <w:rsid w:val="0087591A"/>
    <w:rsid w:val="00875A5A"/>
    <w:rsid w:val="00875A72"/>
    <w:rsid w:val="00875DD2"/>
    <w:rsid w:val="00875F57"/>
    <w:rsid w:val="008760EF"/>
    <w:rsid w:val="00876363"/>
    <w:rsid w:val="00876567"/>
    <w:rsid w:val="008767E6"/>
    <w:rsid w:val="0087693A"/>
    <w:rsid w:val="00876B8D"/>
    <w:rsid w:val="00876F19"/>
    <w:rsid w:val="00877051"/>
    <w:rsid w:val="008771EA"/>
    <w:rsid w:val="00877277"/>
    <w:rsid w:val="008772D8"/>
    <w:rsid w:val="008773A1"/>
    <w:rsid w:val="00877727"/>
    <w:rsid w:val="00877A14"/>
    <w:rsid w:val="00877A66"/>
    <w:rsid w:val="00877B1A"/>
    <w:rsid w:val="00877BBA"/>
    <w:rsid w:val="00877E7E"/>
    <w:rsid w:val="00877E9C"/>
    <w:rsid w:val="00880017"/>
    <w:rsid w:val="008800D3"/>
    <w:rsid w:val="00880159"/>
    <w:rsid w:val="008806AF"/>
    <w:rsid w:val="00880C56"/>
    <w:rsid w:val="00880C84"/>
    <w:rsid w:val="00880CC3"/>
    <w:rsid w:val="00880D8E"/>
    <w:rsid w:val="00880E6D"/>
    <w:rsid w:val="00880F1A"/>
    <w:rsid w:val="00881275"/>
    <w:rsid w:val="008812AB"/>
    <w:rsid w:val="0088133C"/>
    <w:rsid w:val="0088141F"/>
    <w:rsid w:val="008816A8"/>
    <w:rsid w:val="00881ADB"/>
    <w:rsid w:val="00881B11"/>
    <w:rsid w:val="00881B16"/>
    <w:rsid w:val="00881C85"/>
    <w:rsid w:val="00881DB5"/>
    <w:rsid w:val="00882181"/>
    <w:rsid w:val="00882308"/>
    <w:rsid w:val="0088236F"/>
    <w:rsid w:val="00882748"/>
    <w:rsid w:val="00882D12"/>
    <w:rsid w:val="00882DC8"/>
    <w:rsid w:val="00882F76"/>
    <w:rsid w:val="0088308C"/>
    <w:rsid w:val="008831D1"/>
    <w:rsid w:val="008837B3"/>
    <w:rsid w:val="00883A62"/>
    <w:rsid w:val="00883B56"/>
    <w:rsid w:val="00883B6D"/>
    <w:rsid w:val="00883CA4"/>
    <w:rsid w:val="00883D75"/>
    <w:rsid w:val="00883E2B"/>
    <w:rsid w:val="00883EC1"/>
    <w:rsid w:val="008840F0"/>
    <w:rsid w:val="008841C5"/>
    <w:rsid w:val="00884395"/>
    <w:rsid w:val="00884A3C"/>
    <w:rsid w:val="00884EA2"/>
    <w:rsid w:val="00885218"/>
    <w:rsid w:val="00885306"/>
    <w:rsid w:val="0088535E"/>
    <w:rsid w:val="008853B4"/>
    <w:rsid w:val="008853C7"/>
    <w:rsid w:val="00885825"/>
    <w:rsid w:val="00885B9B"/>
    <w:rsid w:val="00885D5E"/>
    <w:rsid w:val="00886030"/>
    <w:rsid w:val="00886188"/>
    <w:rsid w:val="00886501"/>
    <w:rsid w:val="00886531"/>
    <w:rsid w:val="00886CDD"/>
    <w:rsid w:val="00886F36"/>
    <w:rsid w:val="00886F38"/>
    <w:rsid w:val="00886FF6"/>
    <w:rsid w:val="00887462"/>
    <w:rsid w:val="008879A9"/>
    <w:rsid w:val="00887A37"/>
    <w:rsid w:val="00887E1E"/>
    <w:rsid w:val="00890079"/>
    <w:rsid w:val="00891248"/>
    <w:rsid w:val="008914FB"/>
    <w:rsid w:val="008915B6"/>
    <w:rsid w:val="00891D47"/>
    <w:rsid w:val="00891DD9"/>
    <w:rsid w:val="0089214D"/>
    <w:rsid w:val="008922AD"/>
    <w:rsid w:val="0089275B"/>
    <w:rsid w:val="00892778"/>
    <w:rsid w:val="008928D3"/>
    <w:rsid w:val="00892B2A"/>
    <w:rsid w:val="00892B2D"/>
    <w:rsid w:val="0089394F"/>
    <w:rsid w:val="00893950"/>
    <w:rsid w:val="00893C0D"/>
    <w:rsid w:val="00893D72"/>
    <w:rsid w:val="00894081"/>
    <w:rsid w:val="00894125"/>
    <w:rsid w:val="00894143"/>
    <w:rsid w:val="0089435A"/>
    <w:rsid w:val="00894477"/>
    <w:rsid w:val="00894781"/>
    <w:rsid w:val="0089485F"/>
    <w:rsid w:val="00894A50"/>
    <w:rsid w:val="00894AA7"/>
    <w:rsid w:val="00894E3A"/>
    <w:rsid w:val="008950EF"/>
    <w:rsid w:val="00895372"/>
    <w:rsid w:val="008954F9"/>
    <w:rsid w:val="00895653"/>
    <w:rsid w:val="008957DD"/>
    <w:rsid w:val="00895E30"/>
    <w:rsid w:val="00896168"/>
    <w:rsid w:val="00896449"/>
    <w:rsid w:val="00896790"/>
    <w:rsid w:val="00897194"/>
    <w:rsid w:val="0089724F"/>
    <w:rsid w:val="0089754C"/>
    <w:rsid w:val="00897B2E"/>
    <w:rsid w:val="00897B5E"/>
    <w:rsid w:val="00897BC6"/>
    <w:rsid w:val="00897D8B"/>
    <w:rsid w:val="00897DC3"/>
    <w:rsid w:val="008A002A"/>
    <w:rsid w:val="008A014D"/>
    <w:rsid w:val="008A02EC"/>
    <w:rsid w:val="008A0E11"/>
    <w:rsid w:val="008A10E5"/>
    <w:rsid w:val="008A12ED"/>
    <w:rsid w:val="008A1B0F"/>
    <w:rsid w:val="008A20DA"/>
    <w:rsid w:val="008A21C0"/>
    <w:rsid w:val="008A22FC"/>
    <w:rsid w:val="008A27EA"/>
    <w:rsid w:val="008A287D"/>
    <w:rsid w:val="008A28B1"/>
    <w:rsid w:val="008A298B"/>
    <w:rsid w:val="008A2D0B"/>
    <w:rsid w:val="008A2D18"/>
    <w:rsid w:val="008A304A"/>
    <w:rsid w:val="008A3068"/>
    <w:rsid w:val="008A3163"/>
    <w:rsid w:val="008A3370"/>
    <w:rsid w:val="008A36C1"/>
    <w:rsid w:val="008A3CC4"/>
    <w:rsid w:val="008A3D8F"/>
    <w:rsid w:val="008A4019"/>
    <w:rsid w:val="008A40F4"/>
    <w:rsid w:val="008A40FE"/>
    <w:rsid w:val="008A436D"/>
    <w:rsid w:val="008A4424"/>
    <w:rsid w:val="008A4D27"/>
    <w:rsid w:val="008A534C"/>
    <w:rsid w:val="008A5616"/>
    <w:rsid w:val="008A57DF"/>
    <w:rsid w:val="008A581A"/>
    <w:rsid w:val="008A5E10"/>
    <w:rsid w:val="008A5FB5"/>
    <w:rsid w:val="008A6027"/>
    <w:rsid w:val="008A612D"/>
    <w:rsid w:val="008A6395"/>
    <w:rsid w:val="008A6B0E"/>
    <w:rsid w:val="008A6B2C"/>
    <w:rsid w:val="008A6B43"/>
    <w:rsid w:val="008A6D58"/>
    <w:rsid w:val="008A6E00"/>
    <w:rsid w:val="008A71FC"/>
    <w:rsid w:val="008A75A3"/>
    <w:rsid w:val="008A7878"/>
    <w:rsid w:val="008A7C16"/>
    <w:rsid w:val="008A7CA8"/>
    <w:rsid w:val="008A7FE2"/>
    <w:rsid w:val="008B0164"/>
    <w:rsid w:val="008B0254"/>
    <w:rsid w:val="008B044E"/>
    <w:rsid w:val="008B0526"/>
    <w:rsid w:val="008B062C"/>
    <w:rsid w:val="008B08AF"/>
    <w:rsid w:val="008B0F41"/>
    <w:rsid w:val="008B1415"/>
    <w:rsid w:val="008B1614"/>
    <w:rsid w:val="008B1ABF"/>
    <w:rsid w:val="008B1F63"/>
    <w:rsid w:val="008B20E3"/>
    <w:rsid w:val="008B22DC"/>
    <w:rsid w:val="008B22E8"/>
    <w:rsid w:val="008B240D"/>
    <w:rsid w:val="008B240E"/>
    <w:rsid w:val="008B259C"/>
    <w:rsid w:val="008B261F"/>
    <w:rsid w:val="008B2636"/>
    <w:rsid w:val="008B2B14"/>
    <w:rsid w:val="008B2BEE"/>
    <w:rsid w:val="008B3612"/>
    <w:rsid w:val="008B36DC"/>
    <w:rsid w:val="008B3745"/>
    <w:rsid w:val="008B3750"/>
    <w:rsid w:val="008B3C5E"/>
    <w:rsid w:val="008B4026"/>
    <w:rsid w:val="008B406E"/>
    <w:rsid w:val="008B4093"/>
    <w:rsid w:val="008B40F2"/>
    <w:rsid w:val="008B4389"/>
    <w:rsid w:val="008B4573"/>
    <w:rsid w:val="008B47C0"/>
    <w:rsid w:val="008B49A3"/>
    <w:rsid w:val="008B4D41"/>
    <w:rsid w:val="008B56A3"/>
    <w:rsid w:val="008B5C8F"/>
    <w:rsid w:val="008B5DD6"/>
    <w:rsid w:val="008B5F16"/>
    <w:rsid w:val="008B64D1"/>
    <w:rsid w:val="008B6582"/>
    <w:rsid w:val="008B658E"/>
    <w:rsid w:val="008B6AF5"/>
    <w:rsid w:val="008B6B1E"/>
    <w:rsid w:val="008B6F7C"/>
    <w:rsid w:val="008B7183"/>
    <w:rsid w:val="008B71CB"/>
    <w:rsid w:val="008B722F"/>
    <w:rsid w:val="008B7451"/>
    <w:rsid w:val="008B7722"/>
    <w:rsid w:val="008B77CE"/>
    <w:rsid w:val="008B7868"/>
    <w:rsid w:val="008B786F"/>
    <w:rsid w:val="008B792C"/>
    <w:rsid w:val="008B7CA2"/>
    <w:rsid w:val="008B7EAB"/>
    <w:rsid w:val="008B7F9A"/>
    <w:rsid w:val="008C02BE"/>
    <w:rsid w:val="008C02E7"/>
    <w:rsid w:val="008C031A"/>
    <w:rsid w:val="008C0475"/>
    <w:rsid w:val="008C066D"/>
    <w:rsid w:val="008C07DA"/>
    <w:rsid w:val="008C0921"/>
    <w:rsid w:val="008C0AFA"/>
    <w:rsid w:val="008C0DAB"/>
    <w:rsid w:val="008C0E5C"/>
    <w:rsid w:val="008C12CF"/>
    <w:rsid w:val="008C184B"/>
    <w:rsid w:val="008C18BC"/>
    <w:rsid w:val="008C1ADE"/>
    <w:rsid w:val="008C1B45"/>
    <w:rsid w:val="008C1E2C"/>
    <w:rsid w:val="008C2510"/>
    <w:rsid w:val="008C26EC"/>
    <w:rsid w:val="008C26ED"/>
    <w:rsid w:val="008C28D0"/>
    <w:rsid w:val="008C2981"/>
    <w:rsid w:val="008C29FE"/>
    <w:rsid w:val="008C2BB5"/>
    <w:rsid w:val="008C2E55"/>
    <w:rsid w:val="008C343F"/>
    <w:rsid w:val="008C34E7"/>
    <w:rsid w:val="008C36BD"/>
    <w:rsid w:val="008C3920"/>
    <w:rsid w:val="008C39E1"/>
    <w:rsid w:val="008C3B3A"/>
    <w:rsid w:val="008C3C50"/>
    <w:rsid w:val="008C3C63"/>
    <w:rsid w:val="008C4206"/>
    <w:rsid w:val="008C43E2"/>
    <w:rsid w:val="008C4581"/>
    <w:rsid w:val="008C489E"/>
    <w:rsid w:val="008C4EF6"/>
    <w:rsid w:val="008C4FA9"/>
    <w:rsid w:val="008C504D"/>
    <w:rsid w:val="008C56E7"/>
    <w:rsid w:val="008C59DF"/>
    <w:rsid w:val="008C5D76"/>
    <w:rsid w:val="008C5EE3"/>
    <w:rsid w:val="008C610B"/>
    <w:rsid w:val="008C6829"/>
    <w:rsid w:val="008C6B32"/>
    <w:rsid w:val="008C6E40"/>
    <w:rsid w:val="008C6F52"/>
    <w:rsid w:val="008C6FBE"/>
    <w:rsid w:val="008C6FFE"/>
    <w:rsid w:val="008C7138"/>
    <w:rsid w:val="008C73B9"/>
    <w:rsid w:val="008C7584"/>
    <w:rsid w:val="008C7730"/>
    <w:rsid w:val="008C7941"/>
    <w:rsid w:val="008C79A1"/>
    <w:rsid w:val="008C7C57"/>
    <w:rsid w:val="008D018E"/>
    <w:rsid w:val="008D0369"/>
    <w:rsid w:val="008D0519"/>
    <w:rsid w:val="008D06C2"/>
    <w:rsid w:val="008D0902"/>
    <w:rsid w:val="008D0A24"/>
    <w:rsid w:val="008D0B43"/>
    <w:rsid w:val="008D0ED4"/>
    <w:rsid w:val="008D100D"/>
    <w:rsid w:val="008D1497"/>
    <w:rsid w:val="008D15FB"/>
    <w:rsid w:val="008D1C1A"/>
    <w:rsid w:val="008D1EA9"/>
    <w:rsid w:val="008D1FB9"/>
    <w:rsid w:val="008D2099"/>
    <w:rsid w:val="008D2174"/>
    <w:rsid w:val="008D2181"/>
    <w:rsid w:val="008D248E"/>
    <w:rsid w:val="008D264B"/>
    <w:rsid w:val="008D283F"/>
    <w:rsid w:val="008D32FC"/>
    <w:rsid w:val="008D335A"/>
    <w:rsid w:val="008D348B"/>
    <w:rsid w:val="008D3C94"/>
    <w:rsid w:val="008D3E3A"/>
    <w:rsid w:val="008D4269"/>
    <w:rsid w:val="008D4398"/>
    <w:rsid w:val="008D4629"/>
    <w:rsid w:val="008D4658"/>
    <w:rsid w:val="008D46EE"/>
    <w:rsid w:val="008D4837"/>
    <w:rsid w:val="008D4A17"/>
    <w:rsid w:val="008D4E5B"/>
    <w:rsid w:val="008D5391"/>
    <w:rsid w:val="008D55D1"/>
    <w:rsid w:val="008D5705"/>
    <w:rsid w:val="008D5986"/>
    <w:rsid w:val="008D6146"/>
    <w:rsid w:val="008D635F"/>
    <w:rsid w:val="008D6432"/>
    <w:rsid w:val="008D6600"/>
    <w:rsid w:val="008D6782"/>
    <w:rsid w:val="008D6A98"/>
    <w:rsid w:val="008D6C04"/>
    <w:rsid w:val="008D6D34"/>
    <w:rsid w:val="008D7C54"/>
    <w:rsid w:val="008D7CD8"/>
    <w:rsid w:val="008D7E57"/>
    <w:rsid w:val="008D7EE9"/>
    <w:rsid w:val="008E006C"/>
    <w:rsid w:val="008E027A"/>
    <w:rsid w:val="008E0337"/>
    <w:rsid w:val="008E0629"/>
    <w:rsid w:val="008E07EB"/>
    <w:rsid w:val="008E097D"/>
    <w:rsid w:val="008E13C9"/>
    <w:rsid w:val="008E14F9"/>
    <w:rsid w:val="008E1619"/>
    <w:rsid w:val="008E16A3"/>
    <w:rsid w:val="008E174F"/>
    <w:rsid w:val="008E1B8E"/>
    <w:rsid w:val="008E1BF5"/>
    <w:rsid w:val="008E1FC2"/>
    <w:rsid w:val="008E2136"/>
    <w:rsid w:val="008E21BD"/>
    <w:rsid w:val="008E230B"/>
    <w:rsid w:val="008E24E6"/>
    <w:rsid w:val="008E27A2"/>
    <w:rsid w:val="008E2802"/>
    <w:rsid w:val="008E2BE4"/>
    <w:rsid w:val="008E2CBC"/>
    <w:rsid w:val="008E2CC7"/>
    <w:rsid w:val="008E2D39"/>
    <w:rsid w:val="008E2D87"/>
    <w:rsid w:val="008E3191"/>
    <w:rsid w:val="008E3357"/>
    <w:rsid w:val="008E345C"/>
    <w:rsid w:val="008E3A3F"/>
    <w:rsid w:val="008E3B97"/>
    <w:rsid w:val="008E3DD7"/>
    <w:rsid w:val="008E3E07"/>
    <w:rsid w:val="008E3ED5"/>
    <w:rsid w:val="008E41BE"/>
    <w:rsid w:val="008E4254"/>
    <w:rsid w:val="008E43B9"/>
    <w:rsid w:val="008E456A"/>
    <w:rsid w:val="008E464A"/>
    <w:rsid w:val="008E4875"/>
    <w:rsid w:val="008E49F3"/>
    <w:rsid w:val="008E4A5B"/>
    <w:rsid w:val="008E4FAE"/>
    <w:rsid w:val="008E5047"/>
    <w:rsid w:val="008E5175"/>
    <w:rsid w:val="008E538E"/>
    <w:rsid w:val="008E53A2"/>
    <w:rsid w:val="008E564D"/>
    <w:rsid w:val="008E5786"/>
    <w:rsid w:val="008E58F0"/>
    <w:rsid w:val="008E5912"/>
    <w:rsid w:val="008E5B20"/>
    <w:rsid w:val="008E62D2"/>
    <w:rsid w:val="008E66B3"/>
    <w:rsid w:val="008E68E5"/>
    <w:rsid w:val="008E6B4E"/>
    <w:rsid w:val="008E6B79"/>
    <w:rsid w:val="008E6CE6"/>
    <w:rsid w:val="008E6DC0"/>
    <w:rsid w:val="008E6F90"/>
    <w:rsid w:val="008E7144"/>
    <w:rsid w:val="008E72EE"/>
    <w:rsid w:val="008E731B"/>
    <w:rsid w:val="008E7455"/>
    <w:rsid w:val="008E7970"/>
    <w:rsid w:val="008E7A82"/>
    <w:rsid w:val="008E7B02"/>
    <w:rsid w:val="008E7B40"/>
    <w:rsid w:val="008E7C34"/>
    <w:rsid w:val="008E7F4A"/>
    <w:rsid w:val="008F0155"/>
    <w:rsid w:val="008F03A7"/>
    <w:rsid w:val="008F0487"/>
    <w:rsid w:val="008F0B57"/>
    <w:rsid w:val="008F0C36"/>
    <w:rsid w:val="008F0C63"/>
    <w:rsid w:val="008F0E75"/>
    <w:rsid w:val="008F0EB2"/>
    <w:rsid w:val="008F1016"/>
    <w:rsid w:val="008F107F"/>
    <w:rsid w:val="008F10B3"/>
    <w:rsid w:val="008F10D9"/>
    <w:rsid w:val="008F10DD"/>
    <w:rsid w:val="008F10F1"/>
    <w:rsid w:val="008F12B8"/>
    <w:rsid w:val="008F1959"/>
    <w:rsid w:val="008F1BDA"/>
    <w:rsid w:val="008F1C38"/>
    <w:rsid w:val="008F1E3C"/>
    <w:rsid w:val="008F20F7"/>
    <w:rsid w:val="008F21B8"/>
    <w:rsid w:val="008F23CE"/>
    <w:rsid w:val="008F2451"/>
    <w:rsid w:val="008F258F"/>
    <w:rsid w:val="008F2847"/>
    <w:rsid w:val="008F2B4C"/>
    <w:rsid w:val="008F2F7D"/>
    <w:rsid w:val="008F328D"/>
    <w:rsid w:val="008F344B"/>
    <w:rsid w:val="008F344E"/>
    <w:rsid w:val="008F36E2"/>
    <w:rsid w:val="008F377B"/>
    <w:rsid w:val="008F3C4B"/>
    <w:rsid w:val="008F3D94"/>
    <w:rsid w:val="008F4033"/>
    <w:rsid w:val="008F42B0"/>
    <w:rsid w:val="008F43F5"/>
    <w:rsid w:val="008F4453"/>
    <w:rsid w:val="008F47F6"/>
    <w:rsid w:val="008F4823"/>
    <w:rsid w:val="008F4835"/>
    <w:rsid w:val="008F48F6"/>
    <w:rsid w:val="008F4D8C"/>
    <w:rsid w:val="008F4E23"/>
    <w:rsid w:val="008F4FC9"/>
    <w:rsid w:val="008F50A6"/>
    <w:rsid w:val="008F51DA"/>
    <w:rsid w:val="008F56DE"/>
    <w:rsid w:val="008F57EB"/>
    <w:rsid w:val="008F5D89"/>
    <w:rsid w:val="008F5E4C"/>
    <w:rsid w:val="008F60D4"/>
    <w:rsid w:val="008F61A0"/>
    <w:rsid w:val="008F621C"/>
    <w:rsid w:val="008F67CC"/>
    <w:rsid w:val="008F6AD6"/>
    <w:rsid w:val="008F78F0"/>
    <w:rsid w:val="008F7A6D"/>
    <w:rsid w:val="008F7B10"/>
    <w:rsid w:val="00900259"/>
    <w:rsid w:val="009002D4"/>
    <w:rsid w:val="0090055C"/>
    <w:rsid w:val="009007AC"/>
    <w:rsid w:val="009007FC"/>
    <w:rsid w:val="00900AF3"/>
    <w:rsid w:val="00900B47"/>
    <w:rsid w:val="00900C35"/>
    <w:rsid w:val="00901012"/>
    <w:rsid w:val="009010C2"/>
    <w:rsid w:val="009011CE"/>
    <w:rsid w:val="00901329"/>
    <w:rsid w:val="009017A1"/>
    <w:rsid w:val="00901C5A"/>
    <w:rsid w:val="00901D41"/>
    <w:rsid w:val="00902050"/>
    <w:rsid w:val="0090252A"/>
    <w:rsid w:val="0090258C"/>
    <w:rsid w:val="009025AB"/>
    <w:rsid w:val="00902601"/>
    <w:rsid w:val="009027F4"/>
    <w:rsid w:val="00902842"/>
    <w:rsid w:val="00902B8E"/>
    <w:rsid w:val="00902C00"/>
    <w:rsid w:val="00902CA5"/>
    <w:rsid w:val="00902D4F"/>
    <w:rsid w:val="00902FCC"/>
    <w:rsid w:val="009030E3"/>
    <w:rsid w:val="0090348D"/>
    <w:rsid w:val="009034B9"/>
    <w:rsid w:val="00903797"/>
    <w:rsid w:val="00903FB3"/>
    <w:rsid w:val="00904690"/>
    <w:rsid w:val="009048C3"/>
    <w:rsid w:val="00905336"/>
    <w:rsid w:val="009053D0"/>
    <w:rsid w:val="009060FF"/>
    <w:rsid w:val="009066DC"/>
    <w:rsid w:val="00906E22"/>
    <w:rsid w:val="00906E85"/>
    <w:rsid w:val="0090728D"/>
    <w:rsid w:val="00907441"/>
    <w:rsid w:val="009074D8"/>
    <w:rsid w:val="00907542"/>
    <w:rsid w:val="00907583"/>
    <w:rsid w:val="0090758F"/>
    <w:rsid w:val="0090766F"/>
    <w:rsid w:val="0090779A"/>
    <w:rsid w:val="0090780A"/>
    <w:rsid w:val="0090787E"/>
    <w:rsid w:val="00907881"/>
    <w:rsid w:val="0090798F"/>
    <w:rsid w:val="00907D9C"/>
    <w:rsid w:val="009102B4"/>
    <w:rsid w:val="0091052B"/>
    <w:rsid w:val="00910715"/>
    <w:rsid w:val="009107FF"/>
    <w:rsid w:val="00910873"/>
    <w:rsid w:val="0091091D"/>
    <w:rsid w:val="009109E1"/>
    <w:rsid w:val="00910AF6"/>
    <w:rsid w:val="00910E8C"/>
    <w:rsid w:val="009110E2"/>
    <w:rsid w:val="00911327"/>
    <w:rsid w:val="00911406"/>
    <w:rsid w:val="009114AB"/>
    <w:rsid w:val="00911B8D"/>
    <w:rsid w:val="00911E54"/>
    <w:rsid w:val="00911ED8"/>
    <w:rsid w:val="00911F7E"/>
    <w:rsid w:val="009122CA"/>
    <w:rsid w:val="009122DB"/>
    <w:rsid w:val="00912848"/>
    <w:rsid w:val="00912B56"/>
    <w:rsid w:val="00912C6F"/>
    <w:rsid w:val="00912D88"/>
    <w:rsid w:val="00912E50"/>
    <w:rsid w:val="00912E6B"/>
    <w:rsid w:val="009133D4"/>
    <w:rsid w:val="009133EA"/>
    <w:rsid w:val="009136D9"/>
    <w:rsid w:val="00913F98"/>
    <w:rsid w:val="00914D25"/>
    <w:rsid w:val="00914D48"/>
    <w:rsid w:val="00914EB5"/>
    <w:rsid w:val="00915512"/>
    <w:rsid w:val="0091568F"/>
    <w:rsid w:val="009157A1"/>
    <w:rsid w:val="00915D3A"/>
    <w:rsid w:val="00915EF5"/>
    <w:rsid w:val="00916223"/>
    <w:rsid w:val="00916269"/>
    <w:rsid w:val="009163A0"/>
    <w:rsid w:val="009165A9"/>
    <w:rsid w:val="0091696F"/>
    <w:rsid w:val="00916AAB"/>
    <w:rsid w:val="00916C99"/>
    <w:rsid w:val="00916EE9"/>
    <w:rsid w:val="00917159"/>
    <w:rsid w:val="00917210"/>
    <w:rsid w:val="00917690"/>
    <w:rsid w:val="00917C84"/>
    <w:rsid w:val="00917D6B"/>
    <w:rsid w:val="00917EAF"/>
    <w:rsid w:val="00920913"/>
    <w:rsid w:val="00920FCF"/>
    <w:rsid w:val="0092119F"/>
    <w:rsid w:val="009215FF"/>
    <w:rsid w:val="00921892"/>
    <w:rsid w:val="009218A2"/>
    <w:rsid w:val="0092191B"/>
    <w:rsid w:val="00921D86"/>
    <w:rsid w:val="00921F1C"/>
    <w:rsid w:val="00921FE8"/>
    <w:rsid w:val="0092241F"/>
    <w:rsid w:val="009224A3"/>
    <w:rsid w:val="009224B7"/>
    <w:rsid w:val="0092261B"/>
    <w:rsid w:val="009227D9"/>
    <w:rsid w:val="00922A44"/>
    <w:rsid w:val="00922CB8"/>
    <w:rsid w:val="00922E3B"/>
    <w:rsid w:val="00922FD8"/>
    <w:rsid w:val="009230B4"/>
    <w:rsid w:val="00923261"/>
    <w:rsid w:val="00923281"/>
    <w:rsid w:val="009233CC"/>
    <w:rsid w:val="00923509"/>
    <w:rsid w:val="00923551"/>
    <w:rsid w:val="0092360F"/>
    <w:rsid w:val="00923633"/>
    <w:rsid w:val="00923651"/>
    <w:rsid w:val="00923A81"/>
    <w:rsid w:val="00923C11"/>
    <w:rsid w:val="009240D8"/>
    <w:rsid w:val="009240FF"/>
    <w:rsid w:val="009242AE"/>
    <w:rsid w:val="00924502"/>
    <w:rsid w:val="00924AA7"/>
    <w:rsid w:val="00924EC9"/>
    <w:rsid w:val="009250DB"/>
    <w:rsid w:val="0092518C"/>
    <w:rsid w:val="0092523D"/>
    <w:rsid w:val="0092571D"/>
    <w:rsid w:val="0092586A"/>
    <w:rsid w:val="009259B7"/>
    <w:rsid w:val="00925EF6"/>
    <w:rsid w:val="00925F7F"/>
    <w:rsid w:val="009260FB"/>
    <w:rsid w:val="00926354"/>
    <w:rsid w:val="009264CA"/>
    <w:rsid w:val="00926826"/>
    <w:rsid w:val="00926C30"/>
    <w:rsid w:val="00926F34"/>
    <w:rsid w:val="00927038"/>
    <w:rsid w:val="0092785A"/>
    <w:rsid w:val="0092789F"/>
    <w:rsid w:val="00927A08"/>
    <w:rsid w:val="00927B8C"/>
    <w:rsid w:val="00927DA0"/>
    <w:rsid w:val="00927ECA"/>
    <w:rsid w:val="00927F26"/>
    <w:rsid w:val="00927FCB"/>
    <w:rsid w:val="009303C3"/>
    <w:rsid w:val="00930560"/>
    <w:rsid w:val="0093066B"/>
    <w:rsid w:val="0093069F"/>
    <w:rsid w:val="00930745"/>
    <w:rsid w:val="00930812"/>
    <w:rsid w:val="00930948"/>
    <w:rsid w:val="00930A39"/>
    <w:rsid w:val="00930A74"/>
    <w:rsid w:val="00930E1C"/>
    <w:rsid w:val="00930EA1"/>
    <w:rsid w:val="00930F8E"/>
    <w:rsid w:val="009310EB"/>
    <w:rsid w:val="00931112"/>
    <w:rsid w:val="00931338"/>
    <w:rsid w:val="009316A4"/>
    <w:rsid w:val="0093176E"/>
    <w:rsid w:val="00931852"/>
    <w:rsid w:val="00931B5E"/>
    <w:rsid w:val="00932100"/>
    <w:rsid w:val="009322E1"/>
    <w:rsid w:val="00932509"/>
    <w:rsid w:val="00932929"/>
    <w:rsid w:val="00932983"/>
    <w:rsid w:val="009329B0"/>
    <w:rsid w:val="009329B2"/>
    <w:rsid w:val="00932E6F"/>
    <w:rsid w:val="009332E2"/>
    <w:rsid w:val="00933817"/>
    <w:rsid w:val="00933A35"/>
    <w:rsid w:val="00933D8F"/>
    <w:rsid w:val="00933FE3"/>
    <w:rsid w:val="009346B0"/>
    <w:rsid w:val="00934B9E"/>
    <w:rsid w:val="00934EAC"/>
    <w:rsid w:val="009350E4"/>
    <w:rsid w:val="009354E5"/>
    <w:rsid w:val="00935753"/>
    <w:rsid w:val="009359DF"/>
    <w:rsid w:val="00935A5A"/>
    <w:rsid w:val="0093603E"/>
    <w:rsid w:val="009360D7"/>
    <w:rsid w:val="0093610A"/>
    <w:rsid w:val="009362C9"/>
    <w:rsid w:val="00936305"/>
    <w:rsid w:val="00936ADA"/>
    <w:rsid w:val="00936E59"/>
    <w:rsid w:val="0093743C"/>
    <w:rsid w:val="00937498"/>
    <w:rsid w:val="00937509"/>
    <w:rsid w:val="0093753F"/>
    <w:rsid w:val="00937935"/>
    <w:rsid w:val="00937E54"/>
    <w:rsid w:val="00937F67"/>
    <w:rsid w:val="009404D7"/>
    <w:rsid w:val="009405A4"/>
    <w:rsid w:val="009407AA"/>
    <w:rsid w:val="00940907"/>
    <w:rsid w:val="00940AD1"/>
    <w:rsid w:val="00940E50"/>
    <w:rsid w:val="00941026"/>
    <w:rsid w:val="00941536"/>
    <w:rsid w:val="00941754"/>
    <w:rsid w:val="00941769"/>
    <w:rsid w:val="00941D13"/>
    <w:rsid w:val="00942058"/>
    <w:rsid w:val="0094218A"/>
    <w:rsid w:val="00942226"/>
    <w:rsid w:val="00942387"/>
    <w:rsid w:val="009429BD"/>
    <w:rsid w:val="00942A1E"/>
    <w:rsid w:val="00942D49"/>
    <w:rsid w:val="0094380C"/>
    <w:rsid w:val="0094385A"/>
    <w:rsid w:val="009438FE"/>
    <w:rsid w:val="00943AD9"/>
    <w:rsid w:val="00943AE3"/>
    <w:rsid w:val="00944236"/>
    <w:rsid w:val="00944614"/>
    <w:rsid w:val="00944959"/>
    <w:rsid w:val="00944EAE"/>
    <w:rsid w:val="00945120"/>
    <w:rsid w:val="0094517F"/>
    <w:rsid w:val="009451A4"/>
    <w:rsid w:val="00945223"/>
    <w:rsid w:val="0094553C"/>
    <w:rsid w:val="00945613"/>
    <w:rsid w:val="0094573D"/>
    <w:rsid w:val="009457B0"/>
    <w:rsid w:val="00945A16"/>
    <w:rsid w:val="00945B2C"/>
    <w:rsid w:val="00945BEC"/>
    <w:rsid w:val="00945D86"/>
    <w:rsid w:val="00945D89"/>
    <w:rsid w:val="00945EF3"/>
    <w:rsid w:val="00946019"/>
    <w:rsid w:val="0094626F"/>
    <w:rsid w:val="009462D2"/>
    <w:rsid w:val="0094692B"/>
    <w:rsid w:val="00946A1D"/>
    <w:rsid w:val="0094743A"/>
    <w:rsid w:val="00947596"/>
    <w:rsid w:val="009476AB"/>
    <w:rsid w:val="009479A6"/>
    <w:rsid w:val="009479F5"/>
    <w:rsid w:val="00947E56"/>
    <w:rsid w:val="009502CD"/>
    <w:rsid w:val="00950A20"/>
    <w:rsid w:val="00950CD5"/>
    <w:rsid w:val="00950D16"/>
    <w:rsid w:val="0095101B"/>
    <w:rsid w:val="0095113F"/>
    <w:rsid w:val="0095118D"/>
    <w:rsid w:val="00951282"/>
    <w:rsid w:val="0095144C"/>
    <w:rsid w:val="009515F4"/>
    <w:rsid w:val="0095165B"/>
    <w:rsid w:val="00951758"/>
    <w:rsid w:val="00951BD0"/>
    <w:rsid w:val="00951D17"/>
    <w:rsid w:val="00952388"/>
    <w:rsid w:val="00952500"/>
    <w:rsid w:val="00952548"/>
    <w:rsid w:val="00952844"/>
    <w:rsid w:val="009531B5"/>
    <w:rsid w:val="00953777"/>
    <w:rsid w:val="00953825"/>
    <w:rsid w:val="00953832"/>
    <w:rsid w:val="009538C2"/>
    <w:rsid w:val="00953D79"/>
    <w:rsid w:val="00953D91"/>
    <w:rsid w:val="00953F06"/>
    <w:rsid w:val="00954003"/>
    <w:rsid w:val="00954148"/>
    <w:rsid w:val="009542ED"/>
    <w:rsid w:val="0095434A"/>
    <w:rsid w:val="009545BA"/>
    <w:rsid w:val="009548A1"/>
    <w:rsid w:val="00954939"/>
    <w:rsid w:val="00954A8B"/>
    <w:rsid w:val="009553DD"/>
    <w:rsid w:val="009554B5"/>
    <w:rsid w:val="0095554D"/>
    <w:rsid w:val="00955943"/>
    <w:rsid w:val="009559B8"/>
    <w:rsid w:val="00955AC4"/>
    <w:rsid w:val="00955DF3"/>
    <w:rsid w:val="00955F6F"/>
    <w:rsid w:val="0095608E"/>
    <w:rsid w:val="009561A6"/>
    <w:rsid w:val="009562DA"/>
    <w:rsid w:val="0095654C"/>
    <w:rsid w:val="009566A5"/>
    <w:rsid w:val="0095686C"/>
    <w:rsid w:val="009568CE"/>
    <w:rsid w:val="00956C4E"/>
    <w:rsid w:val="00956FA7"/>
    <w:rsid w:val="00957229"/>
    <w:rsid w:val="0095751D"/>
    <w:rsid w:val="00957569"/>
    <w:rsid w:val="00957A77"/>
    <w:rsid w:val="00957CC7"/>
    <w:rsid w:val="00957D5D"/>
    <w:rsid w:val="0096002A"/>
    <w:rsid w:val="009601E7"/>
    <w:rsid w:val="009608B0"/>
    <w:rsid w:val="009608B3"/>
    <w:rsid w:val="00960934"/>
    <w:rsid w:val="00960E96"/>
    <w:rsid w:val="00961623"/>
    <w:rsid w:val="009619B3"/>
    <w:rsid w:val="00961F98"/>
    <w:rsid w:val="00961F9F"/>
    <w:rsid w:val="00961FF0"/>
    <w:rsid w:val="00962150"/>
    <w:rsid w:val="00962323"/>
    <w:rsid w:val="00962671"/>
    <w:rsid w:val="009626AC"/>
    <w:rsid w:val="0096272A"/>
    <w:rsid w:val="0096297B"/>
    <w:rsid w:val="00962AEE"/>
    <w:rsid w:val="00963209"/>
    <w:rsid w:val="00963269"/>
    <w:rsid w:val="009633D7"/>
    <w:rsid w:val="009637F5"/>
    <w:rsid w:val="00963959"/>
    <w:rsid w:val="00963ACD"/>
    <w:rsid w:val="00963B85"/>
    <w:rsid w:val="00963C1F"/>
    <w:rsid w:val="00963DA1"/>
    <w:rsid w:val="00963DC3"/>
    <w:rsid w:val="00963E56"/>
    <w:rsid w:val="00963E92"/>
    <w:rsid w:val="00964499"/>
    <w:rsid w:val="009644AA"/>
    <w:rsid w:val="00964723"/>
    <w:rsid w:val="00964A1C"/>
    <w:rsid w:val="00964A79"/>
    <w:rsid w:val="00964C14"/>
    <w:rsid w:val="00964C2F"/>
    <w:rsid w:val="00964CF1"/>
    <w:rsid w:val="009652D5"/>
    <w:rsid w:val="00965CF8"/>
    <w:rsid w:val="00966130"/>
    <w:rsid w:val="00966329"/>
    <w:rsid w:val="009664FD"/>
    <w:rsid w:val="00966561"/>
    <w:rsid w:val="00966C16"/>
    <w:rsid w:val="00966C64"/>
    <w:rsid w:val="00966CA9"/>
    <w:rsid w:val="00966D01"/>
    <w:rsid w:val="009671F5"/>
    <w:rsid w:val="009673BF"/>
    <w:rsid w:val="0096761A"/>
    <w:rsid w:val="009677F8"/>
    <w:rsid w:val="00967F62"/>
    <w:rsid w:val="0097036B"/>
    <w:rsid w:val="0097054C"/>
    <w:rsid w:val="009705FE"/>
    <w:rsid w:val="00970910"/>
    <w:rsid w:val="00970C46"/>
    <w:rsid w:val="00970D1A"/>
    <w:rsid w:val="00970E55"/>
    <w:rsid w:val="00970EF1"/>
    <w:rsid w:val="00970F09"/>
    <w:rsid w:val="00970F7A"/>
    <w:rsid w:val="00971146"/>
    <w:rsid w:val="0097127A"/>
    <w:rsid w:val="009713E2"/>
    <w:rsid w:val="009713EB"/>
    <w:rsid w:val="0097141D"/>
    <w:rsid w:val="009717BC"/>
    <w:rsid w:val="009717F0"/>
    <w:rsid w:val="009718C4"/>
    <w:rsid w:val="0097198B"/>
    <w:rsid w:val="00971AA1"/>
    <w:rsid w:val="00971B6A"/>
    <w:rsid w:val="00971C26"/>
    <w:rsid w:val="00971C3A"/>
    <w:rsid w:val="00971DC0"/>
    <w:rsid w:val="00972278"/>
    <w:rsid w:val="0097229F"/>
    <w:rsid w:val="009723EC"/>
    <w:rsid w:val="00972582"/>
    <w:rsid w:val="009725F2"/>
    <w:rsid w:val="00972636"/>
    <w:rsid w:val="00972847"/>
    <w:rsid w:val="00972916"/>
    <w:rsid w:val="00972A9A"/>
    <w:rsid w:val="00972AFF"/>
    <w:rsid w:val="00972B99"/>
    <w:rsid w:val="009730F0"/>
    <w:rsid w:val="0097331F"/>
    <w:rsid w:val="009735FB"/>
    <w:rsid w:val="00973738"/>
    <w:rsid w:val="0097374B"/>
    <w:rsid w:val="009737F7"/>
    <w:rsid w:val="00973C85"/>
    <w:rsid w:val="00973DBF"/>
    <w:rsid w:val="00974091"/>
    <w:rsid w:val="0097429B"/>
    <w:rsid w:val="009746C6"/>
    <w:rsid w:val="0097498A"/>
    <w:rsid w:val="009749F7"/>
    <w:rsid w:val="00974D9C"/>
    <w:rsid w:val="00974F5C"/>
    <w:rsid w:val="00974FF5"/>
    <w:rsid w:val="009755AF"/>
    <w:rsid w:val="009757B3"/>
    <w:rsid w:val="00975B8C"/>
    <w:rsid w:val="0097600B"/>
    <w:rsid w:val="0097691F"/>
    <w:rsid w:val="009769C3"/>
    <w:rsid w:val="00976F1E"/>
    <w:rsid w:val="00977263"/>
    <w:rsid w:val="0097783B"/>
    <w:rsid w:val="00977A34"/>
    <w:rsid w:val="00977D75"/>
    <w:rsid w:val="00977FE8"/>
    <w:rsid w:val="009805DD"/>
    <w:rsid w:val="009809DC"/>
    <w:rsid w:val="00980AF1"/>
    <w:rsid w:val="00980C4C"/>
    <w:rsid w:val="00981126"/>
    <w:rsid w:val="00981301"/>
    <w:rsid w:val="00981337"/>
    <w:rsid w:val="0098151D"/>
    <w:rsid w:val="00981723"/>
    <w:rsid w:val="0098193C"/>
    <w:rsid w:val="00981C05"/>
    <w:rsid w:val="00981C23"/>
    <w:rsid w:val="00981D7C"/>
    <w:rsid w:val="00981E75"/>
    <w:rsid w:val="00982104"/>
    <w:rsid w:val="009821F9"/>
    <w:rsid w:val="00982435"/>
    <w:rsid w:val="00982559"/>
    <w:rsid w:val="00982627"/>
    <w:rsid w:val="00982719"/>
    <w:rsid w:val="00982745"/>
    <w:rsid w:val="0098280F"/>
    <w:rsid w:val="009828E2"/>
    <w:rsid w:val="0098291E"/>
    <w:rsid w:val="0098307E"/>
    <w:rsid w:val="00983096"/>
    <w:rsid w:val="00983174"/>
    <w:rsid w:val="0098338D"/>
    <w:rsid w:val="009837CE"/>
    <w:rsid w:val="00983847"/>
    <w:rsid w:val="00983A0F"/>
    <w:rsid w:val="00983C31"/>
    <w:rsid w:val="00983DFB"/>
    <w:rsid w:val="00983E7E"/>
    <w:rsid w:val="00983EF1"/>
    <w:rsid w:val="0098401C"/>
    <w:rsid w:val="00984061"/>
    <w:rsid w:val="009841C1"/>
    <w:rsid w:val="0098461A"/>
    <w:rsid w:val="00984835"/>
    <w:rsid w:val="00984A1E"/>
    <w:rsid w:val="00984C07"/>
    <w:rsid w:val="00984E8C"/>
    <w:rsid w:val="00985121"/>
    <w:rsid w:val="0098513A"/>
    <w:rsid w:val="00985203"/>
    <w:rsid w:val="00985B37"/>
    <w:rsid w:val="00985CF9"/>
    <w:rsid w:val="00985E04"/>
    <w:rsid w:val="00985F30"/>
    <w:rsid w:val="00986090"/>
    <w:rsid w:val="009862EB"/>
    <w:rsid w:val="009865DA"/>
    <w:rsid w:val="009866A4"/>
    <w:rsid w:val="00986D2A"/>
    <w:rsid w:val="00986DA8"/>
    <w:rsid w:val="00987008"/>
    <w:rsid w:val="00987347"/>
    <w:rsid w:val="009874D7"/>
    <w:rsid w:val="00987582"/>
    <w:rsid w:val="0098765E"/>
    <w:rsid w:val="00987711"/>
    <w:rsid w:val="009878CE"/>
    <w:rsid w:val="009879E3"/>
    <w:rsid w:val="00987A6D"/>
    <w:rsid w:val="00987BAC"/>
    <w:rsid w:val="00987BB1"/>
    <w:rsid w:val="00987C50"/>
    <w:rsid w:val="00990169"/>
    <w:rsid w:val="009902F9"/>
    <w:rsid w:val="009905FF"/>
    <w:rsid w:val="00990672"/>
    <w:rsid w:val="00990CB5"/>
    <w:rsid w:val="00990CF1"/>
    <w:rsid w:val="00990D40"/>
    <w:rsid w:val="00990D5A"/>
    <w:rsid w:val="00990F98"/>
    <w:rsid w:val="00991675"/>
    <w:rsid w:val="0099173D"/>
    <w:rsid w:val="00991FFA"/>
    <w:rsid w:val="00992008"/>
    <w:rsid w:val="009928FE"/>
    <w:rsid w:val="00992A0D"/>
    <w:rsid w:val="00992B05"/>
    <w:rsid w:val="00992BBD"/>
    <w:rsid w:val="00992BC7"/>
    <w:rsid w:val="00993266"/>
    <w:rsid w:val="00993387"/>
    <w:rsid w:val="00993431"/>
    <w:rsid w:val="00993EC9"/>
    <w:rsid w:val="00993F9C"/>
    <w:rsid w:val="009940BB"/>
    <w:rsid w:val="00994203"/>
    <w:rsid w:val="00994395"/>
    <w:rsid w:val="00994540"/>
    <w:rsid w:val="0099478E"/>
    <w:rsid w:val="0099499F"/>
    <w:rsid w:val="00994B8D"/>
    <w:rsid w:val="00994D12"/>
    <w:rsid w:val="0099513F"/>
    <w:rsid w:val="00995563"/>
    <w:rsid w:val="0099566F"/>
    <w:rsid w:val="00995D8B"/>
    <w:rsid w:val="00995F67"/>
    <w:rsid w:val="0099606C"/>
    <w:rsid w:val="0099609E"/>
    <w:rsid w:val="00996409"/>
    <w:rsid w:val="00996499"/>
    <w:rsid w:val="009965BC"/>
    <w:rsid w:val="00996750"/>
    <w:rsid w:val="0099699D"/>
    <w:rsid w:val="009969D4"/>
    <w:rsid w:val="009969D6"/>
    <w:rsid w:val="00996ACD"/>
    <w:rsid w:val="00996B0B"/>
    <w:rsid w:val="00996BB0"/>
    <w:rsid w:val="00996D00"/>
    <w:rsid w:val="00996D57"/>
    <w:rsid w:val="0099752F"/>
    <w:rsid w:val="009976DF"/>
    <w:rsid w:val="00997A69"/>
    <w:rsid w:val="00997B29"/>
    <w:rsid w:val="00997B48"/>
    <w:rsid w:val="00997B82"/>
    <w:rsid w:val="00997ED6"/>
    <w:rsid w:val="00997FCC"/>
    <w:rsid w:val="009A0382"/>
    <w:rsid w:val="009A03DC"/>
    <w:rsid w:val="009A0481"/>
    <w:rsid w:val="009A0527"/>
    <w:rsid w:val="009A058D"/>
    <w:rsid w:val="009A0FD4"/>
    <w:rsid w:val="009A143F"/>
    <w:rsid w:val="009A1683"/>
    <w:rsid w:val="009A16C3"/>
    <w:rsid w:val="009A16FC"/>
    <w:rsid w:val="009A18C7"/>
    <w:rsid w:val="009A1BBE"/>
    <w:rsid w:val="009A1CF4"/>
    <w:rsid w:val="009A2217"/>
    <w:rsid w:val="009A228E"/>
    <w:rsid w:val="009A2581"/>
    <w:rsid w:val="009A2700"/>
    <w:rsid w:val="009A2C92"/>
    <w:rsid w:val="009A3215"/>
    <w:rsid w:val="009A34D9"/>
    <w:rsid w:val="009A35F7"/>
    <w:rsid w:val="009A3A07"/>
    <w:rsid w:val="009A3B8A"/>
    <w:rsid w:val="009A3D6B"/>
    <w:rsid w:val="009A41A1"/>
    <w:rsid w:val="009A48BF"/>
    <w:rsid w:val="009A567A"/>
    <w:rsid w:val="009A5FB2"/>
    <w:rsid w:val="009A643D"/>
    <w:rsid w:val="009A65E6"/>
    <w:rsid w:val="009A6CF3"/>
    <w:rsid w:val="009A6E7B"/>
    <w:rsid w:val="009A7199"/>
    <w:rsid w:val="009A7397"/>
    <w:rsid w:val="009A74E4"/>
    <w:rsid w:val="009A769A"/>
    <w:rsid w:val="009A76F7"/>
    <w:rsid w:val="009A7729"/>
    <w:rsid w:val="009A78F1"/>
    <w:rsid w:val="009A7999"/>
    <w:rsid w:val="009A7CA5"/>
    <w:rsid w:val="009B0134"/>
    <w:rsid w:val="009B03EA"/>
    <w:rsid w:val="009B0655"/>
    <w:rsid w:val="009B08A0"/>
    <w:rsid w:val="009B0E88"/>
    <w:rsid w:val="009B1300"/>
    <w:rsid w:val="009B15D3"/>
    <w:rsid w:val="009B1A42"/>
    <w:rsid w:val="009B1A57"/>
    <w:rsid w:val="009B2020"/>
    <w:rsid w:val="009B24F2"/>
    <w:rsid w:val="009B252F"/>
    <w:rsid w:val="009B2785"/>
    <w:rsid w:val="009B27A4"/>
    <w:rsid w:val="009B2BD1"/>
    <w:rsid w:val="009B2D15"/>
    <w:rsid w:val="009B2DBA"/>
    <w:rsid w:val="009B2F62"/>
    <w:rsid w:val="009B3133"/>
    <w:rsid w:val="009B3208"/>
    <w:rsid w:val="009B3302"/>
    <w:rsid w:val="009B347F"/>
    <w:rsid w:val="009B3504"/>
    <w:rsid w:val="009B366F"/>
    <w:rsid w:val="009B38BC"/>
    <w:rsid w:val="009B3D1C"/>
    <w:rsid w:val="009B3DA4"/>
    <w:rsid w:val="009B42DD"/>
    <w:rsid w:val="009B43BF"/>
    <w:rsid w:val="009B449D"/>
    <w:rsid w:val="009B4693"/>
    <w:rsid w:val="009B4A2D"/>
    <w:rsid w:val="009B4A90"/>
    <w:rsid w:val="009B4C12"/>
    <w:rsid w:val="009B4C2A"/>
    <w:rsid w:val="009B4D9E"/>
    <w:rsid w:val="009B5025"/>
    <w:rsid w:val="009B540B"/>
    <w:rsid w:val="009B54E0"/>
    <w:rsid w:val="009B56F9"/>
    <w:rsid w:val="009B591D"/>
    <w:rsid w:val="009B5A07"/>
    <w:rsid w:val="009B5CD6"/>
    <w:rsid w:val="009B6196"/>
    <w:rsid w:val="009B64D1"/>
    <w:rsid w:val="009B655D"/>
    <w:rsid w:val="009B6884"/>
    <w:rsid w:val="009B690A"/>
    <w:rsid w:val="009B6BC6"/>
    <w:rsid w:val="009B6EAB"/>
    <w:rsid w:val="009B6F52"/>
    <w:rsid w:val="009B72A4"/>
    <w:rsid w:val="009B74D3"/>
    <w:rsid w:val="009B757A"/>
    <w:rsid w:val="009B76A3"/>
    <w:rsid w:val="009B7EB5"/>
    <w:rsid w:val="009C01A9"/>
    <w:rsid w:val="009C065D"/>
    <w:rsid w:val="009C0807"/>
    <w:rsid w:val="009C08A9"/>
    <w:rsid w:val="009C09C4"/>
    <w:rsid w:val="009C0D78"/>
    <w:rsid w:val="009C0E96"/>
    <w:rsid w:val="009C1363"/>
    <w:rsid w:val="009C14A4"/>
    <w:rsid w:val="009C16B9"/>
    <w:rsid w:val="009C18B8"/>
    <w:rsid w:val="009C1A33"/>
    <w:rsid w:val="009C1A93"/>
    <w:rsid w:val="009C1B3C"/>
    <w:rsid w:val="009C1B99"/>
    <w:rsid w:val="009C1CBA"/>
    <w:rsid w:val="009C1E01"/>
    <w:rsid w:val="009C1E0B"/>
    <w:rsid w:val="009C2018"/>
    <w:rsid w:val="009C2259"/>
    <w:rsid w:val="009C26C9"/>
    <w:rsid w:val="009C2871"/>
    <w:rsid w:val="009C2EC7"/>
    <w:rsid w:val="009C2F02"/>
    <w:rsid w:val="009C2F7F"/>
    <w:rsid w:val="009C30F8"/>
    <w:rsid w:val="009C321C"/>
    <w:rsid w:val="009C3301"/>
    <w:rsid w:val="009C442C"/>
    <w:rsid w:val="009C4851"/>
    <w:rsid w:val="009C4884"/>
    <w:rsid w:val="009C4A9D"/>
    <w:rsid w:val="009C4AD3"/>
    <w:rsid w:val="009C4C07"/>
    <w:rsid w:val="009C52A7"/>
    <w:rsid w:val="009C5421"/>
    <w:rsid w:val="009C5665"/>
    <w:rsid w:val="009C56C2"/>
    <w:rsid w:val="009C571C"/>
    <w:rsid w:val="009C57A4"/>
    <w:rsid w:val="009C5898"/>
    <w:rsid w:val="009C5AFF"/>
    <w:rsid w:val="009C5D80"/>
    <w:rsid w:val="009C5DFA"/>
    <w:rsid w:val="009C601F"/>
    <w:rsid w:val="009C62F8"/>
    <w:rsid w:val="009C64AF"/>
    <w:rsid w:val="009C65D7"/>
    <w:rsid w:val="009C679F"/>
    <w:rsid w:val="009C6A90"/>
    <w:rsid w:val="009C6E69"/>
    <w:rsid w:val="009C73CB"/>
    <w:rsid w:val="009C7951"/>
    <w:rsid w:val="009C7B7D"/>
    <w:rsid w:val="009C7CFE"/>
    <w:rsid w:val="009D03E1"/>
    <w:rsid w:val="009D057F"/>
    <w:rsid w:val="009D0581"/>
    <w:rsid w:val="009D0629"/>
    <w:rsid w:val="009D078F"/>
    <w:rsid w:val="009D07C3"/>
    <w:rsid w:val="009D0946"/>
    <w:rsid w:val="009D097D"/>
    <w:rsid w:val="009D09FF"/>
    <w:rsid w:val="009D0B8E"/>
    <w:rsid w:val="009D0D3A"/>
    <w:rsid w:val="009D0F03"/>
    <w:rsid w:val="009D1296"/>
    <w:rsid w:val="009D15C6"/>
    <w:rsid w:val="009D172C"/>
    <w:rsid w:val="009D17B9"/>
    <w:rsid w:val="009D1928"/>
    <w:rsid w:val="009D1A4E"/>
    <w:rsid w:val="009D1A67"/>
    <w:rsid w:val="009D1ED1"/>
    <w:rsid w:val="009D1F69"/>
    <w:rsid w:val="009D2362"/>
    <w:rsid w:val="009D23F9"/>
    <w:rsid w:val="009D2788"/>
    <w:rsid w:val="009D3001"/>
    <w:rsid w:val="009D321C"/>
    <w:rsid w:val="009D37B5"/>
    <w:rsid w:val="009D38F7"/>
    <w:rsid w:val="009D3B10"/>
    <w:rsid w:val="009D3B4C"/>
    <w:rsid w:val="009D3DD0"/>
    <w:rsid w:val="009D3FF4"/>
    <w:rsid w:val="009D406F"/>
    <w:rsid w:val="009D4088"/>
    <w:rsid w:val="009D5196"/>
    <w:rsid w:val="009D545A"/>
    <w:rsid w:val="009D558A"/>
    <w:rsid w:val="009D570C"/>
    <w:rsid w:val="009D5BCD"/>
    <w:rsid w:val="009D5BF0"/>
    <w:rsid w:val="009D5E81"/>
    <w:rsid w:val="009D62A2"/>
    <w:rsid w:val="009D631E"/>
    <w:rsid w:val="009D6321"/>
    <w:rsid w:val="009D6606"/>
    <w:rsid w:val="009D669A"/>
    <w:rsid w:val="009D6745"/>
    <w:rsid w:val="009D6B83"/>
    <w:rsid w:val="009D6B9B"/>
    <w:rsid w:val="009D6C3E"/>
    <w:rsid w:val="009D6CDA"/>
    <w:rsid w:val="009D6D44"/>
    <w:rsid w:val="009D6E91"/>
    <w:rsid w:val="009D7096"/>
    <w:rsid w:val="009D70A5"/>
    <w:rsid w:val="009D7153"/>
    <w:rsid w:val="009D7225"/>
    <w:rsid w:val="009D7A61"/>
    <w:rsid w:val="009E00EA"/>
    <w:rsid w:val="009E01D7"/>
    <w:rsid w:val="009E0299"/>
    <w:rsid w:val="009E02E3"/>
    <w:rsid w:val="009E031A"/>
    <w:rsid w:val="009E037D"/>
    <w:rsid w:val="009E0506"/>
    <w:rsid w:val="009E0593"/>
    <w:rsid w:val="009E0CC9"/>
    <w:rsid w:val="009E0D9D"/>
    <w:rsid w:val="009E0F4D"/>
    <w:rsid w:val="009E10D6"/>
    <w:rsid w:val="009E11F6"/>
    <w:rsid w:val="009E165F"/>
    <w:rsid w:val="009E1829"/>
    <w:rsid w:val="009E19CF"/>
    <w:rsid w:val="009E1CCF"/>
    <w:rsid w:val="009E1F4C"/>
    <w:rsid w:val="009E1F85"/>
    <w:rsid w:val="009E1FED"/>
    <w:rsid w:val="009E22FA"/>
    <w:rsid w:val="009E2743"/>
    <w:rsid w:val="009E2D9C"/>
    <w:rsid w:val="009E2E6B"/>
    <w:rsid w:val="009E323E"/>
    <w:rsid w:val="009E3F46"/>
    <w:rsid w:val="009E3FA9"/>
    <w:rsid w:val="009E4351"/>
    <w:rsid w:val="009E44DA"/>
    <w:rsid w:val="009E4744"/>
    <w:rsid w:val="009E47E0"/>
    <w:rsid w:val="009E4878"/>
    <w:rsid w:val="009E4947"/>
    <w:rsid w:val="009E4CB5"/>
    <w:rsid w:val="009E4CBA"/>
    <w:rsid w:val="009E4EC9"/>
    <w:rsid w:val="009E4FA3"/>
    <w:rsid w:val="009E51AC"/>
    <w:rsid w:val="009E5542"/>
    <w:rsid w:val="009E58B0"/>
    <w:rsid w:val="009E58C2"/>
    <w:rsid w:val="009E5D00"/>
    <w:rsid w:val="009E5D5A"/>
    <w:rsid w:val="009E5DF5"/>
    <w:rsid w:val="009E60DC"/>
    <w:rsid w:val="009E67F6"/>
    <w:rsid w:val="009E6876"/>
    <w:rsid w:val="009E6D30"/>
    <w:rsid w:val="009E6DA4"/>
    <w:rsid w:val="009E6DB6"/>
    <w:rsid w:val="009E6F99"/>
    <w:rsid w:val="009E71BC"/>
    <w:rsid w:val="009E784E"/>
    <w:rsid w:val="009E7F68"/>
    <w:rsid w:val="009F0630"/>
    <w:rsid w:val="009F0984"/>
    <w:rsid w:val="009F0B36"/>
    <w:rsid w:val="009F0E52"/>
    <w:rsid w:val="009F0F33"/>
    <w:rsid w:val="009F1180"/>
    <w:rsid w:val="009F14DC"/>
    <w:rsid w:val="009F1758"/>
    <w:rsid w:val="009F1C65"/>
    <w:rsid w:val="009F1C84"/>
    <w:rsid w:val="009F1D68"/>
    <w:rsid w:val="009F200E"/>
    <w:rsid w:val="009F2114"/>
    <w:rsid w:val="009F2262"/>
    <w:rsid w:val="009F2687"/>
    <w:rsid w:val="009F2827"/>
    <w:rsid w:val="009F28E2"/>
    <w:rsid w:val="009F299F"/>
    <w:rsid w:val="009F2BCD"/>
    <w:rsid w:val="009F2C2D"/>
    <w:rsid w:val="009F2E25"/>
    <w:rsid w:val="009F3315"/>
    <w:rsid w:val="009F3377"/>
    <w:rsid w:val="009F38CB"/>
    <w:rsid w:val="009F3BCC"/>
    <w:rsid w:val="009F3F54"/>
    <w:rsid w:val="009F4171"/>
    <w:rsid w:val="009F42E8"/>
    <w:rsid w:val="009F4364"/>
    <w:rsid w:val="009F441E"/>
    <w:rsid w:val="009F4583"/>
    <w:rsid w:val="009F47CE"/>
    <w:rsid w:val="009F4A66"/>
    <w:rsid w:val="009F4ADA"/>
    <w:rsid w:val="009F4BA8"/>
    <w:rsid w:val="009F4BFE"/>
    <w:rsid w:val="009F4FD3"/>
    <w:rsid w:val="009F52CE"/>
    <w:rsid w:val="009F5858"/>
    <w:rsid w:val="009F6239"/>
    <w:rsid w:val="009F6349"/>
    <w:rsid w:val="009F6522"/>
    <w:rsid w:val="009F654B"/>
    <w:rsid w:val="009F6658"/>
    <w:rsid w:val="009F6A0D"/>
    <w:rsid w:val="009F6BF2"/>
    <w:rsid w:val="009F6C05"/>
    <w:rsid w:val="009F7100"/>
    <w:rsid w:val="009F727D"/>
    <w:rsid w:val="009F7294"/>
    <w:rsid w:val="009F734C"/>
    <w:rsid w:val="009F746A"/>
    <w:rsid w:val="009F7C9B"/>
    <w:rsid w:val="009F7E8C"/>
    <w:rsid w:val="009F7FB3"/>
    <w:rsid w:val="00A00114"/>
    <w:rsid w:val="00A00345"/>
    <w:rsid w:val="00A0080A"/>
    <w:rsid w:val="00A00ACE"/>
    <w:rsid w:val="00A00B7E"/>
    <w:rsid w:val="00A00BA5"/>
    <w:rsid w:val="00A017A8"/>
    <w:rsid w:val="00A01AAD"/>
    <w:rsid w:val="00A01B15"/>
    <w:rsid w:val="00A01BA3"/>
    <w:rsid w:val="00A01EAA"/>
    <w:rsid w:val="00A027F9"/>
    <w:rsid w:val="00A028E5"/>
    <w:rsid w:val="00A02F04"/>
    <w:rsid w:val="00A02F3C"/>
    <w:rsid w:val="00A02FD1"/>
    <w:rsid w:val="00A0313B"/>
    <w:rsid w:val="00A03595"/>
    <w:rsid w:val="00A03620"/>
    <w:rsid w:val="00A03D76"/>
    <w:rsid w:val="00A03F67"/>
    <w:rsid w:val="00A04712"/>
    <w:rsid w:val="00A04CFA"/>
    <w:rsid w:val="00A04D9F"/>
    <w:rsid w:val="00A05069"/>
    <w:rsid w:val="00A050D7"/>
    <w:rsid w:val="00A0534B"/>
    <w:rsid w:val="00A05955"/>
    <w:rsid w:val="00A05E5A"/>
    <w:rsid w:val="00A05E8D"/>
    <w:rsid w:val="00A0638A"/>
    <w:rsid w:val="00A063FD"/>
    <w:rsid w:val="00A069D1"/>
    <w:rsid w:val="00A069F4"/>
    <w:rsid w:val="00A06E2E"/>
    <w:rsid w:val="00A070B7"/>
    <w:rsid w:val="00A074B7"/>
    <w:rsid w:val="00A07987"/>
    <w:rsid w:val="00A07991"/>
    <w:rsid w:val="00A079A5"/>
    <w:rsid w:val="00A07A03"/>
    <w:rsid w:val="00A07ACD"/>
    <w:rsid w:val="00A07B27"/>
    <w:rsid w:val="00A07F1F"/>
    <w:rsid w:val="00A1008B"/>
    <w:rsid w:val="00A102FE"/>
    <w:rsid w:val="00A10367"/>
    <w:rsid w:val="00A104CE"/>
    <w:rsid w:val="00A1052D"/>
    <w:rsid w:val="00A106AC"/>
    <w:rsid w:val="00A1092B"/>
    <w:rsid w:val="00A10CDE"/>
    <w:rsid w:val="00A1135A"/>
    <w:rsid w:val="00A11545"/>
    <w:rsid w:val="00A11999"/>
    <w:rsid w:val="00A11B8B"/>
    <w:rsid w:val="00A11EAA"/>
    <w:rsid w:val="00A12722"/>
    <w:rsid w:val="00A12DE8"/>
    <w:rsid w:val="00A12F1D"/>
    <w:rsid w:val="00A12FE0"/>
    <w:rsid w:val="00A13215"/>
    <w:rsid w:val="00A132B8"/>
    <w:rsid w:val="00A139FC"/>
    <w:rsid w:val="00A13A89"/>
    <w:rsid w:val="00A13E76"/>
    <w:rsid w:val="00A13FCF"/>
    <w:rsid w:val="00A143E1"/>
    <w:rsid w:val="00A143F0"/>
    <w:rsid w:val="00A14598"/>
    <w:rsid w:val="00A14748"/>
    <w:rsid w:val="00A14887"/>
    <w:rsid w:val="00A148D4"/>
    <w:rsid w:val="00A14DE8"/>
    <w:rsid w:val="00A150BE"/>
    <w:rsid w:val="00A152E5"/>
    <w:rsid w:val="00A15636"/>
    <w:rsid w:val="00A15BD1"/>
    <w:rsid w:val="00A15F04"/>
    <w:rsid w:val="00A15F6E"/>
    <w:rsid w:val="00A160A9"/>
    <w:rsid w:val="00A1680D"/>
    <w:rsid w:val="00A168D9"/>
    <w:rsid w:val="00A16CA1"/>
    <w:rsid w:val="00A16D2F"/>
    <w:rsid w:val="00A16EA7"/>
    <w:rsid w:val="00A1716C"/>
    <w:rsid w:val="00A1749D"/>
    <w:rsid w:val="00A176FF"/>
    <w:rsid w:val="00A17CC1"/>
    <w:rsid w:val="00A209A3"/>
    <w:rsid w:val="00A20DD3"/>
    <w:rsid w:val="00A21028"/>
    <w:rsid w:val="00A212CF"/>
    <w:rsid w:val="00A2190F"/>
    <w:rsid w:val="00A21962"/>
    <w:rsid w:val="00A21B20"/>
    <w:rsid w:val="00A21D6F"/>
    <w:rsid w:val="00A21DA9"/>
    <w:rsid w:val="00A21DDD"/>
    <w:rsid w:val="00A21EDD"/>
    <w:rsid w:val="00A22037"/>
    <w:rsid w:val="00A222CC"/>
    <w:rsid w:val="00A2264A"/>
    <w:rsid w:val="00A229D4"/>
    <w:rsid w:val="00A22BA1"/>
    <w:rsid w:val="00A23012"/>
    <w:rsid w:val="00A23122"/>
    <w:rsid w:val="00A231F3"/>
    <w:rsid w:val="00A23248"/>
    <w:rsid w:val="00A23718"/>
    <w:rsid w:val="00A23764"/>
    <w:rsid w:val="00A238F3"/>
    <w:rsid w:val="00A23AB0"/>
    <w:rsid w:val="00A241A2"/>
    <w:rsid w:val="00A243B4"/>
    <w:rsid w:val="00A24876"/>
    <w:rsid w:val="00A24949"/>
    <w:rsid w:val="00A2495D"/>
    <w:rsid w:val="00A2507A"/>
    <w:rsid w:val="00A25BD5"/>
    <w:rsid w:val="00A25D3B"/>
    <w:rsid w:val="00A25EE5"/>
    <w:rsid w:val="00A266C5"/>
    <w:rsid w:val="00A26704"/>
    <w:rsid w:val="00A26B02"/>
    <w:rsid w:val="00A26B03"/>
    <w:rsid w:val="00A26C43"/>
    <w:rsid w:val="00A26D60"/>
    <w:rsid w:val="00A26E70"/>
    <w:rsid w:val="00A2706D"/>
    <w:rsid w:val="00A27101"/>
    <w:rsid w:val="00A2712F"/>
    <w:rsid w:val="00A27303"/>
    <w:rsid w:val="00A27448"/>
    <w:rsid w:val="00A275CA"/>
    <w:rsid w:val="00A278DB"/>
    <w:rsid w:val="00A27E47"/>
    <w:rsid w:val="00A3020D"/>
    <w:rsid w:val="00A3052D"/>
    <w:rsid w:val="00A3085A"/>
    <w:rsid w:val="00A308B2"/>
    <w:rsid w:val="00A309C6"/>
    <w:rsid w:val="00A30BC0"/>
    <w:rsid w:val="00A30C55"/>
    <w:rsid w:val="00A30DF8"/>
    <w:rsid w:val="00A30E45"/>
    <w:rsid w:val="00A30E91"/>
    <w:rsid w:val="00A30F98"/>
    <w:rsid w:val="00A3115A"/>
    <w:rsid w:val="00A312AD"/>
    <w:rsid w:val="00A313F8"/>
    <w:rsid w:val="00A31657"/>
    <w:rsid w:val="00A31734"/>
    <w:rsid w:val="00A31778"/>
    <w:rsid w:val="00A317A3"/>
    <w:rsid w:val="00A3187D"/>
    <w:rsid w:val="00A318E4"/>
    <w:rsid w:val="00A31C8F"/>
    <w:rsid w:val="00A3227D"/>
    <w:rsid w:val="00A32388"/>
    <w:rsid w:val="00A326F2"/>
    <w:rsid w:val="00A3277F"/>
    <w:rsid w:val="00A329C5"/>
    <w:rsid w:val="00A32AB2"/>
    <w:rsid w:val="00A32AFC"/>
    <w:rsid w:val="00A32E4E"/>
    <w:rsid w:val="00A33019"/>
    <w:rsid w:val="00A3301F"/>
    <w:rsid w:val="00A333F6"/>
    <w:rsid w:val="00A33490"/>
    <w:rsid w:val="00A33563"/>
    <w:rsid w:val="00A336E7"/>
    <w:rsid w:val="00A33B24"/>
    <w:rsid w:val="00A33B7D"/>
    <w:rsid w:val="00A33BAB"/>
    <w:rsid w:val="00A33BAE"/>
    <w:rsid w:val="00A33D3C"/>
    <w:rsid w:val="00A33E28"/>
    <w:rsid w:val="00A3430F"/>
    <w:rsid w:val="00A3443F"/>
    <w:rsid w:val="00A34538"/>
    <w:rsid w:val="00A3478D"/>
    <w:rsid w:val="00A347CC"/>
    <w:rsid w:val="00A34882"/>
    <w:rsid w:val="00A349DD"/>
    <w:rsid w:val="00A34BE9"/>
    <w:rsid w:val="00A34D12"/>
    <w:rsid w:val="00A34DF9"/>
    <w:rsid w:val="00A35011"/>
    <w:rsid w:val="00A3537A"/>
    <w:rsid w:val="00A354E8"/>
    <w:rsid w:val="00A3553E"/>
    <w:rsid w:val="00A3576E"/>
    <w:rsid w:val="00A357C1"/>
    <w:rsid w:val="00A358C4"/>
    <w:rsid w:val="00A35A31"/>
    <w:rsid w:val="00A35ACA"/>
    <w:rsid w:val="00A35B65"/>
    <w:rsid w:val="00A35F88"/>
    <w:rsid w:val="00A3624E"/>
    <w:rsid w:val="00A36400"/>
    <w:rsid w:val="00A3647F"/>
    <w:rsid w:val="00A36493"/>
    <w:rsid w:val="00A36842"/>
    <w:rsid w:val="00A36B76"/>
    <w:rsid w:val="00A36C43"/>
    <w:rsid w:val="00A36C9C"/>
    <w:rsid w:val="00A372A5"/>
    <w:rsid w:val="00A37574"/>
    <w:rsid w:val="00A3771D"/>
    <w:rsid w:val="00A3778E"/>
    <w:rsid w:val="00A37A28"/>
    <w:rsid w:val="00A37F90"/>
    <w:rsid w:val="00A40325"/>
    <w:rsid w:val="00A4089E"/>
    <w:rsid w:val="00A40EC0"/>
    <w:rsid w:val="00A40FAC"/>
    <w:rsid w:val="00A40FE5"/>
    <w:rsid w:val="00A4103C"/>
    <w:rsid w:val="00A4109C"/>
    <w:rsid w:val="00A4132F"/>
    <w:rsid w:val="00A41514"/>
    <w:rsid w:val="00A415E6"/>
    <w:rsid w:val="00A41686"/>
    <w:rsid w:val="00A41726"/>
    <w:rsid w:val="00A41B00"/>
    <w:rsid w:val="00A41D03"/>
    <w:rsid w:val="00A42026"/>
    <w:rsid w:val="00A4213F"/>
    <w:rsid w:val="00A42342"/>
    <w:rsid w:val="00A424A5"/>
    <w:rsid w:val="00A425D1"/>
    <w:rsid w:val="00A427D6"/>
    <w:rsid w:val="00A42AF7"/>
    <w:rsid w:val="00A42BED"/>
    <w:rsid w:val="00A42C9F"/>
    <w:rsid w:val="00A42D88"/>
    <w:rsid w:val="00A42EFE"/>
    <w:rsid w:val="00A43231"/>
    <w:rsid w:val="00A4327B"/>
    <w:rsid w:val="00A43451"/>
    <w:rsid w:val="00A436F1"/>
    <w:rsid w:val="00A43819"/>
    <w:rsid w:val="00A43E70"/>
    <w:rsid w:val="00A43EF4"/>
    <w:rsid w:val="00A44017"/>
    <w:rsid w:val="00A44066"/>
    <w:rsid w:val="00A443BC"/>
    <w:rsid w:val="00A445E5"/>
    <w:rsid w:val="00A44625"/>
    <w:rsid w:val="00A4487E"/>
    <w:rsid w:val="00A44C91"/>
    <w:rsid w:val="00A44EA7"/>
    <w:rsid w:val="00A44EFE"/>
    <w:rsid w:val="00A451A0"/>
    <w:rsid w:val="00A452A1"/>
    <w:rsid w:val="00A45414"/>
    <w:rsid w:val="00A4542B"/>
    <w:rsid w:val="00A45444"/>
    <w:rsid w:val="00A45D10"/>
    <w:rsid w:val="00A45D25"/>
    <w:rsid w:val="00A45FF3"/>
    <w:rsid w:val="00A46423"/>
    <w:rsid w:val="00A464C8"/>
    <w:rsid w:val="00A468D6"/>
    <w:rsid w:val="00A46989"/>
    <w:rsid w:val="00A469FE"/>
    <w:rsid w:val="00A47118"/>
    <w:rsid w:val="00A47281"/>
    <w:rsid w:val="00A4765F"/>
    <w:rsid w:val="00A47868"/>
    <w:rsid w:val="00A47972"/>
    <w:rsid w:val="00A47B26"/>
    <w:rsid w:val="00A47D63"/>
    <w:rsid w:val="00A47ECE"/>
    <w:rsid w:val="00A50328"/>
    <w:rsid w:val="00A504C0"/>
    <w:rsid w:val="00A505DE"/>
    <w:rsid w:val="00A5075C"/>
    <w:rsid w:val="00A50BEB"/>
    <w:rsid w:val="00A50CDF"/>
    <w:rsid w:val="00A50D28"/>
    <w:rsid w:val="00A50D3F"/>
    <w:rsid w:val="00A50D81"/>
    <w:rsid w:val="00A50D97"/>
    <w:rsid w:val="00A50DBB"/>
    <w:rsid w:val="00A5102B"/>
    <w:rsid w:val="00A5115D"/>
    <w:rsid w:val="00A51164"/>
    <w:rsid w:val="00A512DD"/>
    <w:rsid w:val="00A51818"/>
    <w:rsid w:val="00A51839"/>
    <w:rsid w:val="00A51A3F"/>
    <w:rsid w:val="00A52060"/>
    <w:rsid w:val="00A520AE"/>
    <w:rsid w:val="00A525F4"/>
    <w:rsid w:val="00A52857"/>
    <w:rsid w:val="00A529E8"/>
    <w:rsid w:val="00A52B02"/>
    <w:rsid w:val="00A52F6C"/>
    <w:rsid w:val="00A5314F"/>
    <w:rsid w:val="00A531BB"/>
    <w:rsid w:val="00A5327C"/>
    <w:rsid w:val="00A53615"/>
    <w:rsid w:val="00A53A7F"/>
    <w:rsid w:val="00A53AE7"/>
    <w:rsid w:val="00A53F6A"/>
    <w:rsid w:val="00A54056"/>
    <w:rsid w:val="00A541E0"/>
    <w:rsid w:val="00A542A5"/>
    <w:rsid w:val="00A54439"/>
    <w:rsid w:val="00A544F2"/>
    <w:rsid w:val="00A54793"/>
    <w:rsid w:val="00A5491C"/>
    <w:rsid w:val="00A549DA"/>
    <w:rsid w:val="00A54BA0"/>
    <w:rsid w:val="00A55064"/>
    <w:rsid w:val="00A550D2"/>
    <w:rsid w:val="00A5511E"/>
    <w:rsid w:val="00A558F9"/>
    <w:rsid w:val="00A55B2C"/>
    <w:rsid w:val="00A55D23"/>
    <w:rsid w:val="00A55DBA"/>
    <w:rsid w:val="00A56374"/>
    <w:rsid w:val="00A563C2"/>
    <w:rsid w:val="00A56AC3"/>
    <w:rsid w:val="00A56AC9"/>
    <w:rsid w:val="00A56C71"/>
    <w:rsid w:val="00A56C9D"/>
    <w:rsid w:val="00A56D2A"/>
    <w:rsid w:val="00A56D5D"/>
    <w:rsid w:val="00A5721C"/>
    <w:rsid w:val="00A57434"/>
    <w:rsid w:val="00A574FA"/>
    <w:rsid w:val="00A57592"/>
    <w:rsid w:val="00A578DC"/>
    <w:rsid w:val="00A57EB4"/>
    <w:rsid w:val="00A57F95"/>
    <w:rsid w:val="00A60461"/>
    <w:rsid w:val="00A60468"/>
    <w:rsid w:val="00A60563"/>
    <w:rsid w:val="00A60A26"/>
    <w:rsid w:val="00A60BB9"/>
    <w:rsid w:val="00A60CF4"/>
    <w:rsid w:val="00A611D9"/>
    <w:rsid w:val="00A61239"/>
    <w:rsid w:val="00A61446"/>
    <w:rsid w:val="00A6146C"/>
    <w:rsid w:val="00A614EB"/>
    <w:rsid w:val="00A614EC"/>
    <w:rsid w:val="00A6165A"/>
    <w:rsid w:val="00A61705"/>
    <w:rsid w:val="00A61708"/>
    <w:rsid w:val="00A61E6C"/>
    <w:rsid w:val="00A61F47"/>
    <w:rsid w:val="00A62293"/>
    <w:rsid w:val="00A62781"/>
    <w:rsid w:val="00A62D5D"/>
    <w:rsid w:val="00A62F7B"/>
    <w:rsid w:val="00A62FC9"/>
    <w:rsid w:val="00A6304E"/>
    <w:rsid w:val="00A632BF"/>
    <w:rsid w:val="00A63410"/>
    <w:rsid w:val="00A63D22"/>
    <w:rsid w:val="00A63F85"/>
    <w:rsid w:val="00A645CF"/>
    <w:rsid w:val="00A64769"/>
    <w:rsid w:val="00A64B32"/>
    <w:rsid w:val="00A64F06"/>
    <w:rsid w:val="00A65106"/>
    <w:rsid w:val="00A654E7"/>
    <w:rsid w:val="00A6591E"/>
    <w:rsid w:val="00A65C29"/>
    <w:rsid w:val="00A65C97"/>
    <w:rsid w:val="00A65DAD"/>
    <w:rsid w:val="00A65E23"/>
    <w:rsid w:val="00A6608F"/>
    <w:rsid w:val="00A661CC"/>
    <w:rsid w:val="00A66234"/>
    <w:rsid w:val="00A6633A"/>
    <w:rsid w:val="00A663F2"/>
    <w:rsid w:val="00A66776"/>
    <w:rsid w:val="00A668D6"/>
    <w:rsid w:val="00A669AF"/>
    <w:rsid w:val="00A669C8"/>
    <w:rsid w:val="00A66A07"/>
    <w:rsid w:val="00A66C65"/>
    <w:rsid w:val="00A66D34"/>
    <w:rsid w:val="00A66DE4"/>
    <w:rsid w:val="00A67080"/>
    <w:rsid w:val="00A67215"/>
    <w:rsid w:val="00A673ED"/>
    <w:rsid w:val="00A676A8"/>
    <w:rsid w:val="00A67913"/>
    <w:rsid w:val="00A67969"/>
    <w:rsid w:val="00A679C3"/>
    <w:rsid w:val="00A67A73"/>
    <w:rsid w:val="00A67B22"/>
    <w:rsid w:val="00A67DAB"/>
    <w:rsid w:val="00A70569"/>
    <w:rsid w:val="00A70C05"/>
    <w:rsid w:val="00A70D18"/>
    <w:rsid w:val="00A7113E"/>
    <w:rsid w:val="00A71493"/>
    <w:rsid w:val="00A714FB"/>
    <w:rsid w:val="00A716BA"/>
    <w:rsid w:val="00A71869"/>
    <w:rsid w:val="00A71A6C"/>
    <w:rsid w:val="00A71D19"/>
    <w:rsid w:val="00A722A2"/>
    <w:rsid w:val="00A72432"/>
    <w:rsid w:val="00A72585"/>
    <w:rsid w:val="00A733D3"/>
    <w:rsid w:val="00A734F3"/>
    <w:rsid w:val="00A735CC"/>
    <w:rsid w:val="00A7369B"/>
    <w:rsid w:val="00A73704"/>
    <w:rsid w:val="00A7391E"/>
    <w:rsid w:val="00A73E86"/>
    <w:rsid w:val="00A74064"/>
    <w:rsid w:val="00A74260"/>
    <w:rsid w:val="00A743F8"/>
    <w:rsid w:val="00A74599"/>
    <w:rsid w:val="00A746C8"/>
    <w:rsid w:val="00A7483E"/>
    <w:rsid w:val="00A748F0"/>
    <w:rsid w:val="00A74934"/>
    <w:rsid w:val="00A74B9B"/>
    <w:rsid w:val="00A74F50"/>
    <w:rsid w:val="00A75036"/>
    <w:rsid w:val="00A750EE"/>
    <w:rsid w:val="00A750F2"/>
    <w:rsid w:val="00A75892"/>
    <w:rsid w:val="00A759D5"/>
    <w:rsid w:val="00A75A1F"/>
    <w:rsid w:val="00A75AFC"/>
    <w:rsid w:val="00A7646F"/>
    <w:rsid w:val="00A766E4"/>
    <w:rsid w:val="00A766FF"/>
    <w:rsid w:val="00A76A67"/>
    <w:rsid w:val="00A76BFF"/>
    <w:rsid w:val="00A76CC0"/>
    <w:rsid w:val="00A77AEA"/>
    <w:rsid w:val="00A77C21"/>
    <w:rsid w:val="00A77D6D"/>
    <w:rsid w:val="00A8014C"/>
    <w:rsid w:val="00A808DB"/>
    <w:rsid w:val="00A80B2C"/>
    <w:rsid w:val="00A80B3C"/>
    <w:rsid w:val="00A80E71"/>
    <w:rsid w:val="00A80FF2"/>
    <w:rsid w:val="00A81252"/>
    <w:rsid w:val="00A817BD"/>
    <w:rsid w:val="00A81A94"/>
    <w:rsid w:val="00A81D28"/>
    <w:rsid w:val="00A81D45"/>
    <w:rsid w:val="00A82029"/>
    <w:rsid w:val="00A82108"/>
    <w:rsid w:val="00A8223B"/>
    <w:rsid w:val="00A82534"/>
    <w:rsid w:val="00A82948"/>
    <w:rsid w:val="00A82BA1"/>
    <w:rsid w:val="00A82BE6"/>
    <w:rsid w:val="00A82C5B"/>
    <w:rsid w:val="00A83117"/>
    <w:rsid w:val="00A831B2"/>
    <w:rsid w:val="00A8329D"/>
    <w:rsid w:val="00A8364E"/>
    <w:rsid w:val="00A837C5"/>
    <w:rsid w:val="00A83ACF"/>
    <w:rsid w:val="00A83CBD"/>
    <w:rsid w:val="00A843C4"/>
    <w:rsid w:val="00A845F6"/>
    <w:rsid w:val="00A84D50"/>
    <w:rsid w:val="00A84E12"/>
    <w:rsid w:val="00A850C0"/>
    <w:rsid w:val="00A85346"/>
    <w:rsid w:val="00A853A2"/>
    <w:rsid w:val="00A85810"/>
    <w:rsid w:val="00A85975"/>
    <w:rsid w:val="00A85C38"/>
    <w:rsid w:val="00A85D0F"/>
    <w:rsid w:val="00A85EDA"/>
    <w:rsid w:val="00A86039"/>
    <w:rsid w:val="00A860BF"/>
    <w:rsid w:val="00A860F3"/>
    <w:rsid w:val="00A86C7B"/>
    <w:rsid w:val="00A86E2E"/>
    <w:rsid w:val="00A86F7E"/>
    <w:rsid w:val="00A872C8"/>
    <w:rsid w:val="00A87332"/>
    <w:rsid w:val="00A878B9"/>
    <w:rsid w:val="00A87BE8"/>
    <w:rsid w:val="00A87DD8"/>
    <w:rsid w:val="00A87FF6"/>
    <w:rsid w:val="00A90040"/>
    <w:rsid w:val="00A901A5"/>
    <w:rsid w:val="00A90442"/>
    <w:rsid w:val="00A90503"/>
    <w:rsid w:val="00A906AD"/>
    <w:rsid w:val="00A90A77"/>
    <w:rsid w:val="00A90AE8"/>
    <w:rsid w:val="00A90B83"/>
    <w:rsid w:val="00A9108B"/>
    <w:rsid w:val="00A9119A"/>
    <w:rsid w:val="00A911F3"/>
    <w:rsid w:val="00A917EC"/>
    <w:rsid w:val="00A917F7"/>
    <w:rsid w:val="00A92037"/>
    <w:rsid w:val="00A9221F"/>
    <w:rsid w:val="00A927C2"/>
    <w:rsid w:val="00A9289F"/>
    <w:rsid w:val="00A92A30"/>
    <w:rsid w:val="00A93036"/>
    <w:rsid w:val="00A930D5"/>
    <w:rsid w:val="00A93184"/>
    <w:rsid w:val="00A93503"/>
    <w:rsid w:val="00A93636"/>
    <w:rsid w:val="00A93749"/>
    <w:rsid w:val="00A9396C"/>
    <w:rsid w:val="00A93DAA"/>
    <w:rsid w:val="00A94492"/>
    <w:rsid w:val="00A9453E"/>
    <w:rsid w:val="00A945F4"/>
    <w:rsid w:val="00A945FB"/>
    <w:rsid w:val="00A946EC"/>
    <w:rsid w:val="00A949AE"/>
    <w:rsid w:val="00A94C15"/>
    <w:rsid w:val="00A94E68"/>
    <w:rsid w:val="00A94F3E"/>
    <w:rsid w:val="00A9501B"/>
    <w:rsid w:val="00A950DB"/>
    <w:rsid w:val="00A951CD"/>
    <w:rsid w:val="00A9522D"/>
    <w:rsid w:val="00A95300"/>
    <w:rsid w:val="00A956B1"/>
    <w:rsid w:val="00A95932"/>
    <w:rsid w:val="00A95A19"/>
    <w:rsid w:val="00A95D13"/>
    <w:rsid w:val="00A95D18"/>
    <w:rsid w:val="00A95DED"/>
    <w:rsid w:val="00A95EBC"/>
    <w:rsid w:val="00A9618D"/>
    <w:rsid w:val="00A961DE"/>
    <w:rsid w:val="00A962F1"/>
    <w:rsid w:val="00A9663C"/>
    <w:rsid w:val="00A967D4"/>
    <w:rsid w:val="00A9681E"/>
    <w:rsid w:val="00A96A38"/>
    <w:rsid w:val="00A96BB5"/>
    <w:rsid w:val="00A96CDB"/>
    <w:rsid w:val="00A96E4B"/>
    <w:rsid w:val="00A971F3"/>
    <w:rsid w:val="00A97340"/>
    <w:rsid w:val="00A97670"/>
    <w:rsid w:val="00A97948"/>
    <w:rsid w:val="00A97B74"/>
    <w:rsid w:val="00A97B82"/>
    <w:rsid w:val="00A97D18"/>
    <w:rsid w:val="00A97DAB"/>
    <w:rsid w:val="00A97E96"/>
    <w:rsid w:val="00AA007A"/>
    <w:rsid w:val="00AA0235"/>
    <w:rsid w:val="00AA02FE"/>
    <w:rsid w:val="00AA0700"/>
    <w:rsid w:val="00AA0B11"/>
    <w:rsid w:val="00AA0D6A"/>
    <w:rsid w:val="00AA0E2A"/>
    <w:rsid w:val="00AA0E8A"/>
    <w:rsid w:val="00AA12B3"/>
    <w:rsid w:val="00AA12C5"/>
    <w:rsid w:val="00AA15D1"/>
    <w:rsid w:val="00AA16B2"/>
    <w:rsid w:val="00AA16D3"/>
    <w:rsid w:val="00AA1C89"/>
    <w:rsid w:val="00AA1E89"/>
    <w:rsid w:val="00AA234F"/>
    <w:rsid w:val="00AA255D"/>
    <w:rsid w:val="00AA274B"/>
    <w:rsid w:val="00AA2C21"/>
    <w:rsid w:val="00AA353F"/>
    <w:rsid w:val="00AA35B4"/>
    <w:rsid w:val="00AA3603"/>
    <w:rsid w:val="00AA384A"/>
    <w:rsid w:val="00AA3B49"/>
    <w:rsid w:val="00AA3B57"/>
    <w:rsid w:val="00AA3D53"/>
    <w:rsid w:val="00AA4187"/>
    <w:rsid w:val="00AA46F0"/>
    <w:rsid w:val="00AA4DB7"/>
    <w:rsid w:val="00AA4DD2"/>
    <w:rsid w:val="00AA4E64"/>
    <w:rsid w:val="00AA5069"/>
    <w:rsid w:val="00AA5443"/>
    <w:rsid w:val="00AA58D3"/>
    <w:rsid w:val="00AA5CF6"/>
    <w:rsid w:val="00AA5F1A"/>
    <w:rsid w:val="00AA603A"/>
    <w:rsid w:val="00AA607B"/>
    <w:rsid w:val="00AA6586"/>
    <w:rsid w:val="00AA685A"/>
    <w:rsid w:val="00AA6C3C"/>
    <w:rsid w:val="00AA6D31"/>
    <w:rsid w:val="00AA7167"/>
    <w:rsid w:val="00AA71BB"/>
    <w:rsid w:val="00AA71C6"/>
    <w:rsid w:val="00AA7225"/>
    <w:rsid w:val="00AA726D"/>
    <w:rsid w:val="00AA73C3"/>
    <w:rsid w:val="00AA756E"/>
    <w:rsid w:val="00AA75F7"/>
    <w:rsid w:val="00AA76F1"/>
    <w:rsid w:val="00AA7713"/>
    <w:rsid w:val="00AA7749"/>
    <w:rsid w:val="00AA77FA"/>
    <w:rsid w:val="00AA78B4"/>
    <w:rsid w:val="00AA7DB5"/>
    <w:rsid w:val="00AA7DEE"/>
    <w:rsid w:val="00AA7E3A"/>
    <w:rsid w:val="00AB044A"/>
    <w:rsid w:val="00AB067C"/>
    <w:rsid w:val="00AB0710"/>
    <w:rsid w:val="00AB073E"/>
    <w:rsid w:val="00AB0842"/>
    <w:rsid w:val="00AB0950"/>
    <w:rsid w:val="00AB0989"/>
    <w:rsid w:val="00AB0A25"/>
    <w:rsid w:val="00AB0AAB"/>
    <w:rsid w:val="00AB10A9"/>
    <w:rsid w:val="00AB1101"/>
    <w:rsid w:val="00AB13AF"/>
    <w:rsid w:val="00AB14AE"/>
    <w:rsid w:val="00AB14D7"/>
    <w:rsid w:val="00AB164D"/>
    <w:rsid w:val="00AB16B0"/>
    <w:rsid w:val="00AB1A13"/>
    <w:rsid w:val="00AB1D66"/>
    <w:rsid w:val="00AB1F14"/>
    <w:rsid w:val="00AB23CE"/>
    <w:rsid w:val="00AB240C"/>
    <w:rsid w:val="00AB24C5"/>
    <w:rsid w:val="00AB25BF"/>
    <w:rsid w:val="00AB26C5"/>
    <w:rsid w:val="00AB29E8"/>
    <w:rsid w:val="00AB2AFE"/>
    <w:rsid w:val="00AB2C61"/>
    <w:rsid w:val="00AB2D65"/>
    <w:rsid w:val="00AB2E87"/>
    <w:rsid w:val="00AB314D"/>
    <w:rsid w:val="00AB3173"/>
    <w:rsid w:val="00AB31BC"/>
    <w:rsid w:val="00AB3C3B"/>
    <w:rsid w:val="00AB3C6E"/>
    <w:rsid w:val="00AB3D7C"/>
    <w:rsid w:val="00AB3E40"/>
    <w:rsid w:val="00AB3FBA"/>
    <w:rsid w:val="00AB424B"/>
    <w:rsid w:val="00AB4567"/>
    <w:rsid w:val="00AB47DC"/>
    <w:rsid w:val="00AB49F9"/>
    <w:rsid w:val="00AB4A9C"/>
    <w:rsid w:val="00AB4B06"/>
    <w:rsid w:val="00AB4E79"/>
    <w:rsid w:val="00AB4E9F"/>
    <w:rsid w:val="00AB506E"/>
    <w:rsid w:val="00AB523A"/>
    <w:rsid w:val="00AB539C"/>
    <w:rsid w:val="00AB5493"/>
    <w:rsid w:val="00AB54D6"/>
    <w:rsid w:val="00AB55C6"/>
    <w:rsid w:val="00AB5666"/>
    <w:rsid w:val="00AB56BE"/>
    <w:rsid w:val="00AB5B9D"/>
    <w:rsid w:val="00AB5CDF"/>
    <w:rsid w:val="00AB5E1F"/>
    <w:rsid w:val="00AB60E2"/>
    <w:rsid w:val="00AB63B3"/>
    <w:rsid w:val="00AB6A1E"/>
    <w:rsid w:val="00AB6B3F"/>
    <w:rsid w:val="00AB6C69"/>
    <w:rsid w:val="00AB6C9F"/>
    <w:rsid w:val="00AB6D35"/>
    <w:rsid w:val="00AB6D65"/>
    <w:rsid w:val="00AB6E87"/>
    <w:rsid w:val="00AB6FFE"/>
    <w:rsid w:val="00AB7A2F"/>
    <w:rsid w:val="00AC00C4"/>
    <w:rsid w:val="00AC0529"/>
    <w:rsid w:val="00AC07DD"/>
    <w:rsid w:val="00AC0901"/>
    <w:rsid w:val="00AC098A"/>
    <w:rsid w:val="00AC0A1D"/>
    <w:rsid w:val="00AC0B0B"/>
    <w:rsid w:val="00AC0CE2"/>
    <w:rsid w:val="00AC126F"/>
    <w:rsid w:val="00AC1736"/>
    <w:rsid w:val="00AC190C"/>
    <w:rsid w:val="00AC1B8A"/>
    <w:rsid w:val="00AC1C55"/>
    <w:rsid w:val="00AC1D2B"/>
    <w:rsid w:val="00AC1E98"/>
    <w:rsid w:val="00AC210F"/>
    <w:rsid w:val="00AC2700"/>
    <w:rsid w:val="00AC27FF"/>
    <w:rsid w:val="00AC2A31"/>
    <w:rsid w:val="00AC2AD1"/>
    <w:rsid w:val="00AC2F92"/>
    <w:rsid w:val="00AC3010"/>
    <w:rsid w:val="00AC315E"/>
    <w:rsid w:val="00AC319E"/>
    <w:rsid w:val="00AC328F"/>
    <w:rsid w:val="00AC3592"/>
    <w:rsid w:val="00AC35FD"/>
    <w:rsid w:val="00AC3685"/>
    <w:rsid w:val="00AC3B80"/>
    <w:rsid w:val="00AC3D80"/>
    <w:rsid w:val="00AC3F70"/>
    <w:rsid w:val="00AC42ED"/>
    <w:rsid w:val="00AC446F"/>
    <w:rsid w:val="00AC4659"/>
    <w:rsid w:val="00AC48B8"/>
    <w:rsid w:val="00AC48FC"/>
    <w:rsid w:val="00AC4A60"/>
    <w:rsid w:val="00AC4AA2"/>
    <w:rsid w:val="00AC4BB9"/>
    <w:rsid w:val="00AC4C6F"/>
    <w:rsid w:val="00AC4CC2"/>
    <w:rsid w:val="00AC5B1B"/>
    <w:rsid w:val="00AC5D5A"/>
    <w:rsid w:val="00AC5D6E"/>
    <w:rsid w:val="00AC624F"/>
    <w:rsid w:val="00AC63D5"/>
    <w:rsid w:val="00AC6BCD"/>
    <w:rsid w:val="00AC6C7E"/>
    <w:rsid w:val="00AC6F02"/>
    <w:rsid w:val="00AC6F7A"/>
    <w:rsid w:val="00AC71D8"/>
    <w:rsid w:val="00AC7665"/>
    <w:rsid w:val="00AC7812"/>
    <w:rsid w:val="00AC79CC"/>
    <w:rsid w:val="00AC7D5E"/>
    <w:rsid w:val="00AC7D89"/>
    <w:rsid w:val="00AD0306"/>
    <w:rsid w:val="00AD0326"/>
    <w:rsid w:val="00AD06BC"/>
    <w:rsid w:val="00AD09B3"/>
    <w:rsid w:val="00AD0CF7"/>
    <w:rsid w:val="00AD121B"/>
    <w:rsid w:val="00AD129A"/>
    <w:rsid w:val="00AD1713"/>
    <w:rsid w:val="00AD1AA1"/>
    <w:rsid w:val="00AD1C47"/>
    <w:rsid w:val="00AD1DDB"/>
    <w:rsid w:val="00AD21A1"/>
    <w:rsid w:val="00AD222C"/>
    <w:rsid w:val="00AD2294"/>
    <w:rsid w:val="00AD23EC"/>
    <w:rsid w:val="00AD2541"/>
    <w:rsid w:val="00AD29E6"/>
    <w:rsid w:val="00AD2AC9"/>
    <w:rsid w:val="00AD30A0"/>
    <w:rsid w:val="00AD34F4"/>
    <w:rsid w:val="00AD353F"/>
    <w:rsid w:val="00AD386C"/>
    <w:rsid w:val="00AD3F5E"/>
    <w:rsid w:val="00AD3FC6"/>
    <w:rsid w:val="00AD406C"/>
    <w:rsid w:val="00AD426B"/>
    <w:rsid w:val="00AD47E6"/>
    <w:rsid w:val="00AD494E"/>
    <w:rsid w:val="00AD4BE5"/>
    <w:rsid w:val="00AD4ED4"/>
    <w:rsid w:val="00AD4FD7"/>
    <w:rsid w:val="00AD50AD"/>
    <w:rsid w:val="00AD56D7"/>
    <w:rsid w:val="00AD5733"/>
    <w:rsid w:val="00AD59FE"/>
    <w:rsid w:val="00AD5A30"/>
    <w:rsid w:val="00AD5AD1"/>
    <w:rsid w:val="00AD5B08"/>
    <w:rsid w:val="00AD5EEC"/>
    <w:rsid w:val="00AD5F24"/>
    <w:rsid w:val="00AD5FE2"/>
    <w:rsid w:val="00AD6131"/>
    <w:rsid w:val="00AD66BE"/>
    <w:rsid w:val="00AD675E"/>
    <w:rsid w:val="00AD681E"/>
    <w:rsid w:val="00AD6A32"/>
    <w:rsid w:val="00AD6AD3"/>
    <w:rsid w:val="00AD6D52"/>
    <w:rsid w:val="00AD6E42"/>
    <w:rsid w:val="00AD722A"/>
    <w:rsid w:val="00AD7286"/>
    <w:rsid w:val="00AD7362"/>
    <w:rsid w:val="00AD7982"/>
    <w:rsid w:val="00AD7F4A"/>
    <w:rsid w:val="00AD7F70"/>
    <w:rsid w:val="00AD7FE9"/>
    <w:rsid w:val="00AE0356"/>
    <w:rsid w:val="00AE04BC"/>
    <w:rsid w:val="00AE0961"/>
    <w:rsid w:val="00AE09FB"/>
    <w:rsid w:val="00AE0A2D"/>
    <w:rsid w:val="00AE0B90"/>
    <w:rsid w:val="00AE1502"/>
    <w:rsid w:val="00AE1529"/>
    <w:rsid w:val="00AE15C9"/>
    <w:rsid w:val="00AE19D9"/>
    <w:rsid w:val="00AE1A70"/>
    <w:rsid w:val="00AE1B01"/>
    <w:rsid w:val="00AE2785"/>
    <w:rsid w:val="00AE28E4"/>
    <w:rsid w:val="00AE2AF7"/>
    <w:rsid w:val="00AE2B5B"/>
    <w:rsid w:val="00AE309D"/>
    <w:rsid w:val="00AE313D"/>
    <w:rsid w:val="00AE3455"/>
    <w:rsid w:val="00AE3615"/>
    <w:rsid w:val="00AE3739"/>
    <w:rsid w:val="00AE3A1E"/>
    <w:rsid w:val="00AE3AA3"/>
    <w:rsid w:val="00AE3D37"/>
    <w:rsid w:val="00AE41A3"/>
    <w:rsid w:val="00AE4395"/>
    <w:rsid w:val="00AE45BF"/>
    <w:rsid w:val="00AE4673"/>
    <w:rsid w:val="00AE4834"/>
    <w:rsid w:val="00AE4AC3"/>
    <w:rsid w:val="00AE4D74"/>
    <w:rsid w:val="00AE567F"/>
    <w:rsid w:val="00AE56B7"/>
    <w:rsid w:val="00AE578C"/>
    <w:rsid w:val="00AE5F32"/>
    <w:rsid w:val="00AE5F4E"/>
    <w:rsid w:val="00AE6034"/>
    <w:rsid w:val="00AE6898"/>
    <w:rsid w:val="00AE68F7"/>
    <w:rsid w:val="00AE69A7"/>
    <w:rsid w:val="00AE69E3"/>
    <w:rsid w:val="00AE6C1E"/>
    <w:rsid w:val="00AE6CD0"/>
    <w:rsid w:val="00AE734F"/>
    <w:rsid w:val="00AE7661"/>
    <w:rsid w:val="00AE7766"/>
    <w:rsid w:val="00AE798B"/>
    <w:rsid w:val="00AE7B67"/>
    <w:rsid w:val="00AE7F77"/>
    <w:rsid w:val="00AF013D"/>
    <w:rsid w:val="00AF0308"/>
    <w:rsid w:val="00AF0626"/>
    <w:rsid w:val="00AF067A"/>
    <w:rsid w:val="00AF07B2"/>
    <w:rsid w:val="00AF0BB5"/>
    <w:rsid w:val="00AF0D96"/>
    <w:rsid w:val="00AF109E"/>
    <w:rsid w:val="00AF12C6"/>
    <w:rsid w:val="00AF1302"/>
    <w:rsid w:val="00AF18AB"/>
    <w:rsid w:val="00AF1A2D"/>
    <w:rsid w:val="00AF1F49"/>
    <w:rsid w:val="00AF2656"/>
    <w:rsid w:val="00AF27BC"/>
    <w:rsid w:val="00AF2902"/>
    <w:rsid w:val="00AF294A"/>
    <w:rsid w:val="00AF2B98"/>
    <w:rsid w:val="00AF2C0B"/>
    <w:rsid w:val="00AF2DA7"/>
    <w:rsid w:val="00AF2DBC"/>
    <w:rsid w:val="00AF2EA2"/>
    <w:rsid w:val="00AF2FCC"/>
    <w:rsid w:val="00AF300E"/>
    <w:rsid w:val="00AF3824"/>
    <w:rsid w:val="00AF3D60"/>
    <w:rsid w:val="00AF3DFE"/>
    <w:rsid w:val="00AF3E8F"/>
    <w:rsid w:val="00AF4019"/>
    <w:rsid w:val="00AF4170"/>
    <w:rsid w:val="00AF4223"/>
    <w:rsid w:val="00AF47EB"/>
    <w:rsid w:val="00AF4AAC"/>
    <w:rsid w:val="00AF4DBF"/>
    <w:rsid w:val="00AF4FD5"/>
    <w:rsid w:val="00AF5044"/>
    <w:rsid w:val="00AF5650"/>
    <w:rsid w:val="00AF57E0"/>
    <w:rsid w:val="00AF5A7E"/>
    <w:rsid w:val="00AF5ACD"/>
    <w:rsid w:val="00AF607D"/>
    <w:rsid w:val="00AF6110"/>
    <w:rsid w:val="00AF6226"/>
    <w:rsid w:val="00AF63E9"/>
    <w:rsid w:val="00AF6425"/>
    <w:rsid w:val="00AF646E"/>
    <w:rsid w:val="00AF64D6"/>
    <w:rsid w:val="00AF685D"/>
    <w:rsid w:val="00AF6A31"/>
    <w:rsid w:val="00AF6AC6"/>
    <w:rsid w:val="00AF7095"/>
    <w:rsid w:val="00AF70D8"/>
    <w:rsid w:val="00AF719C"/>
    <w:rsid w:val="00AF71C9"/>
    <w:rsid w:val="00AF72E9"/>
    <w:rsid w:val="00AF73D4"/>
    <w:rsid w:val="00AF74A5"/>
    <w:rsid w:val="00AF7D99"/>
    <w:rsid w:val="00AF7E82"/>
    <w:rsid w:val="00AF7F63"/>
    <w:rsid w:val="00AF7F9B"/>
    <w:rsid w:val="00B00014"/>
    <w:rsid w:val="00B005CC"/>
    <w:rsid w:val="00B00611"/>
    <w:rsid w:val="00B0065F"/>
    <w:rsid w:val="00B00DC7"/>
    <w:rsid w:val="00B013E3"/>
    <w:rsid w:val="00B01779"/>
    <w:rsid w:val="00B01C4E"/>
    <w:rsid w:val="00B01F1F"/>
    <w:rsid w:val="00B02141"/>
    <w:rsid w:val="00B02484"/>
    <w:rsid w:val="00B02B88"/>
    <w:rsid w:val="00B02DD8"/>
    <w:rsid w:val="00B02ED2"/>
    <w:rsid w:val="00B03037"/>
    <w:rsid w:val="00B0334E"/>
    <w:rsid w:val="00B03484"/>
    <w:rsid w:val="00B03719"/>
    <w:rsid w:val="00B03A5A"/>
    <w:rsid w:val="00B03A82"/>
    <w:rsid w:val="00B03C5A"/>
    <w:rsid w:val="00B03CED"/>
    <w:rsid w:val="00B042D3"/>
    <w:rsid w:val="00B04354"/>
    <w:rsid w:val="00B0461C"/>
    <w:rsid w:val="00B04663"/>
    <w:rsid w:val="00B048DB"/>
    <w:rsid w:val="00B049AD"/>
    <w:rsid w:val="00B049C5"/>
    <w:rsid w:val="00B04AB7"/>
    <w:rsid w:val="00B04BAA"/>
    <w:rsid w:val="00B04FD7"/>
    <w:rsid w:val="00B05316"/>
    <w:rsid w:val="00B05446"/>
    <w:rsid w:val="00B05686"/>
    <w:rsid w:val="00B059D0"/>
    <w:rsid w:val="00B05B9D"/>
    <w:rsid w:val="00B05EE4"/>
    <w:rsid w:val="00B05EFC"/>
    <w:rsid w:val="00B06224"/>
    <w:rsid w:val="00B065B9"/>
    <w:rsid w:val="00B067BF"/>
    <w:rsid w:val="00B0684A"/>
    <w:rsid w:val="00B06B7D"/>
    <w:rsid w:val="00B06BA4"/>
    <w:rsid w:val="00B06BDC"/>
    <w:rsid w:val="00B06C9E"/>
    <w:rsid w:val="00B0770C"/>
    <w:rsid w:val="00B07747"/>
    <w:rsid w:val="00B07D14"/>
    <w:rsid w:val="00B07DB8"/>
    <w:rsid w:val="00B10118"/>
    <w:rsid w:val="00B101C7"/>
    <w:rsid w:val="00B101D9"/>
    <w:rsid w:val="00B101E6"/>
    <w:rsid w:val="00B10367"/>
    <w:rsid w:val="00B10374"/>
    <w:rsid w:val="00B10737"/>
    <w:rsid w:val="00B10C46"/>
    <w:rsid w:val="00B10D0C"/>
    <w:rsid w:val="00B10D51"/>
    <w:rsid w:val="00B10D6B"/>
    <w:rsid w:val="00B10DA7"/>
    <w:rsid w:val="00B11186"/>
    <w:rsid w:val="00B11706"/>
    <w:rsid w:val="00B11AC7"/>
    <w:rsid w:val="00B11B7E"/>
    <w:rsid w:val="00B11BAA"/>
    <w:rsid w:val="00B11BCB"/>
    <w:rsid w:val="00B11BE4"/>
    <w:rsid w:val="00B11D09"/>
    <w:rsid w:val="00B11E11"/>
    <w:rsid w:val="00B11E5A"/>
    <w:rsid w:val="00B1232A"/>
    <w:rsid w:val="00B1232B"/>
    <w:rsid w:val="00B128B5"/>
    <w:rsid w:val="00B13013"/>
    <w:rsid w:val="00B130FC"/>
    <w:rsid w:val="00B1325A"/>
    <w:rsid w:val="00B1361C"/>
    <w:rsid w:val="00B1372B"/>
    <w:rsid w:val="00B13C94"/>
    <w:rsid w:val="00B13DCB"/>
    <w:rsid w:val="00B14336"/>
    <w:rsid w:val="00B14BB1"/>
    <w:rsid w:val="00B14BC6"/>
    <w:rsid w:val="00B154F0"/>
    <w:rsid w:val="00B157A5"/>
    <w:rsid w:val="00B157B6"/>
    <w:rsid w:val="00B15927"/>
    <w:rsid w:val="00B15B1B"/>
    <w:rsid w:val="00B15BA3"/>
    <w:rsid w:val="00B15BAF"/>
    <w:rsid w:val="00B15DFC"/>
    <w:rsid w:val="00B15E5E"/>
    <w:rsid w:val="00B15EBB"/>
    <w:rsid w:val="00B15ED6"/>
    <w:rsid w:val="00B160CA"/>
    <w:rsid w:val="00B16126"/>
    <w:rsid w:val="00B162C1"/>
    <w:rsid w:val="00B16420"/>
    <w:rsid w:val="00B164E0"/>
    <w:rsid w:val="00B16BCB"/>
    <w:rsid w:val="00B16D7F"/>
    <w:rsid w:val="00B16F6B"/>
    <w:rsid w:val="00B17073"/>
    <w:rsid w:val="00B171B0"/>
    <w:rsid w:val="00B17D28"/>
    <w:rsid w:val="00B17EC5"/>
    <w:rsid w:val="00B17FBC"/>
    <w:rsid w:val="00B20726"/>
    <w:rsid w:val="00B20C13"/>
    <w:rsid w:val="00B20CCB"/>
    <w:rsid w:val="00B20FDA"/>
    <w:rsid w:val="00B2129A"/>
    <w:rsid w:val="00B21357"/>
    <w:rsid w:val="00B21C33"/>
    <w:rsid w:val="00B22173"/>
    <w:rsid w:val="00B221B5"/>
    <w:rsid w:val="00B2234B"/>
    <w:rsid w:val="00B223EF"/>
    <w:rsid w:val="00B2283A"/>
    <w:rsid w:val="00B2324E"/>
    <w:rsid w:val="00B23320"/>
    <w:rsid w:val="00B238E4"/>
    <w:rsid w:val="00B23A5B"/>
    <w:rsid w:val="00B23A6B"/>
    <w:rsid w:val="00B23C92"/>
    <w:rsid w:val="00B23CA0"/>
    <w:rsid w:val="00B241D9"/>
    <w:rsid w:val="00B243B0"/>
    <w:rsid w:val="00B2462E"/>
    <w:rsid w:val="00B2484E"/>
    <w:rsid w:val="00B2485D"/>
    <w:rsid w:val="00B249E4"/>
    <w:rsid w:val="00B249FC"/>
    <w:rsid w:val="00B24CAB"/>
    <w:rsid w:val="00B24CE9"/>
    <w:rsid w:val="00B25147"/>
    <w:rsid w:val="00B254B8"/>
    <w:rsid w:val="00B2564E"/>
    <w:rsid w:val="00B259DE"/>
    <w:rsid w:val="00B25C8C"/>
    <w:rsid w:val="00B260E6"/>
    <w:rsid w:val="00B261A5"/>
    <w:rsid w:val="00B26348"/>
    <w:rsid w:val="00B268A9"/>
    <w:rsid w:val="00B26D0A"/>
    <w:rsid w:val="00B26EA8"/>
    <w:rsid w:val="00B26EB8"/>
    <w:rsid w:val="00B27091"/>
    <w:rsid w:val="00B2718A"/>
    <w:rsid w:val="00B27212"/>
    <w:rsid w:val="00B27239"/>
    <w:rsid w:val="00B27740"/>
    <w:rsid w:val="00B27975"/>
    <w:rsid w:val="00B27B27"/>
    <w:rsid w:val="00B27D97"/>
    <w:rsid w:val="00B27FC2"/>
    <w:rsid w:val="00B3014D"/>
    <w:rsid w:val="00B305DB"/>
    <w:rsid w:val="00B30983"/>
    <w:rsid w:val="00B30B20"/>
    <w:rsid w:val="00B30D78"/>
    <w:rsid w:val="00B31035"/>
    <w:rsid w:val="00B31215"/>
    <w:rsid w:val="00B313B6"/>
    <w:rsid w:val="00B31552"/>
    <w:rsid w:val="00B317E7"/>
    <w:rsid w:val="00B31A96"/>
    <w:rsid w:val="00B31C0F"/>
    <w:rsid w:val="00B31E66"/>
    <w:rsid w:val="00B31F5C"/>
    <w:rsid w:val="00B32315"/>
    <w:rsid w:val="00B328AA"/>
    <w:rsid w:val="00B32B64"/>
    <w:rsid w:val="00B32FB1"/>
    <w:rsid w:val="00B338FB"/>
    <w:rsid w:val="00B33A0F"/>
    <w:rsid w:val="00B33A57"/>
    <w:rsid w:val="00B34083"/>
    <w:rsid w:val="00B34226"/>
    <w:rsid w:val="00B34309"/>
    <w:rsid w:val="00B34744"/>
    <w:rsid w:val="00B34BD6"/>
    <w:rsid w:val="00B34C57"/>
    <w:rsid w:val="00B34EF8"/>
    <w:rsid w:val="00B34F90"/>
    <w:rsid w:val="00B34FFF"/>
    <w:rsid w:val="00B35056"/>
    <w:rsid w:val="00B3514C"/>
    <w:rsid w:val="00B351D9"/>
    <w:rsid w:val="00B3521C"/>
    <w:rsid w:val="00B35392"/>
    <w:rsid w:val="00B35BC4"/>
    <w:rsid w:val="00B35EBA"/>
    <w:rsid w:val="00B3637D"/>
    <w:rsid w:val="00B36704"/>
    <w:rsid w:val="00B3678D"/>
    <w:rsid w:val="00B3693B"/>
    <w:rsid w:val="00B36C36"/>
    <w:rsid w:val="00B36E37"/>
    <w:rsid w:val="00B36F30"/>
    <w:rsid w:val="00B36F34"/>
    <w:rsid w:val="00B3715F"/>
    <w:rsid w:val="00B37514"/>
    <w:rsid w:val="00B37728"/>
    <w:rsid w:val="00B37935"/>
    <w:rsid w:val="00B379DD"/>
    <w:rsid w:val="00B37CB4"/>
    <w:rsid w:val="00B37E37"/>
    <w:rsid w:val="00B37E88"/>
    <w:rsid w:val="00B4020A"/>
    <w:rsid w:val="00B404C4"/>
    <w:rsid w:val="00B40949"/>
    <w:rsid w:val="00B40BEA"/>
    <w:rsid w:val="00B41288"/>
    <w:rsid w:val="00B4152B"/>
    <w:rsid w:val="00B41AF4"/>
    <w:rsid w:val="00B41B52"/>
    <w:rsid w:val="00B41C3F"/>
    <w:rsid w:val="00B41D5E"/>
    <w:rsid w:val="00B41FC7"/>
    <w:rsid w:val="00B4211C"/>
    <w:rsid w:val="00B4266B"/>
    <w:rsid w:val="00B42683"/>
    <w:rsid w:val="00B4291E"/>
    <w:rsid w:val="00B429B8"/>
    <w:rsid w:val="00B42ADE"/>
    <w:rsid w:val="00B42DCB"/>
    <w:rsid w:val="00B42EA7"/>
    <w:rsid w:val="00B42F07"/>
    <w:rsid w:val="00B42F61"/>
    <w:rsid w:val="00B432C6"/>
    <w:rsid w:val="00B4338B"/>
    <w:rsid w:val="00B435E3"/>
    <w:rsid w:val="00B43691"/>
    <w:rsid w:val="00B43827"/>
    <w:rsid w:val="00B43C7F"/>
    <w:rsid w:val="00B43CD4"/>
    <w:rsid w:val="00B43D0E"/>
    <w:rsid w:val="00B43E60"/>
    <w:rsid w:val="00B43EEA"/>
    <w:rsid w:val="00B44205"/>
    <w:rsid w:val="00B444AF"/>
    <w:rsid w:val="00B44634"/>
    <w:rsid w:val="00B449E9"/>
    <w:rsid w:val="00B44C94"/>
    <w:rsid w:val="00B44F50"/>
    <w:rsid w:val="00B44F9C"/>
    <w:rsid w:val="00B450AB"/>
    <w:rsid w:val="00B4527E"/>
    <w:rsid w:val="00B452DE"/>
    <w:rsid w:val="00B45373"/>
    <w:rsid w:val="00B4541C"/>
    <w:rsid w:val="00B45468"/>
    <w:rsid w:val="00B45702"/>
    <w:rsid w:val="00B458E7"/>
    <w:rsid w:val="00B45A00"/>
    <w:rsid w:val="00B45C64"/>
    <w:rsid w:val="00B45DB8"/>
    <w:rsid w:val="00B46207"/>
    <w:rsid w:val="00B466C3"/>
    <w:rsid w:val="00B466F6"/>
    <w:rsid w:val="00B4678F"/>
    <w:rsid w:val="00B46A32"/>
    <w:rsid w:val="00B46B29"/>
    <w:rsid w:val="00B46EF4"/>
    <w:rsid w:val="00B46FE3"/>
    <w:rsid w:val="00B47298"/>
    <w:rsid w:val="00B476B0"/>
    <w:rsid w:val="00B476E0"/>
    <w:rsid w:val="00B47896"/>
    <w:rsid w:val="00B47954"/>
    <w:rsid w:val="00B47BF7"/>
    <w:rsid w:val="00B47C01"/>
    <w:rsid w:val="00B50219"/>
    <w:rsid w:val="00B50765"/>
    <w:rsid w:val="00B50A40"/>
    <w:rsid w:val="00B50BF6"/>
    <w:rsid w:val="00B50C31"/>
    <w:rsid w:val="00B50DC3"/>
    <w:rsid w:val="00B50E9E"/>
    <w:rsid w:val="00B51177"/>
    <w:rsid w:val="00B511BF"/>
    <w:rsid w:val="00B51717"/>
    <w:rsid w:val="00B51B18"/>
    <w:rsid w:val="00B51CC7"/>
    <w:rsid w:val="00B51D59"/>
    <w:rsid w:val="00B51E1A"/>
    <w:rsid w:val="00B52061"/>
    <w:rsid w:val="00B5230B"/>
    <w:rsid w:val="00B5243D"/>
    <w:rsid w:val="00B527CC"/>
    <w:rsid w:val="00B528DF"/>
    <w:rsid w:val="00B529FF"/>
    <w:rsid w:val="00B52AAB"/>
    <w:rsid w:val="00B52ABC"/>
    <w:rsid w:val="00B52BE4"/>
    <w:rsid w:val="00B52E18"/>
    <w:rsid w:val="00B5307E"/>
    <w:rsid w:val="00B53547"/>
    <w:rsid w:val="00B53597"/>
    <w:rsid w:val="00B53784"/>
    <w:rsid w:val="00B537EF"/>
    <w:rsid w:val="00B539BA"/>
    <w:rsid w:val="00B53C0D"/>
    <w:rsid w:val="00B53E1D"/>
    <w:rsid w:val="00B5421A"/>
    <w:rsid w:val="00B54690"/>
    <w:rsid w:val="00B5494B"/>
    <w:rsid w:val="00B54A2D"/>
    <w:rsid w:val="00B54C75"/>
    <w:rsid w:val="00B550D8"/>
    <w:rsid w:val="00B55114"/>
    <w:rsid w:val="00B5524F"/>
    <w:rsid w:val="00B55322"/>
    <w:rsid w:val="00B55347"/>
    <w:rsid w:val="00B557F7"/>
    <w:rsid w:val="00B55A8B"/>
    <w:rsid w:val="00B55BA9"/>
    <w:rsid w:val="00B55D3E"/>
    <w:rsid w:val="00B56C6E"/>
    <w:rsid w:val="00B56F38"/>
    <w:rsid w:val="00B5711C"/>
    <w:rsid w:val="00B5716E"/>
    <w:rsid w:val="00B573D4"/>
    <w:rsid w:val="00B57642"/>
    <w:rsid w:val="00B5791A"/>
    <w:rsid w:val="00B57921"/>
    <w:rsid w:val="00B57938"/>
    <w:rsid w:val="00B57B8D"/>
    <w:rsid w:val="00B6009D"/>
    <w:rsid w:val="00B60122"/>
    <w:rsid w:val="00B60BF9"/>
    <w:rsid w:val="00B60EC1"/>
    <w:rsid w:val="00B610F4"/>
    <w:rsid w:val="00B612E7"/>
    <w:rsid w:val="00B6141E"/>
    <w:rsid w:val="00B6145D"/>
    <w:rsid w:val="00B61619"/>
    <w:rsid w:val="00B616F8"/>
    <w:rsid w:val="00B619F4"/>
    <w:rsid w:val="00B61A01"/>
    <w:rsid w:val="00B61F4E"/>
    <w:rsid w:val="00B62298"/>
    <w:rsid w:val="00B62412"/>
    <w:rsid w:val="00B62590"/>
    <w:rsid w:val="00B626C0"/>
    <w:rsid w:val="00B62700"/>
    <w:rsid w:val="00B62F20"/>
    <w:rsid w:val="00B6327D"/>
    <w:rsid w:val="00B632FF"/>
    <w:rsid w:val="00B6393A"/>
    <w:rsid w:val="00B63970"/>
    <w:rsid w:val="00B63A74"/>
    <w:rsid w:val="00B63B5B"/>
    <w:rsid w:val="00B641C4"/>
    <w:rsid w:val="00B644FE"/>
    <w:rsid w:val="00B64520"/>
    <w:rsid w:val="00B646A9"/>
    <w:rsid w:val="00B64989"/>
    <w:rsid w:val="00B64AA0"/>
    <w:rsid w:val="00B64C7F"/>
    <w:rsid w:val="00B6507A"/>
    <w:rsid w:val="00B651B5"/>
    <w:rsid w:val="00B65AF3"/>
    <w:rsid w:val="00B660B8"/>
    <w:rsid w:val="00B6634B"/>
    <w:rsid w:val="00B66381"/>
    <w:rsid w:val="00B663F1"/>
    <w:rsid w:val="00B6684C"/>
    <w:rsid w:val="00B66F1A"/>
    <w:rsid w:val="00B67097"/>
    <w:rsid w:val="00B670BA"/>
    <w:rsid w:val="00B67271"/>
    <w:rsid w:val="00B6729F"/>
    <w:rsid w:val="00B676E1"/>
    <w:rsid w:val="00B67DDE"/>
    <w:rsid w:val="00B67DE5"/>
    <w:rsid w:val="00B7006C"/>
    <w:rsid w:val="00B7013B"/>
    <w:rsid w:val="00B706E2"/>
    <w:rsid w:val="00B70A8C"/>
    <w:rsid w:val="00B70AD8"/>
    <w:rsid w:val="00B70D53"/>
    <w:rsid w:val="00B70DC2"/>
    <w:rsid w:val="00B71621"/>
    <w:rsid w:val="00B71BC2"/>
    <w:rsid w:val="00B71D6A"/>
    <w:rsid w:val="00B71FA4"/>
    <w:rsid w:val="00B720D4"/>
    <w:rsid w:val="00B721B4"/>
    <w:rsid w:val="00B7222D"/>
    <w:rsid w:val="00B7267A"/>
    <w:rsid w:val="00B72988"/>
    <w:rsid w:val="00B72D7E"/>
    <w:rsid w:val="00B730C2"/>
    <w:rsid w:val="00B73167"/>
    <w:rsid w:val="00B7317F"/>
    <w:rsid w:val="00B735E1"/>
    <w:rsid w:val="00B7361F"/>
    <w:rsid w:val="00B73776"/>
    <w:rsid w:val="00B73788"/>
    <w:rsid w:val="00B73860"/>
    <w:rsid w:val="00B73919"/>
    <w:rsid w:val="00B74055"/>
    <w:rsid w:val="00B742DF"/>
    <w:rsid w:val="00B747F1"/>
    <w:rsid w:val="00B74BA0"/>
    <w:rsid w:val="00B74E9A"/>
    <w:rsid w:val="00B74F5D"/>
    <w:rsid w:val="00B75423"/>
    <w:rsid w:val="00B754A4"/>
    <w:rsid w:val="00B755ED"/>
    <w:rsid w:val="00B75608"/>
    <w:rsid w:val="00B75682"/>
    <w:rsid w:val="00B757F1"/>
    <w:rsid w:val="00B759AA"/>
    <w:rsid w:val="00B75B4F"/>
    <w:rsid w:val="00B75DB8"/>
    <w:rsid w:val="00B76073"/>
    <w:rsid w:val="00B760B4"/>
    <w:rsid w:val="00B76240"/>
    <w:rsid w:val="00B76292"/>
    <w:rsid w:val="00B768C2"/>
    <w:rsid w:val="00B76BDD"/>
    <w:rsid w:val="00B76C7B"/>
    <w:rsid w:val="00B76D3B"/>
    <w:rsid w:val="00B76DBB"/>
    <w:rsid w:val="00B76F0A"/>
    <w:rsid w:val="00B775FE"/>
    <w:rsid w:val="00B77A40"/>
    <w:rsid w:val="00B77B1C"/>
    <w:rsid w:val="00B77B49"/>
    <w:rsid w:val="00B77BBF"/>
    <w:rsid w:val="00B77D2C"/>
    <w:rsid w:val="00B77F1D"/>
    <w:rsid w:val="00B77F57"/>
    <w:rsid w:val="00B80772"/>
    <w:rsid w:val="00B80B50"/>
    <w:rsid w:val="00B80C4E"/>
    <w:rsid w:val="00B80C85"/>
    <w:rsid w:val="00B80DC9"/>
    <w:rsid w:val="00B812BB"/>
    <w:rsid w:val="00B81389"/>
    <w:rsid w:val="00B81820"/>
    <w:rsid w:val="00B81AA6"/>
    <w:rsid w:val="00B81C48"/>
    <w:rsid w:val="00B81F24"/>
    <w:rsid w:val="00B821D2"/>
    <w:rsid w:val="00B823A7"/>
    <w:rsid w:val="00B82567"/>
    <w:rsid w:val="00B82627"/>
    <w:rsid w:val="00B82947"/>
    <w:rsid w:val="00B829A2"/>
    <w:rsid w:val="00B82D02"/>
    <w:rsid w:val="00B83298"/>
    <w:rsid w:val="00B83403"/>
    <w:rsid w:val="00B83409"/>
    <w:rsid w:val="00B8358F"/>
    <w:rsid w:val="00B83A4B"/>
    <w:rsid w:val="00B83ACA"/>
    <w:rsid w:val="00B84331"/>
    <w:rsid w:val="00B84375"/>
    <w:rsid w:val="00B84913"/>
    <w:rsid w:val="00B84A8E"/>
    <w:rsid w:val="00B84AB1"/>
    <w:rsid w:val="00B84B30"/>
    <w:rsid w:val="00B84B6C"/>
    <w:rsid w:val="00B84DB6"/>
    <w:rsid w:val="00B84EED"/>
    <w:rsid w:val="00B84F29"/>
    <w:rsid w:val="00B850D3"/>
    <w:rsid w:val="00B85271"/>
    <w:rsid w:val="00B8528E"/>
    <w:rsid w:val="00B8578C"/>
    <w:rsid w:val="00B857D1"/>
    <w:rsid w:val="00B8608B"/>
    <w:rsid w:val="00B8624B"/>
    <w:rsid w:val="00B86441"/>
    <w:rsid w:val="00B86804"/>
    <w:rsid w:val="00B86831"/>
    <w:rsid w:val="00B8693B"/>
    <w:rsid w:val="00B86978"/>
    <w:rsid w:val="00B86AF9"/>
    <w:rsid w:val="00B8716C"/>
    <w:rsid w:val="00B871F0"/>
    <w:rsid w:val="00B87403"/>
    <w:rsid w:val="00B8751C"/>
    <w:rsid w:val="00B87802"/>
    <w:rsid w:val="00B878BC"/>
    <w:rsid w:val="00B87951"/>
    <w:rsid w:val="00B879CE"/>
    <w:rsid w:val="00B87BBB"/>
    <w:rsid w:val="00B87BCE"/>
    <w:rsid w:val="00B87C7D"/>
    <w:rsid w:val="00B87D14"/>
    <w:rsid w:val="00B87F8C"/>
    <w:rsid w:val="00B90010"/>
    <w:rsid w:val="00B90141"/>
    <w:rsid w:val="00B9097F"/>
    <w:rsid w:val="00B90A0B"/>
    <w:rsid w:val="00B90A91"/>
    <w:rsid w:val="00B90AA7"/>
    <w:rsid w:val="00B90ABC"/>
    <w:rsid w:val="00B90D03"/>
    <w:rsid w:val="00B9137B"/>
    <w:rsid w:val="00B91453"/>
    <w:rsid w:val="00B91A26"/>
    <w:rsid w:val="00B91F6A"/>
    <w:rsid w:val="00B91FAE"/>
    <w:rsid w:val="00B92050"/>
    <w:rsid w:val="00B9230F"/>
    <w:rsid w:val="00B92368"/>
    <w:rsid w:val="00B923CA"/>
    <w:rsid w:val="00B925CD"/>
    <w:rsid w:val="00B92825"/>
    <w:rsid w:val="00B92B39"/>
    <w:rsid w:val="00B9324B"/>
    <w:rsid w:val="00B93311"/>
    <w:rsid w:val="00B9360C"/>
    <w:rsid w:val="00B93798"/>
    <w:rsid w:val="00B937BA"/>
    <w:rsid w:val="00B93809"/>
    <w:rsid w:val="00B938DC"/>
    <w:rsid w:val="00B93967"/>
    <w:rsid w:val="00B940D0"/>
    <w:rsid w:val="00B941ED"/>
    <w:rsid w:val="00B94335"/>
    <w:rsid w:val="00B944A0"/>
    <w:rsid w:val="00B94569"/>
    <w:rsid w:val="00B94879"/>
    <w:rsid w:val="00B94887"/>
    <w:rsid w:val="00B94C02"/>
    <w:rsid w:val="00B94C59"/>
    <w:rsid w:val="00B94D92"/>
    <w:rsid w:val="00B95273"/>
    <w:rsid w:val="00B957B9"/>
    <w:rsid w:val="00B959A1"/>
    <w:rsid w:val="00B95ACC"/>
    <w:rsid w:val="00B95AD0"/>
    <w:rsid w:val="00B95AFD"/>
    <w:rsid w:val="00B95B2B"/>
    <w:rsid w:val="00B95D55"/>
    <w:rsid w:val="00B95FBC"/>
    <w:rsid w:val="00B962CD"/>
    <w:rsid w:val="00B9655A"/>
    <w:rsid w:val="00B96655"/>
    <w:rsid w:val="00B96777"/>
    <w:rsid w:val="00B96A15"/>
    <w:rsid w:val="00B96CDE"/>
    <w:rsid w:val="00B96E12"/>
    <w:rsid w:val="00B971EB"/>
    <w:rsid w:val="00B97943"/>
    <w:rsid w:val="00B979EE"/>
    <w:rsid w:val="00B97A8A"/>
    <w:rsid w:val="00B97ACA"/>
    <w:rsid w:val="00B97AD7"/>
    <w:rsid w:val="00BA0002"/>
    <w:rsid w:val="00BA0033"/>
    <w:rsid w:val="00BA00CC"/>
    <w:rsid w:val="00BA012A"/>
    <w:rsid w:val="00BA0152"/>
    <w:rsid w:val="00BA0485"/>
    <w:rsid w:val="00BA084F"/>
    <w:rsid w:val="00BA0A79"/>
    <w:rsid w:val="00BA0B59"/>
    <w:rsid w:val="00BA0CED"/>
    <w:rsid w:val="00BA0D13"/>
    <w:rsid w:val="00BA0FC7"/>
    <w:rsid w:val="00BA12A2"/>
    <w:rsid w:val="00BA1491"/>
    <w:rsid w:val="00BA168B"/>
    <w:rsid w:val="00BA17DE"/>
    <w:rsid w:val="00BA1810"/>
    <w:rsid w:val="00BA18C8"/>
    <w:rsid w:val="00BA1BC3"/>
    <w:rsid w:val="00BA206E"/>
    <w:rsid w:val="00BA230D"/>
    <w:rsid w:val="00BA23CC"/>
    <w:rsid w:val="00BA24E0"/>
    <w:rsid w:val="00BA24EC"/>
    <w:rsid w:val="00BA2837"/>
    <w:rsid w:val="00BA2952"/>
    <w:rsid w:val="00BA2C4F"/>
    <w:rsid w:val="00BA2C95"/>
    <w:rsid w:val="00BA2F00"/>
    <w:rsid w:val="00BA2F9B"/>
    <w:rsid w:val="00BA303A"/>
    <w:rsid w:val="00BA32B2"/>
    <w:rsid w:val="00BA3359"/>
    <w:rsid w:val="00BA35C7"/>
    <w:rsid w:val="00BA3717"/>
    <w:rsid w:val="00BA3745"/>
    <w:rsid w:val="00BA386D"/>
    <w:rsid w:val="00BA38F6"/>
    <w:rsid w:val="00BA3D8F"/>
    <w:rsid w:val="00BA3DA3"/>
    <w:rsid w:val="00BA3DB4"/>
    <w:rsid w:val="00BA40EA"/>
    <w:rsid w:val="00BA41B1"/>
    <w:rsid w:val="00BA41B2"/>
    <w:rsid w:val="00BA4857"/>
    <w:rsid w:val="00BA4C59"/>
    <w:rsid w:val="00BA4C9E"/>
    <w:rsid w:val="00BA4EC4"/>
    <w:rsid w:val="00BA55A6"/>
    <w:rsid w:val="00BA56C3"/>
    <w:rsid w:val="00BA5BD5"/>
    <w:rsid w:val="00BA60C8"/>
    <w:rsid w:val="00BA659D"/>
    <w:rsid w:val="00BA65E5"/>
    <w:rsid w:val="00BA685A"/>
    <w:rsid w:val="00BA68D1"/>
    <w:rsid w:val="00BA6CEE"/>
    <w:rsid w:val="00BA70B4"/>
    <w:rsid w:val="00BA7285"/>
    <w:rsid w:val="00BA7406"/>
    <w:rsid w:val="00BA75E4"/>
    <w:rsid w:val="00BA75FC"/>
    <w:rsid w:val="00BA7903"/>
    <w:rsid w:val="00BA7A62"/>
    <w:rsid w:val="00BA7ABC"/>
    <w:rsid w:val="00BA7BC2"/>
    <w:rsid w:val="00BA7D37"/>
    <w:rsid w:val="00BA7DA7"/>
    <w:rsid w:val="00BA7DB3"/>
    <w:rsid w:val="00BB0386"/>
    <w:rsid w:val="00BB09DF"/>
    <w:rsid w:val="00BB0C49"/>
    <w:rsid w:val="00BB0D58"/>
    <w:rsid w:val="00BB0F75"/>
    <w:rsid w:val="00BB128A"/>
    <w:rsid w:val="00BB13D3"/>
    <w:rsid w:val="00BB15EE"/>
    <w:rsid w:val="00BB19BA"/>
    <w:rsid w:val="00BB1B43"/>
    <w:rsid w:val="00BB1B4C"/>
    <w:rsid w:val="00BB1E1C"/>
    <w:rsid w:val="00BB1F1D"/>
    <w:rsid w:val="00BB2028"/>
    <w:rsid w:val="00BB210A"/>
    <w:rsid w:val="00BB2ACB"/>
    <w:rsid w:val="00BB2B29"/>
    <w:rsid w:val="00BB2BBC"/>
    <w:rsid w:val="00BB36E3"/>
    <w:rsid w:val="00BB37D9"/>
    <w:rsid w:val="00BB38CF"/>
    <w:rsid w:val="00BB3C87"/>
    <w:rsid w:val="00BB3FC5"/>
    <w:rsid w:val="00BB4226"/>
    <w:rsid w:val="00BB4456"/>
    <w:rsid w:val="00BB4627"/>
    <w:rsid w:val="00BB48D2"/>
    <w:rsid w:val="00BB4A61"/>
    <w:rsid w:val="00BB4BCA"/>
    <w:rsid w:val="00BB4C11"/>
    <w:rsid w:val="00BB4D0B"/>
    <w:rsid w:val="00BB551D"/>
    <w:rsid w:val="00BB56FC"/>
    <w:rsid w:val="00BB5D8E"/>
    <w:rsid w:val="00BB60A2"/>
    <w:rsid w:val="00BB6281"/>
    <w:rsid w:val="00BB64D6"/>
    <w:rsid w:val="00BB68DB"/>
    <w:rsid w:val="00BB6B54"/>
    <w:rsid w:val="00BB6C3E"/>
    <w:rsid w:val="00BB6DE6"/>
    <w:rsid w:val="00BB702E"/>
    <w:rsid w:val="00BB7751"/>
    <w:rsid w:val="00BB7B9C"/>
    <w:rsid w:val="00BB7BC5"/>
    <w:rsid w:val="00BB7CF6"/>
    <w:rsid w:val="00BC0104"/>
    <w:rsid w:val="00BC09FB"/>
    <w:rsid w:val="00BC0A2C"/>
    <w:rsid w:val="00BC0A61"/>
    <w:rsid w:val="00BC1499"/>
    <w:rsid w:val="00BC15D7"/>
    <w:rsid w:val="00BC17BC"/>
    <w:rsid w:val="00BC1E27"/>
    <w:rsid w:val="00BC2087"/>
    <w:rsid w:val="00BC2098"/>
    <w:rsid w:val="00BC20C8"/>
    <w:rsid w:val="00BC226F"/>
    <w:rsid w:val="00BC24D8"/>
    <w:rsid w:val="00BC2605"/>
    <w:rsid w:val="00BC2790"/>
    <w:rsid w:val="00BC28D1"/>
    <w:rsid w:val="00BC2B3B"/>
    <w:rsid w:val="00BC2B45"/>
    <w:rsid w:val="00BC2B7D"/>
    <w:rsid w:val="00BC2EFC"/>
    <w:rsid w:val="00BC31AA"/>
    <w:rsid w:val="00BC3232"/>
    <w:rsid w:val="00BC36A7"/>
    <w:rsid w:val="00BC38DF"/>
    <w:rsid w:val="00BC38E4"/>
    <w:rsid w:val="00BC39FC"/>
    <w:rsid w:val="00BC3A6A"/>
    <w:rsid w:val="00BC3CAF"/>
    <w:rsid w:val="00BC3FFD"/>
    <w:rsid w:val="00BC4008"/>
    <w:rsid w:val="00BC4198"/>
    <w:rsid w:val="00BC4579"/>
    <w:rsid w:val="00BC463D"/>
    <w:rsid w:val="00BC4661"/>
    <w:rsid w:val="00BC47A1"/>
    <w:rsid w:val="00BC47AE"/>
    <w:rsid w:val="00BC49B1"/>
    <w:rsid w:val="00BC4ACA"/>
    <w:rsid w:val="00BC4DAF"/>
    <w:rsid w:val="00BC4F8B"/>
    <w:rsid w:val="00BC50AB"/>
    <w:rsid w:val="00BC51A4"/>
    <w:rsid w:val="00BC5799"/>
    <w:rsid w:val="00BC5AF6"/>
    <w:rsid w:val="00BC5F89"/>
    <w:rsid w:val="00BC5F9A"/>
    <w:rsid w:val="00BC6254"/>
    <w:rsid w:val="00BC65C6"/>
    <w:rsid w:val="00BC6956"/>
    <w:rsid w:val="00BC695E"/>
    <w:rsid w:val="00BC6D54"/>
    <w:rsid w:val="00BC6E8B"/>
    <w:rsid w:val="00BC6EBC"/>
    <w:rsid w:val="00BC6F0F"/>
    <w:rsid w:val="00BC72DD"/>
    <w:rsid w:val="00BC7606"/>
    <w:rsid w:val="00BC79D1"/>
    <w:rsid w:val="00BC7A0C"/>
    <w:rsid w:val="00BC7D0A"/>
    <w:rsid w:val="00BC7D96"/>
    <w:rsid w:val="00BD01BF"/>
    <w:rsid w:val="00BD0B1B"/>
    <w:rsid w:val="00BD0BB6"/>
    <w:rsid w:val="00BD0EA5"/>
    <w:rsid w:val="00BD1100"/>
    <w:rsid w:val="00BD11D4"/>
    <w:rsid w:val="00BD126D"/>
    <w:rsid w:val="00BD13E7"/>
    <w:rsid w:val="00BD1464"/>
    <w:rsid w:val="00BD165F"/>
    <w:rsid w:val="00BD1940"/>
    <w:rsid w:val="00BD1981"/>
    <w:rsid w:val="00BD1B35"/>
    <w:rsid w:val="00BD1BDE"/>
    <w:rsid w:val="00BD1BE0"/>
    <w:rsid w:val="00BD1BF9"/>
    <w:rsid w:val="00BD21B0"/>
    <w:rsid w:val="00BD21E6"/>
    <w:rsid w:val="00BD27D6"/>
    <w:rsid w:val="00BD2853"/>
    <w:rsid w:val="00BD2F79"/>
    <w:rsid w:val="00BD322B"/>
    <w:rsid w:val="00BD3737"/>
    <w:rsid w:val="00BD39FD"/>
    <w:rsid w:val="00BD3B2A"/>
    <w:rsid w:val="00BD3B9C"/>
    <w:rsid w:val="00BD3BE4"/>
    <w:rsid w:val="00BD3D24"/>
    <w:rsid w:val="00BD469D"/>
    <w:rsid w:val="00BD48D4"/>
    <w:rsid w:val="00BD49FD"/>
    <w:rsid w:val="00BD4A2C"/>
    <w:rsid w:val="00BD4A85"/>
    <w:rsid w:val="00BD4B1A"/>
    <w:rsid w:val="00BD54C8"/>
    <w:rsid w:val="00BD5C5C"/>
    <w:rsid w:val="00BD62E0"/>
    <w:rsid w:val="00BD640F"/>
    <w:rsid w:val="00BD64CD"/>
    <w:rsid w:val="00BD6551"/>
    <w:rsid w:val="00BD67FF"/>
    <w:rsid w:val="00BD6A1D"/>
    <w:rsid w:val="00BD6A77"/>
    <w:rsid w:val="00BD6C77"/>
    <w:rsid w:val="00BD6C86"/>
    <w:rsid w:val="00BD6EEE"/>
    <w:rsid w:val="00BD706B"/>
    <w:rsid w:val="00BD708A"/>
    <w:rsid w:val="00BD7B2F"/>
    <w:rsid w:val="00BD7B3E"/>
    <w:rsid w:val="00BD7BBC"/>
    <w:rsid w:val="00BD7C26"/>
    <w:rsid w:val="00BD7CD7"/>
    <w:rsid w:val="00BD7DD8"/>
    <w:rsid w:val="00BE0854"/>
    <w:rsid w:val="00BE0C60"/>
    <w:rsid w:val="00BE0CA9"/>
    <w:rsid w:val="00BE0E46"/>
    <w:rsid w:val="00BE105B"/>
    <w:rsid w:val="00BE1255"/>
    <w:rsid w:val="00BE1650"/>
    <w:rsid w:val="00BE1A8F"/>
    <w:rsid w:val="00BE1B32"/>
    <w:rsid w:val="00BE1C3A"/>
    <w:rsid w:val="00BE1FDD"/>
    <w:rsid w:val="00BE206D"/>
    <w:rsid w:val="00BE24E5"/>
    <w:rsid w:val="00BE27F2"/>
    <w:rsid w:val="00BE2855"/>
    <w:rsid w:val="00BE2ACF"/>
    <w:rsid w:val="00BE2FE9"/>
    <w:rsid w:val="00BE36E0"/>
    <w:rsid w:val="00BE3825"/>
    <w:rsid w:val="00BE3CCE"/>
    <w:rsid w:val="00BE3D5D"/>
    <w:rsid w:val="00BE3E6B"/>
    <w:rsid w:val="00BE3F29"/>
    <w:rsid w:val="00BE3FDF"/>
    <w:rsid w:val="00BE409A"/>
    <w:rsid w:val="00BE4768"/>
    <w:rsid w:val="00BE48AD"/>
    <w:rsid w:val="00BE491C"/>
    <w:rsid w:val="00BE4A12"/>
    <w:rsid w:val="00BE4D30"/>
    <w:rsid w:val="00BE4D48"/>
    <w:rsid w:val="00BE5436"/>
    <w:rsid w:val="00BE5447"/>
    <w:rsid w:val="00BE55AE"/>
    <w:rsid w:val="00BE59A1"/>
    <w:rsid w:val="00BE5A5F"/>
    <w:rsid w:val="00BE6000"/>
    <w:rsid w:val="00BE619D"/>
    <w:rsid w:val="00BE61B0"/>
    <w:rsid w:val="00BE63AF"/>
    <w:rsid w:val="00BE6BB4"/>
    <w:rsid w:val="00BE6BCF"/>
    <w:rsid w:val="00BE6C86"/>
    <w:rsid w:val="00BE6EC8"/>
    <w:rsid w:val="00BE6FA7"/>
    <w:rsid w:val="00BE71AE"/>
    <w:rsid w:val="00BE7238"/>
    <w:rsid w:val="00BE7398"/>
    <w:rsid w:val="00BE7465"/>
    <w:rsid w:val="00BE7651"/>
    <w:rsid w:val="00BE769B"/>
    <w:rsid w:val="00BE77E6"/>
    <w:rsid w:val="00BE7C40"/>
    <w:rsid w:val="00BF00B3"/>
    <w:rsid w:val="00BF01CB"/>
    <w:rsid w:val="00BF02A3"/>
    <w:rsid w:val="00BF07D0"/>
    <w:rsid w:val="00BF083B"/>
    <w:rsid w:val="00BF0BA7"/>
    <w:rsid w:val="00BF0BD7"/>
    <w:rsid w:val="00BF0C46"/>
    <w:rsid w:val="00BF0CD1"/>
    <w:rsid w:val="00BF0D9D"/>
    <w:rsid w:val="00BF1899"/>
    <w:rsid w:val="00BF1AF1"/>
    <w:rsid w:val="00BF1B60"/>
    <w:rsid w:val="00BF1CBD"/>
    <w:rsid w:val="00BF1FD8"/>
    <w:rsid w:val="00BF20E8"/>
    <w:rsid w:val="00BF22CC"/>
    <w:rsid w:val="00BF2C44"/>
    <w:rsid w:val="00BF2D81"/>
    <w:rsid w:val="00BF30EC"/>
    <w:rsid w:val="00BF34A6"/>
    <w:rsid w:val="00BF3782"/>
    <w:rsid w:val="00BF38CD"/>
    <w:rsid w:val="00BF38DC"/>
    <w:rsid w:val="00BF3BCA"/>
    <w:rsid w:val="00BF4835"/>
    <w:rsid w:val="00BF4A70"/>
    <w:rsid w:val="00BF4BAD"/>
    <w:rsid w:val="00BF4F34"/>
    <w:rsid w:val="00BF50F8"/>
    <w:rsid w:val="00BF51BE"/>
    <w:rsid w:val="00BF538C"/>
    <w:rsid w:val="00BF56E0"/>
    <w:rsid w:val="00BF5997"/>
    <w:rsid w:val="00BF59CA"/>
    <w:rsid w:val="00BF5BDD"/>
    <w:rsid w:val="00BF5C35"/>
    <w:rsid w:val="00BF5C7E"/>
    <w:rsid w:val="00BF5F62"/>
    <w:rsid w:val="00BF6050"/>
    <w:rsid w:val="00BF61C0"/>
    <w:rsid w:val="00BF63B6"/>
    <w:rsid w:val="00BF6400"/>
    <w:rsid w:val="00BF66EE"/>
    <w:rsid w:val="00BF6908"/>
    <w:rsid w:val="00BF6923"/>
    <w:rsid w:val="00BF69B3"/>
    <w:rsid w:val="00BF69B4"/>
    <w:rsid w:val="00BF6D40"/>
    <w:rsid w:val="00BF6DFC"/>
    <w:rsid w:val="00BF71A3"/>
    <w:rsid w:val="00BF75A1"/>
    <w:rsid w:val="00BF7680"/>
    <w:rsid w:val="00BF795E"/>
    <w:rsid w:val="00BF796C"/>
    <w:rsid w:val="00BF7A2C"/>
    <w:rsid w:val="00BF7A2E"/>
    <w:rsid w:val="00BF7A78"/>
    <w:rsid w:val="00BF7E8C"/>
    <w:rsid w:val="00C0018A"/>
    <w:rsid w:val="00C00284"/>
    <w:rsid w:val="00C0037D"/>
    <w:rsid w:val="00C003B9"/>
    <w:rsid w:val="00C003D5"/>
    <w:rsid w:val="00C00905"/>
    <w:rsid w:val="00C00A7C"/>
    <w:rsid w:val="00C00DAE"/>
    <w:rsid w:val="00C00F5C"/>
    <w:rsid w:val="00C00FAC"/>
    <w:rsid w:val="00C0104C"/>
    <w:rsid w:val="00C01170"/>
    <w:rsid w:val="00C01370"/>
    <w:rsid w:val="00C013AB"/>
    <w:rsid w:val="00C0156D"/>
    <w:rsid w:val="00C01614"/>
    <w:rsid w:val="00C01892"/>
    <w:rsid w:val="00C01BBB"/>
    <w:rsid w:val="00C01CCC"/>
    <w:rsid w:val="00C01FD1"/>
    <w:rsid w:val="00C0235E"/>
    <w:rsid w:val="00C024A5"/>
    <w:rsid w:val="00C02697"/>
    <w:rsid w:val="00C02CE1"/>
    <w:rsid w:val="00C02D1E"/>
    <w:rsid w:val="00C0314D"/>
    <w:rsid w:val="00C03211"/>
    <w:rsid w:val="00C0331F"/>
    <w:rsid w:val="00C03508"/>
    <w:rsid w:val="00C035B5"/>
    <w:rsid w:val="00C036AC"/>
    <w:rsid w:val="00C037FA"/>
    <w:rsid w:val="00C03865"/>
    <w:rsid w:val="00C03D5A"/>
    <w:rsid w:val="00C040E1"/>
    <w:rsid w:val="00C04777"/>
    <w:rsid w:val="00C047A1"/>
    <w:rsid w:val="00C04A19"/>
    <w:rsid w:val="00C04FDD"/>
    <w:rsid w:val="00C0509A"/>
    <w:rsid w:val="00C05276"/>
    <w:rsid w:val="00C054A3"/>
    <w:rsid w:val="00C054C6"/>
    <w:rsid w:val="00C055F9"/>
    <w:rsid w:val="00C05622"/>
    <w:rsid w:val="00C0582D"/>
    <w:rsid w:val="00C05851"/>
    <w:rsid w:val="00C05ECD"/>
    <w:rsid w:val="00C06063"/>
    <w:rsid w:val="00C06767"/>
    <w:rsid w:val="00C0687C"/>
    <w:rsid w:val="00C06B25"/>
    <w:rsid w:val="00C06BEC"/>
    <w:rsid w:val="00C07380"/>
    <w:rsid w:val="00C07393"/>
    <w:rsid w:val="00C07620"/>
    <w:rsid w:val="00C07AB6"/>
    <w:rsid w:val="00C07ACB"/>
    <w:rsid w:val="00C07E78"/>
    <w:rsid w:val="00C10055"/>
    <w:rsid w:val="00C102F3"/>
    <w:rsid w:val="00C106B8"/>
    <w:rsid w:val="00C10AFD"/>
    <w:rsid w:val="00C10B22"/>
    <w:rsid w:val="00C10C3F"/>
    <w:rsid w:val="00C10C52"/>
    <w:rsid w:val="00C1107C"/>
    <w:rsid w:val="00C11623"/>
    <w:rsid w:val="00C1172F"/>
    <w:rsid w:val="00C119A0"/>
    <w:rsid w:val="00C11A92"/>
    <w:rsid w:val="00C11ABD"/>
    <w:rsid w:val="00C12046"/>
    <w:rsid w:val="00C129D9"/>
    <w:rsid w:val="00C12CCB"/>
    <w:rsid w:val="00C13089"/>
    <w:rsid w:val="00C130D6"/>
    <w:rsid w:val="00C134DA"/>
    <w:rsid w:val="00C13527"/>
    <w:rsid w:val="00C13547"/>
    <w:rsid w:val="00C137A7"/>
    <w:rsid w:val="00C13C06"/>
    <w:rsid w:val="00C13C90"/>
    <w:rsid w:val="00C13CF2"/>
    <w:rsid w:val="00C13E83"/>
    <w:rsid w:val="00C14F19"/>
    <w:rsid w:val="00C14FB2"/>
    <w:rsid w:val="00C15205"/>
    <w:rsid w:val="00C1575F"/>
    <w:rsid w:val="00C15B0C"/>
    <w:rsid w:val="00C15DE5"/>
    <w:rsid w:val="00C1613F"/>
    <w:rsid w:val="00C1652A"/>
    <w:rsid w:val="00C16621"/>
    <w:rsid w:val="00C168CF"/>
    <w:rsid w:val="00C16912"/>
    <w:rsid w:val="00C16D47"/>
    <w:rsid w:val="00C17007"/>
    <w:rsid w:val="00C17204"/>
    <w:rsid w:val="00C17304"/>
    <w:rsid w:val="00C1748F"/>
    <w:rsid w:val="00C176AC"/>
    <w:rsid w:val="00C178EE"/>
    <w:rsid w:val="00C17CE1"/>
    <w:rsid w:val="00C20464"/>
    <w:rsid w:val="00C2058B"/>
    <w:rsid w:val="00C20668"/>
    <w:rsid w:val="00C208B8"/>
    <w:rsid w:val="00C209AD"/>
    <w:rsid w:val="00C20B13"/>
    <w:rsid w:val="00C2103A"/>
    <w:rsid w:val="00C212C4"/>
    <w:rsid w:val="00C21311"/>
    <w:rsid w:val="00C2164B"/>
    <w:rsid w:val="00C21DA3"/>
    <w:rsid w:val="00C21EF9"/>
    <w:rsid w:val="00C21FE6"/>
    <w:rsid w:val="00C221C0"/>
    <w:rsid w:val="00C222A1"/>
    <w:rsid w:val="00C222F7"/>
    <w:rsid w:val="00C22397"/>
    <w:rsid w:val="00C224E3"/>
    <w:rsid w:val="00C22690"/>
    <w:rsid w:val="00C22AAB"/>
    <w:rsid w:val="00C22ECB"/>
    <w:rsid w:val="00C234D5"/>
    <w:rsid w:val="00C23BB4"/>
    <w:rsid w:val="00C23F47"/>
    <w:rsid w:val="00C23FC4"/>
    <w:rsid w:val="00C242C1"/>
    <w:rsid w:val="00C2437B"/>
    <w:rsid w:val="00C24589"/>
    <w:rsid w:val="00C246AB"/>
    <w:rsid w:val="00C24707"/>
    <w:rsid w:val="00C24792"/>
    <w:rsid w:val="00C24839"/>
    <w:rsid w:val="00C24B34"/>
    <w:rsid w:val="00C24BB6"/>
    <w:rsid w:val="00C24D35"/>
    <w:rsid w:val="00C24E28"/>
    <w:rsid w:val="00C2525E"/>
    <w:rsid w:val="00C2579C"/>
    <w:rsid w:val="00C2584D"/>
    <w:rsid w:val="00C25F77"/>
    <w:rsid w:val="00C26099"/>
    <w:rsid w:val="00C26159"/>
    <w:rsid w:val="00C26245"/>
    <w:rsid w:val="00C2629C"/>
    <w:rsid w:val="00C2629E"/>
    <w:rsid w:val="00C262ED"/>
    <w:rsid w:val="00C265C9"/>
    <w:rsid w:val="00C2664A"/>
    <w:rsid w:val="00C26968"/>
    <w:rsid w:val="00C26A69"/>
    <w:rsid w:val="00C26B56"/>
    <w:rsid w:val="00C26DE9"/>
    <w:rsid w:val="00C26E37"/>
    <w:rsid w:val="00C26F04"/>
    <w:rsid w:val="00C27037"/>
    <w:rsid w:val="00C27554"/>
    <w:rsid w:val="00C277DA"/>
    <w:rsid w:val="00C27C23"/>
    <w:rsid w:val="00C30019"/>
    <w:rsid w:val="00C301CF"/>
    <w:rsid w:val="00C307DA"/>
    <w:rsid w:val="00C309E6"/>
    <w:rsid w:val="00C30B6D"/>
    <w:rsid w:val="00C30C46"/>
    <w:rsid w:val="00C311E2"/>
    <w:rsid w:val="00C31439"/>
    <w:rsid w:val="00C31460"/>
    <w:rsid w:val="00C317B8"/>
    <w:rsid w:val="00C31808"/>
    <w:rsid w:val="00C31ACA"/>
    <w:rsid w:val="00C31B9C"/>
    <w:rsid w:val="00C31C79"/>
    <w:rsid w:val="00C31D03"/>
    <w:rsid w:val="00C31D26"/>
    <w:rsid w:val="00C31DD4"/>
    <w:rsid w:val="00C31E1D"/>
    <w:rsid w:val="00C32064"/>
    <w:rsid w:val="00C3223A"/>
    <w:rsid w:val="00C32B28"/>
    <w:rsid w:val="00C32CA7"/>
    <w:rsid w:val="00C32E58"/>
    <w:rsid w:val="00C330B7"/>
    <w:rsid w:val="00C33183"/>
    <w:rsid w:val="00C33706"/>
    <w:rsid w:val="00C33A05"/>
    <w:rsid w:val="00C33B39"/>
    <w:rsid w:val="00C33F14"/>
    <w:rsid w:val="00C34104"/>
    <w:rsid w:val="00C3465A"/>
    <w:rsid w:val="00C3470E"/>
    <w:rsid w:val="00C34760"/>
    <w:rsid w:val="00C34B38"/>
    <w:rsid w:val="00C34D0A"/>
    <w:rsid w:val="00C34D5B"/>
    <w:rsid w:val="00C35028"/>
    <w:rsid w:val="00C357EA"/>
    <w:rsid w:val="00C35941"/>
    <w:rsid w:val="00C35A3D"/>
    <w:rsid w:val="00C35BCA"/>
    <w:rsid w:val="00C3616F"/>
    <w:rsid w:val="00C363FB"/>
    <w:rsid w:val="00C364A6"/>
    <w:rsid w:val="00C36691"/>
    <w:rsid w:val="00C366C6"/>
    <w:rsid w:val="00C36A9F"/>
    <w:rsid w:val="00C374C1"/>
    <w:rsid w:val="00C37611"/>
    <w:rsid w:val="00C37666"/>
    <w:rsid w:val="00C37B9E"/>
    <w:rsid w:val="00C37CF3"/>
    <w:rsid w:val="00C40013"/>
    <w:rsid w:val="00C40E60"/>
    <w:rsid w:val="00C411E9"/>
    <w:rsid w:val="00C41586"/>
    <w:rsid w:val="00C415DD"/>
    <w:rsid w:val="00C416FD"/>
    <w:rsid w:val="00C417CC"/>
    <w:rsid w:val="00C417F5"/>
    <w:rsid w:val="00C41AFB"/>
    <w:rsid w:val="00C41C84"/>
    <w:rsid w:val="00C41DF7"/>
    <w:rsid w:val="00C41E33"/>
    <w:rsid w:val="00C41F79"/>
    <w:rsid w:val="00C424DF"/>
    <w:rsid w:val="00C426CE"/>
    <w:rsid w:val="00C428FF"/>
    <w:rsid w:val="00C42C2C"/>
    <w:rsid w:val="00C42C84"/>
    <w:rsid w:val="00C42FAA"/>
    <w:rsid w:val="00C43051"/>
    <w:rsid w:val="00C430E2"/>
    <w:rsid w:val="00C43314"/>
    <w:rsid w:val="00C43D3B"/>
    <w:rsid w:val="00C43EA9"/>
    <w:rsid w:val="00C44457"/>
    <w:rsid w:val="00C44738"/>
    <w:rsid w:val="00C4473A"/>
    <w:rsid w:val="00C44AE6"/>
    <w:rsid w:val="00C44D46"/>
    <w:rsid w:val="00C44DED"/>
    <w:rsid w:val="00C45016"/>
    <w:rsid w:val="00C45289"/>
    <w:rsid w:val="00C454D9"/>
    <w:rsid w:val="00C45525"/>
    <w:rsid w:val="00C45537"/>
    <w:rsid w:val="00C45779"/>
    <w:rsid w:val="00C45C60"/>
    <w:rsid w:val="00C45C62"/>
    <w:rsid w:val="00C45E5A"/>
    <w:rsid w:val="00C46053"/>
    <w:rsid w:val="00C46292"/>
    <w:rsid w:val="00C4684C"/>
    <w:rsid w:val="00C469F2"/>
    <w:rsid w:val="00C46A3B"/>
    <w:rsid w:val="00C46D29"/>
    <w:rsid w:val="00C46E19"/>
    <w:rsid w:val="00C47541"/>
    <w:rsid w:val="00C475C7"/>
    <w:rsid w:val="00C47601"/>
    <w:rsid w:val="00C478DA"/>
    <w:rsid w:val="00C47B75"/>
    <w:rsid w:val="00C47DF2"/>
    <w:rsid w:val="00C50AAE"/>
    <w:rsid w:val="00C5119C"/>
    <w:rsid w:val="00C513EA"/>
    <w:rsid w:val="00C513EB"/>
    <w:rsid w:val="00C51591"/>
    <w:rsid w:val="00C515B0"/>
    <w:rsid w:val="00C51702"/>
    <w:rsid w:val="00C5171D"/>
    <w:rsid w:val="00C517ED"/>
    <w:rsid w:val="00C51A28"/>
    <w:rsid w:val="00C51B08"/>
    <w:rsid w:val="00C51BA8"/>
    <w:rsid w:val="00C51C23"/>
    <w:rsid w:val="00C51C57"/>
    <w:rsid w:val="00C51DB8"/>
    <w:rsid w:val="00C51FF9"/>
    <w:rsid w:val="00C524BE"/>
    <w:rsid w:val="00C5298A"/>
    <w:rsid w:val="00C5304F"/>
    <w:rsid w:val="00C53513"/>
    <w:rsid w:val="00C53730"/>
    <w:rsid w:val="00C53951"/>
    <w:rsid w:val="00C53E49"/>
    <w:rsid w:val="00C53F5D"/>
    <w:rsid w:val="00C540B9"/>
    <w:rsid w:val="00C54398"/>
    <w:rsid w:val="00C543E7"/>
    <w:rsid w:val="00C54411"/>
    <w:rsid w:val="00C54582"/>
    <w:rsid w:val="00C54CC3"/>
    <w:rsid w:val="00C54D6E"/>
    <w:rsid w:val="00C54D95"/>
    <w:rsid w:val="00C54EE3"/>
    <w:rsid w:val="00C5502D"/>
    <w:rsid w:val="00C55193"/>
    <w:rsid w:val="00C552F9"/>
    <w:rsid w:val="00C554D4"/>
    <w:rsid w:val="00C554D9"/>
    <w:rsid w:val="00C55827"/>
    <w:rsid w:val="00C55927"/>
    <w:rsid w:val="00C560DB"/>
    <w:rsid w:val="00C5639E"/>
    <w:rsid w:val="00C56532"/>
    <w:rsid w:val="00C56D39"/>
    <w:rsid w:val="00C57155"/>
    <w:rsid w:val="00C5715C"/>
    <w:rsid w:val="00C57223"/>
    <w:rsid w:val="00C57340"/>
    <w:rsid w:val="00C57569"/>
    <w:rsid w:val="00C57A1F"/>
    <w:rsid w:val="00C57A92"/>
    <w:rsid w:val="00C57C0D"/>
    <w:rsid w:val="00C57E63"/>
    <w:rsid w:val="00C601E3"/>
    <w:rsid w:val="00C602CD"/>
    <w:rsid w:val="00C60491"/>
    <w:rsid w:val="00C605F0"/>
    <w:rsid w:val="00C6069B"/>
    <w:rsid w:val="00C607D1"/>
    <w:rsid w:val="00C609B9"/>
    <w:rsid w:val="00C60A86"/>
    <w:rsid w:val="00C60AF5"/>
    <w:rsid w:val="00C60CB5"/>
    <w:rsid w:val="00C60D11"/>
    <w:rsid w:val="00C60FBF"/>
    <w:rsid w:val="00C61030"/>
    <w:rsid w:val="00C61109"/>
    <w:rsid w:val="00C61324"/>
    <w:rsid w:val="00C6183D"/>
    <w:rsid w:val="00C61AB2"/>
    <w:rsid w:val="00C61B02"/>
    <w:rsid w:val="00C61E90"/>
    <w:rsid w:val="00C61F1C"/>
    <w:rsid w:val="00C61FD2"/>
    <w:rsid w:val="00C620B7"/>
    <w:rsid w:val="00C620D4"/>
    <w:rsid w:val="00C6222B"/>
    <w:rsid w:val="00C6276A"/>
    <w:rsid w:val="00C62792"/>
    <w:rsid w:val="00C62798"/>
    <w:rsid w:val="00C6297B"/>
    <w:rsid w:val="00C62AB4"/>
    <w:rsid w:val="00C63444"/>
    <w:rsid w:val="00C63BFA"/>
    <w:rsid w:val="00C64208"/>
    <w:rsid w:val="00C643EB"/>
    <w:rsid w:val="00C644C4"/>
    <w:rsid w:val="00C644F2"/>
    <w:rsid w:val="00C64544"/>
    <w:rsid w:val="00C645FD"/>
    <w:rsid w:val="00C64868"/>
    <w:rsid w:val="00C64DA3"/>
    <w:rsid w:val="00C64E8C"/>
    <w:rsid w:val="00C64F12"/>
    <w:rsid w:val="00C6511C"/>
    <w:rsid w:val="00C6539B"/>
    <w:rsid w:val="00C6540F"/>
    <w:rsid w:val="00C65840"/>
    <w:rsid w:val="00C65D6D"/>
    <w:rsid w:val="00C65FF3"/>
    <w:rsid w:val="00C66188"/>
    <w:rsid w:val="00C6642E"/>
    <w:rsid w:val="00C66494"/>
    <w:rsid w:val="00C664AE"/>
    <w:rsid w:val="00C66676"/>
    <w:rsid w:val="00C666B9"/>
    <w:rsid w:val="00C66E98"/>
    <w:rsid w:val="00C670FC"/>
    <w:rsid w:val="00C67950"/>
    <w:rsid w:val="00C67CFD"/>
    <w:rsid w:val="00C70072"/>
    <w:rsid w:val="00C702A2"/>
    <w:rsid w:val="00C702A5"/>
    <w:rsid w:val="00C70370"/>
    <w:rsid w:val="00C70585"/>
    <w:rsid w:val="00C70975"/>
    <w:rsid w:val="00C709F0"/>
    <w:rsid w:val="00C71490"/>
    <w:rsid w:val="00C71783"/>
    <w:rsid w:val="00C719A2"/>
    <w:rsid w:val="00C71A63"/>
    <w:rsid w:val="00C71DC7"/>
    <w:rsid w:val="00C71F6D"/>
    <w:rsid w:val="00C72165"/>
    <w:rsid w:val="00C72184"/>
    <w:rsid w:val="00C72773"/>
    <w:rsid w:val="00C72A19"/>
    <w:rsid w:val="00C72B8E"/>
    <w:rsid w:val="00C72D7B"/>
    <w:rsid w:val="00C73620"/>
    <w:rsid w:val="00C73779"/>
    <w:rsid w:val="00C73AB0"/>
    <w:rsid w:val="00C73D66"/>
    <w:rsid w:val="00C73F83"/>
    <w:rsid w:val="00C74167"/>
    <w:rsid w:val="00C741D2"/>
    <w:rsid w:val="00C744CE"/>
    <w:rsid w:val="00C7486E"/>
    <w:rsid w:val="00C74929"/>
    <w:rsid w:val="00C74D98"/>
    <w:rsid w:val="00C74E50"/>
    <w:rsid w:val="00C7503A"/>
    <w:rsid w:val="00C752FC"/>
    <w:rsid w:val="00C75357"/>
    <w:rsid w:val="00C754E3"/>
    <w:rsid w:val="00C7574B"/>
    <w:rsid w:val="00C757AE"/>
    <w:rsid w:val="00C758BD"/>
    <w:rsid w:val="00C75A6D"/>
    <w:rsid w:val="00C75CEB"/>
    <w:rsid w:val="00C760F6"/>
    <w:rsid w:val="00C76268"/>
    <w:rsid w:val="00C76400"/>
    <w:rsid w:val="00C76624"/>
    <w:rsid w:val="00C76661"/>
    <w:rsid w:val="00C7692D"/>
    <w:rsid w:val="00C76AAF"/>
    <w:rsid w:val="00C76C46"/>
    <w:rsid w:val="00C76E35"/>
    <w:rsid w:val="00C77478"/>
    <w:rsid w:val="00C774A1"/>
    <w:rsid w:val="00C775A0"/>
    <w:rsid w:val="00C8035B"/>
    <w:rsid w:val="00C803A3"/>
    <w:rsid w:val="00C80AAA"/>
    <w:rsid w:val="00C80C41"/>
    <w:rsid w:val="00C80CEF"/>
    <w:rsid w:val="00C80E40"/>
    <w:rsid w:val="00C80EBD"/>
    <w:rsid w:val="00C81120"/>
    <w:rsid w:val="00C81432"/>
    <w:rsid w:val="00C814B8"/>
    <w:rsid w:val="00C81817"/>
    <w:rsid w:val="00C81A43"/>
    <w:rsid w:val="00C81C05"/>
    <w:rsid w:val="00C8252F"/>
    <w:rsid w:val="00C828B8"/>
    <w:rsid w:val="00C82958"/>
    <w:rsid w:val="00C82994"/>
    <w:rsid w:val="00C82C2D"/>
    <w:rsid w:val="00C82E07"/>
    <w:rsid w:val="00C82EC5"/>
    <w:rsid w:val="00C83041"/>
    <w:rsid w:val="00C836CF"/>
    <w:rsid w:val="00C83797"/>
    <w:rsid w:val="00C838C3"/>
    <w:rsid w:val="00C83E50"/>
    <w:rsid w:val="00C8452A"/>
    <w:rsid w:val="00C8487D"/>
    <w:rsid w:val="00C848A7"/>
    <w:rsid w:val="00C849C0"/>
    <w:rsid w:val="00C84AA4"/>
    <w:rsid w:val="00C84ABF"/>
    <w:rsid w:val="00C84D01"/>
    <w:rsid w:val="00C84F2E"/>
    <w:rsid w:val="00C85035"/>
    <w:rsid w:val="00C851F6"/>
    <w:rsid w:val="00C85535"/>
    <w:rsid w:val="00C8568B"/>
    <w:rsid w:val="00C858FF"/>
    <w:rsid w:val="00C859DC"/>
    <w:rsid w:val="00C85AE0"/>
    <w:rsid w:val="00C85E30"/>
    <w:rsid w:val="00C85F23"/>
    <w:rsid w:val="00C86A80"/>
    <w:rsid w:val="00C86BFA"/>
    <w:rsid w:val="00C86E8E"/>
    <w:rsid w:val="00C8712F"/>
    <w:rsid w:val="00C876A0"/>
    <w:rsid w:val="00C8779F"/>
    <w:rsid w:val="00C878CA"/>
    <w:rsid w:val="00C879A4"/>
    <w:rsid w:val="00C879EF"/>
    <w:rsid w:val="00C87AF2"/>
    <w:rsid w:val="00C87B57"/>
    <w:rsid w:val="00C87FC6"/>
    <w:rsid w:val="00C908C6"/>
    <w:rsid w:val="00C90A98"/>
    <w:rsid w:val="00C90B42"/>
    <w:rsid w:val="00C91074"/>
    <w:rsid w:val="00C9182B"/>
    <w:rsid w:val="00C91C5F"/>
    <w:rsid w:val="00C9213E"/>
    <w:rsid w:val="00C9255D"/>
    <w:rsid w:val="00C92870"/>
    <w:rsid w:val="00C928BF"/>
    <w:rsid w:val="00C9296C"/>
    <w:rsid w:val="00C92DFF"/>
    <w:rsid w:val="00C93384"/>
    <w:rsid w:val="00C93668"/>
    <w:rsid w:val="00C93EAE"/>
    <w:rsid w:val="00C93FD8"/>
    <w:rsid w:val="00C94170"/>
    <w:rsid w:val="00C9433A"/>
    <w:rsid w:val="00C94465"/>
    <w:rsid w:val="00C945C2"/>
    <w:rsid w:val="00C946B2"/>
    <w:rsid w:val="00C946F6"/>
    <w:rsid w:val="00C9474D"/>
    <w:rsid w:val="00C9475D"/>
    <w:rsid w:val="00C94B1E"/>
    <w:rsid w:val="00C94FB6"/>
    <w:rsid w:val="00C95056"/>
    <w:rsid w:val="00C95076"/>
    <w:rsid w:val="00C95115"/>
    <w:rsid w:val="00C951FD"/>
    <w:rsid w:val="00C952C3"/>
    <w:rsid w:val="00C9536E"/>
    <w:rsid w:val="00C95A15"/>
    <w:rsid w:val="00C95A37"/>
    <w:rsid w:val="00C95D21"/>
    <w:rsid w:val="00C961DD"/>
    <w:rsid w:val="00C962F3"/>
    <w:rsid w:val="00C963BF"/>
    <w:rsid w:val="00C96479"/>
    <w:rsid w:val="00C96516"/>
    <w:rsid w:val="00C96A54"/>
    <w:rsid w:val="00C96B8E"/>
    <w:rsid w:val="00C96DA5"/>
    <w:rsid w:val="00C96DD8"/>
    <w:rsid w:val="00C96F7D"/>
    <w:rsid w:val="00C970A1"/>
    <w:rsid w:val="00C97397"/>
    <w:rsid w:val="00C97511"/>
    <w:rsid w:val="00C975E6"/>
    <w:rsid w:val="00C9770C"/>
    <w:rsid w:val="00C978FE"/>
    <w:rsid w:val="00C97A74"/>
    <w:rsid w:val="00C97D48"/>
    <w:rsid w:val="00C97EAC"/>
    <w:rsid w:val="00CA05CE"/>
    <w:rsid w:val="00CA0818"/>
    <w:rsid w:val="00CA0AFD"/>
    <w:rsid w:val="00CA0C2D"/>
    <w:rsid w:val="00CA0E7C"/>
    <w:rsid w:val="00CA0E9B"/>
    <w:rsid w:val="00CA10D0"/>
    <w:rsid w:val="00CA1333"/>
    <w:rsid w:val="00CA13DE"/>
    <w:rsid w:val="00CA1458"/>
    <w:rsid w:val="00CA14F6"/>
    <w:rsid w:val="00CA175E"/>
    <w:rsid w:val="00CA19A9"/>
    <w:rsid w:val="00CA1B16"/>
    <w:rsid w:val="00CA1E51"/>
    <w:rsid w:val="00CA21A9"/>
    <w:rsid w:val="00CA231A"/>
    <w:rsid w:val="00CA2499"/>
    <w:rsid w:val="00CA2697"/>
    <w:rsid w:val="00CA354B"/>
    <w:rsid w:val="00CA35FE"/>
    <w:rsid w:val="00CA38C1"/>
    <w:rsid w:val="00CA43F9"/>
    <w:rsid w:val="00CA4458"/>
    <w:rsid w:val="00CA4464"/>
    <w:rsid w:val="00CA45FC"/>
    <w:rsid w:val="00CA46E0"/>
    <w:rsid w:val="00CA481F"/>
    <w:rsid w:val="00CA487E"/>
    <w:rsid w:val="00CA489F"/>
    <w:rsid w:val="00CA4BD8"/>
    <w:rsid w:val="00CA516C"/>
    <w:rsid w:val="00CA52B2"/>
    <w:rsid w:val="00CA55C8"/>
    <w:rsid w:val="00CA56C5"/>
    <w:rsid w:val="00CA59C2"/>
    <w:rsid w:val="00CA5C47"/>
    <w:rsid w:val="00CA5C82"/>
    <w:rsid w:val="00CA62EE"/>
    <w:rsid w:val="00CA65EF"/>
    <w:rsid w:val="00CA6647"/>
    <w:rsid w:val="00CA6669"/>
    <w:rsid w:val="00CA679A"/>
    <w:rsid w:val="00CA69F7"/>
    <w:rsid w:val="00CA6B1A"/>
    <w:rsid w:val="00CA6CFF"/>
    <w:rsid w:val="00CA729C"/>
    <w:rsid w:val="00CA732B"/>
    <w:rsid w:val="00CA7414"/>
    <w:rsid w:val="00CA744E"/>
    <w:rsid w:val="00CA7632"/>
    <w:rsid w:val="00CA7682"/>
    <w:rsid w:val="00CA7854"/>
    <w:rsid w:val="00CA7915"/>
    <w:rsid w:val="00CA7A75"/>
    <w:rsid w:val="00CA7D5D"/>
    <w:rsid w:val="00CA7E03"/>
    <w:rsid w:val="00CA7F28"/>
    <w:rsid w:val="00CA7F39"/>
    <w:rsid w:val="00CB00EA"/>
    <w:rsid w:val="00CB0125"/>
    <w:rsid w:val="00CB01EF"/>
    <w:rsid w:val="00CB01F6"/>
    <w:rsid w:val="00CB029E"/>
    <w:rsid w:val="00CB0768"/>
    <w:rsid w:val="00CB0A1F"/>
    <w:rsid w:val="00CB0CE9"/>
    <w:rsid w:val="00CB131F"/>
    <w:rsid w:val="00CB1320"/>
    <w:rsid w:val="00CB16C4"/>
    <w:rsid w:val="00CB16E4"/>
    <w:rsid w:val="00CB17C9"/>
    <w:rsid w:val="00CB19D4"/>
    <w:rsid w:val="00CB1A00"/>
    <w:rsid w:val="00CB1EFD"/>
    <w:rsid w:val="00CB2121"/>
    <w:rsid w:val="00CB21AF"/>
    <w:rsid w:val="00CB221C"/>
    <w:rsid w:val="00CB2476"/>
    <w:rsid w:val="00CB2ACF"/>
    <w:rsid w:val="00CB2B76"/>
    <w:rsid w:val="00CB2E15"/>
    <w:rsid w:val="00CB33D0"/>
    <w:rsid w:val="00CB3555"/>
    <w:rsid w:val="00CB3693"/>
    <w:rsid w:val="00CB372C"/>
    <w:rsid w:val="00CB3847"/>
    <w:rsid w:val="00CB3A06"/>
    <w:rsid w:val="00CB3BEB"/>
    <w:rsid w:val="00CB3C5D"/>
    <w:rsid w:val="00CB3E69"/>
    <w:rsid w:val="00CB434C"/>
    <w:rsid w:val="00CB439C"/>
    <w:rsid w:val="00CB4526"/>
    <w:rsid w:val="00CB452B"/>
    <w:rsid w:val="00CB4900"/>
    <w:rsid w:val="00CB4B2D"/>
    <w:rsid w:val="00CB4DC2"/>
    <w:rsid w:val="00CB4DCD"/>
    <w:rsid w:val="00CB4E4B"/>
    <w:rsid w:val="00CB4F2D"/>
    <w:rsid w:val="00CB535F"/>
    <w:rsid w:val="00CB53F8"/>
    <w:rsid w:val="00CB544A"/>
    <w:rsid w:val="00CB57A4"/>
    <w:rsid w:val="00CB5E59"/>
    <w:rsid w:val="00CB5FF4"/>
    <w:rsid w:val="00CB603C"/>
    <w:rsid w:val="00CB6272"/>
    <w:rsid w:val="00CB63F3"/>
    <w:rsid w:val="00CB6B3F"/>
    <w:rsid w:val="00CB6C9D"/>
    <w:rsid w:val="00CB7418"/>
    <w:rsid w:val="00CB779C"/>
    <w:rsid w:val="00CB78DF"/>
    <w:rsid w:val="00CB7A7D"/>
    <w:rsid w:val="00CB7C36"/>
    <w:rsid w:val="00CB7C49"/>
    <w:rsid w:val="00CB7EC4"/>
    <w:rsid w:val="00CC01EB"/>
    <w:rsid w:val="00CC03FB"/>
    <w:rsid w:val="00CC0670"/>
    <w:rsid w:val="00CC0743"/>
    <w:rsid w:val="00CC0A15"/>
    <w:rsid w:val="00CC0B70"/>
    <w:rsid w:val="00CC0BBE"/>
    <w:rsid w:val="00CC100B"/>
    <w:rsid w:val="00CC1311"/>
    <w:rsid w:val="00CC13B0"/>
    <w:rsid w:val="00CC15A2"/>
    <w:rsid w:val="00CC1690"/>
    <w:rsid w:val="00CC1969"/>
    <w:rsid w:val="00CC19DE"/>
    <w:rsid w:val="00CC1B04"/>
    <w:rsid w:val="00CC1C7E"/>
    <w:rsid w:val="00CC1E08"/>
    <w:rsid w:val="00CC2213"/>
    <w:rsid w:val="00CC2221"/>
    <w:rsid w:val="00CC22A0"/>
    <w:rsid w:val="00CC2320"/>
    <w:rsid w:val="00CC23B3"/>
    <w:rsid w:val="00CC244A"/>
    <w:rsid w:val="00CC25C1"/>
    <w:rsid w:val="00CC27FE"/>
    <w:rsid w:val="00CC2852"/>
    <w:rsid w:val="00CC2995"/>
    <w:rsid w:val="00CC2A78"/>
    <w:rsid w:val="00CC2BB0"/>
    <w:rsid w:val="00CC2C0B"/>
    <w:rsid w:val="00CC2D98"/>
    <w:rsid w:val="00CC2E06"/>
    <w:rsid w:val="00CC3066"/>
    <w:rsid w:val="00CC367D"/>
    <w:rsid w:val="00CC3A33"/>
    <w:rsid w:val="00CC3D23"/>
    <w:rsid w:val="00CC3D91"/>
    <w:rsid w:val="00CC3F04"/>
    <w:rsid w:val="00CC4210"/>
    <w:rsid w:val="00CC4238"/>
    <w:rsid w:val="00CC44F1"/>
    <w:rsid w:val="00CC44FE"/>
    <w:rsid w:val="00CC4921"/>
    <w:rsid w:val="00CC4A14"/>
    <w:rsid w:val="00CC5431"/>
    <w:rsid w:val="00CC5476"/>
    <w:rsid w:val="00CC5D3B"/>
    <w:rsid w:val="00CC5E1B"/>
    <w:rsid w:val="00CC644D"/>
    <w:rsid w:val="00CC658D"/>
    <w:rsid w:val="00CC665A"/>
    <w:rsid w:val="00CC67EC"/>
    <w:rsid w:val="00CC6929"/>
    <w:rsid w:val="00CC6D92"/>
    <w:rsid w:val="00CC6FB8"/>
    <w:rsid w:val="00CC718D"/>
    <w:rsid w:val="00CC7210"/>
    <w:rsid w:val="00CC74A2"/>
    <w:rsid w:val="00CC75E8"/>
    <w:rsid w:val="00CC779C"/>
    <w:rsid w:val="00CC799D"/>
    <w:rsid w:val="00CC7ADE"/>
    <w:rsid w:val="00CC7C4B"/>
    <w:rsid w:val="00CC7F36"/>
    <w:rsid w:val="00CD009F"/>
    <w:rsid w:val="00CD0492"/>
    <w:rsid w:val="00CD0518"/>
    <w:rsid w:val="00CD0593"/>
    <w:rsid w:val="00CD07CA"/>
    <w:rsid w:val="00CD07DE"/>
    <w:rsid w:val="00CD107A"/>
    <w:rsid w:val="00CD1184"/>
    <w:rsid w:val="00CD1311"/>
    <w:rsid w:val="00CD146B"/>
    <w:rsid w:val="00CD155B"/>
    <w:rsid w:val="00CD1A3E"/>
    <w:rsid w:val="00CD1F7A"/>
    <w:rsid w:val="00CD1FD1"/>
    <w:rsid w:val="00CD20D4"/>
    <w:rsid w:val="00CD2187"/>
    <w:rsid w:val="00CD246B"/>
    <w:rsid w:val="00CD2519"/>
    <w:rsid w:val="00CD251C"/>
    <w:rsid w:val="00CD2777"/>
    <w:rsid w:val="00CD299A"/>
    <w:rsid w:val="00CD2C94"/>
    <w:rsid w:val="00CD2CDC"/>
    <w:rsid w:val="00CD2F34"/>
    <w:rsid w:val="00CD3A8A"/>
    <w:rsid w:val="00CD3B66"/>
    <w:rsid w:val="00CD3C4A"/>
    <w:rsid w:val="00CD4817"/>
    <w:rsid w:val="00CD4CB3"/>
    <w:rsid w:val="00CD4F23"/>
    <w:rsid w:val="00CD4FC6"/>
    <w:rsid w:val="00CD520E"/>
    <w:rsid w:val="00CD5217"/>
    <w:rsid w:val="00CD5329"/>
    <w:rsid w:val="00CD5562"/>
    <w:rsid w:val="00CD558B"/>
    <w:rsid w:val="00CD55B3"/>
    <w:rsid w:val="00CD5803"/>
    <w:rsid w:val="00CD5958"/>
    <w:rsid w:val="00CD59D9"/>
    <w:rsid w:val="00CD5A05"/>
    <w:rsid w:val="00CD5B7D"/>
    <w:rsid w:val="00CD5BF6"/>
    <w:rsid w:val="00CD5D9A"/>
    <w:rsid w:val="00CD5DBF"/>
    <w:rsid w:val="00CD5F3B"/>
    <w:rsid w:val="00CD6ABC"/>
    <w:rsid w:val="00CD6CB5"/>
    <w:rsid w:val="00CD6D82"/>
    <w:rsid w:val="00CD6DE9"/>
    <w:rsid w:val="00CD7065"/>
    <w:rsid w:val="00CD7288"/>
    <w:rsid w:val="00CD750A"/>
    <w:rsid w:val="00CD75D3"/>
    <w:rsid w:val="00CD76D3"/>
    <w:rsid w:val="00CD7A6E"/>
    <w:rsid w:val="00CD7CD0"/>
    <w:rsid w:val="00CD7E16"/>
    <w:rsid w:val="00CD7EE5"/>
    <w:rsid w:val="00CD7FD7"/>
    <w:rsid w:val="00CE0097"/>
    <w:rsid w:val="00CE0366"/>
    <w:rsid w:val="00CE04A0"/>
    <w:rsid w:val="00CE04BA"/>
    <w:rsid w:val="00CE06BD"/>
    <w:rsid w:val="00CE07A2"/>
    <w:rsid w:val="00CE0855"/>
    <w:rsid w:val="00CE0DB5"/>
    <w:rsid w:val="00CE0E92"/>
    <w:rsid w:val="00CE102F"/>
    <w:rsid w:val="00CE11B2"/>
    <w:rsid w:val="00CE1AAD"/>
    <w:rsid w:val="00CE1BED"/>
    <w:rsid w:val="00CE1C11"/>
    <w:rsid w:val="00CE1D24"/>
    <w:rsid w:val="00CE2349"/>
    <w:rsid w:val="00CE23B9"/>
    <w:rsid w:val="00CE23BA"/>
    <w:rsid w:val="00CE265B"/>
    <w:rsid w:val="00CE274A"/>
    <w:rsid w:val="00CE28CA"/>
    <w:rsid w:val="00CE2B4F"/>
    <w:rsid w:val="00CE3042"/>
    <w:rsid w:val="00CE3068"/>
    <w:rsid w:val="00CE30A7"/>
    <w:rsid w:val="00CE30B0"/>
    <w:rsid w:val="00CE30E6"/>
    <w:rsid w:val="00CE333D"/>
    <w:rsid w:val="00CE341F"/>
    <w:rsid w:val="00CE345F"/>
    <w:rsid w:val="00CE34DC"/>
    <w:rsid w:val="00CE368B"/>
    <w:rsid w:val="00CE36DD"/>
    <w:rsid w:val="00CE3BF2"/>
    <w:rsid w:val="00CE3F11"/>
    <w:rsid w:val="00CE44E5"/>
    <w:rsid w:val="00CE4715"/>
    <w:rsid w:val="00CE476B"/>
    <w:rsid w:val="00CE4825"/>
    <w:rsid w:val="00CE4BBB"/>
    <w:rsid w:val="00CE4D3C"/>
    <w:rsid w:val="00CE4D54"/>
    <w:rsid w:val="00CE5135"/>
    <w:rsid w:val="00CE5203"/>
    <w:rsid w:val="00CE5457"/>
    <w:rsid w:val="00CE5899"/>
    <w:rsid w:val="00CE593A"/>
    <w:rsid w:val="00CE593C"/>
    <w:rsid w:val="00CE5E98"/>
    <w:rsid w:val="00CE5F30"/>
    <w:rsid w:val="00CE60CD"/>
    <w:rsid w:val="00CE6389"/>
    <w:rsid w:val="00CE69FC"/>
    <w:rsid w:val="00CE6A21"/>
    <w:rsid w:val="00CE6CC6"/>
    <w:rsid w:val="00CE6E7E"/>
    <w:rsid w:val="00CE6E81"/>
    <w:rsid w:val="00CF0219"/>
    <w:rsid w:val="00CF04B4"/>
    <w:rsid w:val="00CF05DB"/>
    <w:rsid w:val="00CF07B4"/>
    <w:rsid w:val="00CF0B33"/>
    <w:rsid w:val="00CF0B8C"/>
    <w:rsid w:val="00CF0D06"/>
    <w:rsid w:val="00CF0E4F"/>
    <w:rsid w:val="00CF0FC4"/>
    <w:rsid w:val="00CF1089"/>
    <w:rsid w:val="00CF15DD"/>
    <w:rsid w:val="00CF1C79"/>
    <w:rsid w:val="00CF1D89"/>
    <w:rsid w:val="00CF1EFC"/>
    <w:rsid w:val="00CF2121"/>
    <w:rsid w:val="00CF2157"/>
    <w:rsid w:val="00CF223A"/>
    <w:rsid w:val="00CF225A"/>
    <w:rsid w:val="00CF24F0"/>
    <w:rsid w:val="00CF26C2"/>
    <w:rsid w:val="00CF2708"/>
    <w:rsid w:val="00CF294F"/>
    <w:rsid w:val="00CF2C08"/>
    <w:rsid w:val="00CF2C97"/>
    <w:rsid w:val="00CF2F64"/>
    <w:rsid w:val="00CF311A"/>
    <w:rsid w:val="00CF3359"/>
    <w:rsid w:val="00CF3400"/>
    <w:rsid w:val="00CF379F"/>
    <w:rsid w:val="00CF3C87"/>
    <w:rsid w:val="00CF4256"/>
    <w:rsid w:val="00CF42DF"/>
    <w:rsid w:val="00CF4307"/>
    <w:rsid w:val="00CF4D4A"/>
    <w:rsid w:val="00CF5125"/>
    <w:rsid w:val="00CF54E1"/>
    <w:rsid w:val="00CF570D"/>
    <w:rsid w:val="00CF5D03"/>
    <w:rsid w:val="00CF6181"/>
    <w:rsid w:val="00CF71D5"/>
    <w:rsid w:val="00CF76E5"/>
    <w:rsid w:val="00CF7B62"/>
    <w:rsid w:val="00CF7BBF"/>
    <w:rsid w:val="00CF7C62"/>
    <w:rsid w:val="00CF7F76"/>
    <w:rsid w:val="00CF7FAF"/>
    <w:rsid w:val="00D0008E"/>
    <w:rsid w:val="00D0048B"/>
    <w:rsid w:val="00D006B2"/>
    <w:rsid w:val="00D007CD"/>
    <w:rsid w:val="00D007F4"/>
    <w:rsid w:val="00D009E6"/>
    <w:rsid w:val="00D00CA0"/>
    <w:rsid w:val="00D00EEC"/>
    <w:rsid w:val="00D00F9D"/>
    <w:rsid w:val="00D01361"/>
    <w:rsid w:val="00D01453"/>
    <w:rsid w:val="00D0167D"/>
    <w:rsid w:val="00D018FE"/>
    <w:rsid w:val="00D01954"/>
    <w:rsid w:val="00D0196D"/>
    <w:rsid w:val="00D01A27"/>
    <w:rsid w:val="00D01ED5"/>
    <w:rsid w:val="00D021F0"/>
    <w:rsid w:val="00D02271"/>
    <w:rsid w:val="00D02402"/>
    <w:rsid w:val="00D02456"/>
    <w:rsid w:val="00D026BC"/>
    <w:rsid w:val="00D02896"/>
    <w:rsid w:val="00D02AD7"/>
    <w:rsid w:val="00D02C47"/>
    <w:rsid w:val="00D03458"/>
    <w:rsid w:val="00D03AD1"/>
    <w:rsid w:val="00D03B69"/>
    <w:rsid w:val="00D03C91"/>
    <w:rsid w:val="00D03E7A"/>
    <w:rsid w:val="00D03E7B"/>
    <w:rsid w:val="00D0452C"/>
    <w:rsid w:val="00D047D3"/>
    <w:rsid w:val="00D04827"/>
    <w:rsid w:val="00D04EFF"/>
    <w:rsid w:val="00D04F25"/>
    <w:rsid w:val="00D051A6"/>
    <w:rsid w:val="00D051E5"/>
    <w:rsid w:val="00D05245"/>
    <w:rsid w:val="00D05307"/>
    <w:rsid w:val="00D0557D"/>
    <w:rsid w:val="00D05669"/>
    <w:rsid w:val="00D05D64"/>
    <w:rsid w:val="00D0630F"/>
    <w:rsid w:val="00D0673D"/>
    <w:rsid w:val="00D06878"/>
    <w:rsid w:val="00D06A55"/>
    <w:rsid w:val="00D06CBF"/>
    <w:rsid w:val="00D0713C"/>
    <w:rsid w:val="00D07756"/>
    <w:rsid w:val="00D078C6"/>
    <w:rsid w:val="00D07FB4"/>
    <w:rsid w:val="00D1036E"/>
    <w:rsid w:val="00D1052A"/>
    <w:rsid w:val="00D1060A"/>
    <w:rsid w:val="00D107E7"/>
    <w:rsid w:val="00D10D0E"/>
    <w:rsid w:val="00D10E7B"/>
    <w:rsid w:val="00D10E91"/>
    <w:rsid w:val="00D1105A"/>
    <w:rsid w:val="00D11127"/>
    <w:rsid w:val="00D1137B"/>
    <w:rsid w:val="00D11DB6"/>
    <w:rsid w:val="00D11F4B"/>
    <w:rsid w:val="00D121FC"/>
    <w:rsid w:val="00D12482"/>
    <w:rsid w:val="00D125BD"/>
    <w:rsid w:val="00D12700"/>
    <w:rsid w:val="00D12892"/>
    <w:rsid w:val="00D1298F"/>
    <w:rsid w:val="00D12A9E"/>
    <w:rsid w:val="00D12BB7"/>
    <w:rsid w:val="00D12C65"/>
    <w:rsid w:val="00D132D5"/>
    <w:rsid w:val="00D13621"/>
    <w:rsid w:val="00D13A0C"/>
    <w:rsid w:val="00D13E53"/>
    <w:rsid w:val="00D13F94"/>
    <w:rsid w:val="00D14449"/>
    <w:rsid w:val="00D14492"/>
    <w:rsid w:val="00D14AFC"/>
    <w:rsid w:val="00D14D8A"/>
    <w:rsid w:val="00D14F85"/>
    <w:rsid w:val="00D151EA"/>
    <w:rsid w:val="00D15303"/>
    <w:rsid w:val="00D16051"/>
    <w:rsid w:val="00D160F7"/>
    <w:rsid w:val="00D1623E"/>
    <w:rsid w:val="00D16297"/>
    <w:rsid w:val="00D168DB"/>
    <w:rsid w:val="00D16C83"/>
    <w:rsid w:val="00D16D0D"/>
    <w:rsid w:val="00D16EF2"/>
    <w:rsid w:val="00D17092"/>
    <w:rsid w:val="00D17788"/>
    <w:rsid w:val="00D20039"/>
    <w:rsid w:val="00D2011C"/>
    <w:rsid w:val="00D20136"/>
    <w:rsid w:val="00D20461"/>
    <w:rsid w:val="00D20B75"/>
    <w:rsid w:val="00D20EB0"/>
    <w:rsid w:val="00D21163"/>
    <w:rsid w:val="00D2148E"/>
    <w:rsid w:val="00D2173C"/>
    <w:rsid w:val="00D218BB"/>
    <w:rsid w:val="00D21A6E"/>
    <w:rsid w:val="00D21E44"/>
    <w:rsid w:val="00D21FA8"/>
    <w:rsid w:val="00D220EF"/>
    <w:rsid w:val="00D22166"/>
    <w:rsid w:val="00D22469"/>
    <w:rsid w:val="00D224D2"/>
    <w:rsid w:val="00D225A3"/>
    <w:rsid w:val="00D22675"/>
    <w:rsid w:val="00D22B80"/>
    <w:rsid w:val="00D22B8A"/>
    <w:rsid w:val="00D22EDF"/>
    <w:rsid w:val="00D2314B"/>
    <w:rsid w:val="00D2334D"/>
    <w:rsid w:val="00D23412"/>
    <w:rsid w:val="00D235E3"/>
    <w:rsid w:val="00D236B7"/>
    <w:rsid w:val="00D23B5E"/>
    <w:rsid w:val="00D23BE3"/>
    <w:rsid w:val="00D23E48"/>
    <w:rsid w:val="00D23FF7"/>
    <w:rsid w:val="00D243EA"/>
    <w:rsid w:val="00D244BE"/>
    <w:rsid w:val="00D244CE"/>
    <w:rsid w:val="00D24537"/>
    <w:rsid w:val="00D24640"/>
    <w:rsid w:val="00D2482F"/>
    <w:rsid w:val="00D249F7"/>
    <w:rsid w:val="00D24B50"/>
    <w:rsid w:val="00D24B54"/>
    <w:rsid w:val="00D24C4C"/>
    <w:rsid w:val="00D25352"/>
    <w:rsid w:val="00D25410"/>
    <w:rsid w:val="00D25964"/>
    <w:rsid w:val="00D25EC9"/>
    <w:rsid w:val="00D25FED"/>
    <w:rsid w:val="00D263FE"/>
    <w:rsid w:val="00D26488"/>
    <w:rsid w:val="00D268D9"/>
    <w:rsid w:val="00D2692A"/>
    <w:rsid w:val="00D26A83"/>
    <w:rsid w:val="00D26B2F"/>
    <w:rsid w:val="00D26D2F"/>
    <w:rsid w:val="00D26EF9"/>
    <w:rsid w:val="00D26F36"/>
    <w:rsid w:val="00D27232"/>
    <w:rsid w:val="00D272EB"/>
    <w:rsid w:val="00D2755B"/>
    <w:rsid w:val="00D278E5"/>
    <w:rsid w:val="00D278F4"/>
    <w:rsid w:val="00D27B51"/>
    <w:rsid w:val="00D27B83"/>
    <w:rsid w:val="00D27E4F"/>
    <w:rsid w:val="00D27F0D"/>
    <w:rsid w:val="00D27F2D"/>
    <w:rsid w:val="00D300C0"/>
    <w:rsid w:val="00D300E9"/>
    <w:rsid w:val="00D30118"/>
    <w:rsid w:val="00D30334"/>
    <w:rsid w:val="00D304CF"/>
    <w:rsid w:val="00D30814"/>
    <w:rsid w:val="00D3090A"/>
    <w:rsid w:val="00D30914"/>
    <w:rsid w:val="00D30B6D"/>
    <w:rsid w:val="00D310C4"/>
    <w:rsid w:val="00D310F3"/>
    <w:rsid w:val="00D3111E"/>
    <w:rsid w:val="00D31221"/>
    <w:rsid w:val="00D31318"/>
    <w:rsid w:val="00D31546"/>
    <w:rsid w:val="00D316DF"/>
    <w:rsid w:val="00D316EB"/>
    <w:rsid w:val="00D31700"/>
    <w:rsid w:val="00D31851"/>
    <w:rsid w:val="00D31F8D"/>
    <w:rsid w:val="00D323F9"/>
    <w:rsid w:val="00D32449"/>
    <w:rsid w:val="00D32664"/>
    <w:rsid w:val="00D326D0"/>
    <w:rsid w:val="00D32D36"/>
    <w:rsid w:val="00D32E3B"/>
    <w:rsid w:val="00D32FA5"/>
    <w:rsid w:val="00D3300B"/>
    <w:rsid w:val="00D336AD"/>
    <w:rsid w:val="00D3377F"/>
    <w:rsid w:val="00D33AE9"/>
    <w:rsid w:val="00D33C32"/>
    <w:rsid w:val="00D33C38"/>
    <w:rsid w:val="00D33EBE"/>
    <w:rsid w:val="00D34023"/>
    <w:rsid w:val="00D34058"/>
    <w:rsid w:val="00D34376"/>
    <w:rsid w:val="00D3459B"/>
    <w:rsid w:val="00D345D0"/>
    <w:rsid w:val="00D34615"/>
    <w:rsid w:val="00D35357"/>
    <w:rsid w:val="00D353B4"/>
    <w:rsid w:val="00D35755"/>
    <w:rsid w:val="00D35C9B"/>
    <w:rsid w:val="00D35D9E"/>
    <w:rsid w:val="00D35E91"/>
    <w:rsid w:val="00D35FE9"/>
    <w:rsid w:val="00D361D6"/>
    <w:rsid w:val="00D361D9"/>
    <w:rsid w:val="00D3633F"/>
    <w:rsid w:val="00D36BA9"/>
    <w:rsid w:val="00D36BD4"/>
    <w:rsid w:val="00D36CB6"/>
    <w:rsid w:val="00D36CC6"/>
    <w:rsid w:val="00D36CFB"/>
    <w:rsid w:val="00D370CA"/>
    <w:rsid w:val="00D3714E"/>
    <w:rsid w:val="00D3737A"/>
    <w:rsid w:val="00D373FF"/>
    <w:rsid w:val="00D375EF"/>
    <w:rsid w:val="00D37835"/>
    <w:rsid w:val="00D37ECC"/>
    <w:rsid w:val="00D401AB"/>
    <w:rsid w:val="00D401C6"/>
    <w:rsid w:val="00D40422"/>
    <w:rsid w:val="00D4049E"/>
    <w:rsid w:val="00D40508"/>
    <w:rsid w:val="00D40651"/>
    <w:rsid w:val="00D4065B"/>
    <w:rsid w:val="00D406B2"/>
    <w:rsid w:val="00D4090F"/>
    <w:rsid w:val="00D40B95"/>
    <w:rsid w:val="00D40EAE"/>
    <w:rsid w:val="00D4111E"/>
    <w:rsid w:val="00D414C7"/>
    <w:rsid w:val="00D41A59"/>
    <w:rsid w:val="00D41CF9"/>
    <w:rsid w:val="00D41E77"/>
    <w:rsid w:val="00D422DB"/>
    <w:rsid w:val="00D426A5"/>
    <w:rsid w:val="00D427CA"/>
    <w:rsid w:val="00D4281E"/>
    <w:rsid w:val="00D42B97"/>
    <w:rsid w:val="00D43096"/>
    <w:rsid w:val="00D430C2"/>
    <w:rsid w:val="00D4336E"/>
    <w:rsid w:val="00D43448"/>
    <w:rsid w:val="00D434A1"/>
    <w:rsid w:val="00D437EA"/>
    <w:rsid w:val="00D43AEE"/>
    <w:rsid w:val="00D43B5E"/>
    <w:rsid w:val="00D43BC4"/>
    <w:rsid w:val="00D43D89"/>
    <w:rsid w:val="00D43DE4"/>
    <w:rsid w:val="00D43F83"/>
    <w:rsid w:val="00D445E0"/>
    <w:rsid w:val="00D4465D"/>
    <w:rsid w:val="00D44715"/>
    <w:rsid w:val="00D44DEF"/>
    <w:rsid w:val="00D44FC7"/>
    <w:rsid w:val="00D45001"/>
    <w:rsid w:val="00D452D4"/>
    <w:rsid w:val="00D4537D"/>
    <w:rsid w:val="00D458E5"/>
    <w:rsid w:val="00D45A0E"/>
    <w:rsid w:val="00D45A7A"/>
    <w:rsid w:val="00D45DA7"/>
    <w:rsid w:val="00D45DA9"/>
    <w:rsid w:val="00D45DEB"/>
    <w:rsid w:val="00D45F18"/>
    <w:rsid w:val="00D46108"/>
    <w:rsid w:val="00D4610D"/>
    <w:rsid w:val="00D463A2"/>
    <w:rsid w:val="00D4657B"/>
    <w:rsid w:val="00D46593"/>
    <w:rsid w:val="00D46852"/>
    <w:rsid w:val="00D469D9"/>
    <w:rsid w:val="00D46AB2"/>
    <w:rsid w:val="00D46C90"/>
    <w:rsid w:val="00D46D50"/>
    <w:rsid w:val="00D46DF6"/>
    <w:rsid w:val="00D471ED"/>
    <w:rsid w:val="00D472D9"/>
    <w:rsid w:val="00D47331"/>
    <w:rsid w:val="00D47815"/>
    <w:rsid w:val="00D47A4F"/>
    <w:rsid w:val="00D47D2C"/>
    <w:rsid w:val="00D500D3"/>
    <w:rsid w:val="00D501AA"/>
    <w:rsid w:val="00D501FA"/>
    <w:rsid w:val="00D50344"/>
    <w:rsid w:val="00D503A5"/>
    <w:rsid w:val="00D5050B"/>
    <w:rsid w:val="00D5069A"/>
    <w:rsid w:val="00D50B5D"/>
    <w:rsid w:val="00D5127A"/>
    <w:rsid w:val="00D51285"/>
    <w:rsid w:val="00D51477"/>
    <w:rsid w:val="00D51647"/>
    <w:rsid w:val="00D516BD"/>
    <w:rsid w:val="00D518A7"/>
    <w:rsid w:val="00D51F0F"/>
    <w:rsid w:val="00D52283"/>
    <w:rsid w:val="00D526F8"/>
    <w:rsid w:val="00D52761"/>
    <w:rsid w:val="00D5276E"/>
    <w:rsid w:val="00D527C8"/>
    <w:rsid w:val="00D5287C"/>
    <w:rsid w:val="00D52B7E"/>
    <w:rsid w:val="00D52BBB"/>
    <w:rsid w:val="00D52BD8"/>
    <w:rsid w:val="00D52E6A"/>
    <w:rsid w:val="00D53075"/>
    <w:rsid w:val="00D532AB"/>
    <w:rsid w:val="00D53509"/>
    <w:rsid w:val="00D53637"/>
    <w:rsid w:val="00D5376F"/>
    <w:rsid w:val="00D5392D"/>
    <w:rsid w:val="00D53953"/>
    <w:rsid w:val="00D5396D"/>
    <w:rsid w:val="00D53BC0"/>
    <w:rsid w:val="00D53CE6"/>
    <w:rsid w:val="00D5417D"/>
    <w:rsid w:val="00D5439D"/>
    <w:rsid w:val="00D54840"/>
    <w:rsid w:val="00D54B50"/>
    <w:rsid w:val="00D54E69"/>
    <w:rsid w:val="00D55064"/>
    <w:rsid w:val="00D552EE"/>
    <w:rsid w:val="00D552FB"/>
    <w:rsid w:val="00D5567E"/>
    <w:rsid w:val="00D557F0"/>
    <w:rsid w:val="00D55928"/>
    <w:rsid w:val="00D55AF0"/>
    <w:rsid w:val="00D55F0F"/>
    <w:rsid w:val="00D561BC"/>
    <w:rsid w:val="00D56447"/>
    <w:rsid w:val="00D5648E"/>
    <w:rsid w:val="00D565D4"/>
    <w:rsid w:val="00D565FF"/>
    <w:rsid w:val="00D567A6"/>
    <w:rsid w:val="00D56B70"/>
    <w:rsid w:val="00D56F15"/>
    <w:rsid w:val="00D5713D"/>
    <w:rsid w:val="00D57180"/>
    <w:rsid w:val="00D573EC"/>
    <w:rsid w:val="00D574BF"/>
    <w:rsid w:val="00D577B7"/>
    <w:rsid w:val="00D578F0"/>
    <w:rsid w:val="00D57AB1"/>
    <w:rsid w:val="00D57B11"/>
    <w:rsid w:val="00D60157"/>
    <w:rsid w:val="00D60495"/>
    <w:rsid w:val="00D6057C"/>
    <w:rsid w:val="00D60805"/>
    <w:rsid w:val="00D60A87"/>
    <w:rsid w:val="00D60F2E"/>
    <w:rsid w:val="00D61217"/>
    <w:rsid w:val="00D613F1"/>
    <w:rsid w:val="00D614B7"/>
    <w:rsid w:val="00D6151F"/>
    <w:rsid w:val="00D61569"/>
    <w:rsid w:val="00D616C5"/>
    <w:rsid w:val="00D6173B"/>
    <w:rsid w:val="00D618AF"/>
    <w:rsid w:val="00D61928"/>
    <w:rsid w:val="00D61981"/>
    <w:rsid w:val="00D619FD"/>
    <w:rsid w:val="00D62991"/>
    <w:rsid w:val="00D62DB6"/>
    <w:rsid w:val="00D62F7C"/>
    <w:rsid w:val="00D63447"/>
    <w:rsid w:val="00D6347A"/>
    <w:rsid w:val="00D6356D"/>
    <w:rsid w:val="00D635CE"/>
    <w:rsid w:val="00D636D3"/>
    <w:rsid w:val="00D63934"/>
    <w:rsid w:val="00D63B98"/>
    <w:rsid w:val="00D63E85"/>
    <w:rsid w:val="00D64059"/>
    <w:rsid w:val="00D64165"/>
    <w:rsid w:val="00D6428D"/>
    <w:rsid w:val="00D6437F"/>
    <w:rsid w:val="00D644C2"/>
    <w:rsid w:val="00D64667"/>
    <w:rsid w:val="00D6473B"/>
    <w:rsid w:val="00D64833"/>
    <w:rsid w:val="00D64B60"/>
    <w:rsid w:val="00D65425"/>
    <w:rsid w:val="00D6553D"/>
    <w:rsid w:val="00D655E5"/>
    <w:rsid w:val="00D656EB"/>
    <w:rsid w:val="00D6583D"/>
    <w:rsid w:val="00D65842"/>
    <w:rsid w:val="00D65A91"/>
    <w:rsid w:val="00D65C69"/>
    <w:rsid w:val="00D65D96"/>
    <w:rsid w:val="00D65F20"/>
    <w:rsid w:val="00D66181"/>
    <w:rsid w:val="00D66607"/>
    <w:rsid w:val="00D6686E"/>
    <w:rsid w:val="00D66AB2"/>
    <w:rsid w:val="00D66BA4"/>
    <w:rsid w:val="00D66CFF"/>
    <w:rsid w:val="00D66DD4"/>
    <w:rsid w:val="00D675EE"/>
    <w:rsid w:val="00D679FD"/>
    <w:rsid w:val="00D701E8"/>
    <w:rsid w:val="00D70222"/>
    <w:rsid w:val="00D703B9"/>
    <w:rsid w:val="00D704FE"/>
    <w:rsid w:val="00D707A9"/>
    <w:rsid w:val="00D708E9"/>
    <w:rsid w:val="00D709D6"/>
    <w:rsid w:val="00D70B14"/>
    <w:rsid w:val="00D71026"/>
    <w:rsid w:val="00D7149A"/>
    <w:rsid w:val="00D71528"/>
    <w:rsid w:val="00D715B2"/>
    <w:rsid w:val="00D71712"/>
    <w:rsid w:val="00D71794"/>
    <w:rsid w:val="00D71A9F"/>
    <w:rsid w:val="00D720DF"/>
    <w:rsid w:val="00D72128"/>
    <w:rsid w:val="00D721E0"/>
    <w:rsid w:val="00D7250F"/>
    <w:rsid w:val="00D72544"/>
    <w:rsid w:val="00D725CC"/>
    <w:rsid w:val="00D72629"/>
    <w:rsid w:val="00D72A6C"/>
    <w:rsid w:val="00D72A83"/>
    <w:rsid w:val="00D72B33"/>
    <w:rsid w:val="00D72BF1"/>
    <w:rsid w:val="00D72CBF"/>
    <w:rsid w:val="00D72FDC"/>
    <w:rsid w:val="00D730B0"/>
    <w:rsid w:val="00D732CF"/>
    <w:rsid w:val="00D73385"/>
    <w:rsid w:val="00D73744"/>
    <w:rsid w:val="00D73DE3"/>
    <w:rsid w:val="00D7424A"/>
    <w:rsid w:val="00D744AB"/>
    <w:rsid w:val="00D74743"/>
    <w:rsid w:val="00D749A1"/>
    <w:rsid w:val="00D749C1"/>
    <w:rsid w:val="00D74D67"/>
    <w:rsid w:val="00D74F41"/>
    <w:rsid w:val="00D7506D"/>
    <w:rsid w:val="00D75102"/>
    <w:rsid w:val="00D7524A"/>
    <w:rsid w:val="00D7563F"/>
    <w:rsid w:val="00D75A86"/>
    <w:rsid w:val="00D75B70"/>
    <w:rsid w:val="00D75EE3"/>
    <w:rsid w:val="00D76269"/>
    <w:rsid w:val="00D765A0"/>
    <w:rsid w:val="00D76684"/>
    <w:rsid w:val="00D766AA"/>
    <w:rsid w:val="00D76998"/>
    <w:rsid w:val="00D76AB5"/>
    <w:rsid w:val="00D76C21"/>
    <w:rsid w:val="00D77041"/>
    <w:rsid w:val="00D77114"/>
    <w:rsid w:val="00D771FD"/>
    <w:rsid w:val="00D7796D"/>
    <w:rsid w:val="00D779E7"/>
    <w:rsid w:val="00D77B8A"/>
    <w:rsid w:val="00D77FDB"/>
    <w:rsid w:val="00D800F7"/>
    <w:rsid w:val="00D80464"/>
    <w:rsid w:val="00D80855"/>
    <w:rsid w:val="00D80B1A"/>
    <w:rsid w:val="00D80BA8"/>
    <w:rsid w:val="00D80C06"/>
    <w:rsid w:val="00D8111F"/>
    <w:rsid w:val="00D812C7"/>
    <w:rsid w:val="00D8154C"/>
    <w:rsid w:val="00D81B18"/>
    <w:rsid w:val="00D81EFD"/>
    <w:rsid w:val="00D82253"/>
    <w:rsid w:val="00D8233C"/>
    <w:rsid w:val="00D82666"/>
    <w:rsid w:val="00D831DB"/>
    <w:rsid w:val="00D8327F"/>
    <w:rsid w:val="00D8339A"/>
    <w:rsid w:val="00D83541"/>
    <w:rsid w:val="00D836EA"/>
    <w:rsid w:val="00D836F8"/>
    <w:rsid w:val="00D83768"/>
    <w:rsid w:val="00D83979"/>
    <w:rsid w:val="00D83B0F"/>
    <w:rsid w:val="00D83D42"/>
    <w:rsid w:val="00D8435E"/>
    <w:rsid w:val="00D8441E"/>
    <w:rsid w:val="00D8466B"/>
    <w:rsid w:val="00D8487E"/>
    <w:rsid w:val="00D84B4D"/>
    <w:rsid w:val="00D84D05"/>
    <w:rsid w:val="00D8501A"/>
    <w:rsid w:val="00D850EA"/>
    <w:rsid w:val="00D8553E"/>
    <w:rsid w:val="00D856AF"/>
    <w:rsid w:val="00D85C51"/>
    <w:rsid w:val="00D85F1D"/>
    <w:rsid w:val="00D86167"/>
    <w:rsid w:val="00D8626E"/>
    <w:rsid w:val="00D86281"/>
    <w:rsid w:val="00D86421"/>
    <w:rsid w:val="00D8645F"/>
    <w:rsid w:val="00D865F5"/>
    <w:rsid w:val="00D866A4"/>
    <w:rsid w:val="00D86757"/>
    <w:rsid w:val="00D86A34"/>
    <w:rsid w:val="00D86BED"/>
    <w:rsid w:val="00D86F9B"/>
    <w:rsid w:val="00D873A6"/>
    <w:rsid w:val="00D873DC"/>
    <w:rsid w:val="00D87453"/>
    <w:rsid w:val="00D8794E"/>
    <w:rsid w:val="00D87C14"/>
    <w:rsid w:val="00D901AD"/>
    <w:rsid w:val="00D903DE"/>
    <w:rsid w:val="00D906D9"/>
    <w:rsid w:val="00D90875"/>
    <w:rsid w:val="00D90BAC"/>
    <w:rsid w:val="00D91390"/>
    <w:rsid w:val="00D91540"/>
    <w:rsid w:val="00D91957"/>
    <w:rsid w:val="00D919C3"/>
    <w:rsid w:val="00D91B3E"/>
    <w:rsid w:val="00D91F6E"/>
    <w:rsid w:val="00D92148"/>
    <w:rsid w:val="00D9223B"/>
    <w:rsid w:val="00D922E4"/>
    <w:rsid w:val="00D926BE"/>
    <w:rsid w:val="00D92745"/>
    <w:rsid w:val="00D927AC"/>
    <w:rsid w:val="00D92832"/>
    <w:rsid w:val="00D92A3A"/>
    <w:rsid w:val="00D92A5A"/>
    <w:rsid w:val="00D92AB4"/>
    <w:rsid w:val="00D9340D"/>
    <w:rsid w:val="00D9355C"/>
    <w:rsid w:val="00D939A2"/>
    <w:rsid w:val="00D93A16"/>
    <w:rsid w:val="00D93AB0"/>
    <w:rsid w:val="00D93B28"/>
    <w:rsid w:val="00D93B89"/>
    <w:rsid w:val="00D93C1B"/>
    <w:rsid w:val="00D93CD5"/>
    <w:rsid w:val="00D93D55"/>
    <w:rsid w:val="00D93E19"/>
    <w:rsid w:val="00D94187"/>
    <w:rsid w:val="00D944F7"/>
    <w:rsid w:val="00D945AB"/>
    <w:rsid w:val="00D945E2"/>
    <w:rsid w:val="00D9496D"/>
    <w:rsid w:val="00D94DE8"/>
    <w:rsid w:val="00D94E49"/>
    <w:rsid w:val="00D9500A"/>
    <w:rsid w:val="00D950B1"/>
    <w:rsid w:val="00D957E7"/>
    <w:rsid w:val="00D959BB"/>
    <w:rsid w:val="00D96246"/>
    <w:rsid w:val="00D96288"/>
    <w:rsid w:val="00D96356"/>
    <w:rsid w:val="00D96699"/>
    <w:rsid w:val="00D96DBC"/>
    <w:rsid w:val="00D96DCC"/>
    <w:rsid w:val="00D96E5F"/>
    <w:rsid w:val="00D96ED8"/>
    <w:rsid w:val="00D97252"/>
    <w:rsid w:val="00D975AB"/>
    <w:rsid w:val="00D97A3C"/>
    <w:rsid w:val="00D97AFA"/>
    <w:rsid w:val="00D97BEF"/>
    <w:rsid w:val="00D97CAF"/>
    <w:rsid w:val="00D97F9A"/>
    <w:rsid w:val="00DA004C"/>
    <w:rsid w:val="00DA05D8"/>
    <w:rsid w:val="00DA0768"/>
    <w:rsid w:val="00DA076C"/>
    <w:rsid w:val="00DA0E91"/>
    <w:rsid w:val="00DA0F8E"/>
    <w:rsid w:val="00DA116F"/>
    <w:rsid w:val="00DA123E"/>
    <w:rsid w:val="00DA14B1"/>
    <w:rsid w:val="00DA15A2"/>
    <w:rsid w:val="00DA15C8"/>
    <w:rsid w:val="00DA161A"/>
    <w:rsid w:val="00DA1CD0"/>
    <w:rsid w:val="00DA20A3"/>
    <w:rsid w:val="00DA21E5"/>
    <w:rsid w:val="00DA2220"/>
    <w:rsid w:val="00DA2886"/>
    <w:rsid w:val="00DA2C18"/>
    <w:rsid w:val="00DA3026"/>
    <w:rsid w:val="00DA32A5"/>
    <w:rsid w:val="00DA3494"/>
    <w:rsid w:val="00DA3633"/>
    <w:rsid w:val="00DA38AB"/>
    <w:rsid w:val="00DA3A39"/>
    <w:rsid w:val="00DA3E2F"/>
    <w:rsid w:val="00DA3EA9"/>
    <w:rsid w:val="00DA3EEE"/>
    <w:rsid w:val="00DA4039"/>
    <w:rsid w:val="00DA4258"/>
    <w:rsid w:val="00DA430F"/>
    <w:rsid w:val="00DA43A0"/>
    <w:rsid w:val="00DA46CD"/>
    <w:rsid w:val="00DA475F"/>
    <w:rsid w:val="00DA4850"/>
    <w:rsid w:val="00DA4968"/>
    <w:rsid w:val="00DA4F7F"/>
    <w:rsid w:val="00DA504A"/>
    <w:rsid w:val="00DA53B3"/>
    <w:rsid w:val="00DA5A94"/>
    <w:rsid w:val="00DA6514"/>
    <w:rsid w:val="00DA6824"/>
    <w:rsid w:val="00DA6A04"/>
    <w:rsid w:val="00DA6ACF"/>
    <w:rsid w:val="00DA6C16"/>
    <w:rsid w:val="00DA707A"/>
    <w:rsid w:val="00DA7191"/>
    <w:rsid w:val="00DA752A"/>
    <w:rsid w:val="00DA7597"/>
    <w:rsid w:val="00DA7634"/>
    <w:rsid w:val="00DA7727"/>
    <w:rsid w:val="00DA7863"/>
    <w:rsid w:val="00DA7953"/>
    <w:rsid w:val="00DA7A46"/>
    <w:rsid w:val="00DA7A60"/>
    <w:rsid w:val="00DA7C81"/>
    <w:rsid w:val="00DA7EFD"/>
    <w:rsid w:val="00DA7F1B"/>
    <w:rsid w:val="00DB012F"/>
    <w:rsid w:val="00DB031B"/>
    <w:rsid w:val="00DB0324"/>
    <w:rsid w:val="00DB05B7"/>
    <w:rsid w:val="00DB05BD"/>
    <w:rsid w:val="00DB061A"/>
    <w:rsid w:val="00DB0867"/>
    <w:rsid w:val="00DB1044"/>
    <w:rsid w:val="00DB1144"/>
    <w:rsid w:val="00DB14EB"/>
    <w:rsid w:val="00DB1B4A"/>
    <w:rsid w:val="00DB1BF7"/>
    <w:rsid w:val="00DB1C73"/>
    <w:rsid w:val="00DB1FCF"/>
    <w:rsid w:val="00DB22E4"/>
    <w:rsid w:val="00DB2355"/>
    <w:rsid w:val="00DB2914"/>
    <w:rsid w:val="00DB2930"/>
    <w:rsid w:val="00DB2961"/>
    <w:rsid w:val="00DB2CF9"/>
    <w:rsid w:val="00DB2E7C"/>
    <w:rsid w:val="00DB2F64"/>
    <w:rsid w:val="00DB316D"/>
    <w:rsid w:val="00DB333C"/>
    <w:rsid w:val="00DB33BE"/>
    <w:rsid w:val="00DB35FF"/>
    <w:rsid w:val="00DB38DC"/>
    <w:rsid w:val="00DB3BB4"/>
    <w:rsid w:val="00DB3EA6"/>
    <w:rsid w:val="00DB40E4"/>
    <w:rsid w:val="00DB43B7"/>
    <w:rsid w:val="00DB4403"/>
    <w:rsid w:val="00DB45AB"/>
    <w:rsid w:val="00DB4717"/>
    <w:rsid w:val="00DB5149"/>
    <w:rsid w:val="00DB5415"/>
    <w:rsid w:val="00DB541B"/>
    <w:rsid w:val="00DB5620"/>
    <w:rsid w:val="00DB564D"/>
    <w:rsid w:val="00DB56E5"/>
    <w:rsid w:val="00DB5777"/>
    <w:rsid w:val="00DB5889"/>
    <w:rsid w:val="00DB5B8E"/>
    <w:rsid w:val="00DB5C5C"/>
    <w:rsid w:val="00DB5D40"/>
    <w:rsid w:val="00DB5E7E"/>
    <w:rsid w:val="00DB5F6C"/>
    <w:rsid w:val="00DB6272"/>
    <w:rsid w:val="00DB62FF"/>
    <w:rsid w:val="00DB63BE"/>
    <w:rsid w:val="00DB64E7"/>
    <w:rsid w:val="00DB6699"/>
    <w:rsid w:val="00DB6843"/>
    <w:rsid w:val="00DB6A0F"/>
    <w:rsid w:val="00DB6A28"/>
    <w:rsid w:val="00DB6F15"/>
    <w:rsid w:val="00DB74B3"/>
    <w:rsid w:val="00DB762B"/>
    <w:rsid w:val="00DB7920"/>
    <w:rsid w:val="00DB7A2E"/>
    <w:rsid w:val="00DB7CF1"/>
    <w:rsid w:val="00DB7FDD"/>
    <w:rsid w:val="00DC0015"/>
    <w:rsid w:val="00DC0133"/>
    <w:rsid w:val="00DC023A"/>
    <w:rsid w:val="00DC033F"/>
    <w:rsid w:val="00DC07A1"/>
    <w:rsid w:val="00DC0BFE"/>
    <w:rsid w:val="00DC0CB5"/>
    <w:rsid w:val="00DC0DB1"/>
    <w:rsid w:val="00DC0F02"/>
    <w:rsid w:val="00DC0F8D"/>
    <w:rsid w:val="00DC106B"/>
    <w:rsid w:val="00DC112C"/>
    <w:rsid w:val="00DC1276"/>
    <w:rsid w:val="00DC1325"/>
    <w:rsid w:val="00DC151A"/>
    <w:rsid w:val="00DC15D0"/>
    <w:rsid w:val="00DC1816"/>
    <w:rsid w:val="00DC1D51"/>
    <w:rsid w:val="00DC1EAA"/>
    <w:rsid w:val="00DC1FBF"/>
    <w:rsid w:val="00DC2132"/>
    <w:rsid w:val="00DC2284"/>
    <w:rsid w:val="00DC2483"/>
    <w:rsid w:val="00DC24F1"/>
    <w:rsid w:val="00DC2557"/>
    <w:rsid w:val="00DC2723"/>
    <w:rsid w:val="00DC2956"/>
    <w:rsid w:val="00DC2ABF"/>
    <w:rsid w:val="00DC2BDD"/>
    <w:rsid w:val="00DC2D04"/>
    <w:rsid w:val="00DC2D52"/>
    <w:rsid w:val="00DC2DED"/>
    <w:rsid w:val="00DC2DFE"/>
    <w:rsid w:val="00DC2E98"/>
    <w:rsid w:val="00DC2EB4"/>
    <w:rsid w:val="00DC34F2"/>
    <w:rsid w:val="00DC3718"/>
    <w:rsid w:val="00DC38AC"/>
    <w:rsid w:val="00DC38DA"/>
    <w:rsid w:val="00DC3CA4"/>
    <w:rsid w:val="00DC3D55"/>
    <w:rsid w:val="00DC3E76"/>
    <w:rsid w:val="00DC40D2"/>
    <w:rsid w:val="00DC410B"/>
    <w:rsid w:val="00DC420E"/>
    <w:rsid w:val="00DC4304"/>
    <w:rsid w:val="00DC452A"/>
    <w:rsid w:val="00DC49F5"/>
    <w:rsid w:val="00DC4FAF"/>
    <w:rsid w:val="00DC51C8"/>
    <w:rsid w:val="00DC5201"/>
    <w:rsid w:val="00DC53B8"/>
    <w:rsid w:val="00DC556C"/>
    <w:rsid w:val="00DC5A84"/>
    <w:rsid w:val="00DC5AD1"/>
    <w:rsid w:val="00DC5B96"/>
    <w:rsid w:val="00DC5C0D"/>
    <w:rsid w:val="00DC6158"/>
    <w:rsid w:val="00DC63D0"/>
    <w:rsid w:val="00DC66D3"/>
    <w:rsid w:val="00DC692A"/>
    <w:rsid w:val="00DC7032"/>
    <w:rsid w:val="00DC72A4"/>
    <w:rsid w:val="00DC72D1"/>
    <w:rsid w:val="00DC7435"/>
    <w:rsid w:val="00DC746E"/>
    <w:rsid w:val="00DC75EF"/>
    <w:rsid w:val="00DC76EE"/>
    <w:rsid w:val="00DC7893"/>
    <w:rsid w:val="00DC7D95"/>
    <w:rsid w:val="00DC7EF4"/>
    <w:rsid w:val="00DD01CA"/>
    <w:rsid w:val="00DD02F4"/>
    <w:rsid w:val="00DD043A"/>
    <w:rsid w:val="00DD069E"/>
    <w:rsid w:val="00DD0FE1"/>
    <w:rsid w:val="00DD1093"/>
    <w:rsid w:val="00DD1176"/>
    <w:rsid w:val="00DD14DB"/>
    <w:rsid w:val="00DD1A7E"/>
    <w:rsid w:val="00DD1AB3"/>
    <w:rsid w:val="00DD1B00"/>
    <w:rsid w:val="00DD1B4E"/>
    <w:rsid w:val="00DD214E"/>
    <w:rsid w:val="00DD245C"/>
    <w:rsid w:val="00DD2484"/>
    <w:rsid w:val="00DD25EB"/>
    <w:rsid w:val="00DD295D"/>
    <w:rsid w:val="00DD2E0D"/>
    <w:rsid w:val="00DD304A"/>
    <w:rsid w:val="00DD30D8"/>
    <w:rsid w:val="00DD365F"/>
    <w:rsid w:val="00DD399A"/>
    <w:rsid w:val="00DD3A13"/>
    <w:rsid w:val="00DD3BDC"/>
    <w:rsid w:val="00DD3CA5"/>
    <w:rsid w:val="00DD40A3"/>
    <w:rsid w:val="00DD47B6"/>
    <w:rsid w:val="00DD4D92"/>
    <w:rsid w:val="00DD51E8"/>
    <w:rsid w:val="00DD542A"/>
    <w:rsid w:val="00DD552F"/>
    <w:rsid w:val="00DD5A48"/>
    <w:rsid w:val="00DD5A72"/>
    <w:rsid w:val="00DD5BF3"/>
    <w:rsid w:val="00DD5CB3"/>
    <w:rsid w:val="00DD6512"/>
    <w:rsid w:val="00DD6621"/>
    <w:rsid w:val="00DD6705"/>
    <w:rsid w:val="00DD6AC1"/>
    <w:rsid w:val="00DD6B1E"/>
    <w:rsid w:val="00DD6D1F"/>
    <w:rsid w:val="00DD6E9C"/>
    <w:rsid w:val="00DD6ED5"/>
    <w:rsid w:val="00DD742C"/>
    <w:rsid w:val="00DD75C0"/>
    <w:rsid w:val="00DD75EF"/>
    <w:rsid w:val="00DD799C"/>
    <w:rsid w:val="00DD7AD5"/>
    <w:rsid w:val="00DD7BC5"/>
    <w:rsid w:val="00DD7CB3"/>
    <w:rsid w:val="00DE03A0"/>
    <w:rsid w:val="00DE077F"/>
    <w:rsid w:val="00DE0946"/>
    <w:rsid w:val="00DE0B17"/>
    <w:rsid w:val="00DE0B20"/>
    <w:rsid w:val="00DE1255"/>
    <w:rsid w:val="00DE1376"/>
    <w:rsid w:val="00DE1C0E"/>
    <w:rsid w:val="00DE1CF4"/>
    <w:rsid w:val="00DE2193"/>
    <w:rsid w:val="00DE228D"/>
    <w:rsid w:val="00DE2293"/>
    <w:rsid w:val="00DE23B7"/>
    <w:rsid w:val="00DE2417"/>
    <w:rsid w:val="00DE242C"/>
    <w:rsid w:val="00DE246B"/>
    <w:rsid w:val="00DE2953"/>
    <w:rsid w:val="00DE2B45"/>
    <w:rsid w:val="00DE2D56"/>
    <w:rsid w:val="00DE2DB1"/>
    <w:rsid w:val="00DE2E9D"/>
    <w:rsid w:val="00DE3440"/>
    <w:rsid w:val="00DE36A9"/>
    <w:rsid w:val="00DE374E"/>
    <w:rsid w:val="00DE3771"/>
    <w:rsid w:val="00DE37BE"/>
    <w:rsid w:val="00DE3937"/>
    <w:rsid w:val="00DE3D90"/>
    <w:rsid w:val="00DE4103"/>
    <w:rsid w:val="00DE4210"/>
    <w:rsid w:val="00DE42F6"/>
    <w:rsid w:val="00DE4578"/>
    <w:rsid w:val="00DE4744"/>
    <w:rsid w:val="00DE4812"/>
    <w:rsid w:val="00DE48C1"/>
    <w:rsid w:val="00DE4C5E"/>
    <w:rsid w:val="00DE4CD1"/>
    <w:rsid w:val="00DE4D81"/>
    <w:rsid w:val="00DE4DA8"/>
    <w:rsid w:val="00DE51B4"/>
    <w:rsid w:val="00DE5403"/>
    <w:rsid w:val="00DE55CB"/>
    <w:rsid w:val="00DE57C5"/>
    <w:rsid w:val="00DE58E6"/>
    <w:rsid w:val="00DE591A"/>
    <w:rsid w:val="00DE59F4"/>
    <w:rsid w:val="00DE5C4A"/>
    <w:rsid w:val="00DE5E6A"/>
    <w:rsid w:val="00DE5F7E"/>
    <w:rsid w:val="00DE65A2"/>
    <w:rsid w:val="00DE698C"/>
    <w:rsid w:val="00DE6A31"/>
    <w:rsid w:val="00DE6A61"/>
    <w:rsid w:val="00DE6C35"/>
    <w:rsid w:val="00DE6EE5"/>
    <w:rsid w:val="00DE70FC"/>
    <w:rsid w:val="00DE72E2"/>
    <w:rsid w:val="00DE7B41"/>
    <w:rsid w:val="00DE7BE9"/>
    <w:rsid w:val="00DE7CC2"/>
    <w:rsid w:val="00DF005A"/>
    <w:rsid w:val="00DF010F"/>
    <w:rsid w:val="00DF0155"/>
    <w:rsid w:val="00DF028A"/>
    <w:rsid w:val="00DF02CB"/>
    <w:rsid w:val="00DF03F8"/>
    <w:rsid w:val="00DF04EE"/>
    <w:rsid w:val="00DF08AE"/>
    <w:rsid w:val="00DF0D8B"/>
    <w:rsid w:val="00DF12D5"/>
    <w:rsid w:val="00DF1879"/>
    <w:rsid w:val="00DF198F"/>
    <w:rsid w:val="00DF1E48"/>
    <w:rsid w:val="00DF1E58"/>
    <w:rsid w:val="00DF1E89"/>
    <w:rsid w:val="00DF1F1E"/>
    <w:rsid w:val="00DF20C8"/>
    <w:rsid w:val="00DF2549"/>
    <w:rsid w:val="00DF26FF"/>
    <w:rsid w:val="00DF2741"/>
    <w:rsid w:val="00DF299A"/>
    <w:rsid w:val="00DF2AFA"/>
    <w:rsid w:val="00DF2BB4"/>
    <w:rsid w:val="00DF2BD1"/>
    <w:rsid w:val="00DF2F1A"/>
    <w:rsid w:val="00DF3038"/>
    <w:rsid w:val="00DF32E7"/>
    <w:rsid w:val="00DF33DD"/>
    <w:rsid w:val="00DF3467"/>
    <w:rsid w:val="00DF34EF"/>
    <w:rsid w:val="00DF3743"/>
    <w:rsid w:val="00DF3757"/>
    <w:rsid w:val="00DF3D33"/>
    <w:rsid w:val="00DF3DBC"/>
    <w:rsid w:val="00DF3E35"/>
    <w:rsid w:val="00DF40FE"/>
    <w:rsid w:val="00DF42E0"/>
    <w:rsid w:val="00DF441A"/>
    <w:rsid w:val="00DF4742"/>
    <w:rsid w:val="00DF4E7A"/>
    <w:rsid w:val="00DF5113"/>
    <w:rsid w:val="00DF53A0"/>
    <w:rsid w:val="00DF56B9"/>
    <w:rsid w:val="00DF5B05"/>
    <w:rsid w:val="00DF5B56"/>
    <w:rsid w:val="00DF6076"/>
    <w:rsid w:val="00DF620E"/>
    <w:rsid w:val="00DF6326"/>
    <w:rsid w:val="00DF6582"/>
    <w:rsid w:val="00DF66E4"/>
    <w:rsid w:val="00DF6B7E"/>
    <w:rsid w:val="00DF6BD4"/>
    <w:rsid w:val="00DF6D82"/>
    <w:rsid w:val="00DF6EB5"/>
    <w:rsid w:val="00DF70C8"/>
    <w:rsid w:val="00DF718E"/>
    <w:rsid w:val="00DF7249"/>
    <w:rsid w:val="00DF7516"/>
    <w:rsid w:val="00DF75B3"/>
    <w:rsid w:val="00DF7D21"/>
    <w:rsid w:val="00DF7D84"/>
    <w:rsid w:val="00DF7FC3"/>
    <w:rsid w:val="00E00460"/>
    <w:rsid w:val="00E004BA"/>
    <w:rsid w:val="00E006E9"/>
    <w:rsid w:val="00E00844"/>
    <w:rsid w:val="00E00C71"/>
    <w:rsid w:val="00E00EAA"/>
    <w:rsid w:val="00E00F12"/>
    <w:rsid w:val="00E01034"/>
    <w:rsid w:val="00E0103C"/>
    <w:rsid w:val="00E01934"/>
    <w:rsid w:val="00E01ECD"/>
    <w:rsid w:val="00E0220F"/>
    <w:rsid w:val="00E02399"/>
    <w:rsid w:val="00E0240A"/>
    <w:rsid w:val="00E0274F"/>
    <w:rsid w:val="00E02814"/>
    <w:rsid w:val="00E02D97"/>
    <w:rsid w:val="00E02ED3"/>
    <w:rsid w:val="00E02FD4"/>
    <w:rsid w:val="00E0338D"/>
    <w:rsid w:val="00E0339C"/>
    <w:rsid w:val="00E034E3"/>
    <w:rsid w:val="00E038DC"/>
    <w:rsid w:val="00E03A36"/>
    <w:rsid w:val="00E03ED5"/>
    <w:rsid w:val="00E03F68"/>
    <w:rsid w:val="00E04119"/>
    <w:rsid w:val="00E0443B"/>
    <w:rsid w:val="00E04491"/>
    <w:rsid w:val="00E044AB"/>
    <w:rsid w:val="00E047D0"/>
    <w:rsid w:val="00E047E5"/>
    <w:rsid w:val="00E04AE7"/>
    <w:rsid w:val="00E04C97"/>
    <w:rsid w:val="00E05136"/>
    <w:rsid w:val="00E05160"/>
    <w:rsid w:val="00E05508"/>
    <w:rsid w:val="00E056AB"/>
    <w:rsid w:val="00E05A10"/>
    <w:rsid w:val="00E0623D"/>
    <w:rsid w:val="00E06243"/>
    <w:rsid w:val="00E062B6"/>
    <w:rsid w:val="00E0632A"/>
    <w:rsid w:val="00E06476"/>
    <w:rsid w:val="00E064E3"/>
    <w:rsid w:val="00E0656E"/>
    <w:rsid w:val="00E065DF"/>
    <w:rsid w:val="00E0667D"/>
    <w:rsid w:val="00E067B7"/>
    <w:rsid w:val="00E06853"/>
    <w:rsid w:val="00E068D6"/>
    <w:rsid w:val="00E068ED"/>
    <w:rsid w:val="00E06A06"/>
    <w:rsid w:val="00E06DE1"/>
    <w:rsid w:val="00E06E3E"/>
    <w:rsid w:val="00E07169"/>
    <w:rsid w:val="00E071D5"/>
    <w:rsid w:val="00E0722D"/>
    <w:rsid w:val="00E07358"/>
    <w:rsid w:val="00E07828"/>
    <w:rsid w:val="00E0783F"/>
    <w:rsid w:val="00E07ABA"/>
    <w:rsid w:val="00E07B04"/>
    <w:rsid w:val="00E07F80"/>
    <w:rsid w:val="00E10528"/>
    <w:rsid w:val="00E1096A"/>
    <w:rsid w:val="00E109BB"/>
    <w:rsid w:val="00E109BC"/>
    <w:rsid w:val="00E109C1"/>
    <w:rsid w:val="00E10E47"/>
    <w:rsid w:val="00E10F9C"/>
    <w:rsid w:val="00E1114D"/>
    <w:rsid w:val="00E11277"/>
    <w:rsid w:val="00E11282"/>
    <w:rsid w:val="00E1144B"/>
    <w:rsid w:val="00E117D6"/>
    <w:rsid w:val="00E11807"/>
    <w:rsid w:val="00E1184F"/>
    <w:rsid w:val="00E11863"/>
    <w:rsid w:val="00E11BA4"/>
    <w:rsid w:val="00E11D0F"/>
    <w:rsid w:val="00E11DF4"/>
    <w:rsid w:val="00E12185"/>
    <w:rsid w:val="00E12378"/>
    <w:rsid w:val="00E124AF"/>
    <w:rsid w:val="00E12583"/>
    <w:rsid w:val="00E128FF"/>
    <w:rsid w:val="00E12B01"/>
    <w:rsid w:val="00E12F0C"/>
    <w:rsid w:val="00E130AD"/>
    <w:rsid w:val="00E13601"/>
    <w:rsid w:val="00E136BF"/>
    <w:rsid w:val="00E138F0"/>
    <w:rsid w:val="00E13C52"/>
    <w:rsid w:val="00E13FA8"/>
    <w:rsid w:val="00E13FCA"/>
    <w:rsid w:val="00E14055"/>
    <w:rsid w:val="00E141A8"/>
    <w:rsid w:val="00E143D6"/>
    <w:rsid w:val="00E14446"/>
    <w:rsid w:val="00E1474C"/>
    <w:rsid w:val="00E14E5A"/>
    <w:rsid w:val="00E14E5F"/>
    <w:rsid w:val="00E15017"/>
    <w:rsid w:val="00E15026"/>
    <w:rsid w:val="00E157D3"/>
    <w:rsid w:val="00E15A4F"/>
    <w:rsid w:val="00E15D54"/>
    <w:rsid w:val="00E15E7A"/>
    <w:rsid w:val="00E15FCB"/>
    <w:rsid w:val="00E15FE5"/>
    <w:rsid w:val="00E162A4"/>
    <w:rsid w:val="00E162D7"/>
    <w:rsid w:val="00E163BA"/>
    <w:rsid w:val="00E16569"/>
    <w:rsid w:val="00E16716"/>
    <w:rsid w:val="00E16717"/>
    <w:rsid w:val="00E16869"/>
    <w:rsid w:val="00E16888"/>
    <w:rsid w:val="00E1688C"/>
    <w:rsid w:val="00E16E1F"/>
    <w:rsid w:val="00E1725C"/>
    <w:rsid w:val="00E172C5"/>
    <w:rsid w:val="00E1749E"/>
    <w:rsid w:val="00E17934"/>
    <w:rsid w:val="00E17CFF"/>
    <w:rsid w:val="00E17E8E"/>
    <w:rsid w:val="00E2006F"/>
    <w:rsid w:val="00E20199"/>
    <w:rsid w:val="00E2082B"/>
    <w:rsid w:val="00E20955"/>
    <w:rsid w:val="00E20995"/>
    <w:rsid w:val="00E20DCA"/>
    <w:rsid w:val="00E20E33"/>
    <w:rsid w:val="00E2130B"/>
    <w:rsid w:val="00E21877"/>
    <w:rsid w:val="00E218DE"/>
    <w:rsid w:val="00E219B4"/>
    <w:rsid w:val="00E21AD0"/>
    <w:rsid w:val="00E21E4C"/>
    <w:rsid w:val="00E22082"/>
    <w:rsid w:val="00E220C6"/>
    <w:rsid w:val="00E22391"/>
    <w:rsid w:val="00E22665"/>
    <w:rsid w:val="00E227AE"/>
    <w:rsid w:val="00E229A8"/>
    <w:rsid w:val="00E229D2"/>
    <w:rsid w:val="00E22ACC"/>
    <w:rsid w:val="00E2307F"/>
    <w:rsid w:val="00E23090"/>
    <w:rsid w:val="00E23185"/>
    <w:rsid w:val="00E2323B"/>
    <w:rsid w:val="00E233E7"/>
    <w:rsid w:val="00E23526"/>
    <w:rsid w:val="00E23631"/>
    <w:rsid w:val="00E23D56"/>
    <w:rsid w:val="00E23D8B"/>
    <w:rsid w:val="00E23E89"/>
    <w:rsid w:val="00E23F4E"/>
    <w:rsid w:val="00E24469"/>
    <w:rsid w:val="00E24799"/>
    <w:rsid w:val="00E2482D"/>
    <w:rsid w:val="00E2486C"/>
    <w:rsid w:val="00E24906"/>
    <w:rsid w:val="00E24A60"/>
    <w:rsid w:val="00E24AF1"/>
    <w:rsid w:val="00E24B28"/>
    <w:rsid w:val="00E24C10"/>
    <w:rsid w:val="00E24C6A"/>
    <w:rsid w:val="00E24FB5"/>
    <w:rsid w:val="00E25365"/>
    <w:rsid w:val="00E2539E"/>
    <w:rsid w:val="00E25422"/>
    <w:rsid w:val="00E25CF2"/>
    <w:rsid w:val="00E25E05"/>
    <w:rsid w:val="00E263D8"/>
    <w:rsid w:val="00E2642A"/>
    <w:rsid w:val="00E26637"/>
    <w:rsid w:val="00E26810"/>
    <w:rsid w:val="00E2682C"/>
    <w:rsid w:val="00E269D9"/>
    <w:rsid w:val="00E2751F"/>
    <w:rsid w:val="00E276A9"/>
    <w:rsid w:val="00E2773B"/>
    <w:rsid w:val="00E2797A"/>
    <w:rsid w:val="00E30029"/>
    <w:rsid w:val="00E30037"/>
    <w:rsid w:val="00E30499"/>
    <w:rsid w:val="00E30A29"/>
    <w:rsid w:val="00E30A46"/>
    <w:rsid w:val="00E30B51"/>
    <w:rsid w:val="00E30B8E"/>
    <w:rsid w:val="00E3102A"/>
    <w:rsid w:val="00E31116"/>
    <w:rsid w:val="00E31290"/>
    <w:rsid w:val="00E313EE"/>
    <w:rsid w:val="00E31767"/>
    <w:rsid w:val="00E31E90"/>
    <w:rsid w:val="00E32128"/>
    <w:rsid w:val="00E324BB"/>
    <w:rsid w:val="00E32A7A"/>
    <w:rsid w:val="00E32C6E"/>
    <w:rsid w:val="00E32ECD"/>
    <w:rsid w:val="00E33203"/>
    <w:rsid w:val="00E338C4"/>
    <w:rsid w:val="00E339F0"/>
    <w:rsid w:val="00E33E0C"/>
    <w:rsid w:val="00E33FC6"/>
    <w:rsid w:val="00E341F5"/>
    <w:rsid w:val="00E34287"/>
    <w:rsid w:val="00E34324"/>
    <w:rsid w:val="00E344CB"/>
    <w:rsid w:val="00E345EC"/>
    <w:rsid w:val="00E34796"/>
    <w:rsid w:val="00E347A0"/>
    <w:rsid w:val="00E34884"/>
    <w:rsid w:val="00E34B1D"/>
    <w:rsid w:val="00E34CEF"/>
    <w:rsid w:val="00E34D8C"/>
    <w:rsid w:val="00E34E9D"/>
    <w:rsid w:val="00E35048"/>
    <w:rsid w:val="00E350F5"/>
    <w:rsid w:val="00E35427"/>
    <w:rsid w:val="00E35718"/>
    <w:rsid w:val="00E357B5"/>
    <w:rsid w:val="00E35E8B"/>
    <w:rsid w:val="00E362B9"/>
    <w:rsid w:val="00E36CE6"/>
    <w:rsid w:val="00E37017"/>
    <w:rsid w:val="00E37373"/>
    <w:rsid w:val="00E373AC"/>
    <w:rsid w:val="00E37424"/>
    <w:rsid w:val="00E375C1"/>
    <w:rsid w:val="00E377E8"/>
    <w:rsid w:val="00E37821"/>
    <w:rsid w:val="00E37841"/>
    <w:rsid w:val="00E37970"/>
    <w:rsid w:val="00E37B7F"/>
    <w:rsid w:val="00E37C98"/>
    <w:rsid w:val="00E37E42"/>
    <w:rsid w:val="00E37E88"/>
    <w:rsid w:val="00E40283"/>
    <w:rsid w:val="00E40324"/>
    <w:rsid w:val="00E403FB"/>
    <w:rsid w:val="00E40444"/>
    <w:rsid w:val="00E40986"/>
    <w:rsid w:val="00E40CB5"/>
    <w:rsid w:val="00E40F22"/>
    <w:rsid w:val="00E415B1"/>
    <w:rsid w:val="00E416FC"/>
    <w:rsid w:val="00E41711"/>
    <w:rsid w:val="00E41C77"/>
    <w:rsid w:val="00E41CA3"/>
    <w:rsid w:val="00E41E0A"/>
    <w:rsid w:val="00E41FB9"/>
    <w:rsid w:val="00E42445"/>
    <w:rsid w:val="00E4246F"/>
    <w:rsid w:val="00E425D7"/>
    <w:rsid w:val="00E42659"/>
    <w:rsid w:val="00E427F0"/>
    <w:rsid w:val="00E42885"/>
    <w:rsid w:val="00E42BE9"/>
    <w:rsid w:val="00E42C72"/>
    <w:rsid w:val="00E42EB4"/>
    <w:rsid w:val="00E42EDF"/>
    <w:rsid w:val="00E42F97"/>
    <w:rsid w:val="00E43055"/>
    <w:rsid w:val="00E430DE"/>
    <w:rsid w:val="00E4340D"/>
    <w:rsid w:val="00E43464"/>
    <w:rsid w:val="00E43542"/>
    <w:rsid w:val="00E438A7"/>
    <w:rsid w:val="00E4394A"/>
    <w:rsid w:val="00E439B6"/>
    <w:rsid w:val="00E43A9B"/>
    <w:rsid w:val="00E43AED"/>
    <w:rsid w:val="00E43C11"/>
    <w:rsid w:val="00E43D44"/>
    <w:rsid w:val="00E43DBD"/>
    <w:rsid w:val="00E43E04"/>
    <w:rsid w:val="00E44270"/>
    <w:rsid w:val="00E44414"/>
    <w:rsid w:val="00E44472"/>
    <w:rsid w:val="00E44511"/>
    <w:rsid w:val="00E449A8"/>
    <w:rsid w:val="00E44AD2"/>
    <w:rsid w:val="00E44D5D"/>
    <w:rsid w:val="00E450B3"/>
    <w:rsid w:val="00E451BE"/>
    <w:rsid w:val="00E4564D"/>
    <w:rsid w:val="00E456B4"/>
    <w:rsid w:val="00E45D50"/>
    <w:rsid w:val="00E45D80"/>
    <w:rsid w:val="00E45EF9"/>
    <w:rsid w:val="00E46181"/>
    <w:rsid w:val="00E464F0"/>
    <w:rsid w:val="00E46C2F"/>
    <w:rsid w:val="00E46C61"/>
    <w:rsid w:val="00E46DEA"/>
    <w:rsid w:val="00E46DEC"/>
    <w:rsid w:val="00E471D4"/>
    <w:rsid w:val="00E4767B"/>
    <w:rsid w:val="00E477EE"/>
    <w:rsid w:val="00E478D0"/>
    <w:rsid w:val="00E47A69"/>
    <w:rsid w:val="00E47C85"/>
    <w:rsid w:val="00E501F9"/>
    <w:rsid w:val="00E502F3"/>
    <w:rsid w:val="00E50317"/>
    <w:rsid w:val="00E503B6"/>
    <w:rsid w:val="00E5041E"/>
    <w:rsid w:val="00E50554"/>
    <w:rsid w:val="00E50A52"/>
    <w:rsid w:val="00E50B87"/>
    <w:rsid w:val="00E50C35"/>
    <w:rsid w:val="00E510A9"/>
    <w:rsid w:val="00E51472"/>
    <w:rsid w:val="00E518D2"/>
    <w:rsid w:val="00E51919"/>
    <w:rsid w:val="00E51AB6"/>
    <w:rsid w:val="00E51B1E"/>
    <w:rsid w:val="00E51E3A"/>
    <w:rsid w:val="00E51EAD"/>
    <w:rsid w:val="00E51EDA"/>
    <w:rsid w:val="00E521A6"/>
    <w:rsid w:val="00E5222D"/>
    <w:rsid w:val="00E523E2"/>
    <w:rsid w:val="00E52681"/>
    <w:rsid w:val="00E52A70"/>
    <w:rsid w:val="00E52B09"/>
    <w:rsid w:val="00E52CF0"/>
    <w:rsid w:val="00E52EB9"/>
    <w:rsid w:val="00E52ECB"/>
    <w:rsid w:val="00E52EFA"/>
    <w:rsid w:val="00E532C7"/>
    <w:rsid w:val="00E5330C"/>
    <w:rsid w:val="00E534C6"/>
    <w:rsid w:val="00E53967"/>
    <w:rsid w:val="00E53F73"/>
    <w:rsid w:val="00E54168"/>
    <w:rsid w:val="00E546DA"/>
    <w:rsid w:val="00E5545A"/>
    <w:rsid w:val="00E55696"/>
    <w:rsid w:val="00E556F7"/>
    <w:rsid w:val="00E5574C"/>
    <w:rsid w:val="00E5578F"/>
    <w:rsid w:val="00E55B36"/>
    <w:rsid w:val="00E55D5A"/>
    <w:rsid w:val="00E560ED"/>
    <w:rsid w:val="00E5610E"/>
    <w:rsid w:val="00E561DE"/>
    <w:rsid w:val="00E56347"/>
    <w:rsid w:val="00E56410"/>
    <w:rsid w:val="00E564DD"/>
    <w:rsid w:val="00E5650C"/>
    <w:rsid w:val="00E56818"/>
    <w:rsid w:val="00E56DAC"/>
    <w:rsid w:val="00E56E74"/>
    <w:rsid w:val="00E571BB"/>
    <w:rsid w:val="00E5762D"/>
    <w:rsid w:val="00E577C9"/>
    <w:rsid w:val="00E578C8"/>
    <w:rsid w:val="00E57BFE"/>
    <w:rsid w:val="00E57C5B"/>
    <w:rsid w:val="00E57C9A"/>
    <w:rsid w:val="00E60147"/>
    <w:rsid w:val="00E60336"/>
    <w:rsid w:val="00E603B9"/>
    <w:rsid w:val="00E60430"/>
    <w:rsid w:val="00E60774"/>
    <w:rsid w:val="00E6082F"/>
    <w:rsid w:val="00E6086D"/>
    <w:rsid w:val="00E6092E"/>
    <w:rsid w:val="00E60A84"/>
    <w:rsid w:val="00E60B92"/>
    <w:rsid w:val="00E60ED1"/>
    <w:rsid w:val="00E61404"/>
    <w:rsid w:val="00E615CB"/>
    <w:rsid w:val="00E61990"/>
    <w:rsid w:val="00E61ACE"/>
    <w:rsid w:val="00E61B9D"/>
    <w:rsid w:val="00E61F08"/>
    <w:rsid w:val="00E620F9"/>
    <w:rsid w:val="00E62298"/>
    <w:rsid w:val="00E62637"/>
    <w:rsid w:val="00E62740"/>
    <w:rsid w:val="00E628AE"/>
    <w:rsid w:val="00E62C15"/>
    <w:rsid w:val="00E62DFB"/>
    <w:rsid w:val="00E62E4B"/>
    <w:rsid w:val="00E631AB"/>
    <w:rsid w:val="00E63361"/>
    <w:rsid w:val="00E63760"/>
    <w:rsid w:val="00E637D7"/>
    <w:rsid w:val="00E6383D"/>
    <w:rsid w:val="00E63847"/>
    <w:rsid w:val="00E638A3"/>
    <w:rsid w:val="00E63A28"/>
    <w:rsid w:val="00E63E86"/>
    <w:rsid w:val="00E6404D"/>
    <w:rsid w:val="00E6435E"/>
    <w:rsid w:val="00E643C6"/>
    <w:rsid w:val="00E644DE"/>
    <w:rsid w:val="00E644ED"/>
    <w:rsid w:val="00E6472E"/>
    <w:rsid w:val="00E649FF"/>
    <w:rsid w:val="00E64B24"/>
    <w:rsid w:val="00E64D19"/>
    <w:rsid w:val="00E64DF4"/>
    <w:rsid w:val="00E64F4A"/>
    <w:rsid w:val="00E65145"/>
    <w:rsid w:val="00E652D3"/>
    <w:rsid w:val="00E65370"/>
    <w:rsid w:val="00E65397"/>
    <w:rsid w:val="00E655E8"/>
    <w:rsid w:val="00E66510"/>
    <w:rsid w:val="00E6657E"/>
    <w:rsid w:val="00E665F9"/>
    <w:rsid w:val="00E666B9"/>
    <w:rsid w:val="00E66842"/>
    <w:rsid w:val="00E6697E"/>
    <w:rsid w:val="00E66C22"/>
    <w:rsid w:val="00E66F79"/>
    <w:rsid w:val="00E670C0"/>
    <w:rsid w:val="00E67128"/>
    <w:rsid w:val="00E675E0"/>
    <w:rsid w:val="00E67A21"/>
    <w:rsid w:val="00E67DAF"/>
    <w:rsid w:val="00E7024F"/>
    <w:rsid w:val="00E70613"/>
    <w:rsid w:val="00E706CF"/>
    <w:rsid w:val="00E70957"/>
    <w:rsid w:val="00E70B38"/>
    <w:rsid w:val="00E70BF2"/>
    <w:rsid w:val="00E7105F"/>
    <w:rsid w:val="00E715A3"/>
    <w:rsid w:val="00E71C50"/>
    <w:rsid w:val="00E71D34"/>
    <w:rsid w:val="00E71DDF"/>
    <w:rsid w:val="00E7229E"/>
    <w:rsid w:val="00E72408"/>
    <w:rsid w:val="00E72509"/>
    <w:rsid w:val="00E72835"/>
    <w:rsid w:val="00E72A82"/>
    <w:rsid w:val="00E72CE0"/>
    <w:rsid w:val="00E72F6C"/>
    <w:rsid w:val="00E730DE"/>
    <w:rsid w:val="00E73434"/>
    <w:rsid w:val="00E73B44"/>
    <w:rsid w:val="00E73BE1"/>
    <w:rsid w:val="00E73FD6"/>
    <w:rsid w:val="00E742D4"/>
    <w:rsid w:val="00E742F5"/>
    <w:rsid w:val="00E74435"/>
    <w:rsid w:val="00E7444B"/>
    <w:rsid w:val="00E74792"/>
    <w:rsid w:val="00E74856"/>
    <w:rsid w:val="00E74860"/>
    <w:rsid w:val="00E74A0E"/>
    <w:rsid w:val="00E74B5D"/>
    <w:rsid w:val="00E74E72"/>
    <w:rsid w:val="00E74F46"/>
    <w:rsid w:val="00E74F92"/>
    <w:rsid w:val="00E75236"/>
    <w:rsid w:val="00E75266"/>
    <w:rsid w:val="00E752D8"/>
    <w:rsid w:val="00E754AE"/>
    <w:rsid w:val="00E7566E"/>
    <w:rsid w:val="00E7567D"/>
    <w:rsid w:val="00E75796"/>
    <w:rsid w:val="00E75866"/>
    <w:rsid w:val="00E758AD"/>
    <w:rsid w:val="00E75AB5"/>
    <w:rsid w:val="00E75F53"/>
    <w:rsid w:val="00E75FFF"/>
    <w:rsid w:val="00E7608F"/>
    <w:rsid w:val="00E76430"/>
    <w:rsid w:val="00E7672B"/>
    <w:rsid w:val="00E7691E"/>
    <w:rsid w:val="00E769E0"/>
    <w:rsid w:val="00E76A86"/>
    <w:rsid w:val="00E76DAC"/>
    <w:rsid w:val="00E76E17"/>
    <w:rsid w:val="00E774A2"/>
    <w:rsid w:val="00E77A79"/>
    <w:rsid w:val="00E77D4E"/>
    <w:rsid w:val="00E8010C"/>
    <w:rsid w:val="00E801BC"/>
    <w:rsid w:val="00E8037B"/>
    <w:rsid w:val="00E807DA"/>
    <w:rsid w:val="00E80898"/>
    <w:rsid w:val="00E80AF8"/>
    <w:rsid w:val="00E80B2F"/>
    <w:rsid w:val="00E80D26"/>
    <w:rsid w:val="00E80D97"/>
    <w:rsid w:val="00E81119"/>
    <w:rsid w:val="00E816B3"/>
    <w:rsid w:val="00E817E4"/>
    <w:rsid w:val="00E81B1A"/>
    <w:rsid w:val="00E820BC"/>
    <w:rsid w:val="00E82158"/>
    <w:rsid w:val="00E82796"/>
    <w:rsid w:val="00E82880"/>
    <w:rsid w:val="00E82958"/>
    <w:rsid w:val="00E829CA"/>
    <w:rsid w:val="00E82B73"/>
    <w:rsid w:val="00E82E19"/>
    <w:rsid w:val="00E831E5"/>
    <w:rsid w:val="00E832E7"/>
    <w:rsid w:val="00E83650"/>
    <w:rsid w:val="00E837E6"/>
    <w:rsid w:val="00E83969"/>
    <w:rsid w:val="00E83BA4"/>
    <w:rsid w:val="00E83CC4"/>
    <w:rsid w:val="00E83FBB"/>
    <w:rsid w:val="00E848C5"/>
    <w:rsid w:val="00E849FE"/>
    <w:rsid w:val="00E84A36"/>
    <w:rsid w:val="00E84B9A"/>
    <w:rsid w:val="00E84E40"/>
    <w:rsid w:val="00E8509A"/>
    <w:rsid w:val="00E8529E"/>
    <w:rsid w:val="00E85573"/>
    <w:rsid w:val="00E85A5D"/>
    <w:rsid w:val="00E85C1F"/>
    <w:rsid w:val="00E85EF5"/>
    <w:rsid w:val="00E85F7C"/>
    <w:rsid w:val="00E860BF"/>
    <w:rsid w:val="00E864A7"/>
    <w:rsid w:val="00E86B7B"/>
    <w:rsid w:val="00E872E2"/>
    <w:rsid w:val="00E8747D"/>
    <w:rsid w:val="00E874B0"/>
    <w:rsid w:val="00E874FA"/>
    <w:rsid w:val="00E87908"/>
    <w:rsid w:val="00E87BB9"/>
    <w:rsid w:val="00E87F2C"/>
    <w:rsid w:val="00E900F1"/>
    <w:rsid w:val="00E90457"/>
    <w:rsid w:val="00E90483"/>
    <w:rsid w:val="00E90533"/>
    <w:rsid w:val="00E90685"/>
    <w:rsid w:val="00E90973"/>
    <w:rsid w:val="00E90B49"/>
    <w:rsid w:val="00E90B8D"/>
    <w:rsid w:val="00E90B9C"/>
    <w:rsid w:val="00E90D4C"/>
    <w:rsid w:val="00E9143C"/>
    <w:rsid w:val="00E91477"/>
    <w:rsid w:val="00E9162B"/>
    <w:rsid w:val="00E91860"/>
    <w:rsid w:val="00E9191D"/>
    <w:rsid w:val="00E91BE9"/>
    <w:rsid w:val="00E91C12"/>
    <w:rsid w:val="00E91D98"/>
    <w:rsid w:val="00E91E5B"/>
    <w:rsid w:val="00E91F71"/>
    <w:rsid w:val="00E92395"/>
    <w:rsid w:val="00E9256D"/>
    <w:rsid w:val="00E9283C"/>
    <w:rsid w:val="00E92AC9"/>
    <w:rsid w:val="00E92B67"/>
    <w:rsid w:val="00E92C15"/>
    <w:rsid w:val="00E932AE"/>
    <w:rsid w:val="00E936F6"/>
    <w:rsid w:val="00E937DD"/>
    <w:rsid w:val="00E93C5E"/>
    <w:rsid w:val="00E93D55"/>
    <w:rsid w:val="00E9402F"/>
    <w:rsid w:val="00E9431A"/>
    <w:rsid w:val="00E94501"/>
    <w:rsid w:val="00E9460B"/>
    <w:rsid w:val="00E946F9"/>
    <w:rsid w:val="00E948B7"/>
    <w:rsid w:val="00E948BC"/>
    <w:rsid w:val="00E9498C"/>
    <w:rsid w:val="00E9505D"/>
    <w:rsid w:val="00E954B7"/>
    <w:rsid w:val="00E955FC"/>
    <w:rsid w:val="00E95666"/>
    <w:rsid w:val="00E95853"/>
    <w:rsid w:val="00E95CEB"/>
    <w:rsid w:val="00E9613B"/>
    <w:rsid w:val="00E961BD"/>
    <w:rsid w:val="00E9627C"/>
    <w:rsid w:val="00E96768"/>
    <w:rsid w:val="00E9684A"/>
    <w:rsid w:val="00E96CCA"/>
    <w:rsid w:val="00E96E58"/>
    <w:rsid w:val="00E96FDB"/>
    <w:rsid w:val="00E970BA"/>
    <w:rsid w:val="00E976AC"/>
    <w:rsid w:val="00E9794E"/>
    <w:rsid w:val="00E97C3D"/>
    <w:rsid w:val="00E97CF8"/>
    <w:rsid w:val="00E97E43"/>
    <w:rsid w:val="00EA0075"/>
    <w:rsid w:val="00EA00F9"/>
    <w:rsid w:val="00EA031F"/>
    <w:rsid w:val="00EA032A"/>
    <w:rsid w:val="00EA0482"/>
    <w:rsid w:val="00EA0491"/>
    <w:rsid w:val="00EA059C"/>
    <w:rsid w:val="00EA071E"/>
    <w:rsid w:val="00EA074A"/>
    <w:rsid w:val="00EA0AAE"/>
    <w:rsid w:val="00EA0C20"/>
    <w:rsid w:val="00EA0D29"/>
    <w:rsid w:val="00EA0DBE"/>
    <w:rsid w:val="00EA107B"/>
    <w:rsid w:val="00EA1186"/>
    <w:rsid w:val="00EA1539"/>
    <w:rsid w:val="00EA155A"/>
    <w:rsid w:val="00EA19F6"/>
    <w:rsid w:val="00EA1C7F"/>
    <w:rsid w:val="00EA1C83"/>
    <w:rsid w:val="00EA2328"/>
    <w:rsid w:val="00EA23F6"/>
    <w:rsid w:val="00EA2A96"/>
    <w:rsid w:val="00EA2C47"/>
    <w:rsid w:val="00EA2E80"/>
    <w:rsid w:val="00EA322C"/>
    <w:rsid w:val="00EA34D0"/>
    <w:rsid w:val="00EA3575"/>
    <w:rsid w:val="00EA3920"/>
    <w:rsid w:val="00EA3B77"/>
    <w:rsid w:val="00EA3CF7"/>
    <w:rsid w:val="00EA3ED8"/>
    <w:rsid w:val="00EA40A6"/>
    <w:rsid w:val="00EA4232"/>
    <w:rsid w:val="00EA43AA"/>
    <w:rsid w:val="00EA43EE"/>
    <w:rsid w:val="00EA44D4"/>
    <w:rsid w:val="00EA4645"/>
    <w:rsid w:val="00EA478E"/>
    <w:rsid w:val="00EA4AF6"/>
    <w:rsid w:val="00EA4D40"/>
    <w:rsid w:val="00EA4DB0"/>
    <w:rsid w:val="00EA54CB"/>
    <w:rsid w:val="00EA55A7"/>
    <w:rsid w:val="00EA59C6"/>
    <w:rsid w:val="00EA5E02"/>
    <w:rsid w:val="00EA639E"/>
    <w:rsid w:val="00EA63C3"/>
    <w:rsid w:val="00EA64A8"/>
    <w:rsid w:val="00EA6BA8"/>
    <w:rsid w:val="00EA6D62"/>
    <w:rsid w:val="00EA708A"/>
    <w:rsid w:val="00EA75E0"/>
    <w:rsid w:val="00EA76EE"/>
    <w:rsid w:val="00EA7930"/>
    <w:rsid w:val="00EA79F7"/>
    <w:rsid w:val="00EA7AEE"/>
    <w:rsid w:val="00EA7F09"/>
    <w:rsid w:val="00EB0BE2"/>
    <w:rsid w:val="00EB0DA4"/>
    <w:rsid w:val="00EB0E30"/>
    <w:rsid w:val="00EB0E5A"/>
    <w:rsid w:val="00EB1029"/>
    <w:rsid w:val="00EB1098"/>
    <w:rsid w:val="00EB10AC"/>
    <w:rsid w:val="00EB13D5"/>
    <w:rsid w:val="00EB190A"/>
    <w:rsid w:val="00EB196D"/>
    <w:rsid w:val="00EB196F"/>
    <w:rsid w:val="00EB2100"/>
    <w:rsid w:val="00EB2206"/>
    <w:rsid w:val="00EB22A7"/>
    <w:rsid w:val="00EB22A8"/>
    <w:rsid w:val="00EB25A7"/>
    <w:rsid w:val="00EB3295"/>
    <w:rsid w:val="00EB34A9"/>
    <w:rsid w:val="00EB356D"/>
    <w:rsid w:val="00EB3CE5"/>
    <w:rsid w:val="00EB3D5C"/>
    <w:rsid w:val="00EB3F40"/>
    <w:rsid w:val="00EB4125"/>
    <w:rsid w:val="00EB47C0"/>
    <w:rsid w:val="00EB4A21"/>
    <w:rsid w:val="00EB4A49"/>
    <w:rsid w:val="00EB4A93"/>
    <w:rsid w:val="00EB4C29"/>
    <w:rsid w:val="00EB506B"/>
    <w:rsid w:val="00EB50A1"/>
    <w:rsid w:val="00EB5A97"/>
    <w:rsid w:val="00EB5AB9"/>
    <w:rsid w:val="00EB5C8A"/>
    <w:rsid w:val="00EB5F9E"/>
    <w:rsid w:val="00EB6082"/>
    <w:rsid w:val="00EB641F"/>
    <w:rsid w:val="00EB6432"/>
    <w:rsid w:val="00EB6750"/>
    <w:rsid w:val="00EB67A9"/>
    <w:rsid w:val="00EB6889"/>
    <w:rsid w:val="00EB69A1"/>
    <w:rsid w:val="00EB69DD"/>
    <w:rsid w:val="00EB6AB9"/>
    <w:rsid w:val="00EB6D31"/>
    <w:rsid w:val="00EB6D82"/>
    <w:rsid w:val="00EB6F8A"/>
    <w:rsid w:val="00EB745E"/>
    <w:rsid w:val="00EB784E"/>
    <w:rsid w:val="00EB787B"/>
    <w:rsid w:val="00EB7A93"/>
    <w:rsid w:val="00EB7D5C"/>
    <w:rsid w:val="00EB7E6C"/>
    <w:rsid w:val="00EC03A6"/>
    <w:rsid w:val="00EC06CC"/>
    <w:rsid w:val="00EC0DFD"/>
    <w:rsid w:val="00EC109E"/>
    <w:rsid w:val="00EC10A0"/>
    <w:rsid w:val="00EC1195"/>
    <w:rsid w:val="00EC1383"/>
    <w:rsid w:val="00EC13D0"/>
    <w:rsid w:val="00EC1545"/>
    <w:rsid w:val="00EC1591"/>
    <w:rsid w:val="00EC16C6"/>
    <w:rsid w:val="00EC16F1"/>
    <w:rsid w:val="00EC1C26"/>
    <w:rsid w:val="00EC1C8A"/>
    <w:rsid w:val="00EC1DFD"/>
    <w:rsid w:val="00EC20D8"/>
    <w:rsid w:val="00EC2822"/>
    <w:rsid w:val="00EC282D"/>
    <w:rsid w:val="00EC2840"/>
    <w:rsid w:val="00EC2B0D"/>
    <w:rsid w:val="00EC2BD6"/>
    <w:rsid w:val="00EC3573"/>
    <w:rsid w:val="00EC357E"/>
    <w:rsid w:val="00EC410A"/>
    <w:rsid w:val="00EC419F"/>
    <w:rsid w:val="00EC42A2"/>
    <w:rsid w:val="00EC47F4"/>
    <w:rsid w:val="00EC4840"/>
    <w:rsid w:val="00EC49E6"/>
    <w:rsid w:val="00EC50A2"/>
    <w:rsid w:val="00EC518D"/>
    <w:rsid w:val="00EC52B8"/>
    <w:rsid w:val="00EC545A"/>
    <w:rsid w:val="00EC54F8"/>
    <w:rsid w:val="00EC5791"/>
    <w:rsid w:val="00EC57C6"/>
    <w:rsid w:val="00EC5944"/>
    <w:rsid w:val="00EC5AAD"/>
    <w:rsid w:val="00EC5D88"/>
    <w:rsid w:val="00EC5FB8"/>
    <w:rsid w:val="00EC628D"/>
    <w:rsid w:val="00EC665A"/>
    <w:rsid w:val="00EC6763"/>
    <w:rsid w:val="00EC6C28"/>
    <w:rsid w:val="00EC6D0E"/>
    <w:rsid w:val="00EC6DFD"/>
    <w:rsid w:val="00EC6EF3"/>
    <w:rsid w:val="00EC7048"/>
    <w:rsid w:val="00EC71CB"/>
    <w:rsid w:val="00EC71D1"/>
    <w:rsid w:val="00EC769C"/>
    <w:rsid w:val="00EC76F3"/>
    <w:rsid w:val="00EC7797"/>
    <w:rsid w:val="00EC78BC"/>
    <w:rsid w:val="00EC7D3A"/>
    <w:rsid w:val="00EC7D87"/>
    <w:rsid w:val="00EC7E17"/>
    <w:rsid w:val="00ED0247"/>
    <w:rsid w:val="00ED0514"/>
    <w:rsid w:val="00ED05D6"/>
    <w:rsid w:val="00ED060E"/>
    <w:rsid w:val="00ED0C6F"/>
    <w:rsid w:val="00ED0D88"/>
    <w:rsid w:val="00ED102F"/>
    <w:rsid w:val="00ED13D1"/>
    <w:rsid w:val="00ED17CF"/>
    <w:rsid w:val="00ED19C1"/>
    <w:rsid w:val="00ED1AA8"/>
    <w:rsid w:val="00ED1C07"/>
    <w:rsid w:val="00ED233E"/>
    <w:rsid w:val="00ED2463"/>
    <w:rsid w:val="00ED280E"/>
    <w:rsid w:val="00ED29F2"/>
    <w:rsid w:val="00ED2D3B"/>
    <w:rsid w:val="00ED2FCC"/>
    <w:rsid w:val="00ED2FEB"/>
    <w:rsid w:val="00ED3028"/>
    <w:rsid w:val="00ED306F"/>
    <w:rsid w:val="00ED3193"/>
    <w:rsid w:val="00ED36F2"/>
    <w:rsid w:val="00ED3A81"/>
    <w:rsid w:val="00ED3BD8"/>
    <w:rsid w:val="00ED3C41"/>
    <w:rsid w:val="00ED3F32"/>
    <w:rsid w:val="00ED4084"/>
    <w:rsid w:val="00ED4402"/>
    <w:rsid w:val="00ED4662"/>
    <w:rsid w:val="00ED4967"/>
    <w:rsid w:val="00ED4AED"/>
    <w:rsid w:val="00ED4C12"/>
    <w:rsid w:val="00ED4E12"/>
    <w:rsid w:val="00ED50D8"/>
    <w:rsid w:val="00ED53B0"/>
    <w:rsid w:val="00ED5400"/>
    <w:rsid w:val="00ED5646"/>
    <w:rsid w:val="00ED58F5"/>
    <w:rsid w:val="00ED6118"/>
    <w:rsid w:val="00ED635F"/>
    <w:rsid w:val="00ED67CE"/>
    <w:rsid w:val="00ED6EDA"/>
    <w:rsid w:val="00ED712D"/>
    <w:rsid w:val="00ED72E3"/>
    <w:rsid w:val="00ED7559"/>
    <w:rsid w:val="00ED7637"/>
    <w:rsid w:val="00ED768A"/>
    <w:rsid w:val="00ED78FE"/>
    <w:rsid w:val="00ED7A84"/>
    <w:rsid w:val="00EE0279"/>
    <w:rsid w:val="00EE0538"/>
    <w:rsid w:val="00EE05EC"/>
    <w:rsid w:val="00EE0625"/>
    <w:rsid w:val="00EE0A4C"/>
    <w:rsid w:val="00EE0B6E"/>
    <w:rsid w:val="00EE0F57"/>
    <w:rsid w:val="00EE0F97"/>
    <w:rsid w:val="00EE1046"/>
    <w:rsid w:val="00EE1399"/>
    <w:rsid w:val="00EE1B10"/>
    <w:rsid w:val="00EE1CFF"/>
    <w:rsid w:val="00EE1F65"/>
    <w:rsid w:val="00EE213A"/>
    <w:rsid w:val="00EE2371"/>
    <w:rsid w:val="00EE28A4"/>
    <w:rsid w:val="00EE28CE"/>
    <w:rsid w:val="00EE28F4"/>
    <w:rsid w:val="00EE2B3B"/>
    <w:rsid w:val="00EE2C14"/>
    <w:rsid w:val="00EE2D19"/>
    <w:rsid w:val="00EE3728"/>
    <w:rsid w:val="00EE3863"/>
    <w:rsid w:val="00EE38B6"/>
    <w:rsid w:val="00EE39C4"/>
    <w:rsid w:val="00EE3E7B"/>
    <w:rsid w:val="00EE3E83"/>
    <w:rsid w:val="00EE417F"/>
    <w:rsid w:val="00EE4261"/>
    <w:rsid w:val="00EE43C9"/>
    <w:rsid w:val="00EE4493"/>
    <w:rsid w:val="00EE44A5"/>
    <w:rsid w:val="00EE45C5"/>
    <w:rsid w:val="00EE4ADF"/>
    <w:rsid w:val="00EE4B3E"/>
    <w:rsid w:val="00EE5A6B"/>
    <w:rsid w:val="00EE5B3C"/>
    <w:rsid w:val="00EE5F75"/>
    <w:rsid w:val="00EE63BE"/>
    <w:rsid w:val="00EE6680"/>
    <w:rsid w:val="00EE6972"/>
    <w:rsid w:val="00EE6A2B"/>
    <w:rsid w:val="00EE6B04"/>
    <w:rsid w:val="00EE6B89"/>
    <w:rsid w:val="00EE6BA7"/>
    <w:rsid w:val="00EE712F"/>
    <w:rsid w:val="00EE73B5"/>
    <w:rsid w:val="00EE7766"/>
    <w:rsid w:val="00EE7890"/>
    <w:rsid w:val="00EE7915"/>
    <w:rsid w:val="00EE79AF"/>
    <w:rsid w:val="00EE7CFD"/>
    <w:rsid w:val="00EE7E5A"/>
    <w:rsid w:val="00EF0024"/>
    <w:rsid w:val="00EF01A1"/>
    <w:rsid w:val="00EF05BF"/>
    <w:rsid w:val="00EF0799"/>
    <w:rsid w:val="00EF09CD"/>
    <w:rsid w:val="00EF10CC"/>
    <w:rsid w:val="00EF12C5"/>
    <w:rsid w:val="00EF1514"/>
    <w:rsid w:val="00EF15F5"/>
    <w:rsid w:val="00EF1807"/>
    <w:rsid w:val="00EF1903"/>
    <w:rsid w:val="00EF1C75"/>
    <w:rsid w:val="00EF1CF5"/>
    <w:rsid w:val="00EF1EB2"/>
    <w:rsid w:val="00EF2006"/>
    <w:rsid w:val="00EF2013"/>
    <w:rsid w:val="00EF21A9"/>
    <w:rsid w:val="00EF21AF"/>
    <w:rsid w:val="00EF21B2"/>
    <w:rsid w:val="00EF24F7"/>
    <w:rsid w:val="00EF2596"/>
    <w:rsid w:val="00EF2722"/>
    <w:rsid w:val="00EF2A35"/>
    <w:rsid w:val="00EF2B93"/>
    <w:rsid w:val="00EF2DB3"/>
    <w:rsid w:val="00EF3258"/>
    <w:rsid w:val="00EF32CE"/>
    <w:rsid w:val="00EF363D"/>
    <w:rsid w:val="00EF3850"/>
    <w:rsid w:val="00EF3B38"/>
    <w:rsid w:val="00EF3C83"/>
    <w:rsid w:val="00EF3E73"/>
    <w:rsid w:val="00EF40A5"/>
    <w:rsid w:val="00EF40BE"/>
    <w:rsid w:val="00EF416B"/>
    <w:rsid w:val="00EF41D3"/>
    <w:rsid w:val="00EF4469"/>
    <w:rsid w:val="00EF4A36"/>
    <w:rsid w:val="00EF4AE4"/>
    <w:rsid w:val="00EF4F8C"/>
    <w:rsid w:val="00EF5107"/>
    <w:rsid w:val="00EF541D"/>
    <w:rsid w:val="00EF5A29"/>
    <w:rsid w:val="00EF5B55"/>
    <w:rsid w:val="00EF5CE4"/>
    <w:rsid w:val="00EF5E9A"/>
    <w:rsid w:val="00EF5EEA"/>
    <w:rsid w:val="00EF5FF8"/>
    <w:rsid w:val="00EF60A2"/>
    <w:rsid w:val="00EF623C"/>
    <w:rsid w:val="00EF6294"/>
    <w:rsid w:val="00EF6601"/>
    <w:rsid w:val="00EF6805"/>
    <w:rsid w:val="00EF696D"/>
    <w:rsid w:val="00EF6D9B"/>
    <w:rsid w:val="00EF6EAE"/>
    <w:rsid w:val="00EF6F73"/>
    <w:rsid w:val="00EF711F"/>
    <w:rsid w:val="00EF730B"/>
    <w:rsid w:val="00EF7539"/>
    <w:rsid w:val="00EF768F"/>
    <w:rsid w:val="00EF780A"/>
    <w:rsid w:val="00EF7856"/>
    <w:rsid w:val="00EF78A0"/>
    <w:rsid w:val="00EF7BF1"/>
    <w:rsid w:val="00EF7CF2"/>
    <w:rsid w:val="00EF7D85"/>
    <w:rsid w:val="00EF7F31"/>
    <w:rsid w:val="00F00508"/>
    <w:rsid w:val="00F0060F"/>
    <w:rsid w:val="00F00819"/>
    <w:rsid w:val="00F008A8"/>
    <w:rsid w:val="00F00B2E"/>
    <w:rsid w:val="00F00D6F"/>
    <w:rsid w:val="00F01490"/>
    <w:rsid w:val="00F01696"/>
    <w:rsid w:val="00F01820"/>
    <w:rsid w:val="00F0193F"/>
    <w:rsid w:val="00F01B01"/>
    <w:rsid w:val="00F01C5B"/>
    <w:rsid w:val="00F01C9B"/>
    <w:rsid w:val="00F01DDB"/>
    <w:rsid w:val="00F01E52"/>
    <w:rsid w:val="00F022A8"/>
    <w:rsid w:val="00F02473"/>
    <w:rsid w:val="00F0256E"/>
    <w:rsid w:val="00F02BB4"/>
    <w:rsid w:val="00F02DCB"/>
    <w:rsid w:val="00F02F66"/>
    <w:rsid w:val="00F02FB1"/>
    <w:rsid w:val="00F0319D"/>
    <w:rsid w:val="00F031BD"/>
    <w:rsid w:val="00F0368A"/>
    <w:rsid w:val="00F03825"/>
    <w:rsid w:val="00F0389E"/>
    <w:rsid w:val="00F03BCD"/>
    <w:rsid w:val="00F04286"/>
    <w:rsid w:val="00F042DC"/>
    <w:rsid w:val="00F04309"/>
    <w:rsid w:val="00F0448B"/>
    <w:rsid w:val="00F0450D"/>
    <w:rsid w:val="00F0463B"/>
    <w:rsid w:val="00F046BD"/>
    <w:rsid w:val="00F04A1A"/>
    <w:rsid w:val="00F04D63"/>
    <w:rsid w:val="00F04E16"/>
    <w:rsid w:val="00F04E40"/>
    <w:rsid w:val="00F04E72"/>
    <w:rsid w:val="00F0526B"/>
    <w:rsid w:val="00F0576E"/>
    <w:rsid w:val="00F057C2"/>
    <w:rsid w:val="00F0584D"/>
    <w:rsid w:val="00F05999"/>
    <w:rsid w:val="00F059AB"/>
    <w:rsid w:val="00F05B05"/>
    <w:rsid w:val="00F05D6E"/>
    <w:rsid w:val="00F06322"/>
    <w:rsid w:val="00F0663C"/>
    <w:rsid w:val="00F06894"/>
    <w:rsid w:val="00F06906"/>
    <w:rsid w:val="00F069D3"/>
    <w:rsid w:val="00F06C35"/>
    <w:rsid w:val="00F06DDD"/>
    <w:rsid w:val="00F07099"/>
    <w:rsid w:val="00F07491"/>
    <w:rsid w:val="00F074FA"/>
    <w:rsid w:val="00F07A90"/>
    <w:rsid w:val="00F07B33"/>
    <w:rsid w:val="00F07B75"/>
    <w:rsid w:val="00F07E06"/>
    <w:rsid w:val="00F102A7"/>
    <w:rsid w:val="00F105EA"/>
    <w:rsid w:val="00F107E1"/>
    <w:rsid w:val="00F10960"/>
    <w:rsid w:val="00F109D5"/>
    <w:rsid w:val="00F10B8A"/>
    <w:rsid w:val="00F10DC3"/>
    <w:rsid w:val="00F10F10"/>
    <w:rsid w:val="00F1106A"/>
    <w:rsid w:val="00F1109A"/>
    <w:rsid w:val="00F11117"/>
    <w:rsid w:val="00F111B8"/>
    <w:rsid w:val="00F112B0"/>
    <w:rsid w:val="00F11304"/>
    <w:rsid w:val="00F11768"/>
    <w:rsid w:val="00F11D55"/>
    <w:rsid w:val="00F11DC7"/>
    <w:rsid w:val="00F11FA7"/>
    <w:rsid w:val="00F120D9"/>
    <w:rsid w:val="00F12541"/>
    <w:rsid w:val="00F125A7"/>
    <w:rsid w:val="00F125BC"/>
    <w:rsid w:val="00F12888"/>
    <w:rsid w:val="00F12E11"/>
    <w:rsid w:val="00F12E64"/>
    <w:rsid w:val="00F13470"/>
    <w:rsid w:val="00F13580"/>
    <w:rsid w:val="00F13586"/>
    <w:rsid w:val="00F13633"/>
    <w:rsid w:val="00F13F20"/>
    <w:rsid w:val="00F14163"/>
    <w:rsid w:val="00F1421A"/>
    <w:rsid w:val="00F143EE"/>
    <w:rsid w:val="00F14435"/>
    <w:rsid w:val="00F1477E"/>
    <w:rsid w:val="00F14B20"/>
    <w:rsid w:val="00F14C45"/>
    <w:rsid w:val="00F15033"/>
    <w:rsid w:val="00F1510D"/>
    <w:rsid w:val="00F15233"/>
    <w:rsid w:val="00F15618"/>
    <w:rsid w:val="00F15A6E"/>
    <w:rsid w:val="00F15E05"/>
    <w:rsid w:val="00F15E91"/>
    <w:rsid w:val="00F164D2"/>
    <w:rsid w:val="00F16E72"/>
    <w:rsid w:val="00F16F84"/>
    <w:rsid w:val="00F16F98"/>
    <w:rsid w:val="00F17122"/>
    <w:rsid w:val="00F1735C"/>
    <w:rsid w:val="00F17473"/>
    <w:rsid w:val="00F178FF"/>
    <w:rsid w:val="00F1792A"/>
    <w:rsid w:val="00F17C77"/>
    <w:rsid w:val="00F17C97"/>
    <w:rsid w:val="00F17F93"/>
    <w:rsid w:val="00F20062"/>
    <w:rsid w:val="00F20210"/>
    <w:rsid w:val="00F2064C"/>
    <w:rsid w:val="00F20B53"/>
    <w:rsid w:val="00F20B5F"/>
    <w:rsid w:val="00F21056"/>
    <w:rsid w:val="00F213CC"/>
    <w:rsid w:val="00F21463"/>
    <w:rsid w:val="00F21751"/>
    <w:rsid w:val="00F21961"/>
    <w:rsid w:val="00F219D3"/>
    <w:rsid w:val="00F21A42"/>
    <w:rsid w:val="00F21BA6"/>
    <w:rsid w:val="00F21C71"/>
    <w:rsid w:val="00F21D12"/>
    <w:rsid w:val="00F21FB3"/>
    <w:rsid w:val="00F22035"/>
    <w:rsid w:val="00F225AC"/>
    <w:rsid w:val="00F228B5"/>
    <w:rsid w:val="00F2291C"/>
    <w:rsid w:val="00F229C2"/>
    <w:rsid w:val="00F22A18"/>
    <w:rsid w:val="00F22AFC"/>
    <w:rsid w:val="00F22C19"/>
    <w:rsid w:val="00F22D18"/>
    <w:rsid w:val="00F22FD6"/>
    <w:rsid w:val="00F2300F"/>
    <w:rsid w:val="00F23243"/>
    <w:rsid w:val="00F23350"/>
    <w:rsid w:val="00F23434"/>
    <w:rsid w:val="00F235FB"/>
    <w:rsid w:val="00F23664"/>
    <w:rsid w:val="00F2367A"/>
    <w:rsid w:val="00F23880"/>
    <w:rsid w:val="00F23E4E"/>
    <w:rsid w:val="00F23F3C"/>
    <w:rsid w:val="00F23F9E"/>
    <w:rsid w:val="00F2410A"/>
    <w:rsid w:val="00F24450"/>
    <w:rsid w:val="00F24B44"/>
    <w:rsid w:val="00F2521E"/>
    <w:rsid w:val="00F257E6"/>
    <w:rsid w:val="00F25AEA"/>
    <w:rsid w:val="00F25B50"/>
    <w:rsid w:val="00F25D28"/>
    <w:rsid w:val="00F25ED2"/>
    <w:rsid w:val="00F26073"/>
    <w:rsid w:val="00F26137"/>
    <w:rsid w:val="00F261A0"/>
    <w:rsid w:val="00F26270"/>
    <w:rsid w:val="00F26385"/>
    <w:rsid w:val="00F264EC"/>
    <w:rsid w:val="00F2678A"/>
    <w:rsid w:val="00F267AE"/>
    <w:rsid w:val="00F26AA8"/>
    <w:rsid w:val="00F26AF2"/>
    <w:rsid w:val="00F26B6B"/>
    <w:rsid w:val="00F26D77"/>
    <w:rsid w:val="00F27182"/>
    <w:rsid w:val="00F27CF0"/>
    <w:rsid w:val="00F27D48"/>
    <w:rsid w:val="00F27E3A"/>
    <w:rsid w:val="00F3026A"/>
    <w:rsid w:val="00F3039A"/>
    <w:rsid w:val="00F307B3"/>
    <w:rsid w:val="00F308EC"/>
    <w:rsid w:val="00F30A58"/>
    <w:rsid w:val="00F30A91"/>
    <w:rsid w:val="00F30BB4"/>
    <w:rsid w:val="00F30F8A"/>
    <w:rsid w:val="00F312B5"/>
    <w:rsid w:val="00F313C9"/>
    <w:rsid w:val="00F3174C"/>
    <w:rsid w:val="00F317E5"/>
    <w:rsid w:val="00F31837"/>
    <w:rsid w:val="00F318E5"/>
    <w:rsid w:val="00F31B57"/>
    <w:rsid w:val="00F31D15"/>
    <w:rsid w:val="00F31DD9"/>
    <w:rsid w:val="00F31E7F"/>
    <w:rsid w:val="00F31EC4"/>
    <w:rsid w:val="00F31F14"/>
    <w:rsid w:val="00F326E8"/>
    <w:rsid w:val="00F327CC"/>
    <w:rsid w:val="00F32A89"/>
    <w:rsid w:val="00F32F13"/>
    <w:rsid w:val="00F33351"/>
    <w:rsid w:val="00F33715"/>
    <w:rsid w:val="00F33789"/>
    <w:rsid w:val="00F33A4A"/>
    <w:rsid w:val="00F33D53"/>
    <w:rsid w:val="00F33F9F"/>
    <w:rsid w:val="00F34042"/>
    <w:rsid w:val="00F349B5"/>
    <w:rsid w:val="00F349C9"/>
    <w:rsid w:val="00F34A71"/>
    <w:rsid w:val="00F34FC3"/>
    <w:rsid w:val="00F35281"/>
    <w:rsid w:val="00F35613"/>
    <w:rsid w:val="00F35775"/>
    <w:rsid w:val="00F357BC"/>
    <w:rsid w:val="00F35974"/>
    <w:rsid w:val="00F361D0"/>
    <w:rsid w:val="00F36757"/>
    <w:rsid w:val="00F368E6"/>
    <w:rsid w:val="00F369C2"/>
    <w:rsid w:val="00F36C87"/>
    <w:rsid w:val="00F36CD3"/>
    <w:rsid w:val="00F36CFF"/>
    <w:rsid w:val="00F36DB7"/>
    <w:rsid w:val="00F36E5C"/>
    <w:rsid w:val="00F3724B"/>
    <w:rsid w:val="00F376F4"/>
    <w:rsid w:val="00F37AAC"/>
    <w:rsid w:val="00F37C04"/>
    <w:rsid w:val="00F37D6F"/>
    <w:rsid w:val="00F400E4"/>
    <w:rsid w:val="00F40460"/>
    <w:rsid w:val="00F40485"/>
    <w:rsid w:val="00F408B7"/>
    <w:rsid w:val="00F40910"/>
    <w:rsid w:val="00F40931"/>
    <w:rsid w:val="00F4156B"/>
    <w:rsid w:val="00F4165C"/>
    <w:rsid w:val="00F41869"/>
    <w:rsid w:val="00F41A52"/>
    <w:rsid w:val="00F41E2A"/>
    <w:rsid w:val="00F42041"/>
    <w:rsid w:val="00F420C8"/>
    <w:rsid w:val="00F4256F"/>
    <w:rsid w:val="00F427F0"/>
    <w:rsid w:val="00F42C4B"/>
    <w:rsid w:val="00F4325B"/>
    <w:rsid w:val="00F4348E"/>
    <w:rsid w:val="00F4367D"/>
    <w:rsid w:val="00F43817"/>
    <w:rsid w:val="00F439C9"/>
    <w:rsid w:val="00F43AC4"/>
    <w:rsid w:val="00F43DE0"/>
    <w:rsid w:val="00F43E2C"/>
    <w:rsid w:val="00F44094"/>
    <w:rsid w:val="00F44339"/>
    <w:rsid w:val="00F4433B"/>
    <w:rsid w:val="00F44689"/>
    <w:rsid w:val="00F4492C"/>
    <w:rsid w:val="00F44A07"/>
    <w:rsid w:val="00F44CB4"/>
    <w:rsid w:val="00F44EC9"/>
    <w:rsid w:val="00F44FEC"/>
    <w:rsid w:val="00F45218"/>
    <w:rsid w:val="00F45465"/>
    <w:rsid w:val="00F45A7F"/>
    <w:rsid w:val="00F468D3"/>
    <w:rsid w:val="00F46927"/>
    <w:rsid w:val="00F47062"/>
    <w:rsid w:val="00F4745B"/>
    <w:rsid w:val="00F4771A"/>
    <w:rsid w:val="00F47A6B"/>
    <w:rsid w:val="00F47ABE"/>
    <w:rsid w:val="00F47B6A"/>
    <w:rsid w:val="00F5019F"/>
    <w:rsid w:val="00F504F3"/>
    <w:rsid w:val="00F50999"/>
    <w:rsid w:val="00F51129"/>
    <w:rsid w:val="00F51292"/>
    <w:rsid w:val="00F51302"/>
    <w:rsid w:val="00F51396"/>
    <w:rsid w:val="00F5150F"/>
    <w:rsid w:val="00F516DA"/>
    <w:rsid w:val="00F518DA"/>
    <w:rsid w:val="00F51AA5"/>
    <w:rsid w:val="00F51C6A"/>
    <w:rsid w:val="00F51C8A"/>
    <w:rsid w:val="00F51C95"/>
    <w:rsid w:val="00F51D13"/>
    <w:rsid w:val="00F51FCD"/>
    <w:rsid w:val="00F520FF"/>
    <w:rsid w:val="00F52406"/>
    <w:rsid w:val="00F524F0"/>
    <w:rsid w:val="00F5282B"/>
    <w:rsid w:val="00F5285C"/>
    <w:rsid w:val="00F530B9"/>
    <w:rsid w:val="00F531FA"/>
    <w:rsid w:val="00F53237"/>
    <w:rsid w:val="00F5352E"/>
    <w:rsid w:val="00F5385F"/>
    <w:rsid w:val="00F538BE"/>
    <w:rsid w:val="00F538E9"/>
    <w:rsid w:val="00F53BD8"/>
    <w:rsid w:val="00F53CC4"/>
    <w:rsid w:val="00F543CC"/>
    <w:rsid w:val="00F54498"/>
    <w:rsid w:val="00F5493B"/>
    <w:rsid w:val="00F55097"/>
    <w:rsid w:val="00F55107"/>
    <w:rsid w:val="00F55854"/>
    <w:rsid w:val="00F55921"/>
    <w:rsid w:val="00F55A50"/>
    <w:rsid w:val="00F55A97"/>
    <w:rsid w:val="00F55CEC"/>
    <w:rsid w:val="00F5609A"/>
    <w:rsid w:val="00F56194"/>
    <w:rsid w:val="00F5634E"/>
    <w:rsid w:val="00F56813"/>
    <w:rsid w:val="00F5686F"/>
    <w:rsid w:val="00F56FAE"/>
    <w:rsid w:val="00F571E2"/>
    <w:rsid w:val="00F574A5"/>
    <w:rsid w:val="00F574AB"/>
    <w:rsid w:val="00F577FB"/>
    <w:rsid w:val="00F579C1"/>
    <w:rsid w:val="00F579F2"/>
    <w:rsid w:val="00F57BEC"/>
    <w:rsid w:val="00F57EF3"/>
    <w:rsid w:val="00F57F4B"/>
    <w:rsid w:val="00F6009A"/>
    <w:rsid w:val="00F600BC"/>
    <w:rsid w:val="00F60257"/>
    <w:rsid w:val="00F60998"/>
    <w:rsid w:val="00F60B8D"/>
    <w:rsid w:val="00F60C0E"/>
    <w:rsid w:val="00F60CA1"/>
    <w:rsid w:val="00F60F15"/>
    <w:rsid w:val="00F614F1"/>
    <w:rsid w:val="00F6177B"/>
    <w:rsid w:val="00F6180A"/>
    <w:rsid w:val="00F6271C"/>
    <w:rsid w:val="00F627EF"/>
    <w:rsid w:val="00F62AED"/>
    <w:rsid w:val="00F62B77"/>
    <w:rsid w:val="00F62BF9"/>
    <w:rsid w:val="00F62D42"/>
    <w:rsid w:val="00F62DDB"/>
    <w:rsid w:val="00F62DF2"/>
    <w:rsid w:val="00F62EDF"/>
    <w:rsid w:val="00F630B7"/>
    <w:rsid w:val="00F63515"/>
    <w:rsid w:val="00F63565"/>
    <w:rsid w:val="00F636AC"/>
    <w:rsid w:val="00F63719"/>
    <w:rsid w:val="00F63B3F"/>
    <w:rsid w:val="00F63B46"/>
    <w:rsid w:val="00F63B8F"/>
    <w:rsid w:val="00F63DC4"/>
    <w:rsid w:val="00F63F59"/>
    <w:rsid w:val="00F6422C"/>
    <w:rsid w:val="00F64584"/>
    <w:rsid w:val="00F645BA"/>
    <w:rsid w:val="00F64756"/>
    <w:rsid w:val="00F64A79"/>
    <w:rsid w:val="00F64AA0"/>
    <w:rsid w:val="00F64B3B"/>
    <w:rsid w:val="00F64C29"/>
    <w:rsid w:val="00F64CC6"/>
    <w:rsid w:val="00F64FA9"/>
    <w:rsid w:val="00F651D1"/>
    <w:rsid w:val="00F651D6"/>
    <w:rsid w:val="00F6534F"/>
    <w:rsid w:val="00F65358"/>
    <w:rsid w:val="00F65413"/>
    <w:rsid w:val="00F656A6"/>
    <w:rsid w:val="00F656E3"/>
    <w:rsid w:val="00F65A32"/>
    <w:rsid w:val="00F65CFF"/>
    <w:rsid w:val="00F65FA3"/>
    <w:rsid w:val="00F66298"/>
    <w:rsid w:val="00F663EB"/>
    <w:rsid w:val="00F66617"/>
    <w:rsid w:val="00F66EF6"/>
    <w:rsid w:val="00F67053"/>
    <w:rsid w:val="00F67F6B"/>
    <w:rsid w:val="00F70110"/>
    <w:rsid w:val="00F7011F"/>
    <w:rsid w:val="00F707C2"/>
    <w:rsid w:val="00F70811"/>
    <w:rsid w:val="00F70830"/>
    <w:rsid w:val="00F71007"/>
    <w:rsid w:val="00F711DA"/>
    <w:rsid w:val="00F7126B"/>
    <w:rsid w:val="00F718A1"/>
    <w:rsid w:val="00F71A2D"/>
    <w:rsid w:val="00F71B5A"/>
    <w:rsid w:val="00F71B9E"/>
    <w:rsid w:val="00F71DFF"/>
    <w:rsid w:val="00F71E9A"/>
    <w:rsid w:val="00F72100"/>
    <w:rsid w:val="00F721A0"/>
    <w:rsid w:val="00F72340"/>
    <w:rsid w:val="00F72587"/>
    <w:rsid w:val="00F72A80"/>
    <w:rsid w:val="00F72C93"/>
    <w:rsid w:val="00F731F4"/>
    <w:rsid w:val="00F732F8"/>
    <w:rsid w:val="00F733A6"/>
    <w:rsid w:val="00F733EB"/>
    <w:rsid w:val="00F735BA"/>
    <w:rsid w:val="00F73671"/>
    <w:rsid w:val="00F736F7"/>
    <w:rsid w:val="00F73A41"/>
    <w:rsid w:val="00F73AAB"/>
    <w:rsid w:val="00F73E5A"/>
    <w:rsid w:val="00F74288"/>
    <w:rsid w:val="00F742F1"/>
    <w:rsid w:val="00F746B3"/>
    <w:rsid w:val="00F74A58"/>
    <w:rsid w:val="00F74B4B"/>
    <w:rsid w:val="00F74C57"/>
    <w:rsid w:val="00F74CB4"/>
    <w:rsid w:val="00F754C2"/>
    <w:rsid w:val="00F75843"/>
    <w:rsid w:val="00F75A5A"/>
    <w:rsid w:val="00F75C83"/>
    <w:rsid w:val="00F7637C"/>
    <w:rsid w:val="00F7673C"/>
    <w:rsid w:val="00F76A87"/>
    <w:rsid w:val="00F76EA2"/>
    <w:rsid w:val="00F77498"/>
    <w:rsid w:val="00F800B7"/>
    <w:rsid w:val="00F800B8"/>
    <w:rsid w:val="00F80131"/>
    <w:rsid w:val="00F8031E"/>
    <w:rsid w:val="00F80496"/>
    <w:rsid w:val="00F80662"/>
    <w:rsid w:val="00F80866"/>
    <w:rsid w:val="00F80871"/>
    <w:rsid w:val="00F80A7B"/>
    <w:rsid w:val="00F80A88"/>
    <w:rsid w:val="00F80B4E"/>
    <w:rsid w:val="00F80C0B"/>
    <w:rsid w:val="00F80D2B"/>
    <w:rsid w:val="00F80F5A"/>
    <w:rsid w:val="00F80F6B"/>
    <w:rsid w:val="00F8124F"/>
    <w:rsid w:val="00F81498"/>
    <w:rsid w:val="00F81858"/>
    <w:rsid w:val="00F81AA7"/>
    <w:rsid w:val="00F81C9F"/>
    <w:rsid w:val="00F81DCC"/>
    <w:rsid w:val="00F81E6D"/>
    <w:rsid w:val="00F81F72"/>
    <w:rsid w:val="00F823F5"/>
    <w:rsid w:val="00F82404"/>
    <w:rsid w:val="00F824BE"/>
    <w:rsid w:val="00F826A2"/>
    <w:rsid w:val="00F82D98"/>
    <w:rsid w:val="00F82EE9"/>
    <w:rsid w:val="00F837A3"/>
    <w:rsid w:val="00F8386F"/>
    <w:rsid w:val="00F8399B"/>
    <w:rsid w:val="00F83B2A"/>
    <w:rsid w:val="00F83D29"/>
    <w:rsid w:val="00F83D92"/>
    <w:rsid w:val="00F83EB1"/>
    <w:rsid w:val="00F83FF2"/>
    <w:rsid w:val="00F840E9"/>
    <w:rsid w:val="00F84207"/>
    <w:rsid w:val="00F84583"/>
    <w:rsid w:val="00F848F9"/>
    <w:rsid w:val="00F84D1C"/>
    <w:rsid w:val="00F8504E"/>
    <w:rsid w:val="00F85721"/>
    <w:rsid w:val="00F8575D"/>
    <w:rsid w:val="00F85793"/>
    <w:rsid w:val="00F8579F"/>
    <w:rsid w:val="00F85B1B"/>
    <w:rsid w:val="00F85C82"/>
    <w:rsid w:val="00F85D75"/>
    <w:rsid w:val="00F85EB7"/>
    <w:rsid w:val="00F85F5C"/>
    <w:rsid w:val="00F85F71"/>
    <w:rsid w:val="00F86028"/>
    <w:rsid w:val="00F860DC"/>
    <w:rsid w:val="00F8626D"/>
    <w:rsid w:val="00F863A8"/>
    <w:rsid w:val="00F86519"/>
    <w:rsid w:val="00F86799"/>
    <w:rsid w:val="00F86903"/>
    <w:rsid w:val="00F86B66"/>
    <w:rsid w:val="00F86F78"/>
    <w:rsid w:val="00F875D1"/>
    <w:rsid w:val="00F877FF"/>
    <w:rsid w:val="00F879DA"/>
    <w:rsid w:val="00F87CCC"/>
    <w:rsid w:val="00F87F71"/>
    <w:rsid w:val="00F90013"/>
    <w:rsid w:val="00F90150"/>
    <w:rsid w:val="00F902DB"/>
    <w:rsid w:val="00F90311"/>
    <w:rsid w:val="00F90511"/>
    <w:rsid w:val="00F90832"/>
    <w:rsid w:val="00F90A9A"/>
    <w:rsid w:val="00F91011"/>
    <w:rsid w:val="00F9115A"/>
    <w:rsid w:val="00F9126F"/>
    <w:rsid w:val="00F913BC"/>
    <w:rsid w:val="00F914DB"/>
    <w:rsid w:val="00F91656"/>
    <w:rsid w:val="00F9170D"/>
    <w:rsid w:val="00F91A2C"/>
    <w:rsid w:val="00F91AD1"/>
    <w:rsid w:val="00F91CF3"/>
    <w:rsid w:val="00F91D16"/>
    <w:rsid w:val="00F920C9"/>
    <w:rsid w:val="00F926E2"/>
    <w:rsid w:val="00F92734"/>
    <w:rsid w:val="00F92E29"/>
    <w:rsid w:val="00F932D3"/>
    <w:rsid w:val="00F935A7"/>
    <w:rsid w:val="00F936A6"/>
    <w:rsid w:val="00F93824"/>
    <w:rsid w:val="00F938DB"/>
    <w:rsid w:val="00F93B52"/>
    <w:rsid w:val="00F93BEF"/>
    <w:rsid w:val="00F93D18"/>
    <w:rsid w:val="00F93D8D"/>
    <w:rsid w:val="00F93F47"/>
    <w:rsid w:val="00F94368"/>
    <w:rsid w:val="00F94423"/>
    <w:rsid w:val="00F945EB"/>
    <w:rsid w:val="00F9472E"/>
    <w:rsid w:val="00F9494C"/>
    <w:rsid w:val="00F94A0E"/>
    <w:rsid w:val="00F94C8B"/>
    <w:rsid w:val="00F94EC4"/>
    <w:rsid w:val="00F9516B"/>
    <w:rsid w:val="00F9517E"/>
    <w:rsid w:val="00F958D7"/>
    <w:rsid w:val="00F95914"/>
    <w:rsid w:val="00F95A03"/>
    <w:rsid w:val="00F95FC8"/>
    <w:rsid w:val="00F962C0"/>
    <w:rsid w:val="00F965D3"/>
    <w:rsid w:val="00F96ACC"/>
    <w:rsid w:val="00F96B43"/>
    <w:rsid w:val="00F96CDC"/>
    <w:rsid w:val="00F96E89"/>
    <w:rsid w:val="00F971B0"/>
    <w:rsid w:val="00F9733D"/>
    <w:rsid w:val="00F97691"/>
    <w:rsid w:val="00F97A46"/>
    <w:rsid w:val="00F97A61"/>
    <w:rsid w:val="00F97AC8"/>
    <w:rsid w:val="00F97BF0"/>
    <w:rsid w:val="00F97CB8"/>
    <w:rsid w:val="00F97FBF"/>
    <w:rsid w:val="00FA011A"/>
    <w:rsid w:val="00FA0597"/>
    <w:rsid w:val="00FA0746"/>
    <w:rsid w:val="00FA0840"/>
    <w:rsid w:val="00FA09DA"/>
    <w:rsid w:val="00FA0A46"/>
    <w:rsid w:val="00FA0A92"/>
    <w:rsid w:val="00FA0F32"/>
    <w:rsid w:val="00FA15C8"/>
    <w:rsid w:val="00FA1640"/>
    <w:rsid w:val="00FA208A"/>
    <w:rsid w:val="00FA20F9"/>
    <w:rsid w:val="00FA21D5"/>
    <w:rsid w:val="00FA25C6"/>
    <w:rsid w:val="00FA2C5D"/>
    <w:rsid w:val="00FA2D86"/>
    <w:rsid w:val="00FA32C0"/>
    <w:rsid w:val="00FA3429"/>
    <w:rsid w:val="00FA348C"/>
    <w:rsid w:val="00FA34EB"/>
    <w:rsid w:val="00FA38B2"/>
    <w:rsid w:val="00FA39D5"/>
    <w:rsid w:val="00FA3D87"/>
    <w:rsid w:val="00FA3EBD"/>
    <w:rsid w:val="00FA4023"/>
    <w:rsid w:val="00FA463F"/>
    <w:rsid w:val="00FA46D9"/>
    <w:rsid w:val="00FA4A29"/>
    <w:rsid w:val="00FA4AED"/>
    <w:rsid w:val="00FA4C57"/>
    <w:rsid w:val="00FA4F25"/>
    <w:rsid w:val="00FA515B"/>
    <w:rsid w:val="00FA53D8"/>
    <w:rsid w:val="00FA5721"/>
    <w:rsid w:val="00FA5A39"/>
    <w:rsid w:val="00FA5F7E"/>
    <w:rsid w:val="00FA6108"/>
    <w:rsid w:val="00FA6201"/>
    <w:rsid w:val="00FA645E"/>
    <w:rsid w:val="00FA6674"/>
    <w:rsid w:val="00FA6792"/>
    <w:rsid w:val="00FA679E"/>
    <w:rsid w:val="00FA6961"/>
    <w:rsid w:val="00FA6A31"/>
    <w:rsid w:val="00FA6A7C"/>
    <w:rsid w:val="00FA6CCD"/>
    <w:rsid w:val="00FA6D3A"/>
    <w:rsid w:val="00FA6D8E"/>
    <w:rsid w:val="00FA7B91"/>
    <w:rsid w:val="00FA7EB1"/>
    <w:rsid w:val="00FA7F0E"/>
    <w:rsid w:val="00FB006A"/>
    <w:rsid w:val="00FB0185"/>
    <w:rsid w:val="00FB027A"/>
    <w:rsid w:val="00FB045F"/>
    <w:rsid w:val="00FB087C"/>
    <w:rsid w:val="00FB0A85"/>
    <w:rsid w:val="00FB0AD8"/>
    <w:rsid w:val="00FB0C38"/>
    <w:rsid w:val="00FB0E05"/>
    <w:rsid w:val="00FB11B1"/>
    <w:rsid w:val="00FB12DE"/>
    <w:rsid w:val="00FB162F"/>
    <w:rsid w:val="00FB16A9"/>
    <w:rsid w:val="00FB1913"/>
    <w:rsid w:val="00FB1A3B"/>
    <w:rsid w:val="00FB1C5B"/>
    <w:rsid w:val="00FB1FA0"/>
    <w:rsid w:val="00FB20E7"/>
    <w:rsid w:val="00FB249F"/>
    <w:rsid w:val="00FB2772"/>
    <w:rsid w:val="00FB2AC3"/>
    <w:rsid w:val="00FB2E12"/>
    <w:rsid w:val="00FB2E17"/>
    <w:rsid w:val="00FB2E47"/>
    <w:rsid w:val="00FB311D"/>
    <w:rsid w:val="00FB363C"/>
    <w:rsid w:val="00FB37A2"/>
    <w:rsid w:val="00FB3802"/>
    <w:rsid w:val="00FB39F1"/>
    <w:rsid w:val="00FB3D71"/>
    <w:rsid w:val="00FB404B"/>
    <w:rsid w:val="00FB45E7"/>
    <w:rsid w:val="00FB4A29"/>
    <w:rsid w:val="00FB4ACA"/>
    <w:rsid w:val="00FB4B4B"/>
    <w:rsid w:val="00FB4B70"/>
    <w:rsid w:val="00FB4C1F"/>
    <w:rsid w:val="00FB4C99"/>
    <w:rsid w:val="00FB4D6C"/>
    <w:rsid w:val="00FB4DBB"/>
    <w:rsid w:val="00FB4ED0"/>
    <w:rsid w:val="00FB50F6"/>
    <w:rsid w:val="00FB5252"/>
    <w:rsid w:val="00FB5526"/>
    <w:rsid w:val="00FB552F"/>
    <w:rsid w:val="00FB5659"/>
    <w:rsid w:val="00FB5753"/>
    <w:rsid w:val="00FB58C0"/>
    <w:rsid w:val="00FB59C2"/>
    <w:rsid w:val="00FB5C68"/>
    <w:rsid w:val="00FB5E1E"/>
    <w:rsid w:val="00FB5F63"/>
    <w:rsid w:val="00FB5F97"/>
    <w:rsid w:val="00FB6362"/>
    <w:rsid w:val="00FB644E"/>
    <w:rsid w:val="00FB64FC"/>
    <w:rsid w:val="00FB66E4"/>
    <w:rsid w:val="00FB6892"/>
    <w:rsid w:val="00FB6C5B"/>
    <w:rsid w:val="00FB6E68"/>
    <w:rsid w:val="00FB7337"/>
    <w:rsid w:val="00FB735A"/>
    <w:rsid w:val="00FB748F"/>
    <w:rsid w:val="00FB7516"/>
    <w:rsid w:val="00FB7622"/>
    <w:rsid w:val="00FB7650"/>
    <w:rsid w:val="00FB792A"/>
    <w:rsid w:val="00FB7A57"/>
    <w:rsid w:val="00FB7B0F"/>
    <w:rsid w:val="00FB7C88"/>
    <w:rsid w:val="00FB7D3F"/>
    <w:rsid w:val="00FC0056"/>
    <w:rsid w:val="00FC00B2"/>
    <w:rsid w:val="00FC023D"/>
    <w:rsid w:val="00FC06CA"/>
    <w:rsid w:val="00FC0790"/>
    <w:rsid w:val="00FC0BFA"/>
    <w:rsid w:val="00FC125B"/>
    <w:rsid w:val="00FC13AD"/>
    <w:rsid w:val="00FC13E5"/>
    <w:rsid w:val="00FC1510"/>
    <w:rsid w:val="00FC1581"/>
    <w:rsid w:val="00FC1717"/>
    <w:rsid w:val="00FC195C"/>
    <w:rsid w:val="00FC1A06"/>
    <w:rsid w:val="00FC1B86"/>
    <w:rsid w:val="00FC1B9D"/>
    <w:rsid w:val="00FC1BA3"/>
    <w:rsid w:val="00FC1D33"/>
    <w:rsid w:val="00FC1FFE"/>
    <w:rsid w:val="00FC2007"/>
    <w:rsid w:val="00FC2189"/>
    <w:rsid w:val="00FC21E3"/>
    <w:rsid w:val="00FC22BA"/>
    <w:rsid w:val="00FC244B"/>
    <w:rsid w:val="00FC28B1"/>
    <w:rsid w:val="00FC2974"/>
    <w:rsid w:val="00FC2E42"/>
    <w:rsid w:val="00FC3557"/>
    <w:rsid w:val="00FC3609"/>
    <w:rsid w:val="00FC36EE"/>
    <w:rsid w:val="00FC39F3"/>
    <w:rsid w:val="00FC3A39"/>
    <w:rsid w:val="00FC3BED"/>
    <w:rsid w:val="00FC43D1"/>
    <w:rsid w:val="00FC45A5"/>
    <w:rsid w:val="00FC46CA"/>
    <w:rsid w:val="00FC4CF8"/>
    <w:rsid w:val="00FC52E6"/>
    <w:rsid w:val="00FC531B"/>
    <w:rsid w:val="00FC56B8"/>
    <w:rsid w:val="00FC5701"/>
    <w:rsid w:val="00FC5757"/>
    <w:rsid w:val="00FC59AD"/>
    <w:rsid w:val="00FC63F9"/>
    <w:rsid w:val="00FC692C"/>
    <w:rsid w:val="00FC6A50"/>
    <w:rsid w:val="00FC6C03"/>
    <w:rsid w:val="00FC6C43"/>
    <w:rsid w:val="00FC6DE7"/>
    <w:rsid w:val="00FC7206"/>
    <w:rsid w:val="00FC7740"/>
    <w:rsid w:val="00FC7BDB"/>
    <w:rsid w:val="00FC7D7A"/>
    <w:rsid w:val="00FC7DC8"/>
    <w:rsid w:val="00FD00AA"/>
    <w:rsid w:val="00FD0147"/>
    <w:rsid w:val="00FD019D"/>
    <w:rsid w:val="00FD0423"/>
    <w:rsid w:val="00FD05BA"/>
    <w:rsid w:val="00FD08D4"/>
    <w:rsid w:val="00FD0A9D"/>
    <w:rsid w:val="00FD0C68"/>
    <w:rsid w:val="00FD1065"/>
    <w:rsid w:val="00FD10FE"/>
    <w:rsid w:val="00FD1749"/>
    <w:rsid w:val="00FD1954"/>
    <w:rsid w:val="00FD1C2B"/>
    <w:rsid w:val="00FD1E4A"/>
    <w:rsid w:val="00FD2009"/>
    <w:rsid w:val="00FD2050"/>
    <w:rsid w:val="00FD2114"/>
    <w:rsid w:val="00FD2393"/>
    <w:rsid w:val="00FD2421"/>
    <w:rsid w:val="00FD24DE"/>
    <w:rsid w:val="00FD260F"/>
    <w:rsid w:val="00FD2AFF"/>
    <w:rsid w:val="00FD2DE2"/>
    <w:rsid w:val="00FD2F20"/>
    <w:rsid w:val="00FD306C"/>
    <w:rsid w:val="00FD3970"/>
    <w:rsid w:val="00FD45BD"/>
    <w:rsid w:val="00FD4B9F"/>
    <w:rsid w:val="00FD51F3"/>
    <w:rsid w:val="00FD5267"/>
    <w:rsid w:val="00FD573B"/>
    <w:rsid w:val="00FD5907"/>
    <w:rsid w:val="00FD592E"/>
    <w:rsid w:val="00FD5D84"/>
    <w:rsid w:val="00FD5DB3"/>
    <w:rsid w:val="00FD62CE"/>
    <w:rsid w:val="00FD6AEB"/>
    <w:rsid w:val="00FD6B8A"/>
    <w:rsid w:val="00FD6C12"/>
    <w:rsid w:val="00FD6D2A"/>
    <w:rsid w:val="00FD717A"/>
    <w:rsid w:val="00FD71CC"/>
    <w:rsid w:val="00FD7374"/>
    <w:rsid w:val="00FD74B9"/>
    <w:rsid w:val="00FD7546"/>
    <w:rsid w:val="00FD760C"/>
    <w:rsid w:val="00FD76F2"/>
    <w:rsid w:val="00FD7778"/>
    <w:rsid w:val="00FD795A"/>
    <w:rsid w:val="00FD7970"/>
    <w:rsid w:val="00FD79E4"/>
    <w:rsid w:val="00FD7BA2"/>
    <w:rsid w:val="00FD7DAB"/>
    <w:rsid w:val="00FD7F88"/>
    <w:rsid w:val="00FE0249"/>
    <w:rsid w:val="00FE030E"/>
    <w:rsid w:val="00FE032C"/>
    <w:rsid w:val="00FE040A"/>
    <w:rsid w:val="00FE0471"/>
    <w:rsid w:val="00FE08BD"/>
    <w:rsid w:val="00FE0C45"/>
    <w:rsid w:val="00FE0C87"/>
    <w:rsid w:val="00FE0D40"/>
    <w:rsid w:val="00FE0DAB"/>
    <w:rsid w:val="00FE0EA5"/>
    <w:rsid w:val="00FE1369"/>
    <w:rsid w:val="00FE136C"/>
    <w:rsid w:val="00FE1406"/>
    <w:rsid w:val="00FE1AC3"/>
    <w:rsid w:val="00FE1B4B"/>
    <w:rsid w:val="00FE1EC3"/>
    <w:rsid w:val="00FE21B4"/>
    <w:rsid w:val="00FE234E"/>
    <w:rsid w:val="00FE23E4"/>
    <w:rsid w:val="00FE2459"/>
    <w:rsid w:val="00FE24FF"/>
    <w:rsid w:val="00FE253B"/>
    <w:rsid w:val="00FE28BB"/>
    <w:rsid w:val="00FE2A24"/>
    <w:rsid w:val="00FE2C17"/>
    <w:rsid w:val="00FE2E18"/>
    <w:rsid w:val="00FE306C"/>
    <w:rsid w:val="00FE3086"/>
    <w:rsid w:val="00FE323F"/>
    <w:rsid w:val="00FE3298"/>
    <w:rsid w:val="00FE331E"/>
    <w:rsid w:val="00FE3496"/>
    <w:rsid w:val="00FE36F8"/>
    <w:rsid w:val="00FE39C8"/>
    <w:rsid w:val="00FE3E6C"/>
    <w:rsid w:val="00FE4101"/>
    <w:rsid w:val="00FE42A4"/>
    <w:rsid w:val="00FE434D"/>
    <w:rsid w:val="00FE473C"/>
    <w:rsid w:val="00FE47AE"/>
    <w:rsid w:val="00FE4812"/>
    <w:rsid w:val="00FE48E8"/>
    <w:rsid w:val="00FE4B98"/>
    <w:rsid w:val="00FE4D0B"/>
    <w:rsid w:val="00FE4F91"/>
    <w:rsid w:val="00FE50D3"/>
    <w:rsid w:val="00FE5131"/>
    <w:rsid w:val="00FE518B"/>
    <w:rsid w:val="00FE55F7"/>
    <w:rsid w:val="00FE56DE"/>
    <w:rsid w:val="00FE5770"/>
    <w:rsid w:val="00FE5BA5"/>
    <w:rsid w:val="00FE5C60"/>
    <w:rsid w:val="00FE5E83"/>
    <w:rsid w:val="00FE64F8"/>
    <w:rsid w:val="00FE6566"/>
    <w:rsid w:val="00FE669E"/>
    <w:rsid w:val="00FE699F"/>
    <w:rsid w:val="00FE69B9"/>
    <w:rsid w:val="00FE6DFE"/>
    <w:rsid w:val="00FE71D5"/>
    <w:rsid w:val="00FE7247"/>
    <w:rsid w:val="00FE736A"/>
    <w:rsid w:val="00FE7446"/>
    <w:rsid w:val="00FE7B08"/>
    <w:rsid w:val="00FE7E05"/>
    <w:rsid w:val="00FE7E4E"/>
    <w:rsid w:val="00FE7FAF"/>
    <w:rsid w:val="00FF0058"/>
    <w:rsid w:val="00FF01D7"/>
    <w:rsid w:val="00FF02CF"/>
    <w:rsid w:val="00FF0402"/>
    <w:rsid w:val="00FF0406"/>
    <w:rsid w:val="00FF050E"/>
    <w:rsid w:val="00FF072F"/>
    <w:rsid w:val="00FF0841"/>
    <w:rsid w:val="00FF09C7"/>
    <w:rsid w:val="00FF0A81"/>
    <w:rsid w:val="00FF0DA3"/>
    <w:rsid w:val="00FF0DF0"/>
    <w:rsid w:val="00FF0E21"/>
    <w:rsid w:val="00FF1027"/>
    <w:rsid w:val="00FF1589"/>
    <w:rsid w:val="00FF15AE"/>
    <w:rsid w:val="00FF15B5"/>
    <w:rsid w:val="00FF1A4E"/>
    <w:rsid w:val="00FF1CBE"/>
    <w:rsid w:val="00FF1D48"/>
    <w:rsid w:val="00FF1D6A"/>
    <w:rsid w:val="00FF1D9E"/>
    <w:rsid w:val="00FF1F04"/>
    <w:rsid w:val="00FF1F43"/>
    <w:rsid w:val="00FF1FBE"/>
    <w:rsid w:val="00FF20D7"/>
    <w:rsid w:val="00FF246E"/>
    <w:rsid w:val="00FF2A65"/>
    <w:rsid w:val="00FF2B14"/>
    <w:rsid w:val="00FF2D85"/>
    <w:rsid w:val="00FF3499"/>
    <w:rsid w:val="00FF35B8"/>
    <w:rsid w:val="00FF3733"/>
    <w:rsid w:val="00FF3ED1"/>
    <w:rsid w:val="00FF3FF2"/>
    <w:rsid w:val="00FF41E9"/>
    <w:rsid w:val="00FF4613"/>
    <w:rsid w:val="00FF477B"/>
    <w:rsid w:val="00FF47B8"/>
    <w:rsid w:val="00FF489E"/>
    <w:rsid w:val="00FF48E9"/>
    <w:rsid w:val="00FF4CA5"/>
    <w:rsid w:val="00FF52BE"/>
    <w:rsid w:val="00FF534A"/>
    <w:rsid w:val="00FF5373"/>
    <w:rsid w:val="00FF55B1"/>
    <w:rsid w:val="00FF5937"/>
    <w:rsid w:val="00FF6658"/>
    <w:rsid w:val="00FF6768"/>
    <w:rsid w:val="00FF7165"/>
    <w:rsid w:val="00FF72DB"/>
    <w:rsid w:val="00FF7424"/>
    <w:rsid w:val="00FF7707"/>
    <w:rsid w:val="00FF7B22"/>
    <w:rsid w:val="00FF7F6A"/>
    <w:rsid w:val="02AC3CB1"/>
    <w:rsid w:val="02CF3FCF"/>
    <w:rsid w:val="02D996DF"/>
    <w:rsid w:val="0387EF7D"/>
    <w:rsid w:val="03AE5EC8"/>
    <w:rsid w:val="0481DE35"/>
    <w:rsid w:val="064BD21D"/>
    <w:rsid w:val="0679C1E2"/>
    <w:rsid w:val="067FEF2B"/>
    <w:rsid w:val="06D9DEC4"/>
    <w:rsid w:val="0747F48A"/>
    <w:rsid w:val="07A5E085"/>
    <w:rsid w:val="07E5AF1E"/>
    <w:rsid w:val="0802296E"/>
    <w:rsid w:val="085BA001"/>
    <w:rsid w:val="090B0FB8"/>
    <w:rsid w:val="09B8C5CE"/>
    <w:rsid w:val="09D601C5"/>
    <w:rsid w:val="0A8B4DC2"/>
    <w:rsid w:val="0ABB79E3"/>
    <w:rsid w:val="0B9BA385"/>
    <w:rsid w:val="0CA3AE72"/>
    <w:rsid w:val="0D45DD8E"/>
    <w:rsid w:val="0E0974A9"/>
    <w:rsid w:val="102B8833"/>
    <w:rsid w:val="10A1E31E"/>
    <w:rsid w:val="10B37336"/>
    <w:rsid w:val="10B4A711"/>
    <w:rsid w:val="10E0324A"/>
    <w:rsid w:val="10EA7EA8"/>
    <w:rsid w:val="113DFF1D"/>
    <w:rsid w:val="114C00FC"/>
    <w:rsid w:val="1265D4CD"/>
    <w:rsid w:val="129093EC"/>
    <w:rsid w:val="1361AFC2"/>
    <w:rsid w:val="13A29C0F"/>
    <w:rsid w:val="13D7BA42"/>
    <w:rsid w:val="1537E385"/>
    <w:rsid w:val="15852687"/>
    <w:rsid w:val="16EB135B"/>
    <w:rsid w:val="171FCA0A"/>
    <w:rsid w:val="173E4866"/>
    <w:rsid w:val="17FB6432"/>
    <w:rsid w:val="189F5B9A"/>
    <w:rsid w:val="18E1B356"/>
    <w:rsid w:val="19E59813"/>
    <w:rsid w:val="1A10DA79"/>
    <w:rsid w:val="1ABD04D2"/>
    <w:rsid w:val="1AEF4BAA"/>
    <w:rsid w:val="1B65C165"/>
    <w:rsid w:val="1B8C7D3B"/>
    <w:rsid w:val="1BEF17F5"/>
    <w:rsid w:val="1D1CB1E9"/>
    <w:rsid w:val="1DBDA258"/>
    <w:rsid w:val="1F8A105C"/>
    <w:rsid w:val="1FBD4965"/>
    <w:rsid w:val="2073733E"/>
    <w:rsid w:val="20779625"/>
    <w:rsid w:val="20F5160E"/>
    <w:rsid w:val="20FC3C9F"/>
    <w:rsid w:val="22558833"/>
    <w:rsid w:val="23B22024"/>
    <w:rsid w:val="23F82E0C"/>
    <w:rsid w:val="2413C6D7"/>
    <w:rsid w:val="2419CF73"/>
    <w:rsid w:val="24F3C059"/>
    <w:rsid w:val="24F50054"/>
    <w:rsid w:val="25B4D0A3"/>
    <w:rsid w:val="26AE7A62"/>
    <w:rsid w:val="26D8DFD4"/>
    <w:rsid w:val="27734A22"/>
    <w:rsid w:val="27A6626F"/>
    <w:rsid w:val="2A6DE07B"/>
    <w:rsid w:val="2AD9F22F"/>
    <w:rsid w:val="2CFC9453"/>
    <w:rsid w:val="2E49AE78"/>
    <w:rsid w:val="2E850CBD"/>
    <w:rsid w:val="2F635335"/>
    <w:rsid w:val="302D3F8B"/>
    <w:rsid w:val="30816402"/>
    <w:rsid w:val="30D5697B"/>
    <w:rsid w:val="30F04951"/>
    <w:rsid w:val="314085DC"/>
    <w:rsid w:val="31BA9522"/>
    <w:rsid w:val="31D928C3"/>
    <w:rsid w:val="31DB6C2C"/>
    <w:rsid w:val="31E52AD8"/>
    <w:rsid w:val="31EB12E5"/>
    <w:rsid w:val="32082CDF"/>
    <w:rsid w:val="3335BBD1"/>
    <w:rsid w:val="3495AE98"/>
    <w:rsid w:val="349670E4"/>
    <w:rsid w:val="35C2E160"/>
    <w:rsid w:val="364F8374"/>
    <w:rsid w:val="3925D9A1"/>
    <w:rsid w:val="39E64E03"/>
    <w:rsid w:val="3A6FA961"/>
    <w:rsid w:val="3ACE268B"/>
    <w:rsid w:val="3B673E8D"/>
    <w:rsid w:val="3C26E5D0"/>
    <w:rsid w:val="3C3BDA60"/>
    <w:rsid w:val="3CA60B79"/>
    <w:rsid w:val="3CE73168"/>
    <w:rsid w:val="3E84CA4B"/>
    <w:rsid w:val="3EAFAA10"/>
    <w:rsid w:val="3EEEC718"/>
    <w:rsid w:val="3FA412AD"/>
    <w:rsid w:val="404FFD1D"/>
    <w:rsid w:val="430B1675"/>
    <w:rsid w:val="450D7191"/>
    <w:rsid w:val="456E2746"/>
    <w:rsid w:val="45DED44B"/>
    <w:rsid w:val="460D8C84"/>
    <w:rsid w:val="46707397"/>
    <w:rsid w:val="46F25864"/>
    <w:rsid w:val="477855AB"/>
    <w:rsid w:val="47DBC5F4"/>
    <w:rsid w:val="48163224"/>
    <w:rsid w:val="4837B63E"/>
    <w:rsid w:val="4855DDEC"/>
    <w:rsid w:val="4917E216"/>
    <w:rsid w:val="49288AA4"/>
    <w:rsid w:val="495B6912"/>
    <w:rsid w:val="4965FBDD"/>
    <w:rsid w:val="49BC46E6"/>
    <w:rsid w:val="4A48E502"/>
    <w:rsid w:val="4A4D5E79"/>
    <w:rsid w:val="4AA1ED61"/>
    <w:rsid w:val="4DABAC40"/>
    <w:rsid w:val="4DB3DF04"/>
    <w:rsid w:val="4DDECC52"/>
    <w:rsid w:val="4E347E83"/>
    <w:rsid w:val="4E940D90"/>
    <w:rsid w:val="4F396903"/>
    <w:rsid w:val="4F578175"/>
    <w:rsid w:val="4FA0265A"/>
    <w:rsid w:val="500C9B8F"/>
    <w:rsid w:val="50274945"/>
    <w:rsid w:val="50B92C29"/>
    <w:rsid w:val="50BDB35E"/>
    <w:rsid w:val="512A003F"/>
    <w:rsid w:val="5191FBD9"/>
    <w:rsid w:val="5280316E"/>
    <w:rsid w:val="52BA9407"/>
    <w:rsid w:val="53A7A6C3"/>
    <w:rsid w:val="547567E3"/>
    <w:rsid w:val="5710622E"/>
    <w:rsid w:val="590B4D12"/>
    <w:rsid w:val="59F70394"/>
    <w:rsid w:val="5B498770"/>
    <w:rsid w:val="5B5760B0"/>
    <w:rsid w:val="5B788B4C"/>
    <w:rsid w:val="5B882584"/>
    <w:rsid w:val="5CA01DAC"/>
    <w:rsid w:val="5CA3A712"/>
    <w:rsid w:val="5CC63FE9"/>
    <w:rsid w:val="5D3C852E"/>
    <w:rsid w:val="5E03A214"/>
    <w:rsid w:val="5E3D1EC6"/>
    <w:rsid w:val="5E7DCA83"/>
    <w:rsid w:val="620B18AE"/>
    <w:rsid w:val="62313CC7"/>
    <w:rsid w:val="63365415"/>
    <w:rsid w:val="63EDF4DD"/>
    <w:rsid w:val="63F84288"/>
    <w:rsid w:val="640EB0FA"/>
    <w:rsid w:val="644872B5"/>
    <w:rsid w:val="6612A921"/>
    <w:rsid w:val="6667EA3D"/>
    <w:rsid w:val="66AFCFA2"/>
    <w:rsid w:val="66C94FB6"/>
    <w:rsid w:val="6789AA63"/>
    <w:rsid w:val="69853CBE"/>
    <w:rsid w:val="69C1C064"/>
    <w:rsid w:val="69C60032"/>
    <w:rsid w:val="69C833AA"/>
    <w:rsid w:val="6A411F4A"/>
    <w:rsid w:val="6AC19532"/>
    <w:rsid w:val="6AFEEC5F"/>
    <w:rsid w:val="6B0B9972"/>
    <w:rsid w:val="6B6B7F21"/>
    <w:rsid w:val="6C3E3DE5"/>
    <w:rsid w:val="6C6AED1F"/>
    <w:rsid w:val="6CBAEC10"/>
    <w:rsid w:val="6CF19BC8"/>
    <w:rsid w:val="6D2817C8"/>
    <w:rsid w:val="6D6E5A17"/>
    <w:rsid w:val="6D757224"/>
    <w:rsid w:val="6EC02F61"/>
    <w:rsid w:val="6F1A2C09"/>
    <w:rsid w:val="6F2D68F4"/>
    <w:rsid w:val="704F1973"/>
    <w:rsid w:val="709E1000"/>
    <w:rsid w:val="711FA24F"/>
    <w:rsid w:val="736AEB02"/>
    <w:rsid w:val="73B22ADA"/>
    <w:rsid w:val="73CE1642"/>
    <w:rsid w:val="7445A6C6"/>
    <w:rsid w:val="7463705B"/>
    <w:rsid w:val="74AA12B2"/>
    <w:rsid w:val="7595A95E"/>
    <w:rsid w:val="75D948AC"/>
    <w:rsid w:val="78394C23"/>
    <w:rsid w:val="784F08DD"/>
    <w:rsid w:val="78CDD94E"/>
    <w:rsid w:val="7AFDE937"/>
    <w:rsid w:val="7AFE8734"/>
    <w:rsid w:val="7BC14F35"/>
    <w:rsid w:val="7CDD5A37"/>
    <w:rsid w:val="7ED3C147"/>
    <w:rsid w:val="7EF3624C"/>
    <w:rsid w:val="7F34C85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40C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64DD"/>
    <w:pPr>
      <w:tabs>
        <w:tab w:val="left" w:pos="567"/>
      </w:tabs>
      <w:spacing w:before="120" w:after="0" w:line="254" w:lineRule="auto"/>
    </w:pPr>
    <w:rPr>
      <w:rFonts w:ascii="Open Sans Light" w:hAnsi="Open Sans Light"/>
      <w:sz w:val="20"/>
    </w:rPr>
  </w:style>
  <w:style w:type="paragraph" w:styleId="Heading1">
    <w:name w:val="heading 1"/>
    <w:basedOn w:val="Normal"/>
    <w:next w:val="Normal"/>
    <w:link w:val="Heading1Char"/>
    <w:uiPriority w:val="9"/>
    <w:qFormat/>
    <w:rsid w:val="002B274C"/>
    <w:pPr>
      <w:tabs>
        <w:tab w:val="clear" w:pos="567"/>
      </w:tabs>
      <w:spacing w:before="360" w:after="200" w:line="276" w:lineRule="auto"/>
      <w:outlineLvl w:val="0"/>
    </w:pPr>
    <w:rPr>
      <w:rFonts w:ascii="Work Sans" w:eastAsia="Times New Roman" w:hAnsi="Work Sans" w:cs="Open Sans"/>
      <w:b/>
      <w:bCs/>
      <w:color w:val="006991"/>
      <w:sz w:val="40"/>
      <w:szCs w:val="40"/>
    </w:rPr>
  </w:style>
  <w:style w:type="paragraph" w:styleId="Heading2">
    <w:name w:val="heading 2"/>
    <w:aliases w:val="CGC 2025 Heading 2"/>
    <w:basedOn w:val="Normal"/>
    <w:next w:val="Heading3"/>
    <w:link w:val="Heading2Char"/>
    <w:uiPriority w:val="9"/>
    <w:qFormat/>
    <w:rsid w:val="007C4D64"/>
    <w:pPr>
      <w:tabs>
        <w:tab w:val="clear" w:pos="567"/>
      </w:tabs>
      <w:spacing w:before="360" w:after="200" w:line="276" w:lineRule="auto"/>
      <w:outlineLvl w:val="1"/>
    </w:pPr>
    <w:rPr>
      <w:rFonts w:ascii="Work Sans" w:eastAsia="Times New Roman" w:hAnsi="Work Sans" w:cs="Open Sans"/>
      <w:b/>
      <w:bCs/>
      <w:color w:val="006991"/>
      <w:sz w:val="36"/>
      <w:szCs w:val="36"/>
    </w:rPr>
  </w:style>
  <w:style w:type="paragraph" w:styleId="Heading3">
    <w:name w:val="heading 3"/>
    <w:aliases w:val="CGC 2025 Heading 3"/>
    <w:basedOn w:val="Normal"/>
    <w:next w:val="Heading4"/>
    <w:link w:val="Heading3Char"/>
    <w:uiPriority w:val="9"/>
    <w:qFormat/>
    <w:rsid w:val="009A2C92"/>
    <w:pPr>
      <w:tabs>
        <w:tab w:val="clear" w:pos="567"/>
      </w:tabs>
      <w:spacing w:before="240" w:after="200" w:line="276" w:lineRule="auto"/>
      <w:outlineLvl w:val="2"/>
    </w:pPr>
    <w:rPr>
      <w:rFonts w:ascii="Work Sans" w:eastAsia="Times New Roman" w:hAnsi="Work Sans" w:cs="Open Sans"/>
      <w:b/>
      <w:bCs/>
      <w:color w:val="006991"/>
      <w:sz w:val="28"/>
      <w:szCs w:val="28"/>
    </w:rPr>
  </w:style>
  <w:style w:type="paragraph" w:styleId="Heading4">
    <w:name w:val="heading 4"/>
    <w:aliases w:val="CGC 2025 Heading 4"/>
    <w:basedOn w:val="Normal"/>
    <w:next w:val="Heading5"/>
    <w:link w:val="Heading4Char"/>
    <w:uiPriority w:val="9"/>
    <w:qFormat/>
    <w:rsid w:val="00BD6EEE"/>
    <w:pPr>
      <w:keepNext/>
      <w:widowControl w:val="0"/>
      <w:spacing w:before="240" w:line="240" w:lineRule="auto"/>
      <w:outlineLvl w:val="3"/>
    </w:pPr>
    <w:rPr>
      <w:rFonts w:ascii="Work Sans" w:eastAsiaTheme="majorEastAsia" w:hAnsi="Work Sans" w:cstheme="majorBidi"/>
      <w:b/>
      <w:bCs/>
      <w:iCs/>
      <w:color w:val="006991"/>
      <w:sz w:val="24"/>
    </w:rPr>
  </w:style>
  <w:style w:type="paragraph" w:styleId="Heading5">
    <w:name w:val="heading 5"/>
    <w:aliases w:val="CGC 2025 Heading 5"/>
    <w:basedOn w:val="Normal"/>
    <w:next w:val="Heading6"/>
    <w:link w:val="Heading5Char"/>
    <w:uiPriority w:val="9"/>
    <w:qFormat/>
    <w:rsid w:val="00BD13E7"/>
    <w:pPr>
      <w:keepNext/>
      <w:tabs>
        <w:tab w:val="clear" w:pos="567"/>
      </w:tabs>
      <w:outlineLvl w:val="4"/>
    </w:pPr>
    <w:rPr>
      <w:rFonts w:ascii="Montserrat Semi Bold" w:eastAsiaTheme="majorEastAsia" w:hAnsi="Montserrat Semi Bold" w:cstheme="majorBidi"/>
      <w:color w:val="636466"/>
    </w:rPr>
  </w:style>
  <w:style w:type="paragraph" w:styleId="Heading6">
    <w:name w:val="heading 6"/>
    <w:basedOn w:val="Normal"/>
    <w:next w:val="Normal"/>
    <w:link w:val="Heading6Char"/>
    <w:uiPriority w:val="9"/>
    <w:qFormat/>
    <w:rsid w:val="00782EC4"/>
    <w:pPr>
      <w:keepNext/>
      <w:keepLines/>
      <w:outlineLvl w:val="5"/>
    </w:pPr>
    <w:rPr>
      <w:rFonts w:ascii="Montserrat Semi Bold" w:eastAsiaTheme="majorEastAsia" w:hAnsi="Montserrat Semi Bold" w:cstheme="majorBidi"/>
      <w:i/>
      <w:iCs/>
      <w:color w:val="636466"/>
    </w:rPr>
  </w:style>
  <w:style w:type="paragraph" w:styleId="Heading7">
    <w:name w:val="heading 7"/>
    <w:basedOn w:val="Normal"/>
    <w:next w:val="Normal"/>
    <w:link w:val="Heading7Char"/>
    <w:uiPriority w:val="9"/>
    <w:semiHidden/>
    <w:rsid w:val="0062266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Do not use),(Sub-section Nos)"/>
    <w:basedOn w:val="Normal"/>
    <w:next w:val="Normal"/>
    <w:semiHidden/>
    <w:rsid w:val="00765BA8"/>
    <w:pPr>
      <w:numPr>
        <w:ilvl w:val="7"/>
        <w:numId w:val="1"/>
      </w:numPr>
      <w:spacing w:before="240" w:after="60"/>
      <w:outlineLvl w:val="7"/>
    </w:pPr>
    <w:rPr>
      <w:rFonts w:ascii="Arial" w:hAnsi="Arial"/>
      <w:i/>
      <w:szCs w:val="20"/>
    </w:rPr>
  </w:style>
  <w:style w:type="paragraph" w:styleId="Heading9">
    <w:name w:val="heading 9"/>
    <w:aliases w:val="Heading 9 (Do not use),(Subsubsection Nos)"/>
    <w:basedOn w:val="Normal"/>
    <w:next w:val="Normal"/>
    <w:semiHidden/>
    <w:rsid w:val="00765BA8"/>
    <w:pPr>
      <w:numPr>
        <w:ilvl w:val="8"/>
        <w:numId w:val="1"/>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GCTableheader">
    <w:name w:val="CGC Table header"/>
    <w:basedOn w:val="Normal"/>
    <w:next w:val="Normal"/>
    <w:rsid w:val="00F74B4B"/>
    <w:pPr>
      <w:tabs>
        <w:tab w:val="left" w:pos="680"/>
      </w:tabs>
      <w:spacing w:before="0" w:line="240" w:lineRule="auto"/>
      <w:jc w:val="right"/>
    </w:pPr>
    <w:rPr>
      <w:rFonts w:ascii="Open Sans" w:hAnsi="Open Sans"/>
      <w:b/>
      <w:color w:val="FFFFFF" w:themeColor="background1"/>
      <w:sz w:val="16"/>
      <w:lang w:val="en-US"/>
    </w:rPr>
  </w:style>
  <w:style w:type="paragraph" w:styleId="Caption">
    <w:name w:val="caption"/>
    <w:basedOn w:val="Normal"/>
    <w:next w:val="Normal"/>
    <w:link w:val="CaptionChar"/>
    <w:uiPriority w:val="35"/>
    <w:qFormat/>
    <w:rsid w:val="00485F13"/>
    <w:pPr>
      <w:keepNext/>
      <w:keepLines/>
      <w:tabs>
        <w:tab w:val="clear" w:pos="567"/>
        <w:tab w:val="left" w:pos="1134"/>
        <w:tab w:val="left" w:pos="1418"/>
      </w:tabs>
      <w:spacing w:before="240" w:after="120" w:line="240" w:lineRule="auto"/>
      <w:ind w:left="1134" w:hanging="1134"/>
    </w:pPr>
    <w:rPr>
      <w:rFonts w:ascii="Montserrat Ultra Light" w:hAnsi="Montserrat Ultra Light"/>
      <w:b/>
      <w:bCs/>
      <w:szCs w:val="20"/>
    </w:rPr>
  </w:style>
  <w:style w:type="paragraph" w:customStyle="1" w:styleId="CGCSubbulletlist">
    <w:name w:val="CGC Sub bullet list"/>
    <w:aliases w:val="CGC List 2"/>
    <w:basedOn w:val="Normal"/>
    <w:rsid w:val="00C21EF9"/>
    <w:pPr>
      <w:numPr>
        <w:numId w:val="2"/>
      </w:numPr>
      <w:tabs>
        <w:tab w:val="clear" w:pos="567"/>
        <w:tab w:val="clear" w:pos="927"/>
        <w:tab w:val="left" w:pos="1701"/>
      </w:tabs>
      <w:spacing w:line="300" w:lineRule="atLeast"/>
      <w:ind w:left="1701" w:hanging="567"/>
    </w:pPr>
    <w:rPr>
      <w:szCs w:val="20"/>
    </w:rPr>
  </w:style>
  <w:style w:type="paragraph" w:customStyle="1" w:styleId="CGCTableFootnote">
    <w:name w:val="CGC Table Footnote"/>
    <w:basedOn w:val="Normal"/>
    <w:next w:val="NoSpacing"/>
    <w:rsid w:val="00641D96"/>
    <w:pPr>
      <w:tabs>
        <w:tab w:val="clear" w:pos="567"/>
        <w:tab w:val="left" w:pos="851"/>
      </w:tabs>
      <w:spacing w:before="0" w:line="240" w:lineRule="auto"/>
      <w:ind w:left="851" w:hanging="851"/>
    </w:pPr>
    <w:rPr>
      <w:szCs w:val="24"/>
    </w:rPr>
  </w:style>
  <w:style w:type="paragraph" w:customStyle="1" w:styleId="CGCTableHeading">
    <w:name w:val="CGC Table Heading"/>
    <w:basedOn w:val="Normal"/>
    <w:next w:val="Normal"/>
    <w:link w:val="CGCTableHeadingChar"/>
    <w:rsid w:val="00FE5C60"/>
    <w:pPr>
      <w:keepNext/>
      <w:keepLines/>
      <w:tabs>
        <w:tab w:val="clear" w:pos="567"/>
        <w:tab w:val="left" w:pos="1134"/>
        <w:tab w:val="left" w:pos="1420"/>
      </w:tabs>
      <w:spacing w:before="240" w:after="120" w:line="240" w:lineRule="auto"/>
    </w:pPr>
    <w:rPr>
      <w:rFonts w:ascii="Montserrat Ultra Light" w:hAnsi="Montserrat Ultra Light"/>
      <w:b/>
      <w:szCs w:val="20"/>
    </w:rPr>
  </w:style>
  <w:style w:type="paragraph" w:styleId="DocumentMap">
    <w:name w:val="Document Map"/>
    <w:basedOn w:val="Normal"/>
    <w:rsid w:val="00765BA8"/>
    <w:pPr>
      <w:shd w:val="clear" w:color="auto" w:fill="000080"/>
    </w:pPr>
    <w:rPr>
      <w:rFonts w:ascii="Tahoma" w:hAnsi="Tahoma" w:cs="Tahoma"/>
      <w:szCs w:val="20"/>
    </w:rPr>
  </w:style>
  <w:style w:type="paragraph" w:styleId="Footer">
    <w:name w:val="footer"/>
    <w:basedOn w:val="Normal"/>
    <w:link w:val="FooterChar"/>
    <w:uiPriority w:val="99"/>
    <w:unhideWhenUsed/>
    <w:rsid w:val="007A1785"/>
    <w:pPr>
      <w:tabs>
        <w:tab w:val="clear" w:pos="567"/>
        <w:tab w:val="center" w:pos="4513"/>
        <w:tab w:val="right" w:pos="9026"/>
      </w:tabs>
      <w:spacing w:before="0" w:line="240" w:lineRule="auto"/>
      <w:ind w:left="-284" w:right="-284"/>
      <w:jc w:val="right"/>
    </w:pPr>
    <w:rPr>
      <w:rFonts w:ascii="Montserrat Ultra Light" w:hAnsi="Montserrat Ultra Light"/>
      <w:b/>
      <w:color w:val="004563"/>
    </w:rPr>
  </w:style>
  <w:style w:type="character" w:styleId="FootnoteReference">
    <w:name w:val="footnote reference"/>
    <w:qFormat/>
    <w:rsid w:val="0026115B"/>
    <w:rPr>
      <w:rFonts w:ascii="Work Sans" w:hAnsi="Work Sans"/>
      <w:sz w:val="20"/>
      <w:szCs w:val="20"/>
      <w:vertAlign w:val="superscript"/>
    </w:rPr>
  </w:style>
  <w:style w:type="paragraph" w:styleId="FootnoteText">
    <w:name w:val="footnote text"/>
    <w:basedOn w:val="Normal"/>
    <w:link w:val="FootnoteTextChar"/>
    <w:autoRedefine/>
    <w:uiPriority w:val="99"/>
    <w:qFormat/>
    <w:rsid w:val="009B2020"/>
    <w:pPr>
      <w:spacing w:before="40" w:line="240" w:lineRule="auto"/>
      <w:ind w:left="142" w:hanging="142"/>
    </w:pPr>
    <w:rPr>
      <w:rFonts w:ascii="Work Sans" w:hAnsi="Work Sans"/>
      <w:sz w:val="14"/>
      <w:szCs w:val="16"/>
    </w:rPr>
  </w:style>
  <w:style w:type="paragraph" w:styleId="Header">
    <w:name w:val="header"/>
    <w:basedOn w:val="Footer"/>
    <w:link w:val="HeaderChar"/>
    <w:uiPriority w:val="99"/>
    <w:unhideWhenUsed/>
    <w:rsid w:val="007A1785"/>
  </w:style>
  <w:style w:type="character" w:styleId="Hyperlink">
    <w:name w:val="Hyperlink"/>
    <w:basedOn w:val="DefaultParagraphFont"/>
    <w:uiPriority w:val="99"/>
    <w:unhideWhenUsed/>
    <w:qFormat/>
    <w:rsid w:val="00782EC4"/>
    <w:rPr>
      <w:color w:val="006991"/>
      <w:u w:val="single"/>
    </w:rPr>
  </w:style>
  <w:style w:type="character" w:styleId="PageNumber">
    <w:name w:val="page number"/>
    <w:basedOn w:val="DefaultParagraphFont"/>
    <w:rsid w:val="00765BA8"/>
  </w:style>
  <w:style w:type="paragraph" w:customStyle="1" w:styleId="Single">
    <w:name w:val="Single"/>
    <w:basedOn w:val="Normal"/>
    <w:next w:val="Normal"/>
    <w:rsid w:val="00765BA8"/>
    <w:pPr>
      <w:spacing w:line="240" w:lineRule="auto"/>
    </w:pPr>
  </w:style>
  <w:style w:type="table" w:styleId="TableGrid">
    <w:name w:val="Table Grid"/>
    <w:basedOn w:val="TableNormal"/>
    <w:uiPriority w:val="39"/>
    <w:rsid w:val="00622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485F13"/>
    <w:pPr>
      <w:tabs>
        <w:tab w:val="clear" w:pos="567"/>
        <w:tab w:val="right" w:pos="8942"/>
      </w:tabs>
      <w:spacing w:before="200"/>
      <w:ind w:left="113"/>
    </w:pPr>
    <w:rPr>
      <w:rFonts w:ascii="Open Sans" w:hAnsi="Open Sans"/>
      <w:b/>
      <w:bCs/>
      <w:color w:val="636466"/>
      <w:szCs w:val="20"/>
    </w:rPr>
  </w:style>
  <w:style w:type="paragraph" w:styleId="TOC2">
    <w:name w:val="toc 2"/>
    <w:basedOn w:val="TOC1"/>
    <w:next w:val="Normal"/>
    <w:uiPriority w:val="39"/>
    <w:rsid w:val="00EB6889"/>
    <w:pPr>
      <w:spacing w:before="120"/>
    </w:pPr>
    <w:rPr>
      <w:rFonts w:ascii="Work Sans" w:hAnsi="Work Sans"/>
      <w:b w:val="0"/>
    </w:rPr>
  </w:style>
  <w:style w:type="paragraph" w:styleId="TOC3">
    <w:name w:val="toc 3"/>
    <w:basedOn w:val="TOC2"/>
    <w:next w:val="Normal"/>
    <w:uiPriority w:val="39"/>
    <w:rsid w:val="00485F13"/>
    <w:pPr>
      <w:ind w:left="397"/>
    </w:pPr>
    <w:rPr>
      <w:rFonts w:ascii="Open Sans Light" w:hAnsi="Open Sans Light"/>
      <w:iCs/>
    </w:rPr>
  </w:style>
  <w:style w:type="paragraph" w:styleId="TOC4">
    <w:name w:val="toc 4"/>
    <w:basedOn w:val="TOC3"/>
    <w:next w:val="Normal"/>
    <w:uiPriority w:val="39"/>
    <w:rsid w:val="00FE5C60"/>
    <w:pPr>
      <w:ind w:left="680"/>
    </w:pPr>
    <w:rPr>
      <w:i/>
    </w:rPr>
  </w:style>
  <w:style w:type="paragraph" w:styleId="TOC5">
    <w:name w:val="toc 5"/>
    <w:basedOn w:val="TOC3"/>
    <w:next w:val="Normal"/>
    <w:uiPriority w:val="39"/>
    <w:rsid w:val="007A1785"/>
    <w:pPr>
      <w:spacing w:before="0"/>
      <w:ind w:left="964"/>
    </w:pPr>
    <w:rPr>
      <w:szCs w:val="18"/>
    </w:rPr>
  </w:style>
  <w:style w:type="paragraph" w:styleId="TOC6">
    <w:name w:val="toc 6"/>
    <w:basedOn w:val="TOC5"/>
    <w:next w:val="Normal"/>
    <w:uiPriority w:val="39"/>
    <w:rsid w:val="007A1785"/>
    <w:rPr>
      <w:i/>
    </w:rPr>
  </w:style>
  <w:style w:type="paragraph" w:styleId="TOC7">
    <w:name w:val="toc 7"/>
    <w:basedOn w:val="Normal"/>
    <w:next w:val="Normal"/>
    <w:rsid w:val="00765BA8"/>
    <w:pPr>
      <w:tabs>
        <w:tab w:val="clear" w:pos="567"/>
      </w:tabs>
      <w:ind w:left="1320"/>
    </w:pPr>
    <w:rPr>
      <w:sz w:val="18"/>
      <w:szCs w:val="18"/>
    </w:rPr>
  </w:style>
  <w:style w:type="paragraph" w:styleId="TOC8">
    <w:name w:val="toc 8"/>
    <w:basedOn w:val="Normal"/>
    <w:next w:val="Normal"/>
    <w:rsid w:val="00765BA8"/>
    <w:pPr>
      <w:tabs>
        <w:tab w:val="clear" w:pos="567"/>
      </w:tabs>
      <w:ind w:left="1540"/>
    </w:pPr>
    <w:rPr>
      <w:sz w:val="18"/>
      <w:szCs w:val="18"/>
    </w:rPr>
  </w:style>
  <w:style w:type="paragraph" w:styleId="TOC9">
    <w:name w:val="toc 9"/>
    <w:basedOn w:val="Normal"/>
    <w:next w:val="Normal"/>
    <w:rsid w:val="00765BA8"/>
    <w:pPr>
      <w:tabs>
        <w:tab w:val="clear" w:pos="567"/>
      </w:tabs>
      <w:ind w:left="1760"/>
    </w:pPr>
    <w:rPr>
      <w:sz w:val="18"/>
      <w:szCs w:val="18"/>
    </w:rPr>
  </w:style>
  <w:style w:type="character" w:customStyle="1" w:styleId="Heading1Char">
    <w:name w:val="Heading 1 Char"/>
    <w:basedOn w:val="DefaultParagraphFont"/>
    <w:link w:val="Heading1"/>
    <w:uiPriority w:val="9"/>
    <w:rsid w:val="002B274C"/>
    <w:rPr>
      <w:rFonts w:ascii="Work Sans" w:eastAsia="Times New Roman" w:hAnsi="Work Sans" w:cs="Open Sans"/>
      <w:b/>
      <w:bCs/>
      <w:color w:val="006991"/>
      <w:sz w:val="40"/>
      <w:szCs w:val="40"/>
    </w:rPr>
  </w:style>
  <w:style w:type="character" w:customStyle="1" w:styleId="Heading2Char">
    <w:name w:val="Heading 2 Char"/>
    <w:aliases w:val="CGC 2025 Heading 2 Char"/>
    <w:basedOn w:val="DefaultParagraphFont"/>
    <w:link w:val="Heading2"/>
    <w:uiPriority w:val="9"/>
    <w:rsid w:val="007C4D64"/>
    <w:rPr>
      <w:rFonts w:ascii="Work Sans" w:eastAsia="Times New Roman" w:hAnsi="Work Sans" w:cs="Open Sans"/>
      <w:b/>
      <w:bCs/>
      <w:color w:val="006991"/>
      <w:sz w:val="36"/>
      <w:szCs w:val="36"/>
    </w:rPr>
  </w:style>
  <w:style w:type="character" w:customStyle="1" w:styleId="Heading3Char">
    <w:name w:val="Heading 3 Char"/>
    <w:aliases w:val="CGC 2025 Heading 3 Char"/>
    <w:basedOn w:val="DefaultParagraphFont"/>
    <w:link w:val="Heading3"/>
    <w:uiPriority w:val="9"/>
    <w:rsid w:val="009A2C92"/>
    <w:rPr>
      <w:rFonts w:ascii="Work Sans" w:eastAsia="Times New Roman" w:hAnsi="Work Sans" w:cs="Open Sans"/>
      <w:b/>
      <w:bCs/>
      <w:color w:val="006991"/>
      <w:sz w:val="28"/>
      <w:szCs w:val="28"/>
    </w:rPr>
  </w:style>
  <w:style w:type="character" w:customStyle="1" w:styleId="Heading4Char">
    <w:name w:val="Heading 4 Char"/>
    <w:aliases w:val="CGC 2025 Heading 4 Char"/>
    <w:basedOn w:val="DefaultParagraphFont"/>
    <w:link w:val="Heading4"/>
    <w:uiPriority w:val="9"/>
    <w:rsid w:val="00BD6EEE"/>
    <w:rPr>
      <w:rFonts w:ascii="Work Sans" w:eastAsiaTheme="majorEastAsia" w:hAnsi="Work Sans" w:cstheme="majorBidi"/>
      <w:b/>
      <w:bCs/>
      <w:iCs/>
      <w:color w:val="006991"/>
      <w:sz w:val="24"/>
    </w:rPr>
  </w:style>
  <w:style w:type="character" w:customStyle="1" w:styleId="Heading5Char">
    <w:name w:val="Heading 5 Char"/>
    <w:aliases w:val="CGC 2025 Heading 5 Char"/>
    <w:basedOn w:val="DefaultParagraphFont"/>
    <w:link w:val="Heading5"/>
    <w:uiPriority w:val="9"/>
    <w:rsid w:val="00BD13E7"/>
    <w:rPr>
      <w:rFonts w:ascii="Montserrat Semi Bold" w:eastAsiaTheme="majorEastAsia" w:hAnsi="Montserrat Semi Bold" w:cstheme="majorBidi"/>
      <w:color w:val="636466"/>
      <w:sz w:val="20"/>
    </w:rPr>
  </w:style>
  <w:style w:type="paragraph" w:styleId="NoSpacing">
    <w:name w:val="No Spacing"/>
    <w:link w:val="NoSpacingChar"/>
    <w:uiPriority w:val="1"/>
    <w:qFormat/>
    <w:rsid w:val="00782EC4"/>
    <w:pPr>
      <w:tabs>
        <w:tab w:val="left" w:pos="567"/>
      </w:tabs>
      <w:spacing w:after="0" w:line="240" w:lineRule="auto"/>
    </w:pPr>
    <w:rPr>
      <w:sz w:val="24"/>
    </w:rPr>
  </w:style>
  <w:style w:type="character" w:customStyle="1" w:styleId="NoSpacingChar">
    <w:name w:val="No Spacing Char"/>
    <w:basedOn w:val="DefaultParagraphFont"/>
    <w:link w:val="NoSpacing"/>
    <w:uiPriority w:val="1"/>
    <w:rsid w:val="00782EC4"/>
    <w:rPr>
      <w:sz w:val="24"/>
    </w:rPr>
  </w:style>
  <w:style w:type="paragraph" w:styleId="ListParagraph">
    <w:name w:val="List Paragraph"/>
    <w:basedOn w:val="Normal"/>
    <w:link w:val="ListParagraphChar"/>
    <w:uiPriority w:val="34"/>
    <w:qFormat/>
    <w:rsid w:val="00622669"/>
    <w:pPr>
      <w:ind w:left="720"/>
      <w:contextualSpacing/>
    </w:pPr>
  </w:style>
  <w:style w:type="paragraph" w:styleId="TOCHeading">
    <w:name w:val="TOC Heading"/>
    <w:aliases w:val="CGC 2025 TOC Heading"/>
    <w:basedOn w:val="Heading1"/>
    <w:next w:val="Normal"/>
    <w:uiPriority w:val="39"/>
    <w:unhideWhenUsed/>
    <w:qFormat/>
    <w:rsid w:val="00032318"/>
    <w:pPr>
      <w:keepLines/>
      <w:spacing w:before="480" w:line="320" w:lineRule="atLeast"/>
      <w:outlineLvl w:val="9"/>
    </w:pPr>
    <w:rPr>
      <w:caps/>
      <w:color w:val="365F91" w:themeColor="accent1" w:themeShade="BF"/>
      <w:sz w:val="28"/>
    </w:rPr>
  </w:style>
  <w:style w:type="character" w:customStyle="1" w:styleId="FooterChar">
    <w:name w:val="Footer Char"/>
    <w:basedOn w:val="DefaultParagraphFont"/>
    <w:link w:val="Footer"/>
    <w:uiPriority w:val="99"/>
    <w:rsid w:val="007A1785"/>
    <w:rPr>
      <w:rFonts w:ascii="Montserrat Ultra Light" w:hAnsi="Montserrat Ultra Light"/>
      <w:b/>
      <w:color w:val="004563"/>
      <w:sz w:val="20"/>
    </w:rPr>
  </w:style>
  <w:style w:type="character" w:customStyle="1" w:styleId="HeaderChar">
    <w:name w:val="Header Char"/>
    <w:basedOn w:val="DefaultParagraphFont"/>
    <w:link w:val="Header"/>
    <w:uiPriority w:val="99"/>
    <w:rsid w:val="007A1785"/>
    <w:rPr>
      <w:rFonts w:ascii="Montserrat Ultra Light" w:hAnsi="Montserrat Ultra Light"/>
      <w:b/>
      <w:color w:val="004563"/>
      <w:sz w:val="20"/>
    </w:rPr>
  </w:style>
  <w:style w:type="paragraph" w:customStyle="1" w:styleId="CGCDataCaption">
    <w:name w:val="CGC Data Caption"/>
    <w:basedOn w:val="CGCTableFootnote"/>
    <w:next w:val="NoSpacing"/>
    <w:link w:val="DataCaptionChar"/>
    <w:rsid w:val="00622669"/>
  </w:style>
  <w:style w:type="character" w:customStyle="1" w:styleId="CaptionChar">
    <w:name w:val="Caption Char"/>
    <w:basedOn w:val="DefaultParagraphFont"/>
    <w:link w:val="Caption"/>
    <w:uiPriority w:val="35"/>
    <w:rsid w:val="00485F13"/>
    <w:rPr>
      <w:rFonts w:ascii="Montserrat Ultra Light" w:hAnsi="Montserrat Ultra Light"/>
      <w:b/>
      <w:bCs/>
      <w:sz w:val="20"/>
      <w:szCs w:val="20"/>
    </w:rPr>
  </w:style>
  <w:style w:type="character" w:customStyle="1" w:styleId="DataCaptionChar">
    <w:name w:val="Data Caption Char"/>
    <w:basedOn w:val="DefaultParagraphFont"/>
    <w:link w:val="CGCDataCaption"/>
    <w:rsid w:val="00622669"/>
    <w:rPr>
      <w:sz w:val="20"/>
      <w:szCs w:val="24"/>
    </w:rPr>
  </w:style>
  <w:style w:type="character" w:customStyle="1" w:styleId="FootnoteTextChar">
    <w:name w:val="Footnote Text Char"/>
    <w:basedOn w:val="DefaultParagraphFont"/>
    <w:link w:val="FootnoteText"/>
    <w:uiPriority w:val="99"/>
    <w:rsid w:val="009B2020"/>
    <w:rPr>
      <w:rFonts w:ascii="Work Sans" w:hAnsi="Work Sans"/>
      <w:sz w:val="14"/>
      <w:szCs w:val="16"/>
    </w:rPr>
  </w:style>
  <w:style w:type="character" w:customStyle="1" w:styleId="Heading6Char">
    <w:name w:val="Heading 6 Char"/>
    <w:basedOn w:val="DefaultParagraphFont"/>
    <w:link w:val="Heading6"/>
    <w:uiPriority w:val="9"/>
    <w:rsid w:val="00782EC4"/>
    <w:rPr>
      <w:rFonts w:ascii="Montserrat Semi Bold" w:eastAsiaTheme="majorEastAsia" w:hAnsi="Montserrat Semi Bold" w:cstheme="majorBidi"/>
      <w:i/>
      <w:iCs/>
      <w:color w:val="636466"/>
      <w:sz w:val="20"/>
    </w:rPr>
  </w:style>
  <w:style w:type="character" w:customStyle="1" w:styleId="Heading7Char">
    <w:name w:val="Heading 7 Char"/>
    <w:basedOn w:val="DefaultParagraphFont"/>
    <w:link w:val="Heading7"/>
    <w:uiPriority w:val="9"/>
    <w:semiHidden/>
    <w:rsid w:val="00622669"/>
    <w:rPr>
      <w:rFonts w:asciiTheme="majorHAnsi" w:eastAsiaTheme="majorEastAsia" w:hAnsiTheme="majorHAnsi" w:cstheme="majorBidi"/>
      <w:i/>
      <w:iCs/>
      <w:color w:val="404040" w:themeColor="text1" w:themeTint="BF"/>
      <w:sz w:val="24"/>
    </w:rPr>
  </w:style>
  <w:style w:type="paragraph" w:customStyle="1" w:styleId="CGCParaNumber">
    <w:name w:val="CGC Para Number"/>
    <w:basedOn w:val="Normal"/>
    <w:qFormat/>
    <w:rsid w:val="00956C4E"/>
    <w:pPr>
      <w:numPr>
        <w:numId w:val="7"/>
      </w:numPr>
    </w:pPr>
    <w:rPr>
      <w:rFonts w:ascii="Work Sans" w:hAnsi="Work Sans"/>
      <w:szCs w:val="20"/>
    </w:rPr>
  </w:style>
  <w:style w:type="paragraph" w:customStyle="1" w:styleId="CGC2025Bullet1">
    <w:name w:val="CGC 2025 Bullet 1"/>
    <w:basedOn w:val="Normal"/>
    <w:qFormat/>
    <w:rsid w:val="005A64DD"/>
    <w:pPr>
      <w:numPr>
        <w:numId w:val="3"/>
      </w:numPr>
      <w:spacing w:after="120"/>
      <w:ind w:left="924" w:hanging="357"/>
    </w:pPr>
    <w:rPr>
      <w:rFonts w:ascii="Work Sans" w:hAnsi="Work Sans"/>
      <w:szCs w:val="20"/>
    </w:rPr>
  </w:style>
  <w:style w:type="paragraph" w:customStyle="1" w:styleId="CGCBullet2">
    <w:name w:val="CGC Bullet 2"/>
    <w:basedOn w:val="Normal"/>
    <w:qFormat/>
    <w:rsid w:val="00DA7A60"/>
    <w:pPr>
      <w:numPr>
        <w:numId w:val="4"/>
      </w:numPr>
    </w:pPr>
  </w:style>
  <w:style w:type="paragraph" w:customStyle="1" w:styleId="CGCBullet3">
    <w:name w:val="CGC Bullet 3"/>
    <w:basedOn w:val="Normal"/>
    <w:qFormat/>
    <w:rsid w:val="007A1785"/>
    <w:pPr>
      <w:numPr>
        <w:numId w:val="5"/>
      </w:numPr>
      <w:ind w:left="1491" w:hanging="357"/>
    </w:pPr>
  </w:style>
  <w:style w:type="paragraph" w:customStyle="1" w:styleId="CGCQuoteText">
    <w:name w:val="CGC Quote Text"/>
    <w:basedOn w:val="Normal"/>
    <w:next w:val="Normal"/>
    <w:rsid w:val="00782EC4"/>
    <w:pPr>
      <w:spacing w:after="120"/>
      <w:ind w:left="1418" w:right="1134"/>
    </w:pPr>
  </w:style>
  <w:style w:type="paragraph" w:customStyle="1" w:styleId="CGCQuoteBullet">
    <w:name w:val="CGC Quote Bullet"/>
    <w:basedOn w:val="CGCQuoteText"/>
    <w:next w:val="Normal"/>
    <w:rsid w:val="00782EC4"/>
    <w:pPr>
      <w:numPr>
        <w:numId w:val="6"/>
      </w:numPr>
      <w:ind w:right="1418"/>
    </w:pPr>
  </w:style>
  <w:style w:type="paragraph" w:customStyle="1" w:styleId="CGCTablerow">
    <w:name w:val="CGC Table row"/>
    <w:basedOn w:val="Normal"/>
    <w:qFormat/>
    <w:rsid w:val="00782EC4"/>
    <w:pPr>
      <w:spacing w:before="0" w:line="240" w:lineRule="auto"/>
    </w:pPr>
    <w:rPr>
      <w:sz w:val="16"/>
    </w:rPr>
  </w:style>
  <w:style w:type="paragraph" w:customStyle="1" w:styleId="CGCTablenote">
    <w:name w:val="CGC Table note"/>
    <w:basedOn w:val="Normal"/>
    <w:next w:val="Normal"/>
    <w:link w:val="CGCTablenoteChar"/>
    <w:qFormat/>
    <w:rsid w:val="00FE5C60"/>
    <w:pPr>
      <w:tabs>
        <w:tab w:val="left" w:pos="680"/>
      </w:tabs>
      <w:spacing w:before="40" w:line="240" w:lineRule="auto"/>
      <w:ind w:left="340" w:hanging="227"/>
    </w:pPr>
    <w:rPr>
      <w:sz w:val="14"/>
    </w:rPr>
  </w:style>
  <w:style w:type="character" w:customStyle="1" w:styleId="CGCTableHeadingChar">
    <w:name w:val="CGC Table Heading Char"/>
    <w:basedOn w:val="DefaultParagraphFont"/>
    <w:link w:val="CGCTableHeading"/>
    <w:rsid w:val="00FE5C60"/>
    <w:rPr>
      <w:rFonts w:ascii="Montserrat Ultra Light" w:hAnsi="Montserrat Ultra Light"/>
      <w:b/>
      <w:sz w:val="20"/>
      <w:szCs w:val="20"/>
    </w:rPr>
  </w:style>
  <w:style w:type="paragraph" w:customStyle="1" w:styleId="TOCtitle">
    <w:name w:val="TOC title"/>
    <w:basedOn w:val="Normal"/>
    <w:next w:val="Normal"/>
    <w:rsid w:val="001C1121"/>
    <w:rPr>
      <w:rFonts w:ascii="Montserrat Semi Bold" w:hAnsi="Montserrat Semi Bold"/>
      <w:color w:val="004563"/>
      <w:sz w:val="36"/>
      <w:lang w:val="en-US"/>
    </w:rPr>
  </w:style>
  <w:style w:type="character" w:styleId="CommentReference">
    <w:name w:val="annotation reference"/>
    <w:basedOn w:val="DefaultParagraphFont"/>
    <w:semiHidden/>
    <w:unhideWhenUsed/>
    <w:rsid w:val="00CA7A75"/>
    <w:rPr>
      <w:sz w:val="16"/>
      <w:szCs w:val="16"/>
    </w:rPr>
  </w:style>
  <w:style w:type="paragraph" w:styleId="CommentText">
    <w:name w:val="annotation text"/>
    <w:basedOn w:val="Normal"/>
    <w:link w:val="CommentTextChar"/>
    <w:unhideWhenUsed/>
    <w:rsid w:val="00CA7A75"/>
    <w:pPr>
      <w:spacing w:line="240" w:lineRule="auto"/>
    </w:pPr>
    <w:rPr>
      <w:szCs w:val="20"/>
    </w:rPr>
  </w:style>
  <w:style w:type="character" w:customStyle="1" w:styleId="CommentTextChar">
    <w:name w:val="Comment Text Char"/>
    <w:basedOn w:val="DefaultParagraphFont"/>
    <w:link w:val="CommentText"/>
    <w:rsid w:val="00CA7A75"/>
    <w:rPr>
      <w:rFonts w:ascii="Open Sans Light" w:hAnsi="Open Sans Light"/>
      <w:sz w:val="20"/>
      <w:szCs w:val="20"/>
    </w:rPr>
  </w:style>
  <w:style w:type="paragraph" w:styleId="CommentSubject">
    <w:name w:val="annotation subject"/>
    <w:basedOn w:val="CommentText"/>
    <w:next w:val="CommentText"/>
    <w:link w:val="CommentSubjectChar"/>
    <w:semiHidden/>
    <w:unhideWhenUsed/>
    <w:rsid w:val="00CA7A75"/>
    <w:rPr>
      <w:b/>
      <w:bCs/>
    </w:rPr>
  </w:style>
  <w:style w:type="character" w:customStyle="1" w:styleId="CommentSubjectChar">
    <w:name w:val="Comment Subject Char"/>
    <w:basedOn w:val="CommentTextChar"/>
    <w:link w:val="CommentSubject"/>
    <w:semiHidden/>
    <w:rsid w:val="00CA7A75"/>
    <w:rPr>
      <w:rFonts w:ascii="Open Sans Light" w:hAnsi="Open Sans Light"/>
      <w:b/>
      <w:bCs/>
      <w:sz w:val="20"/>
      <w:szCs w:val="20"/>
    </w:rPr>
  </w:style>
  <w:style w:type="paragraph" w:customStyle="1" w:styleId="CGCTablesubhead1">
    <w:name w:val="CGC Table subhead1"/>
    <w:basedOn w:val="Normal"/>
    <w:rsid w:val="00BF20E8"/>
    <w:pPr>
      <w:spacing w:before="0" w:line="240" w:lineRule="auto"/>
    </w:pPr>
    <w:rPr>
      <w:rFonts w:ascii="Open Sans Semibold" w:hAnsi="Open Sans Semibold"/>
      <w:sz w:val="16"/>
    </w:rPr>
  </w:style>
  <w:style w:type="character" w:styleId="UnresolvedMention">
    <w:name w:val="Unresolved Mention"/>
    <w:basedOn w:val="DefaultParagraphFont"/>
    <w:uiPriority w:val="99"/>
    <w:unhideWhenUsed/>
    <w:rsid w:val="004F4A13"/>
    <w:rPr>
      <w:color w:val="605E5C"/>
      <w:shd w:val="clear" w:color="auto" w:fill="E1DFDD"/>
    </w:rPr>
  </w:style>
  <w:style w:type="character" w:styleId="Mention">
    <w:name w:val="Mention"/>
    <w:basedOn w:val="DefaultParagraphFont"/>
    <w:uiPriority w:val="99"/>
    <w:unhideWhenUsed/>
    <w:rsid w:val="004F4A13"/>
    <w:rPr>
      <w:color w:val="2B579A"/>
      <w:shd w:val="clear" w:color="auto" w:fill="E1DFDD"/>
    </w:rPr>
  </w:style>
  <w:style w:type="paragraph" w:customStyle="1" w:styleId="Bulletpoint">
    <w:name w:val="Bullet point"/>
    <w:basedOn w:val="ListParagraph"/>
    <w:link w:val="BulletpointChar"/>
    <w:qFormat/>
    <w:rsid w:val="00A5102B"/>
    <w:pPr>
      <w:spacing w:before="240" w:line="300" w:lineRule="atLeast"/>
      <w:ind w:left="360" w:hanging="360"/>
      <w:contextualSpacing w:val="0"/>
      <w:jc w:val="both"/>
    </w:pPr>
  </w:style>
  <w:style w:type="character" w:customStyle="1" w:styleId="ListParagraphChar">
    <w:name w:val="List Paragraph Char"/>
    <w:basedOn w:val="DefaultParagraphFont"/>
    <w:link w:val="ListParagraph"/>
    <w:uiPriority w:val="34"/>
    <w:rsid w:val="00A5102B"/>
    <w:rPr>
      <w:rFonts w:ascii="Open Sans Light" w:hAnsi="Open Sans Light"/>
      <w:sz w:val="20"/>
    </w:rPr>
  </w:style>
  <w:style w:type="character" w:customStyle="1" w:styleId="BulletpointChar">
    <w:name w:val="Bullet point Char"/>
    <w:basedOn w:val="ListParagraphChar"/>
    <w:link w:val="Bulletpoint"/>
    <w:rsid w:val="00A5102B"/>
    <w:rPr>
      <w:rFonts w:ascii="Open Sans Light" w:hAnsi="Open Sans Light"/>
      <w:sz w:val="20"/>
    </w:rPr>
  </w:style>
  <w:style w:type="paragraph" w:styleId="Revision">
    <w:name w:val="Revision"/>
    <w:hidden/>
    <w:uiPriority w:val="99"/>
    <w:semiHidden/>
    <w:rsid w:val="001B76A8"/>
    <w:pPr>
      <w:spacing w:after="0" w:line="240" w:lineRule="auto"/>
    </w:pPr>
    <w:rPr>
      <w:rFonts w:ascii="Open Sans Light" w:hAnsi="Open Sans Light"/>
      <w:sz w:val="20"/>
    </w:rPr>
  </w:style>
  <w:style w:type="paragraph" w:customStyle="1" w:styleId="CGCBulletlist">
    <w:name w:val="CGC Bullet list"/>
    <w:aliases w:val="CGC List 1"/>
    <w:basedOn w:val="Normal"/>
    <w:link w:val="CGCBulletlistChar"/>
    <w:qFormat/>
    <w:rsid w:val="001307A8"/>
    <w:pPr>
      <w:numPr>
        <w:numId w:val="8"/>
      </w:numPr>
      <w:tabs>
        <w:tab w:val="clear" w:pos="567"/>
        <w:tab w:val="left" w:pos="1134"/>
      </w:tabs>
      <w:spacing w:before="80" w:after="80" w:line="300" w:lineRule="atLeast"/>
    </w:pPr>
    <w:rPr>
      <w:rFonts w:asciiTheme="minorHAnsi" w:hAnsiTheme="minorHAnsi"/>
      <w:sz w:val="24"/>
      <w:szCs w:val="20"/>
    </w:rPr>
  </w:style>
  <w:style w:type="paragraph" w:customStyle="1" w:styleId="CGCNumberedPara">
    <w:name w:val="CGC Numbered Para"/>
    <w:aliases w:val="CGC Para No"/>
    <w:basedOn w:val="Normal"/>
    <w:rsid w:val="001307A8"/>
    <w:pPr>
      <w:numPr>
        <w:ilvl w:val="1"/>
        <w:numId w:val="9"/>
      </w:numPr>
      <w:tabs>
        <w:tab w:val="clear" w:pos="567"/>
      </w:tabs>
      <w:spacing w:after="80" w:line="320" w:lineRule="atLeast"/>
    </w:pPr>
    <w:rPr>
      <w:rFonts w:asciiTheme="minorHAnsi" w:hAnsiTheme="minorHAnsi"/>
      <w:sz w:val="24"/>
      <w:szCs w:val="24"/>
    </w:rPr>
  </w:style>
  <w:style w:type="character" w:customStyle="1" w:styleId="CGCBulletlistChar">
    <w:name w:val="CGC Bullet list Char"/>
    <w:aliases w:val="CGC List 1 Char"/>
    <w:basedOn w:val="DefaultParagraphFont"/>
    <w:link w:val="CGCBulletlist"/>
    <w:locked/>
    <w:rsid w:val="001307A8"/>
    <w:rPr>
      <w:sz w:val="24"/>
      <w:szCs w:val="20"/>
    </w:rPr>
  </w:style>
  <w:style w:type="character" w:customStyle="1" w:styleId="cf01">
    <w:name w:val="cf01"/>
    <w:basedOn w:val="DefaultParagraphFont"/>
    <w:rsid w:val="002F0D1B"/>
    <w:rPr>
      <w:rFonts w:ascii="Segoe UI" w:hAnsi="Segoe UI" w:cs="Segoe UI" w:hint="default"/>
      <w:sz w:val="18"/>
      <w:szCs w:val="18"/>
    </w:rPr>
  </w:style>
  <w:style w:type="table" w:customStyle="1" w:styleId="TableGrid1">
    <w:name w:val="Table Grid1"/>
    <w:basedOn w:val="TableNormal"/>
    <w:next w:val="TableGrid"/>
    <w:uiPriority w:val="39"/>
    <w:rsid w:val="002F089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E3848"/>
    <w:rPr>
      <w:color w:val="800080" w:themeColor="followedHyperlink"/>
      <w:u w:val="single"/>
    </w:rPr>
  </w:style>
  <w:style w:type="paragraph" w:customStyle="1" w:styleId="CGC2025QuestionNumbers">
    <w:name w:val="CGC 2025 Question Numbers"/>
    <w:basedOn w:val="Normal"/>
    <w:qFormat/>
    <w:rsid w:val="00084EE0"/>
    <w:pPr>
      <w:numPr>
        <w:numId w:val="11"/>
      </w:numPr>
      <w:spacing w:after="120"/>
    </w:pPr>
    <w:rPr>
      <w:rFonts w:ascii="Work Sans" w:hAnsi="Work Sans" w:cs="Open Sans Light"/>
      <w:szCs w:val="20"/>
    </w:rPr>
  </w:style>
  <w:style w:type="numbering" w:customStyle="1" w:styleId="CGCConsultQuestion">
    <w:name w:val="CGC Consult Question"/>
    <w:basedOn w:val="NoList"/>
    <w:uiPriority w:val="99"/>
    <w:rsid w:val="00084EE0"/>
    <w:pPr>
      <w:numPr>
        <w:numId w:val="10"/>
      </w:numPr>
    </w:pPr>
  </w:style>
  <w:style w:type="paragraph" w:customStyle="1" w:styleId="CGC2025ParaNumbers">
    <w:name w:val="CGC 2025 Para Numbers"/>
    <w:basedOn w:val="CGCNumberedPara"/>
    <w:link w:val="CGC2025ParaNumbersChar"/>
    <w:rsid w:val="004477FF"/>
    <w:pPr>
      <w:tabs>
        <w:tab w:val="num" w:pos="567"/>
      </w:tabs>
    </w:pPr>
    <w:rPr>
      <w:rFonts w:ascii="Work Sans" w:hAnsi="Work Sans"/>
      <w:sz w:val="20"/>
    </w:rPr>
  </w:style>
  <w:style w:type="paragraph" w:customStyle="1" w:styleId="CGC2025Bullet2">
    <w:name w:val="CGC 2025 Bullet 2"/>
    <w:basedOn w:val="CGCBullet2"/>
    <w:rsid w:val="00F109D5"/>
    <w:pPr>
      <w:ind w:left="1321" w:hanging="357"/>
    </w:pPr>
    <w:rPr>
      <w:rFonts w:ascii="Work Sans" w:hAnsi="Work Sans"/>
    </w:rPr>
  </w:style>
  <w:style w:type="paragraph" w:customStyle="1" w:styleId="CGC2025Heading2AttachmentFollower">
    <w:name w:val="CGC 2025 Heading 2 Attachment Follower"/>
    <w:basedOn w:val="Heading2"/>
    <w:rsid w:val="00294D2F"/>
    <w:rPr>
      <w:b w:val="0"/>
      <w:bCs w:val="0"/>
    </w:rPr>
  </w:style>
  <w:style w:type="paragraph" w:customStyle="1" w:styleId="CGC2025Caption">
    <w:name w:val="CGC 2025 Caption"/>
    <w:basedOn w:val="Normal"/>
    <w:qFormat/>
    <w:rsid w:val="0036695B"/>
    <w:pPr>
      <w:spacing w:before="240" w:after="120" w:line="240" w:lineRule="auto"/>
    </w:pPr>
    <w:rPr>
      <w:rFonts w:ascii="Work Sans" w:hAnsi="Work Sans"/>
      <w:b/>
    </w:rPr>
  </w:style>
  <w:style w:type="paragraph" w:customStyle="1" w:styleId="CGC2025Questionsnumbers2">
    <w:name w:val="CGC 2025 Questions numbers 2"/>
    <w:basedOn w:val="Normal"/>
    <w:next w:val="CGC2025ParaNumbers"/>
    <w:qFormat/>
    <w:rsid w:val="004824F0"/>
    <w:pPr>
      <w:numPr>
        <w:numId w:val="12"/>
      </w:numPr>
      <w:ind w:left="454" w:hanging="454"/>
    </w:pPr>
    <w:rPr>
      <w:rFonts w:ascii="Work Sans" w:hAnsi="Work Sans" w:cs="Open Sans"/>
      <w:bCs/>
      <w:szCs w:val="56"/>
    </w:rPr>
  </w:style>
  <w:style w:type="paragraph" w:customStyle="1" w:styleId="CGC2025TableNote">
    <w:name w:val="CGC 2025 Table Note"/>
    <w:basedOn w:val="CGCTablenote"/>
    <w:link w:val="CGC2025TableNoteChar"/>
    <w:qFormat/>
    <w:rsid w:val="00FB59C2"/>
    <w:rPr>
      <w:rFonts w:ascii="Work Sans" w:hAnsi="Work Sans"/>
    </w:rPr>
  </w:style>
  <w:style w:type="character" w:customStyle="1" w:styleId="CGCTablenoteChar">
    <w:name w:val="CGC Table note Char"/>
    <w:basedOn w:val="DefaultParagraphFont"/>
    <w:link w:val="CGCTablenote"/>
    <w:rsid w:val="00FB59C2"/>
    <w:rPr>
      <w:rFonts w:ascii="Open Sans Light" w:hAnsi="Open Sans Light"/>
      <w:sz w:val="14"/>
    </w:rPr>
  </w:style>
  <w:style w:type="character" w:customStyle="1" w:styleId="CGC2025TableNoteChar">
    <w:name w:val="CGC 2025 Table Note Char"/>
    <w:basedOn w:val="CGCTablenoteChar"/>
    <w:link w:val="CGC2025TableNote"/>
    <w:rsid w:val="00FB59C2"/>
    <w:rPr>
      <w:rFonts w:ascii="Work Sans" w:hAnsi="Work Sans"/>
      <w:sz w:val="14"/>
    </w:rPr>
  </w:style>
  <w:style w:type="paragraph" w:customStyle="1" w:styleId="CGCBullet1">
    <w:name w:val="CGC Bullet 1"/>
    <w:basedOn w:val="Normal"/>
    <w:qFormat/>
    <w:rsid w:val="00956FA7"/>
    <w:pPr>
      <w:numPr>
        <w:numId w:val="14"/>
      </w:numPr>
    </w:pPr>
    <w:rPr>
      <w:rFonts w:ascii="Work Sans" w:hAnsi="Work Sans"/>
      <w:szCs w:val="20"/>
    </w:rPr>
  </w:style>
  <w:style w:type="paragraph" w:customStyle="1" w:styleId="BodyCopyWorkSans10">
    <w:name w:val="Body Copy Work Sans 10"/>
    <w:basedOn w:val="Normal"/>
    <w:link w:val="BodyCopyWorkSans10Char"/>
    <w:qFormat/>
    <w:rsid w:val="00F81E6D"/>
    <w:pPr>
      <w:numPr>
        <w:numId w:val="13"/>
      </w:numPr>
    </w:pPr>
    <w:rPr>
      <w:rFonts w:ascii="Work Sans" w:hAnsi="Work Sans"/>
    </w:rPr>
  </w:style>
  <w:style w:type="character" w:customStyle="1" w:styleId="BodyCopyWorkSans10Char">
    <w:name w:val="Body Copy Work Sans 10 Char"/>
    <w:basedOn w:val="DefaultParagraphFont"/>
    <w:link w:val="BodyCopyWorkSans10"/>
    <w:rsid w:val="00F81E6D"/>
    <w:rPr>
      <w:rFonts w:ascii="Work Sans" w:hAnsi="Work Sans"/>
      <w:sz w:val="20"/>
    </w:rPr>
  </w:style>
  <w:style w:type="paragraph" w:styleId="NormalWeb">
    <w:name w:val="Normal (Web)"/>
    <w:basedOn w:val="Normal"/>
    <w:uiPriority w:val="99"/>
    <w:unhideWhenUsed/>
    <w:rsid w:val="00A56AC3"/>
    <w:pPr>
      <w:tabs>
        <w:tab w:val="clear" w:pos="567"/>
      </w:tabs>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8233E7"/>
  </w:style>
  <w:style w:type="paragraph" w:customStyle="1" w:styleId="paragraph">
    <w:name w:val="paragraph"/>
    <w:basedOn w:val="Normal"/>
    <w:rsid w:val="00FD7778"/>
    <w:pPr>
      <w:tabs>
        <w:tab w:val="clear" w:pos="567"/>
      </w:tabs>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FD7778"/>
  </w:style>
  <w:style w:type="character" w:customStyle="1" w:styleId="tabchar">
    <w:name w:val="tabchar"/>
    <w:basedOn w:val="DefaultParagraphFont"/>
    <w:rsid w:val="00FD7778"/>
  </w:style>
  <w:style w:type="paragraph" w:customStyle="1" w:styleId="CGC2025ParaNumbers1">
    <w:name w:val="CGC 2025 Para Numbers 1"/>
    <w:basedOn w:val="CGC2025ParaNumbers"/>
    <w:qFormat/>
    <w:rsid w:val="00DE59F4"/>
    <w:pPr>
      <w:numPr>
        <w:ilvl w:val="0"/>
        <w:numId w:val="0"/>
      </w:numPr>
      <w:ind w:left="567" w:hanging="567"/>
    </w:pPr>
  </w:style>
  <w:style w:type="paragraph" w:customStyle="1" w:styleId="CGCQuotationBullet">
    <w:name w:val="CGC Quotation Bullet"/>
    <w:basedOn w:val="Normal"/>
    <w:rsid w:val="00C760F6"/>
    <w:pPr>
      <w:numPr>
        <w:numId w:val="17"/>
      </w:numPr>
      <w:tabs>
        <w:tab w:val="clear" w:pos="567"/>
        <w:tab w:val="clear" w:pos="1701"/>
      </w:tabs>
      <w:spacing w:line="300" w:lineRule="atLeast"/>
      <w:ind w:left="0" w:right="1134" w:firstLine="0"/>
    </w:pPr>
    <w:rPr>
      <w:sz w:val="22"/>
      <w:szCs w:val="20"/>
    </w:rPr>
  </w:style>
  <w:style w:type="character" w:customStyle="1" w:styleId="CGC2025ParaNumbersChar">
    <w:name w:val="CGC 2025 Para Numbers Char"/>
    <w:basedOn w:val="DefaultParagraphFont"/>
    <w:link w:val="CGC2025ParaNumbers"/>
    <w:rsid w:val="00C12CCB"/>
    <w:rPr>
      <w:rFonts w:ascii="Work Sans" w:hAnsi="Work Sans"/>
      <w:sz w:val="20"/>
      <w:szCs w:val="24"/>
    </w:rPr>
  </w:style>
  <w:style w:type="paragraph" w:customStyle="1" w:styleId="CGC2025Quotetext">
    <w:name w:val="CGC 2025 Quote text"/>
    <w:basedOn w:val="CGCQuoteText"/>
    <w:qFormat/>
    <w:rsid w:val="00C12CCB"/>
    <w:rPr>
      <w:rFonts w:ascii="Work Sans" w:hAnsi="Work Sans"/>
    </w:rPr>
  </w:style>
  <w:style w:type="character" w:customStyle="1" w:styleId="ui-provider">
    <w:name w:val="ui-provider"/>
    <w:basedOn w:val="DefaultParagraphFont"/>
    <w:rsid w:val="00F630B7"/>
  </w:style>
  <w:style w:type="paragraph" w:customStyle="1" w:styleId="CGC2025Boxtext">
    <w:name w:val="CGC 2025 Box text"/>
    <w:basedOn w:val="CGC2025ParaNumbers"/>
    <w:qFormat/>
    <w:rsid w:val="005A64DD"/>
    <w:pPr>
      <w:numPr>
        <w:ilvl w:val="0"/>
        <w:numId w:val="0"/>
      </w:numPr>
      <w:spacing w:before="0" w:after="120" w:line="280" w:lineRule="atLeast"/>
      <w:ind w:left="113" w:righ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302">
      <w:bodyDiv w:val="1"/>
      <w:marLeft w:val="0"/>
      <w:marRight w:val="0"/>
      <w:marTop w:val="0"/>
      <w:marBottom w:val="0"/>
      <w:divBdr>
        <w:top w:val="none" w:sz="0" w:space="0" w:color="auto"/>
        <w:left w:val="none" w:sz="0" w:space="0" w:color="auto"/>
        <w:bottom w:val="none" w:sz="0" w:space="0" w:color="auto"/>
        <w:right w:val="none" w:sz="0" w:space="0" w:color="auto"/>
      </w:divBdr>
    </w:div>
    <w:div w:id="2976334">
      <w:bodyDiv w:val="1"/>
      <w:marLeft w:val="0"/>
      <w:marRight w:val="0"/>
      <w:marTop w:val="0"/>
      <w:marBottom w:val="0"/>
      <w:divBdr>
        <w:top w:val="none" w:sz="0" w:space="0" w:color="auto"/>
        <w:left w:val="none" w:sz="0" w:space="0" w:color="auto"/>
        <w:bottom w:val="none" w:sz="0" w:space="0" w:color="auto"/>
        <w:right w:val="none" w:sz="0" w:space="0" w:color="auto"/>
      </w:divBdr>
    </w:div>
    <w:div w:id="19476126">
      <w:bodyDiv w:val="1"/>
      <w:marLeft w:val="0"/>
      <w:marRight w:val="0"/>
      <w:marTop w:val="0"/>
      <w:marBottom w:val="0"/>
      <w:divBdr>
        <w:top w:val="none" w:sz="0" w:space="0" w:color="auto"/>
        <w:left w:val="none" w:sz="0" w:space="0" w:color="auto"/>
        <w:bottom w:val="none" w:sz="0" w:space="0" w:color="auto"/>
        <w:right w:val="none" w:sz="0" w:space="0" w:color="auto"/>
      </w:divBdr>
    </w:div>
    <w:div w:id="26761132">
      <w:bodyDiv w:val="1"/>
      <w:marLeft w:val="0"/>
      <w:marRight w:val="0"/>
      <w:marTop w:val="0"/>
      <w:marBottom w:val="0"/>
      <w:divBdr>
        <w:top w:val="none" w:sz="0" w:space="0" w:color="auto"/>
        <w:left w:val="none" w:sz="0" w:space="0" w:color="auto"/>
        <w:bottom w:val="none" w:sz="0" w:space="0" w:color="auto"/>
        <w:right w:val="none" w:sz="0" w:space="0" w:color="auto"/>
      </w:divBdr>
    </w:div>
    <w:div w:id="160170229">
      <w:bodyDiv w:val="1"/>
      <w:marLeft w:val="0"/>
      <w:marRight w:val="0"/>
      <w:marTop w:val="0"/>
      <w:marBottom w:val="0"/>
      <w:divBdr>
        <w:top w:val="none" w:sz="0" w:space="0" w:color="auto"/>
        <w:left w:val="none" w:sz="0" w:space="0" w:color="auto"/>
        <w:bottom w:val="none" w:sz="0" w:space="0" w:color="auto"/>
        <w:right w:val="none" w:sz="0" w:space="0" w:color="auto"/>
      </w:divBdr>
    </w:div>
    <w:div w:id="189801314">
      <w:bodyDiv w:val="1"/>
      <w:marLeft w:val="0"/>
      <w:marRight w:val="0"/>
      <w:marTop w:val="0"/>
      <w:marBottom w:val="0"/>
      <w:divBdr>
        <w:top w:val="none" w:sz="0" w:space="0" w:color="auto"/>
        <w:left w:val="none" w:sz="0" w:space="0" w:color="auto"/>
        <w:bottom w:val="none" w:sz="0" w:space="0" w:color="auto"/>
        <w:right w:val="none" w:sz="0" w:space="0" w:color="auto"/>
      </w:divBdr>
    </w:div>
    <w:div w:id="215361513">
      <w:bodyDiv w:val="1"/>
      <w:marLeft w:val="0"/>
      <w:marRight w:val="0"/>
      <w:marTop w:val="0"/>
      <w:marBottom w:val="0"/>
      <w:divBdr>
        <w:top w:val="none" w:sz="0" w:space="0" w:color="auto"/>
        <w:left w:val="none" w:sz="0" w:space="0" w:color="auto"/>
        <w:bottom w:val="none" w:sz="0" w:space="0" w:color="auto"/>
        <w:right w:val="none" w:sz="0" w:space="0" w:color="auto"/>
      </w:divBdr>
    </w:div>
    <w:div w:id="240608006">
      <w:bodyDiv w:val="1"/>
      <w:marLeft w:val="0"/>
      <w:marRight w:val="0"/>
      <w:marTop w:val="0"/>
      <w:marBottom w:val="0"/>
      <w:divBdr>
        <w:top w:val="none" w:sz="0" w:space="0" w:color="auto"/>
        <w:left w:val="none" w:sz="0" w:space="0" w:color="auto"/>
        <w:bottom w:val="none" w:sz="0" w:space="0" w:color="auto"/>
        <w:right w:val="none" w:sz="0" w:space="0" w:color="auto"/>
      </w:divBdr>
    </w:div>
    <w:div w:id="248123965">
      <w:bodyDiv w:val="1"/>
      <w:marLeft w:val="0"/>
      <w:marRight w:val="0"/>
      <w:marTop w:val="0"/>
      <w:marBottom w:val="0"/>
      <w:divBdr>
        <w:top w:val="none" w:sz="0" w:space="0" w:color="auto"/>
        <w:left w:val="none" w:sz="0" w:space="0" w:color="auto"/>
        <w:bottom w:val="none" w:sz="0" w:space="0" w:color="auto"/>
        <w:right w:val="none" w:sz="0" w:space="0" w:color="auto"/>
      </w:divBdr>
    </w:div>
    <w:div w:id="283461682">
      <w:bodyDiv w:val="1"/>
      <w:marLeft w:val="0"/>
      <w:marRight w:val="0"/>
      <w:marTop w:val="0"/>
      <w:marBottom w:val="0"/>
      <w:divBdr>
        <w:top w:val="none" w:sz="0" w:space="0" w:color="auto"/>
        <w:left w:val="none" w:sz="0" w:space="0" w:color="auto"/>
        <w:bottom w:val="none" w:sz="0" w:space="0" w:color="auto"/>
        <w:right w:val="none" w:sz="0" w:space="0" w:color="auto"/>
      </w:divBdr>
    </w:div>
    <w:div w:id="310598025">
      <w:bodyDiv w:val="1"/>
      <w:marLeft w:val="0"/>
      <w:marRight w:val="0"/>
      <w:marTop w:val="0"/>
      <w:marBottom w:val="0"/>
      <w:divBdr>
        <w:top w:val="none" w:sz="0" w:space="0" w:color="auto"/>
        <w:left w:val="none" w:sz="0" w:space="0" w:color="auto"/>
        <w:bottom w:val="none" w:sz="0" w:space="0" w:color="auto"/>
        <w:right w:val="none" w:sz="0" w:space="0" w:color="auto"/>
      </w:divBdr>
    </w:div>
    <w:div w:id="358245519">
      <w:bodyDiv w:val="1"/>
      <w:marLeft w:val="0"/>
      <w:marRight w:val="0"/>
      <w:marTop w:val="0"/>
      <w:marBottom w:val="0"/>
      <w:divBdr>
        <w:top w:val="none" w:sz="0" w:space="0" w:color="auto"/>
        <w:left w:val="none" w:sz="0" w:space="0" w:color="auto"/>
        <w:bottom w:val="none" w:sz="0" w:space="0" w:color="auto"/>
        <w:right w:val="none" w:sz="0" w:space="0" w:color="auto"/>
      </w:divBdr>
    </w:div>
    <w:div w:id="381485470">
      <w:bodyDiv w:val="1"/>
      <w:marLeft w:val="0"/>
      <w:marRight w:val="0"/>
      <w:marTop w:val="0"/>
      <w:marBottom w:val="0"/>
      <w:divBdr>
        <w:top w:val="none" w:sz="0" w:space="0" w:color="auto"/>
        <w:left w:val="none" w:sz="0" w:space="0" w:color="auto"/>
        <w:bottom w:val="none" w:sz="0" w:space="0" w:color="auto"/>
        <w:right w:val="none" w:sz="0" w:space="0" w:color="auto"/>
      </w:divBdr>
    </w:div>
    <w:div w:id="523597020">
      <w:bodyDiv w:val="1"/>
      <w:marLeft w:val="0"/>
      <w:marRight w:val="0"/>
      <w:marTop w:val="0"/>
      <w:marBottom w:val="0"/>
      <w:divBdr>
        <w:top w:val="none" w:sz="0" w:space="0" w:color="auto"/>
        <w:left w:val="none" w:sz="0" w:space="0" w:color="auto"/>
        <w:bottom w:val="none" w:sz="0" w:space="0" w:color="auto"/>
        <w:right w:val="none" w:sz="0" w:space="0" w:color="auto"/>
      </w:divBdr>
    </w:div>
    <w:div w:id="528180250">
      <w:bodyDiv w:val="1"/>
      <w:marLeft w:val="0"/>
      <w:marRight w:val="0"/>
      <w:marTop w:val="0"/>
      <w:marBottom w:val="0"/>
      <w:divBdr>
        <w:top w:val="none" w:sz="0" w:space="0" w:color="auto"/>
        <w:left w:val="none" w:sz="0" w:space="0" w:color="auto"/>
        <w:bottom w:val="none" w:sz="0" w:space="0" w:color="auto"/>
        <w:right w:val="none" w:sz="0" w:space="0" w:color="auto"/>
      </w:divBdr>
    </w:div>
    <w:div w:id="535001693">
      <w:bodyDiv w:val="1"/>
      <w:marLeft w:val="0"/>
      <w:marRight w:val="0"/>
      <w:marTop w:val="0"/>
      <w:marBottom w:val="0"/>
      <w:divBdr>
        <w:top w:val="none" w:sz="0" w:space="0" w:color="auto"/>
        <w:left w:val="none" w:sz="0" w:space="0" w:color="auto"/>
        <w:bottom w:val="none" w:sz="0" w:space="0" w:color="auto"/>
        <w:right w:val="none" w:sz="0" w:space="0" w:color="auto"/>
      </w:divBdr>
    </w:div>
    <w:div w:id="542055706">
      <w:bodyDiv w:val="1"/>
      <w:marLeft w:val="0"/>
      <w:marRight w:val="0"/>
      <w:marTop w:val="0"/>
      <w:marBottom w:val="0"/>
      <w:divBdr>
        <w:top w:val="none" w:sz="0" w:space="0" w:color="auto"/>
        <w:left w:val="none" w:sz="0" w:space="0" w:color="auto"/>
        <w:bottom w:val="none" w:sz="0" w:space="0" w:color="auto"/>
        <w:right w:val="none" w:sz="0" w:space="0" w:color="auto"/>
      </w:divBdr>
    </w:div>
    <w:div w:id="547255162">
      <w:bodyDiv w:val="1"/>
      <w:marLeft w:val="0"/>
      <w:marRight w:val="0"/>
      <w:marTop w:val="0"/>
      <w:marBottom w:val="0"/>
      <w:divBdr>
        <w:top w:val="none" w:sz="0" w:space="0" w:color="auto"/>
        <w:left w:val="none" w:sz="0" w:space="0" w:color="auto"/>
        <w:bottom w:val="none" w:sz="0" w:space="0" w:color="auto"/>
        <w:right w:val="none" w:sz="0" w:space="0" w:color="auto"/>
      </w:divBdr>
    </w:div>
    <w:div w:id="582958075">
      <w:bodyDiv w:val="1"/>
      <w:marLeft w:val="0"/>
      <w:marRight w:val="0"/>
      <w:marTop w:val="0"/>
      <w:marBottom w:val="0"/>
      <w:divBdr>
        <w:top w:val="none" w:sz="0" w:space="0" w:color="auto"/>
        <w:left w:val="none" w:sz="0" w:space="0" w:color="auto"/>
        <w:bottom w:val="none" w:sz="0" w:space="0" w:color="auto"/>
        <w:right w:val="none" w:sz="0" w:space="0" w:color="auto"/>
      </w:divBdr>
    </w:div>
    <w:div w:id="599720096">
      <w:bodyDiv w:val="1"/>
      <w:marLeft w:val="0"/>
      <w:marRight w:val="0"/>
      <w:marTop w:val="0"/>
      <w:marBottom w:val="0"/>
      <w:divBdr>
        <w:top w:val="none" w:sz="0" w:space="0" w:color="auto"/>
        <w:left w:val="none" w:sz="0" w:space="0" w:color="auto"/>
        <w:bottom w:val="none" w:sz="0" w:space="0" w:color="auto"/>
        <w:right w:val="none" w:sz="0" w:space="0" w:color="auto"/>
      </w:divBdr>
    </w:div>
    <w:div w:id="611522579">
      <w:bodyDiv w:val="1"/>
      <w:marLeft w:val="0"/>
      <w:marRight w:val="0"/>
      <w:marTop w:val="0"/>
      <w:marBottom w:val="0"/>
      <w:divBdr>
        <w:top w:val="none" w:sz="0" w:space="0" w:color="auto"/>
        <w:left w:val="none" w:sz="0" w:space="0" w:color="auto"/>
        <w:bottom w:val="none" w:sz="0" w:space="0" w:color="auto"/>
        <w:right w:val="none" w:sz="0" w:space="0" w:color="auto"/>
      </w:divBdr>
    </w:div>
    <w:div w:id="679813372">
      <w:bodyDiv w:val="1"/>
      <w:marLeft w:val="0"/>
      <w:marRight w:val="0"/>
      <w:marTop w:val="0"/>
      <w:marBottom w:val="0"/>
      <w:divBdr>
        <w:top w:val="none" w:sz="0" w:space="0" w:color="auto"/>
        <w:left w:val="none" w:sz="0" w:space="0" w:color="auto"/>
        <w:bottom w:val="none" w:sz="0" w:space="0" w:color="auto"/>
        <w:right w:val="none" w:sz="0" w:space="0" w:color="auto"/>
      </w:divBdr>
    </w:div>
    <w:div w:id="704869077">
      <w:bodyDiv w:val="1"/>
      <w:marLeft w:val="0"/>
      <w:marRight w:val="0"/>
      <w:marTop w:val="0"/>
      <w:marBottom w:val="0"/>
      <w:divBdr>
        <w:top w:val="none" w:sz="0" w:space="0" w:color="auto"/>
        <w:left w:val="none" w:sz="0" w:space="0" w:color="auto"/>
        <w:bottom w:val="none" w:sz="0" w:space="0" w:color="auto"/>
        <w:right w:val="none" w:sz="0" w:space="0" w:color="auto"/>
      </w:divBdr>
    </w:div>
    <w:div w:id="705176264">
      <w:bodyDiv w:val="1"/>
      <w:marLeft w:val="0"/>
      <w:marRight w:val="0"/>
      <w:marTop w:val="0"/>
      <w:marBottom w:val="0"/>
      <w:divBdr>
        <w:top w:val="none" w:sz="0" w:space="0" w:color="auto"/>
        <w:left w:val="none" w:sz="0" w:space="0" w:color="auto"/>
        <w:bottom w:val="none" w:sz="0" w:space="0" w:color="auto"/>
        <w:right w:val="none" w:sz="0" w:space="0" w:color="auto"/>
      </w:divBdr>
    </w:div>
    <w:div w:id="721289593">
      <w:bodyDiv w:val="1"/>
      <w:marLeft w:val="0"/>
      <w:marRight w:val="0"/>
      <w:marTop w:val="0"/>
      <w:marBottom w:val="0"/>
      <w:divBdr>
        <w:top w:val="none" w:sz="0" w:space="0" w:color="auto"/>
        <w:left w:val="none" w:sz="0" w:space="0" w:color="auto"/>
        <w:bottom w:val="none" w:sz="0" w:space="0" w:color="auto"/>
        <w:right w:val="none" w:sz="0" w:space="0" w:color="auto"/>
      </w:divBdr>
      <w:divsChild>
        <w:div w:id="669412227">
          <w:marLeft w:val="0"/>
          <w:marRight w:val="0"/>
          <w:marTop w:val="0"/>
          <w:marBottom w:val="0"/>
          <w:divBdr>
            <w:top w:val="none" w:sz="0" w:space="0" w:color="auto"/>
            <w:left w:val="none" w:sz="0" w:space="0" w:color="auto"/>
            <w:bottom w:val="none" w:sz="0" w:space="0" w:color="auto"/>
            <w:right w:val="none" w:sz="0" w:space="0" w:color="auto"/>
          </w:divBdr>
        </w:div>
        <w:div w:id="1018313563">
          <w:marLeft w:val="0"/>
          <w:marRight w:val="0"/>
          <w:marTop w:val="0"/>
          <w:marBottom w:val="0"/>
          <w:divBdr>
            <w:top w:val="none" w:sz="0" w:space="0" w:color="auto"/>
            <w:left w:val="none" w:sz="0" w:space="0" w:color="auto"/>
            <w:bottom w:val="none" w:sz="0" w:space="0" w:color="auto"/>
            <w:right w:val="none" w:sz="0" w:space="0" w:color="auto"/>
          </w:divBdr>
          <w:divsChild>
            <w:div w:id="692536513">
              <w:marLeft w:val="-75"/>
              <w:marRight w:val="0"/>
              <w:marTop w:val="30"/>
              <w:marBottom w:val="30"/>
              <w:divBdr>
                <w:top w:val="none" w:sz="0" w:space="0" w:color="auto"/>
                <w:left w:val="none" w:sz="0" w:space="0" w:color="auto"/>
                <w:bottom w:val="none" w:sz="0" w:space="0" w:color="auto"/>
                <w:right w:val="none" w:sz="0" w:space="0" w:color="auto"/>
              </w:divBdr>
              <w:divsChild>
                <w:div w:id="21173947">
                  <w:marLeft w:val="0"/>
                  <w:marRight w:val="0"/>
                  <w:marTop w:val="0"/>
                  <w:marBottom w:val="0"/>
                  <w:divBdr>
                    <w:top w:val="none" w:sz="0" w:space="0" w:color="auto"/>
                    <w:left w:val="none" w:sz="0" w:space="0" w:color="auto"/>
                    <w:bottom w:val="none" w:sz="0" w:space="0" w:color="auto"/>
                    <w:right w:val="none" w:sz="0" w:space="0" w:color="auto"/>
                  </w:divBdr>
                  <w:divsChild>
                    <w:div w:id="323898093">
                      <w:marLeft w:val="0"/>
                      <w:marRight w:val="0"/>
                      <w:marTop w:val="0"/>
                      <w:marBottom w:val="0"/>
                      <w:divBdr>
                        <w:top w:val="none" w:sz="0" w:space="0" w:color="auto"/>
                        <w:left w:val="none" w:sz="0" w:space="0" w:color="auto"/>
                        <w:bottom w:val="none" w:sz="0" w:space="0" w:color="auto"/>
                        <w:right w:val="none" w:sz="0" w:space="0" w:color="auto"/>
                      </w:divBdr>
                    </w:div>
                  </w:divsChild>
                </w:div>
                <w:div w:id="71972682">
                  <w:marLeft w:val="0"/>
                  <w:marRight w:val="0"/>
                  <w:marTop w:val="0"/>
                  <w:marBottom w:val="0"/>
                  <w:divBdr>
                    <w:top w:val="none" w:sz="0" w:space="0" w:color="auto"/>
                    <w:left w:val="none" w:sz="0" w:space="0" w:color="auto"/>
                    <w:bottom w:val="none" w:sz="0" w:space="0" w:color="auto"/>
                    <w:right w:val="none" w:sz="0" w:space="0" w:color="auto"/>
                  </w:divBdr>
                  <w:divsChild>
                    <w:div w:id="623191870">
                      <w:marLeft w:val="0"/>
                      <w:marRight w:val="0"/>
                      <w:marTop w:val="0"/>
                      <w:marBottom w:val="0"/>
                      <w:divBdr>
                        <w:top w:val="none" w:sz="0" w:space="0" w:color="auto"/>
                        <w:left w:val="none" w:sz="0" w:space="0" w:color="auto"/>
                        <w:bottom w:val="none" w:sz="0" w:space="0" w:color="auto"/>
                        <w:right w:val="none" w:sz="0" w:space="0" w:color="auto"/>
                      </w:divBdr>
                    </w:div>
                  </w:divsChild>
                </w:div>
                <w:div w:id="80875575">
                  <w:marLeft w:val="0"/>
                  <w:marRight w:val="0"/>
                  <w:marTop w:val="0"/>
                  <w:marBottom w:val="0"/>
                  <w:divBdr>
                    <w:top w:val="none" w:sz="0" w:space="0" w:color="auto"/>
                    <w:left w:val="none" w:sz="0" w:space="0" w:color="auto"/>
                    <w:bottom w:val="none" w:sz="0" w:space="0" w:color="auto"/>
                    <w:right w:val="none" w:sz="0" w:space="0" w:color="auto"/>
                  </w:divBdr>
                  <w:divsChild>
                    <w:div w:id="892303325">
                      <w:marLeft w:val="0"/>
                      <w:marRight w:val="0"/>
                      <w:marTop w:val="0"/>
                      <w:marBottom w:val="0"/>
                      <w:divBdr>
                        <w:top w:val="none" w:sz="0" w:space="0" w:color="auto"/>
                        <w:left w:val="none" w:sz="0" w:space="0" w:color="auto"/>
                        <w:bottom w:val="none" w:sz="0" w:space="0" w:color="auto"/>
                        <w:right w:val="none" w:sz="0" w:space="0" w:color="auto"/>
                      </w:divBdr>
                    </w:div>
                  </w:divsChild>
                </w:div>
                <w:div w:id="114638064">
                  <w:marLeft w:val="0"/>
                  <w:marRight w:val="0"/>
                  <w:marTop w:val="0"/>
                  <w:marBottom w:val="0"/>
                  <w:divBdr>
                    <w:top w:val="none" w:sz="0" w:space="0" w:color="auto"/>
                    <w:left w:val="none" w:sz="0" w:space="0" w:color="auto"/>
                    <w:bottom w:val="none" w:sz="0" w:space="0" w:color="auto"/>
                    <w:right w:val="none" w:sz="0" w:space="0" w:color="auto"/>
                  </w:divBdr>
                  <w:divsChild>
                    <w:div w:id="1840271899">
                      <w:marLeft w:val="0"/>
                      <w:marRight w:val="0"/>
                      <w:marTop w:val="0"/>
                      <w:marBottom w:val="0"/>
                      <w:divBdr>
                        <w:top w:val="none" w:sz="0" w:space="0" w:color="auto"/>
                        <w:left w:val="none" w:sz="0" w:space="0" w:color="auto"/>
                        <w:bottom w:val="none" w:sz="0" w:space="0" w:color="auto"/>
                        <w:right w:val="none" w:sz="0" w:space="0" w:color="auto"/>
                      </w:divBdr>
                    </w:div>
                  </w:divsChild>
                </w:div>
                <w:div w:id="151723517">
                  <w:marLeft w:val="0"/>
                  <w:marRight w:val="0"/>
                  <w:marTop w:val="0"/>
                  <w:marBottom w:val="0"/>
                  <w:divBdr>
                    <w:top w:val="none" w:sz="0" w:space="0" w:color="auto"/>
                    <w:left w:val="none" w:sz="0" w:space="0" w:color="auto"/>
                    <w:bottom w:val="none" w:sz="0" w:space="0" w:color="auto"/>
                    <w:right w:val="none" w:sz="0" w:space="0" w:color="auto"/>
                  </w:divBdr>
                  <w:divsChild>
                    <w:div w:id="1135876478">
                      <w:marLeft w:val="0"/>
                      <w:marRight w:val="0"/>
                      <w:marTop w:val="0"/>
                      <w:marBottom w:val="0"/>
                      <w:divBdr>
                        <w:top w:val="none" w:sz="0" w:space="0" w:color="auto"/>
                        <w:left w:val="none" w:sz="0" w:space="0" w:color="auto"/>
                        <w:bottom w:val="none" w:sz="0" w:space="0" w:color="auto"/>
                        <w:right w:val="none" w:sz="0" w:space="0" w:color="auto"/>
                      </w:divBdr>
                    </w:div>
                  </w:divsChild>
                </w:div>
                <w:div w:id="159274244">
                  <w:marLeft w:val="0"/>
                  <w:marRight w:val="0"/>
                  <w:marTop w:val="0"/>
                  <w:marBottom w:val="0"/>
                  <w:divBdr>
                    <w:top w:val="none" w:sz="0" w:space="0" w:color="auto"/>
                    <w:left w:val="none" w:sz="0" w:space="0" w:color="auto"/>
                    <w:bottom w:val="none" w:sz="0" w:space="0" w:color="auto"/>
                    <w:right w:val="none" w:sz="0" w:space="0" w:color="auto"/>
                  </w:divBdr>
                  <w:divsChild>
                    <w:div w:id="48188328">
                      <w:marLeft w:val="0"/>
                      <w:marRight w:val="0"/>
                      <w:marTop w:val="0"/>
                      <w:marBottom w:val="0"/>
                      <w:divBdr>
                        <w:top w:val="none" w:sz="0" w:space="0" w:color="auto"/>
                        <w:left w:val="none" w:sz="0" w:space="0" w:color="auto"/>
                        <w:bottom w:val="none" w:sz="0" w:space="0" w:color="auto"/>
                        <w:right w:val="none" w:sz="0" w:space="0" w:color="auto"/>
                      </w:divBdr>
                    </w:div>
                  </w:divsChild>
                </w:div>
                <w:div w:id="211036831">
                  <w:marLeft w:val="0"/>
                  <w:marRight w:val="0"/>
                  <w:marTop w:val="0"/>
                  <w:marBottom w:val="0"/>
                  <w:divBdr>
                    <w:top w:val="none" w:sz="0" w:space="0" w:color="auto"/>
                    <w:left w:val="none" w:sz="0" w:space="0" w:color="auto"/>
                    <w:bottom w:val="none" w:sz="0" w:space="0" w:color="auto"/>
                    <w:right w:val="none" w:sz="0" w:space="0" w:color="auto"/>
                  </w:divBdr>
                  <w:divsChild>
                    <w:div w:id="694623654">
                      <w:marLeft w:val="0"/>
                      <w:marRight w:val="0"/>
                      <w:marTop w:val="0"/>
                      <w:marBottom w:val="0"/>
                      <w:divBdr>
                        <w:top w:val="none" w:sz="0" w:space="0" w:color="auto"/>
                        <w:left w:val="none" w:sz="0" w:space="0" w:color="auto"/>
                        <w:bottom w:val="none" w:sz="0" w:space="0" w:color="auto"/>
                        <w:right w:val="none" w:sz="0" w:space="0" w:color="auto"/>
                      </w:divBdr>
                    </w:div>
                  </w:divsChild>
                </w:div>
                <w:div w:id="315646194">
                  <w:marLeft w:val="0"/>
                  <w:marRight w:val="0"/>
                  <w:marTop w:val="0"/>
                  <w:marBottom w:val="0"/>
                  <w:divBdr>
                    <w:top w:val="none" w:sz="0" w:space="0" w:color="auto"/>
                    <w:left w:val="none" w:sz="0" w:space="0" w:color="auto"/>
                    <w:bottom w:val="none" w:sz="0" w:space="0" w:color="auto"/>
                    <w:right w:val="none" w:sz="0" w:space="0" w:color="auto"/>
                  </w:divBdr>
                  <w:divsChild>
                    <w:div w:id="742751244">
                      <w:marLeft w:val="0"/>
                      <w:marRight w:val="0"/>
                      <w:marTop w:val="0"/>
                      <w:marBottom w:val="0"/>
                      <w:divBdr>
                        <w:top w:val="none" w:sz="0" w:space="0" w:color="auto"/>
                        <w:left w:val="none" w:sz="0" w:space="0" w:color="auto"/>
                        <w:bottom w:val="none" w:sz="0" w:space="0" w:color="auto"/>
                        <w:right w:val="none" w:sz="0" w:space="0" w:color="auto"/>
                      </w:divBdr>
                    </w:div>
                  </w:divsChild>
                </w:div>
                <w:div w:id="343214493">
                  <w:marLeft w:val="0"/>
                  <w:marRight w:val="0"/>
                  <w:marTop w:val="0"/>
                  <w:marBottom w:val="0"/>
                  <w:divBdr>
                    <w:top w:val="none" w:sz="0" w:space="0" w:color="auto"/>
                    <w:left w:val="none" w:sz="0" w:space="0" w:color="auto"/>
                    <w:bottom w:val="none" w:sz="0" w:space="0" w:color="auto"/>
                    <w:right w:val="none" w:sz="0" w:space="0" w:color="auto"/>
                  </w:divBdr>
                  <w:divsChild>
                    <w:div w:id="129789984">
                      <w:marLeft w:val="0"/>
                      <w:marRight w:val="0"/>
                      <w:marTop w:val="0"/>
                      <w:marBottom w:val="0"/>
                      <w:divBdr>
                        <w:top w:val="none" w:sz="0" w:space="0" w:color="auto"/>
                        <w:left w:val="none" w:sz="0" w:space="0" w:color="auto"/>
                        <w:bottom w:val="none" w:sz="0" w:space="0" w:color="auto"/>
                        <w:right w:val="none" w:sz="0" w:space="0" w:color="auto"/>
                      </w:divBdr>
                    </w:div>
                  </w:divsChild>
                </w:div>
                <w:div w:id="345787662">
                  <w:marLeft w:val="0"/>
                  <w:marRight w:val="0"/>
                  <w:marTop w:val="0"/>
                  <w:marBottom w:val="0"/>
                  <w:divBdr>
                    <w:top w:val="none" w:sz="0" w:space="0" w:color="auto"/>
                    <w:left w:val="none" w:sz="0" w:space="0" w:color="auto"/>
                    <w:bottom w:val="none" w:sz="0" w:space="0" w:color="auto"/>
                    <w:right w:val="none" w:sz="0" w:space="0" w:color="auto"/>
                  </w:divBdr>
                  <w:divsChild>
                    <w:div w:id="385222003">
                      <w:marLeft w:val="0"/>
                      <w:marRight w:val="0"/>
                      <w:marTop w:val="0"/>
                      <w:marBottom w:val="0"/>
                      <w:divBdr>
                        <w:top w:val="none" w:sz="0" w:space="0" w:color="auto"/>
                        <w:left w:val="none" w:sz="0" w:space="0" w:color="auto"/>
                        <w:bottom w:val="none" w:sz="0" w:space="0" w:color="auto"/>
                        <w:right w:val="none" w:sz="0" w:space="0" w:color="auto"/>
                      </w:divBdr>
                    </w:div>
                  </w:divsChild>
                </w:div>
                <w:div w:id="381057431">
                  <w:marLeft w:val="0"/>
                  <w:marRight w:val="0"/>
                  <w:marTop w:val="0"/>
                  <w:marBottom w:val="0"/>
                  <w:divBdr>
                    <w:top w:val="none" w:sz="0" w:space="0" w:color="auto"/>
                    <w:left w:val="none" w:sz="0" w:space="0" w:color="auto"/>
                    <w:bottom w:val="none" w:sz="0" w:space="0" w:color="auto"/>
                    <w:right w:val="none" w:sz="0" w:space="0" w:color="auto"/>
                  </w:divBdr>
                  <w:divsChild>
                    <w:div w:id="890460020">
                      <w:marLeft w:val="0"/>
                      <w:marRight w:val="0"/>
                      <w:marTop w:val="0"/>
                      <w:marBottom w:val="0"/>
                      <w:divBdr>
                        <w:top w:val="none" w:sz="0" w:space="0" w:color="auto"/>
                        <w:left w:val="none" w:sz="0" w:space="0" w:color="auto"/>
                        <w:bottom w:val="none" w:sz="0" w:space="0" w:color="auto"/>
                        <w:right w:val="none" w:sz="0" w:space="0" w:color="auto"/>
                      </w:divBdr>
                    </w:div>
                  </w:divsChild>
                </w:div>
                <w:div w:id="420372751">
                  <w:marLeft w:val="0"/>
                  <w:marRight w:val="0"/>
                  <w:marTop w:val="0"/>
                  <w:marBottom w:val="0"/>
                  <w:divBdr>
                    <w:top w:val="none" w:sz="0" w:space="0" w:color="auto"/>
                    <w:left w:val="none" w:sz="0" w:space="0" w:color="auto"/>
                    <w:bottom w:val="none" w:sz="0" w:space="0" w:color="auto"/>
                    <w:right w:val="none" w:sz="0" w:space="0" w:color="auto"/>
                  </w:divBdr>
                  <w:divsChild>
                    <w:div w:id="2122215839">
                      <w:marLeft w:val="0"/>
                      <w:marRight w:val="0"/>
                      <w:marTop w:val="0"/>
                      <w:marBottom w:val="0"/>
                      <w:divBdr>
                        <w:top w:val="none" w:sz="0" w:space="0" w:color="auto"/>
                        <w:left w:val="none" w:sz="0" w:space="0" w:color="auto"/>
                        <w:bottom w:val="none" w:sz="0" w:space="0" w:color="auto"/>
                        <w:right w:val="none" w:sz="0" w:space="0" w:color="auto"/>
                      </w:divBdr>
                    </w:div>
                  </w:divsChild>
                </w:div>
                <w:div w:id="452750582">
                  <w:marLeft w:val="0"/>
                  <w:marRight w:val="0"/>
                  <w:marTop w:val="0"/>
                  <w:marBottom w:val="0"/>
                  <w:divBdr>
                    <w:top w:val="none" w:sz="0" w:space="0" w:color="auto"/>
                    <w:left w:val="none" w:sz="0" w:space="0" w:color="auto"/>
                    <w:bottom w:val="none" w:sz="0" w:space="0" w:color="auto"/>
                    <w:right w:val="none" w:sz="0" w:space="0" w:color="auto"/>
                  </w:divBdr>
                  <w:divsChild>
                    <w:div w:id="871579803">
                      <w:marLeft w:val="0"/>
                      <w:marRight w:val="0"/>
                      <w:marTop w:val="0"/>
                      <w:marBottom w:val="0"/>
                      <w:divBdr>
                        <w:top w:val="none" w:sz="0" w:space="0" w:color="auto"/>
                        <w:left w:val="none" w:sz="0" w:space="0" w:color="auto"/>
                        <w:bottom w:val="none" w:sz="0" w:space="0" w:color="auto"/>
                        <w:right w:val="none" w:sz="0" w:space="0" w:color="auto"/>
                      </w:divBdr>
                    </w:div>
                  </w:divsChild>
                </w:div>
                <w:div w:id="462578441">
                  <w:marLeft w:val="0"/>
                  <w:marRight w:val="0"/>
                  <w:marTop w:val="0"/>
                  <w:marBottom w:val="0"/>
                  <w:divBdr>
                    <w:top w:val="none" w:sz="0" w:space="0" w:color="auto"/>
                    <w:left w:val="none" w:sz="0" w:space="0" w:color="auto"/>
                    <w:bottom w:val="none" w:sz="0" w:space="0" w:color="auto"/>
                    <w:right w:val="none" w:sz="0" w:space="0" w:color="auto"/>
                  </w:divBdr>
                  <w:divsChild>
                    <w:div w:id="1980307381">
                      <w:marLeft w:val="0"/>
                      <w:marRight w:val="0"/>
                      <w:marTop w:val="0"/>
                      <w:marBottom w:val="0"/>
                      <w:divBdr>
                        <w:top w:val="none" w:sz="0" w:space="0" w:color="auto"/>
                        <w:left w:val="none" w:sz="0" w:space="0" w:color="auto"/>
                        <w:bottom w:val="none" w:sz="0" w:space="0" w:color="auto"/>
                        <w:right w:val="none" w:sz="0" w:space="0" w:color="auto"/>
                      </w:divBdr>
                    </w:div>
                  </w:divsChild>
                </w:div>
                <w:div w:id="491215989">
                  <w:marLeft w:val="0"/>
                  <w:marRight w:val="0"/>
                  <w:marTop w:val="0"/>
                  <w:marBottom w:val="0"/>
                  <w:divBdr>
                    <w:top w:val="none" w:sz="0" w:space="0" w:color="auto"/>
                    <w:left w:val="none" w:sz="0" w:space="0" w:color="auto"/>
                    <w:bottom w:val="none" w:sz="0" w:space="0" w:color="auto"/>
                    <w:right w:val="none" w:sz="0" w:space="0" w:color="auto"/>
                  </w:divBdr>
                  <w:divsChild>
                    <w:div w:id="1585146271">
                      <w:marLeft w:val="0"/>
                      <w:marRight w:val="0"/>
                      <w:marTop w:val="0"/>
                      <w:marBottom w:val="0"/>
                      <w:divBdr>
                        <w:top w:val="none" w:sz="0" w:space="0" w:color="auto"/>
                        <w:left w:val="none" w:sz="0" w:space="0" w:color="auto"/>
                        <w:bottom w:val="none" w:sz="0" w:space="0" w:color="auto"/>
                        <w:right w:val="none" w:sz="0" w:space="0" w:color="auto"/>
                      </w:divBdr>
                    </w:div>
                  </w:divsChild>
                </w:div>
                <w:div w:id="508525670">
                  <w:marLeft w:val="0"/>
                  <w:marRight w:val="0"/>
                  <w:marTop w:val="0"/>
                  <w:marBottom w:val="0"/>
                  <w:divBdr>
                    <w:top w:val="none" w:sz="0" w:space="0" w:color="auto"/>
                    <w:left w:val="none" w:sz="0" w:space="0" w:color="auto"/>
                    <w:bottom w:val="none" w:sz="0" w:space="0" w:color="auto"/>
                    <w:right w:val="none" w:sz="0" w:space="0" w:color="auto"/>
                  </w:divBdr>
                  <w:divsChild>
                    <w:div w:id="961114067">
                      <w:marLeft w:val="0"/>
                      <w:marRight w:val="0"/>
                      <w:marTop w:val="0"/>
                      <w:marBottom w:val="0"/>
                      <w:divBdr>
                        <w:top w:val="none" w:sz="0" w:space="0" w:color="auto"/>
                        <w:left w:val="none" w:sz="0" w:space="0" w:color="auto"/>
                        <w:bottom w:val="none" w:sz="0" w:space="0" w:color="auto"/>
                        <w:right w:val="none" w:sz="0" w:space="0" w:color="auto"/>
                      </w:divBdr>
                    </w:div>
                  </w:divsChild>
                </w:div>
                <w:div w:id="522061291">
                  <w:marLeft w:val="0"/>
                  <w:marRight w:val="0"/>
                  <w:marTop w:val="0"/>
                  <w:marBottom w:val="0"/>
                  <w:divBdr>
                    <w:top w:val="none" w:sz="0" w:space="0" w:color="auto"/>
                    <w:left w:val="none" w:sz="0" w:space="0" w:color="auto"/>
                    <w:bottom w:val="none" w:sz="0" w:space="0" w:color="auto"/>
                    <w:right w:val="none" w:sz="0" w:space="0" w:color="auto"/>
                  </w:divBdr>
                  <w:divsChild>
                    <w:div w:id="1531186931">
                      <w:marLeft w:val="0"/>
                      <w:marRight w:val="0"/>
                      <w:marTop w:val="0"/>
                      <w:marBottom w:val="0"/>
                      <w:divBdr>
                        <w:top w:val="none" w:sz="0" w:space="0" w:color="auto"/>
                        <w:left w:val="none" w:sz="0" w:space="0" w:color="auto"/>
                        <w:bottom w:val="none" w:sz="0" w:space="0" w:color="auto"/>
                        <w:right w:val="none" w:sz="0" w:space="0" w:color="auto"/>
                      </w:divBdr>
                    </w:div>
                  </w:divsChild>
                </w:div>
                <w:div w:id="586352586">
                  <w:marLeft w:val="0"/>
                  <w:marRight w:val="0"/>
                  <w:marTop w:val="0"/>
                  <w:marBottom w:val="0"/>
                  <w:divBdr>
                    <w:top w:val="none" w:sz="0" w:space="0" w:color="auto"/>
                    <w:left w:val="none" w:sz="0" w:space="0" w:color="auto"/>
                    <w:bottom w:val="none" w:sz="0" w:space="0" w:color="auto"/>
                    <w:right w:val="none" w:sz="0" w:space="0" w:color="auto"/>
                  </w:divBdr>
                  <w:divsChild>
                    <w:div w:id="294793480">
                      <w:marLeft w:val="0"/>
                      <w:marRight w:val="0"/>
                      <w:marTop w:val="0"/>
                      <w:marBottom w:val="0"/>
                      <w:divBdr>
                        <w:top w:val="none" w:sz="0" w:space="0" w:color="auto"/>
                        <w:left w:val="none" w:sz="0" w:space="0" w:color="auto"/>
                        <w:bottom w:val="none" w:sz="0" w:space="0" w:color="auto"/>
                        <w:right w:val="none" w:sz="0" w:space="0" w:color="auto"/>
                      </w:divBdr>
                    </w:div>
                  </w:divsChild>
                </w:div>
                <w:div w:id="658851831">
                  <w:marLeft w:val="0"/>
                  <w:marRight w:val="0"/>
                  <w:marTop w:val="0"/>
                  <w:marBottom w:val="0"/>
                  <w:divBdr>
                    <w:top w:val="none" w:sz="0" w:space="0" w:color="auto"/>
                    <w:left w:val="none" w:sz="0" w:space="0" w:color="auto"/>
                    <w:bottom w:val="none" w:sz="0" w:space="0" w:color="auto"/>
                    <w:right w:val="none" w:sz="0" w:space="0" w:color="auto"/>
                  </w:divBdr>
                  <w:divsChild>
                    <w:div w:id="1553425836">
                      <w:marLeft w:val="0"/>
                      <w:marRight w:val="0"/>
                      <w:marTop w:val="0"/>
                      <w:marBottom w:val="0"/>
                      <w:divBdr>
                        <w:top w:val="none" w:sz="0" w:space="0" w:color="auto"/>
                        <w:left w:val="none" w:sz="0" w:space="0" w:color="auto"/>
                        <w:bottom w:val="none" w:sz="0" w:space="0" w:color="auto"/>
                        <w:right w:val="none" w:sz="0" w:space="0" w:color="auto"/>
                      </w:divBdr>
                    </w:div>
                  </w:divsChild>
                </w:div>
                <w:div w:id="672924626">
                  <w:marLeft w:val="0"/>
                  <w:marRight w:val="0"/>
                  <w:marTop w:val="0"/>
                  <w:marBottom w:val="0"/>
                  <w:divBdr>
                    <w:top w:val="none" w:sz="0" w:space="0" w:color="auto"/>
                    <w:left w:val="none" w:sz="0" w:space="0" w:color="auto"/>
                    <w:bottom w:val="none" w:sz="0" w:space="0" w:color="auto"/>
                    <w:right w:val="none" w:sz="0" w:space="0" w:color="auto"/>
                  </w:divBdr>
                  <w:divsChild>
                    <w:div w:id="1661469577">
                      <w:marLeft w:val="0"/>
                      <w:marRight w:val="0"/>
                      <w:marTop w:val="0"/>
                      <w:marBottom w:val="0"/>
                      <w:divBdr>
                        <w:top w:val="none" w:sz="0" w:space="0" w:color="auto"/>
                        <w:left w:val="none" w:sz="0" w:space="0" w:color="auto"/>
                        <w:bottom w:val="none" w:sz="0" w:space="0" w:color="auto"/>
                        <w:right w:val="none" w:sz="0" w:space="0" w:color="auto"/>
                      </w:divBdr>
                    </w:div>
                  </w:divsChild>
                </w:div>
                <w:div w:id="745537562">
                  <w:marLeft w:val="0"/>
                  <w:marRight w:val="0"/>
                  <w:marTop w:val="0"/>
                  <w:marBottom w:val="0"/>
                  <w:divBdr>
                    <w:top w:val="none" w:sz="0" w:space="0" w:color="auto"/>
                    <w:left w:val="none" w:sz="0" w:space="0" w:color="auto"/>
                    <w:bottom w:val="none" w:sz="0" w:space="0" w:color="auto"/>
                    <w:right w:val="none" w:sz="0" w:space="0" w:color="auto"/>
                  </w:divBdr>
                  <w:divsChild>
                    <w:div w:id="101656830">
                      <w:marLeft w:val="0"/>
                      <w:marRight w:val="0"/>
                      <w:marTop w:val="0"/>
                      <w:marBottom w:val="0"/>
                      <w:divBdr>
                        <w:top w:val="none" w:sz="0" w:space="0" w:color="auto"/>
                        <w:left w:val="none" w:sz="0" w:space="0" w:color="auto"/>
                        <w:bottom w:val="none" w:sz="0" w:space="0" w:color="auto"/>
                        <w:right w:val="none" w:sz="0" w:space="0" w:color="auto"/>
                      </w:divBdr>
                    </w:div>
                  </w:divsChild>
                </w:div>
                <w:div w:id="805049597">
                  <w:marLeft w:val="0"/>
                  <w:marRight w:val="0"/>
                  <w:marTop w:val="0"/>
                  <w:marBottom w:val="0"/>
                  <w:divBdr>
                    <w:top w:val="none" w:sz="0" w:space="0" w:color="auto"/>
                    <w:left w:val="none" w:sz="0" w:space="0" w:color="auto"/>
                    <w:bottom w:val="none" w:sz="0" w:space="0" w:color="auto"/>
                    <w:right w:val="none" w:sz="0" w:space="0" w:color="auto"/>
                  </w:divBdr>
                  <w:divsChild>
                    <w:div w:id="1601328786">
                      <w:marLeft w:val="0"/>
                      <w:marRight w:val="0"/>
                      <w:marTop w:val="0"/>
                      <w:marBottom w:val="0"/>
                      <w:divBdr>
                        <w:top w:val="none" w:sz="0" w:space="0" w:color="auto"/>
                        <w:left w:val="none" w:sz="0" w:space="0" w:color="auto"/>
                        <w:bottom w:val="none" w:sz="0" w:space="0" w:color="auto"/>
                        <w:right w:val="none" w:sz="0" w:space="0" w:color="auto"/>
                      </w:divBdr>
                    </w:div>
                  </w:divsChild>
                </w:div>
                <w:div w:id="832111916">
                  <w:marLeft w:val="0"/>
                  <w:marRight w:val="0"/>
                  <w:marTop w:val="0"/>
                  <w:marBottom w:val="0"/>
                  <w:divBdr>
                    <w:top w:val="none" w:sz="0" w:space="0" w:color="auto"/>
                    <w:left w:val="none" w:sz="0" w:space="0" w:color="auto"/>
                    <w:bottom w:val="none" w:sz="0" w:space="0" w:color="auto"/>
                    <w:right w:val="none" w:sz="0" w:space="0" w:color="auto"/>
                  </w:divBdr>
                  <w:divsChild>
                    <w:div w:id="622155109">
                      <w:marLeft w:val="0"/>
                      <w:marRight w:val="0"/>
                      <w:marTop w:val="0"/>
                      <w:marBottom w:val="0"/>
                      <w:divBdr>
                        <w:top w:val="none" w:sz="0" w:space="0" w:color="auto"/>
                        <w:left w:val="none" w:sz="0" w:space="0" w:color="auto"/>
                        <w:bottom w:val="none" w:sz="0" w:space="0" w:color="auto"/>
                        <w:right w:val="none" w:sz="0" w:space="0" w:color="auto"/>
                      </w:divBdr>
                    </w:div>
                  </w:divsChild>
                </w:div>
                <w:div w:id="874197086">
                  <w:marLeft w:val="0"/>
                  <w:marRight w:val="0"/>
                  <w:marTop w:val="0"/>
                  <w:marBottom w:val="0"/>
                  <w:divBdr>
                    <w:top w:val="none" w:sz="0" w:space="0" w:color="auto"/>
                    <w:left w:val="none" w:sz="0" w:space="0" w:color="auto"/>
                    <w:bottom w:val="none" w:sz="0" w:space="0" w:color="auto"/>
                    <w:right w:val="none" w:sz="0" w:space="0" w:color="auto"/>
                  </w:divBdr>
                  <w:divsChild>
                    <w:div w:id="340931616">
                      <w:marLeft w:val="0"/>
                      <w:marRight w:val="0"/>
                      <w:marTop w:val="0"/>
                      <w:marBottom w:val="0"/>
                      <w:divBdr>
                        <w:top w:val="none" w:sz="0" w:space="0" w:color="auto"/>
                        <w:left w:val="none" w:sz="0" w:space="0" w:color="auto"/>
                        <w:bottom w:val="none" w:sz="0" w:space="0" w:color="auto"/>
                        <w:right w:val="none" w:sz="0" w:space="0" w:color="auto"/>
                      </w:divBdr>
                    </w:div>
                    <w:div w:id="1366441595">
                      <w:marLeft w:val="0"/>
                      <w:marRight w:val="0"/>
                      <w:marTop w:val="0"/>
                      <w:marBottom w:val="0"/>
                      <w:divBdr>
                        <w:top w:val="none" w:sz="0" w:space="0" w:color="auto"/>
                        <w:left w:val="none" w:sz="0" w:space="0" w:color="auto"/>
                        <w:bottom w:val="none" w:sz="0" w:space="0" w:color="auto"/>
                        <w:right w:val="none" w:sz="0" w:space="0" w:color="auto"/>
                      </w:divBdr>
                    </w:div>
                  </w:divsChild>
                </w:div>
                <w:div w:id="915361520">
                  <w:marLeft w:val="0"/>
                  <w:marRight w:val="0"/>
                  <w:marTop w:val="0"/>
                  <w:marBottom w:val="0"/>
                  <w:divBdr>
                    <w:top w:val="none" w:sz="0" w:space="0" w:color="auto"/>
                    <w:left w:val="none" w:sz="0" w:space="0" w:color="auto"/>
                    <w:bottom w:val="none" w:sz="0" w:space="0" w:color="auto"/>
                    <w:right w:val="none" w:sz="0" w:space="0" w:color="auto"/>
                  </w:divBdr>
                  <w:divsChild>
                    <w:div w:id="1574271156">
                      <w:marLeft w:val="0"/>
                      <w:marRight w:val="0"/>
                      <w:marTop w:val="0"/>
                      <w:marBottom w:val="0"/>
                      <w:divBdr>
                        <w:top w:val="none" w:sz="0" w:space="0" w:color="auto"/>
                        <w:left w:val="none" w:sz="0" w:space="0" w:color="auto"/>
                        <w:bottom w:val="none" w:sz="0" w:space="0" w:color="auto"/>
                        <w:right w:val="none" w:sz="0" w:space="0" w:color="auto"/>
                      </w:divBdr>
                    </w:div>
                  </w:divsChild>
                </w:div>
                <w:div w:id="963267717">
                  <w:marLeft w:val="0"/>
                  <w:marRight w:val="0"/>
                  <w:marTop w:val="0"/>
                  <w:marBottom w:val="0"/>
                  <w:divBdr>
                    <w:top w:val="none" w:sz="0" w:space="0" w:color="auto"/>
                    <w:left w:val="none" w:sz="0" w:space="0" w:color="auto"/>
                    <w:bottom w:val="none" w:sz="0" w:space="0" w:color="auto"/>
                    <w:right w:val="none" w:sz="0" w:space="0" w:color="auto"/>
                  </w:divBdr>
                  <w:divsChild>
                    <w:div w:id="281309207">
                      <w:marLeft w:val="0"/>
                      <w:marRight w:val="0"/>
                      <w:marTop w:val="0"/>
                      <w:marBottom w:val="0"/>
                      <w:divBdr>
                        <w:top w:val="none" w:sz="0" w:space="0" w:color="auto"/>
                        <w:left w:val="none" w:sz="0" w:space="0" w:color="auto"/>
                        <w:bottom w:val="none" w:sz="0" w:space="0" w:color="auto"/>
                        <w:right w:val="none" w:sz="0" w:space="0" w:color="auto"/>
                      </w:divBdr>
                    </w:div>
                  </w:divsChild>
                </w:div>
                <w:div w:id="1073432227">
                  <w:marLeft w:val="0"/>
                  <w:marRight w:val="0"/>
                  <w:marTop w:val="0"/>
                  <w:marBottom w:val="0"/>
                  <w:divBdr>
                    <w:top w:val="none" w:sz="0" w:space="0" w:color="auto"/>
                    <w:left w:val="none" w:sz="0" w:space="0" w:color="auto"/>
                    <w:bottom w:val="none" w:sz="0" w:space="0" w:color="auto"/>
                    <w:right w:val="none" w:sz="0" w:space="0" w:color="auto"/>
                  </w:divBdr>
                  <w:divsChild>
                    <w:div w:id="423890473">
                      <w:marLeft w:val="0"/>
                      <w:marRight w:val="0"/>
                      <w:marTop w:val="0"/>
                      <w:marBottom w:val="0"/>
                      <w:divBdr>
                        <w:top w:val="none" w:sz="0" w:space="0" w:color="auto"/>
                        <w:left w:val="none" w:sz="0" w:space="0" w:color="auto"/>
                        <w:bottom w:val="none" w:sz="0" w:space="0" w:color="auto"/>
                        <w:right w:val="none" w:sz="0" w:space="0" w:color="auto"/>
                      </w:divBdr>
                    </w:div>
                  </w:divsChild>
                </w:div>
                <w:div w:id="1088499283">
                  <w:marLeft w:val="0"/>
                  <w:marRight w:val="0"/>
                  <w:marTop w:val="0"/>
                  <w:marBottom w:val="0"/>
                  <w:divBdr>
                    <w:top w:val="none" w:sz="0" w:space="0" w:color="auto"/>
                    <w:left w:val="none" w:sz="0" w:space="0" w:color="auto"/>
                    <w:bottom w:val="none" w:sz="0" w:space="0" w:color="auto"/>
                    <w:right w:val="none" w:sz="0" w:space="0" w:color="auto"/>
                  </w:divBdr>
                  <w:divsChild>
                    <w:div w:id="646251165">
                      <w:marLeft w:val="0"/>
                      <w:marRight w:val="0"/>
                      <w:marTop w:val="0"/>
                      <w:marBottom w:val="0"/>
                      <w:divBdr>
                        <w:top w:val="none" w:sz="0" w:space="0" w:color="auto"/>
                        <w:left w:val="none" w:sz="0" w:space="0" w:color="auto"/>
                        <w:bottom w:val="none" w:sz="0" w:space="0" w:color="auto"/>
                        <w:right w:val="none" w:sz="0" w:space="0" w:color="auto"/>
                      </w:divBdr>
                    </w:div>
                  </w:divsChild>
                </w:div>
                <w:div w:id="1127577662">
                  <w:marLeft w:val="0"/>
                  <w:marRight w:val="0"/>
                  <w:marTop w:val="0"/>
                  <w:marBottom w:val="0"/>
                  <w:divBdr>
                    <w:top w:val="none" w:sz="0" w:space="0" w:color="auto"/>
                    <w:left w:val="none" w:sz="0" w:space="0" w:color="auto"/>
                    <w:bottom w:val="none" w:sz="0" w:space="0" w:color="auto"/>
                    <w:right w:val="none" w:sz="0" w:space="0" w:color="auto"/>
                  </w:divBdr>
                  <w:divsChild>
                    <w:div w:id="1459295699">
                      <w:marLeft w:val="0"/>
                      <w:marRight w:val="0"/>
                      <w:marTop w:val="0"/>
                      <w:marBottom w:val="0"/>
                      <w:divBdr>
                        <w:top w:val="none" w:sz="0" w:space="0" w:color="auto"/>
                        <w:left w:val="none" w:sz="0" w:space="0" w:color="auto"/>
                        <w:bottom w:val="none" w:sz="0" w:space="0" w:color="auto"/>
                        <w:right w:val="none" w:sz="0" w:space="0" w:color="auto"/>
                      </w:divBdr>
                    </w:div>
                  </w:divsChild>
                </w:div>
                <w:div w:id="1188759120">
                  <w:marLeft w:val="0"/>
                  <w:marRight w:val="0"/>
                  <w:marTop w:val="0"/>
                  <w:marBottom w:val="0"/>
                  <w:divBdr>
                    <w:top w:val="none" w:sz="0" w:space="0" w:color="auto"/>
                    <w:left w:val="none" w:sz="0" w:space="0" w:color="auto"/>
                    <w:bottom w:val="none" w:sz="0" w:space="0" w:color="auto"/>
                    <w:right w:val="none" w:sz="0" w:space="0" w:color="auto"/>
                  </w:divBdr>
                  <w:divsChild>
                    <w:div w:id="1493377662">
                      <w:marLeft w:val="0"/>
                      <w:marRight w:val="0"/>
                      <w:marTop w:val="0"/>
                      <w:marBottom w:val="0"/>
                      <w:divBdr>
                        <w:top w:val="none" w:sz="0" w:space="0" w:color="auto"/>
                        <w:left w:val="none" w:sz="0" w:space="0" w:color="auto"/>
                        <w:bottom w:val="none" w:sz="0" w:space="0" w:color="auto"/>
                        <w:right w:val="none" w:sz="0" w:space="0" w:color="auto"/>
                      </w:divBdr>
                    </w:div>
                  </w:divsChild>
                </w:div>
                <w:div w:id="1294409376">
                  <w:marLeft w:val="0"/>
                  <w:marRight w:val="0"/>
                  <w:marTop w:val="0"/>
                  <w:marBottom w:val="0"/>
                  <w:divBdr>
                    <w:top w:val="none" w:sz="0" w:space="0" w:color="auto"/>
                    <w:left w:val="none" w:sz="0" w:space="0" w:color="auto"/>
                    <w:bottom w:val="none" w:sz="0" w:space="0" w:color="auto"/>
                    <w:right w:val="none" w:sz="0" w:space="0" w:color="auto"/>
                  </w:divBdr>
                  <w:divsChild>
                    <w:div w:id="1660697756">
                      <w:marLeft w:val="0"/>
                      <w:marRight w:val="0"/>
                      <w:marTop w:val="0"/>
                      <w:marBottom w:val="0"/>
                      <w:divBdr>
                        <w:top w:val="none" w:sz="0" w:space="0" w:color="auto"/>
                        <w:left w:val="none" w:sz="0" w:space="0" w:color="auto"/>
                        <w:bottom w:val="none" w:sz="0" w:space="0" w:color="auto"/>
                        <w:right w:val="none" w:sz="0" w:space="0" w:color="auto"/>
                      </w:divBdr>
                    </w:div>
                  </w:divsChild>
                </w:div>
                <w:div w:id="1337729944">
                  <w:marLeft w:val="0"/>
                  <w:marRight w:val="0"/>
                  <w:marTop w:val="0"/>
                  <w:marBottom w:val="0"/>
                  <w:divBdr>
                    <w:top w:val="none" w:sz="0" w:space="0" w:color="auto"/>
                    <w:left w:val="none" w:sz="0" w:space="0" w:color="auto"/>
                    <w:bottom w:val="none" w:sz="0" w:space="0" w:color="auto"/>
                    <w:right w:val="none" w:sz="0" w:space="0" w:color="auto"/>
                  </w:divBdr>
                  <w:divsChild>
                    <w:div w:id="728000261">
                      <w:marLeft w:val="0"/>
                      <w:marRight w:val="0"/>
                      <w:marTop w:val="0"/>
                      <w:marBottom w:val="0"/>
                      <w:divBdr>
                        <w:top w:val="none" w:sz="0" w:space="0" w:color="auto"/>
                        <w:left w:val="none" w:sz="0" w:space="0" w:color="auto"/>
                        <w:bottom w:val="none" w:sz="0" w:space="0" w:color="auto"/>
                        <w:right w:val="none" w:sz="0" w:space="0" w:color="auto"/>
                      </w:divBdr>
                    </w:div>
                  </w:divsChild>
                </w:div>
                <w:div w:id="1362778155">
                  <w:marLeft w:val="0"/>
                  <w:marRight w:val="0"/>
                  <w:marTop w:val="0"/>
                  <w:marBottom w:val="0"/>
                  <w:divBdr>
                    <w:top w:val="none" w:sz="0" w:space="0" w:color="auto"/>
                    <w:left w:val="none" w:sz="0" w:space="0" w:color="auto"/>
                    <w:bottom w:val="none" w:sz="0" w:space="0" w:color="auto"/>
                    <w:right w:val="none" w:sz="0" w:space="0" w:color="auto"/>
                  </w:divBdr>
                  <w:divsChild>
                    <w:div w:id="2020692306">
                      <w:marLeft w:val="0"/>
                      <w:marRight w:val="0"/>
                      <w:marTop w:val="0"/>
                      <w:marBottom w:val="0"/>
                      <w:divBdr>
                        <w:top w:val="none" w:sz="0" w:space="0" w:color="auto"/>
                        <w:left w:val="none" w:sz="0" w:space="0" w:color="auto"/>
                        <w:bottom w:val="none" w:sz="0" w:space="0" w:color="auto"/>
                        <w:right w:val="none" w:sz="0" w:space="0" w:color="auto"/>
                      </w:divBdr>
                    </w:div>
                  </w:divsChild>
                </w:div>
                <w:div w:id="1391803026">
                  <w:marLeft w:val="0"/>
                  <w:marRight w:val="0"/>
                  <w:marTop w:val="0"/>
                  <w:marBottom w:val="0"/>
                  <w:divBdr>
                    <w:top w:val="none" w:sz="0" w:space="0" w:color="auto"/>
                    <w:left w:val="none" w:sz="0" w:space="0" w:color="auto"/>
                    <w:bottom w:val="none" w:sz="0" w:space="0" w:color="auto"/>
                    <w:right w:val="none" w:sz="0" w:space="0" w:color="auto"/>
                  </w:divBdr>
                  <w:divsChild>
                    <w:div w:id="1139104219">
                      <w:marLeft w:val="0"/>
                      <w:marRight w:val="0"/>
                      <w:marTop w:val="0"/>
                      <w:marBottom w:val="0"/>
                      <w:divBdr>
                        <w:top w:val="none" w:sz="0" w:space="0" w:color="auto"/>
                        <w:left w:val="none" w:sz="0" w:space="0" w:color="auto"/>
                        <w:bottom w:val="none" w:sz="0" w:space="0" w:color="auto"/>
                        <w:right w:val="none" w:sz="0" w:space="0" w:color="auto"/>
                      </w:divBdr>
                    </w:div>
                  </w:divsChild>
                </w:div>
                <w:div w:id="1393038082">
                  <w:marLeft w:val="0"/>
                  <w:marRight w:val="0"/>
                  <w:marTop w:val="0"/>
                  <w:marBottom w:val="0"/>
                  <w:divBdr>
                    <w:top w:val="none" w:sz="0" w:space="0" w:color="auto"/>
                    <w:left w:val="none" w:sz="0" w:space="0" w:color="auto"/>
                    <w:bottom w:val="none" w:sz="0" w:space="0" w:color="auto"/>
                    <w:right w:val="none" w:sz="0" w:space="0" w:color="auto"/>
                  </w:divBdr>
                  <w:divsChild>
                    <w:div w:id="1012027163">
                      <w:marLeft w:val="0"/>
                      <w:marRight w:val="0"/>
                      <w:marTop w:val="0"/>
                      <w:marBottom w:val="0"/>
                      <w:divBdr>
                        <w:top w:val="none" w:sz="0" w:space="0" w:color="auto"/>
                        <w:left w:val="none" w:sz="0" w:space="0" w:color="auto"/>
                        <w:bottom w:val="none" w:sz="0" w:space="0" w:color="auto"/>
                        <w:right w:val="none" w:sz="0" w:space="0" w:color="auto"/>
                      </w:divBdr>
                    </w:div>
                  </w:divsChild>
                </w:div>
                <w:div w:id="1430932998">
                  <w:marLeft w:val="0"/>
                  <w:marRight w:val="0"/>
                  <w:marTop w:val="0"/>
                  <w:marBottom w:val="0"/>
                  <w:divBdr>
                    <w:top w:val="none" w:sz="0" w:space="0" w:color="auto"/>
                    <w:left w:val="none" w:sz="0" w:space="0" w:color="auto"/>
                    <w:bottom w:val="none" w:sz="0" w:space="0" w:color="auto"/>
                    <w:right w:val="none" w:sz="0" w:space="0" w:color="auto"/>
                  </w:divBdr>
                  <w:divsChild>
                    <w:div w:id="2042587903">
                      <w:marLeft w:val="0"/>
                      <w:marRight w:val="0"/>
                      <w:marTop w:val="0"/>
                      <w:marBottom w:val="0"/>
                      <w:divBdr>
                        <w:top w:val="none" w:sz="0" w:space="0" w:color="auto"/>
                        <w:left w:val="none" w:sz="0" w:space="0" w:color="auto"/>
                        <w:bottom w:val="none" w:sz="0" w:space="0" w:color="auto"/>
                        <w:right w:val="none" w:sz="0" w:space="0" w:color="auto"/>
                      </w:divBdr>
                    </w:div>
                  </w:divsChild>
                </w:div>
                <w:div w:id="1545603023">
                  <w:marLeft w:val="0"/>
                  <w:marRight w:val="0"/>
                  <w:marTop w:val="0"/>
                  <w:marBottom w:val="0"/>
                  <w:divBdr>
                    <w:top w:val="none" w:sz="0" w:space="0" w:color="auto"/>
                    <w:left w:val="none" w:sz="0" w:space="0" w:color="auto"/>
                    <w:bottom w:val="none" w:sz="0" w:space="0" w:color="auto"/>
                    <w:right w:val="none" w:sz="0" w:space="0" w:color="auto"/>
                  </w:divBdr>
                  <w:divsChild>
                    <w:div w:id="779763452">
                      <w:marLeft w:val="0"/>
                      <w:marRight w:val="0"/>
                      <w:marTop w:val="0"/>
                      <w:marBottom w:val="0"/>
                      <w:divBdr>
                        <w:top w:val="none" w:sz="0" w:space="0" w:color="auto"/>
                        <w:left w:val="none" w:sz="0" w:space="0" w:color="auto"/>
                        <w:bottom w:val="none" w:sz="0" w:space="0" w:color="auto"/>
                        <w:right w:val="none" w:sz="0" w:space="0" w:color="auto"/>
                      </w:divBdr>
                    </w:div>
                  </w:divsChild>
                </w:div>
                <w:div w:id="1622220928">
                  <w:marLeft w:val="0"/>
                  <w:marRight w:val="0"/>
                  <w:marTop w:val="0"/>
                  <w:marBottom w:val="0"/>
                  <w:divBdr>
                    <w:top w:val="none" w:sz="0" w:space="0" w:color="auto"/>
                    <w:left w:val="none" w:sz="0" w:space="0" w:color="auto"/>
                    <w:bottom w:val="none" w:sz="0" w:space="0" w:color="auto"/>
                    <w:right w:val="none" w:sz="0" w:space="0" w:color="auto"/>
                  </w:divBdr>
                  <w:divsChild>
                    <w:div w:id="113791344">
                      <w:marLeft w:val="0"/>
                      <w:marRight w:val="0"/>
                      <w:marTop w:val="0"/>
                      <w:marBottom w:val="0"/>
                      <w:divBdr>
                        <w:top w:val="none" w:sz="0" w:space="0" w:color="auto"/>
                        <w:left w:val="none" w:sz="0" w:space="0" w:color="auto"/>
                        <w:bottom w:val="none" w:sz="0" w:space="0" w:color="auto"/>
                        <w:right w:val="none" w:sz="0" w:space="0" w:color="auto"/>
                      </w:divBdr>
                    </w:div>
                  </w:divsChild>
                </w:div>
                <w:div w:id="1625307889">
                  <w:marLeft w:val="0"/>
                  <w:marRight w:val="0"/>
                  <w:marTop w:val="0"/>
                  <w:marBottom w:val="0"/>
                  <w:divBdr>
                    <w:top w:val="none" w:sz="0" w:space="0" w:color="auto"/>
                    <w:left w:val="none" w:sz="0" w:space="0" w:color="auto"/>
                    <w:bottom w:val="none" w:sz="0" w:space="0" w:color="auto"/>
                    <w:right w:val="none" w:sz="0" w:space="0" w:color="auto"/>
                  </w:divBdr>
                  <w:divsChild>
                    <w:div w:id="1468203351">
                      <w:marLeft w:val="0"/>
                      <w:marRight w:val="0"/>
                      <w:marTop w:val="0"/>
                      <w:marBottom w:val="0"/>
                      <w:divBdr>
                        <w:top w:val="none" w:sz="0" w:space="0" w:color="auto"/>
                        <w:left w:val="none" w:sz="0" w:space="0" w:color="auto"/>
                        <w:bottom w:val="none" w:sz="0" w:space="0" w:color="auto"/>
                        <w:right w:val="none" w:sz="0" w:space="0" w:color="auto"/>
                      </w:divBdr>
                    </w:div>
                  </w:divsChild>
                </w:div>
                <w:div w:id="1648246394">
                  <w:marLeft w:val="0"/>
                  <w:marRight w:val="0"/>
                  <w:marTop w:val="0"/>
                  <w:marBottom w:val="0"/>
                  <w:divBdr>
                    <w:top w:val="none" w:sz="0" w:space="0" w:color="auto"/>
                    <w:left w:val="none" w:sz="0" w:space="0" w:color="auto"/>
                    <w:bottom w:val="none" w:sz="0" w:space="0" w:color="auto"/>
                    <w:right w:val="none" w:sz="0" w:space="0" w:color="auto"/>
                  </w:divBdr>
                  <w:divsChild>
                    <w:div w:id="322706103">
                      <w:marLeft w:val="0"/>
                      <w:marRight w:val="0"/>
                      <w:marTop w:val="0"/>
                      <w:marBottom w:val="0"/>
                      <w:divBdr>
                        <w:top w:val="none" w:sz="0" w:space="0" w:color="auto"/>
                        <w:left w:val="none" w:sz="0" w:space="0" w:color="auto"/>
                        <w:bottom w:val="none" w:sz="0" w:space="0" w:color="auto"/>
                        <w:right w:val="none" w:sz="0" w:space="0" w:color="auto"/>
                      </w:divBdr>
                    </w:div>
                  </w:divsChild>
                </w:div>
                <w:div w:id="1692798762">
                  <w:marLeft w:val="0"/>
                  <w:marRight w:val="0"/>
                  <w:marTop w:val="0"/>
                  <w:marBottom w:val="0"/>
                  <w:divBdr>
                    <w:top w:val="none" w:sz="0" w:space="0" w:color="auto"/>
                    <w:left w:val="none" w:sz="0" w:space="0" w:color="auto"/>
                    <w:bottom w:val="none" w:sz="0" w:space="0" w:color="auto"/>
                    <w:right w:val="none" w:sz="0" w:space="0" w:color="auto"/>
                  </w:divBdr>
                  <w:divsChild>
                    <w:div w:id="537856944">
                      <w:marLeft w:val="0"/>
                      <w:marRight w:val="0"/>
                      <w:marTop w:val="0"/>
                      <w:marBottom w:val="0"/>
                      <w:divBdr>
                        <w:top w:val="none" w:sz="0" w:space="0" w:color="auto"/>
                        <w:left w:val="none" w:sz="0" w:space="0" w:color="auto"/>
                        <w:bottom w:val="none" w:sz="0" w:space="0" w:color="auto"/>
                        <w:right w:val="none" w:sz="0" w:space="0" w:color="auto"/>
                      </w:divBdr>
                    </w:div>
                  </w:divsChild>
                </w:div>
                <w:div w:id="1854220449">
                  <w:marLeft w:val="0"/>
                  <w:marRight w:val="0"/>
                  <w:marTop w:val="0"/>
                  <w:marBottom w:val="0"/>
                  <w:divBdr>
                    <w:top w:val="none" w:sz="0" w:space="0" w:color="auto"/>
                    <w:left w:val="none" w:sz="0" w:space="0" w:color="auto"/>
                    <w:bottom w:val="none" w:sz="0" w:space="0" w:color="auto"/>
                    <w:right w:val="none" w:sz="0" w:space="0" w:color="auto"/>
                  </w:divBdr>
                  <w:divsChild>
                    <w:div w:id="1809276691">
                      <w:marLeft w:val="0"/>
                      <w:marRight w:val="0"/>
                      <w:marTop w:val="0"/>
                      <w:marBottom w:val="0"/>
                      <w:divBdr>
                        <w:top w:val="none" w:sz="0" w:space="0" w:color="auto"/>
                        <w:left w:val="none" w:sz="0" w:space="0" w:color="auto"/>
                        <w:bottom w:val="none" w:sz="0" w:space="0" w:color="auto"/>
                        <w:right w:val="none" w:sz="0" w:space="0" w:color="auto"/>
                      </w:divBdr>
                    </w:div>
                  </w:divsChild>
                </w:div>
                <w:div w:id="1905681261">
                  <w:marLeft w:val="0"/>
                  <w:marRight w:val="0"/>
                  <w:marTop w:val="0"/>
                  <w:marBottom w:val="0"/>
                  <w:divBdr>
                    <w:top w:val="none" w:sz="0" w:space="0" w:color="auto"/>
                    <w:left w:val="none" w:sz="0" w:space="0" w:color="auto"/>
                    <w:bottom w:val="none" w:sz="0" w:space="0" w:color="auto"/>
                    <w:right w:val="none" w:sz="0" w:space="0" w:color="auto"/>
                  </w:divBdr>
                  <w:divsChild>
                    <w:div w:id="1899242461">
                      <w:marLeft w:val="0"/>
                      <w:marRight w:val="0"/>
                      <w:marTop w:val="0"/>
                      <w:marBottom w:val="0"/>
                      <w:divBdr>
                        <w:top w:val="none" w:sz="0" w:space="0" w:color="auto"/>
                        <w:left w:val="none" w:sz="0" w:space="0" w:color="auto"/>
                        <w:bottom w:val="none" w:sz="0" w:space="0" w:color="auto"/>
                        <w:right w:val="none" w:sz="0" w:space="0" w:color="auto"/>
                      </w:divBdr>
                    </w:div>
                  </w:divsChild>
                </w:div>
                <w:div w:id="1948586456">
                  <w:marLeft w:val="0"/>
                  <w:marRight w:val="0"/>
                  <w:marTop w:val="0"/>
                  <w:marBottom w:val="0"/>
                  <w:divBdr>
                    <w:top w:val="none" w:sz="0" w:space="0" w:color="auto"/>
                    <w:left w:val="none" w:sz="0" w:space="0" w:color="auto"/>
                    <w:bottom w:val="none" w:sz="0" w:space="0" w:color="auto"/>
                    <w:right w:val="none" w:sz="0" w:space="0" w:color="auto"/>
                  </w:divBdr>
                  <w:divsChild>
                    <w:div w:id="950018620">
                      <w:marLeft w:val="0"/>
                      <w:marRight w:val="0"/>
                      <w:marTop w:val="0"/>
                      <w:marBottom w:val="0"/>
                      <w:divBdr>
                        <w:top w:val="none" w:sz="0" w:space="0" w:color="auto"/>
                        <w:left w:val="none" w:sz="0" w:space="0" w:color="auto"/>
                        <w:bottom w:val="none" w:sz="0" w:space="0" w:color="auto"/>
                        <w:right w:val="none" w:sz="0" w:space="0" w:color="auto"/>
                      </w:divBdr>
                    </w:div>
                  </w:divsChild>
                </w:div>
                <w:div w:id="1949655806">
                  <w:marLeft w:val="0"/>
                  <w:marRight w:val="0"/>
                  <w:marTop w:val="0"/>
                  <w:marBottom w:val="0"/>
                  <w:divBdr>
                    <w:top w:val="none" w:sz="0" w:space="0" w:color="auto"/>
                    <w:left w:val="none" w:sz="0" w:space="0" w:color="auto"/>
                    <w:bottom w:val="none" w:sz="0" w:space="0" w:color="auto"/>
                    <w:right w:val="none" w:sz="0" w:space="0" w:color="auto"/>
                  </w:divBdr>
                  <w:divsChild>
                    <w:div w:id="60760783">
                      <w:marLeft w:val="0"/>
                      <w:marRight w:val="0"/>
                      <w:marTop w:val="0"/>
                      <w:marBottom w:val="0"/>
                      <w:divBdr>
                        <w:top w:val="none" w:sz="0" w:space="0" w:color="auto"/>
                        <w:left w:val="none" w:sz="0" w:space="0" w:color="auto"/>
                        <w:bottom w:val="none" w:sz="0" w:space="0" w:color="auto"/>
                        <w:right w:val="none" w:sz="0" w:space="0" w:color="auto"/>
                      </w:divBdr>
                    </w:div>
                  </w:divsChild>
                </w:div>
                <w:div w:id="1975595302">
                  <w:marLeft w:val="0"/>
                  <w:marRight w:val="0"/>
                  <w:marTop w:val="0"/>
                  <w:marBottom w:val="0"/>
                  <w:divBdr>
                    <w:top w:val="none" w:sz="0" w:space="0" w:color="auto"/>
                    <w:left w:val="none" w:sz="0" w:space="0" w:color="auto"/>
                    <w:bottom w:val="none" w:sz="0" w:space="0" w:color="auto"/>
                    <w:right w:val="none" w:sz="0" w:space="0" w:color="auto"/>
                  </w:divBdr>
                  <w:divsChild>
                    <w:div w:id="1249119926">
                      <w:marLeft w:val="0"/>
                      <w:marRight w:val="0"/>
                      <w:marTop w:val="0"/>
                      <w:marBottom w:val="0"/>
                      <w:divBdr>
                        <w:top w:val="none" w:sz="0" w:space="0" w:color="auto"/>
                        <w:left w:val="none" w:sz="0" w:space="0" w:color="auto"/>
                        <w:bottom w:val="none" w:sz="0" w:space="0" w:color="auto"/>
                        <w:right w:val="none" w:sz="0" w:space="0" w:color="auto"/>
                      </w:divBdr>
                    </w:div>
                  </w:divsChild>
                </w:div>
                <w:div w:id="2033994832">
                  <w:marLeft w:val="0"/>
                  <w:marRight w:val="0"/>
                  <w:marTop w:val="0"/>
                  <w:marBottom w:val="0"/>
                  <w:divBdr>
                    <w:top w:val="none" w:sz="0" w:space="0" w:color="auto"/>
                    <w:left w:val="none" w:sz="0" w:space="0" w:color="auto"/>
                    <w:bottom w:val="none" w:sz="0" w:space="0" w:color="auto"/>
                    <w:right w:val="none" w:sz="0" w:space="0" w:color="auto"/>
                  </w:divBdr>
                  <w:divsChild>
                    <w:div w:id="2031056834">
                      <w:marLeft w:val="0"/>
                      <w:marRight w:val="0"/>
                      <w:marTop w:val="0"/>
                      <w:marBottom w:val="0"/>
                      <w:divBdr>
                        <w:top w:val="none" w:sz="0" w:space="0" w:color="auto"/>
                        <w:left w:val="none" w:sz="0" w:space="0" w:color="auto"/>
                        <w:bottom w:val="none" w:sz="0" w:space="0" w:color="auto"/>
                        <w:right w:val="none" w:sz="0" w:space="0" w:color="auto"/>
                      </w:divBdr>
                    </w:div>
                  </w:divsChild>
                </w:div>
                <w:div w:id="2087460104">
                  <w:marLeft w:val="0"/>
                  <w:marRight w:val="0"/>
                  <w:marTop w:val="0"/>
                  <w:marBottom w:val="0"/>
                  <w:divBdr>
                    <w:top w:val="none" w:sz="0" w:space="0" w:color="auto"/>
                    <w:left w:val="none" w:sz="0" w:space="0" w:color="auto"/>
                    <w:bottom w:val="none" w:sz="0" w:space="0" w:color="auto"/>
                    <w:right w:val="none" w:sz="0" w:space="0" w:color="auto"/>
                  </w:divBdr>
                  <w:divsChild>
                    <w:div w:id="177893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257909">
          <w:marLeft w:val="0"/>
          <w:marRight w:val="0"/>
          <w:marTop w:val="0"/>
          <w:marBottom w:val="0"/>
          <w:divBdr>
            <w:top w:val="none" w:sz="0" w:space="0" w:color="auto"/>
            <w:left w:val="none" w:sz="0" w:space="0" w:color="auto"/>
            <w:bottom w:val="none" w:sz="0" w:space="0" w:color="auto"/>
            <w:right w:val="none" w:sz="0" w:space="0" w:color="auto"/>
          </w:divBdr>
          <w:divsChild>
            <w:div w:id="1426608910">
              <w:marLeft w:val="0"/>
              <w:marRight w:val="0"/>
              <w:marTop w:val="0"/>
              <w:marBottom w:val="0"/>
              <w:divBdr>
                <w:top w:val="none" w:sz="0" w:space="0" w:color="auto"/>
                <w:left w:val="none" w:sz="0" w:space="0" w:color="auto"/>
                <w:bottom w:val="none" w:sz="0" w:space="0" w:color="auto"/>
                <w:right w:val="none" w:sz="0" w:space="0" w:color="auto"/>
              </w:divBdr>
            </w:div>
            <w:div w:id="183587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15543">
      <w:bodyDiv w:val="1"/>
      <w:marLeft w:val="0"/>
      <w:marRight w:val="0"/>
      <w:marTop w:val="0"/>
      <w:marBottom w:val="0"/>
      <w:divBdr>
        <w:top w:val="none" w:sz="0" w:space="0" w:color="auto"/>
        <w:left w:val="none" w:sz="0" w:space="0" w:color="auto"/>
        <w:bottom w:val="none" w:sz="0" w:space="0" w:color="auto"/>
        <w:right w:val="none" w:sz="0" w:space="0" w:color="auto"/>
      </w:divBdr>
    </w:div>
    <w:div w:id="741756186">
      <w:bodyDiv w:val="1"/>
      <w:marLeft w:val="0"/>
      <w:marRight w:val="0"/>
      <w:marTop w:val="0"/>
      <w:marBottom w:val="0"/>
      <w:divBdr>
        <w:top w:val="none" w:sz="0" w:space="0" w:color="auto"/>
        <w:left w:val="none" w:sz="0" w:space="0" w:color="auto"/>
        <w:bottom w:val="none" w:sz="0" w:space="0" w:color="auto"/>
        <w:right w:val="none" w:sz="0" w:space="0" w:color="auto"/>
      </w:divBdr>
    </w:div>
    <w:div w:id="803695999">
      <w:bodyDiv w:val="1"/>
      <w:marLeft w:val="0"/>
      <w:marRight w:val="0"/>
      <w:marTop w:val="0"/>
      <w:marBottom w:val="0"/>
      <w:divBdr>
        <w:top w:val="none" w:sz="0" w:space="0" w:color="auto"/>
        <w:left w:val="none" w:sz="0" w:space="0" w:color="auto"/>
        <w:bottom w:val="none" w:sz="0" w:space="0" w:color="auto"/>
        <w:right w:val="none" w:sz="0" w:space="0" w:color="auto"/>
      </w:divBdr>
      <w:divsChild>
        <w:div w:id="970014430">
          <w:marLeft w:val="0"/>
          <w:marRight w:val="0"/>
          <w:marTop w:val="0"/>
          <w:marBottom w:val="0"/>
          <w:divBdr>
            <w:top w:val="none" w:sz="0" w:space="0" w:color="auto"/>
            <w:left w:val="none" w:sz="0" w:space="0" w:color="auto"/>
            <w:bottom w:val="none" w:sz="0" w:space="0" w:color="auto"/>
            <w:right w:val="none" w:sz="0" w:space="0" w:color="auto"/>
          </w:divBdr>
        </w:div>
        <w:div w:id="1722828263">
          <w:marLeft w:val="0"/>
          <w:marRight w:val="0"/>
          <w:marTop w:val="0"/>
          <w:marBottom w:val="0"/>
          <w:divBdr>
            <w:top w:val="none" w:sz="0" w:space="0" w:color="auto"/>
            <w:left w:val="none" w:sz="0" w:space="0" w:color="auto"/>
            <w:bottom w:val="none" w:sz="0" w:space="0" w:color="auto"/>
            <w:right w:val="none" w:sz="0" w:space="0" w:color="auto"/>
          </w:divBdr>
        </w:div>
        <w:div w:id="1749110990">
          <w:marLeft w:val="0"/>
          <w:marRight w:val="0"/>
          <w:marTop w:val="0"/>
          <w:marBottom w:val="0"/>
          <w:divBdr>
            <w:top w:val="none" w:sz="0" w:space="0" w:color="auto"/>
            <w:left w:val="none" w:sz="0" w:space="0" w:color="auto"/>
            <w:bottom w:val="none" w:sz="0" w:space="0" w:color="auto"/>
            <w:right w:val="none" w:sz="0" w:space="0" w:color="auto"/>
          </w:divBdr>
        </w:div>
        <w:div w:id="2028359517">
          <w:marLeft w:val="0"/>
          <w:marRight w:val="0"/>
          <w:marTop w:val="0"/>
          <w:marBottom w:val="0"/>
          <w:divBdr>
            <w:top w:val="none" w:sz="0" w:space="0" w:color="auto"/>
            <w:left w:val="none" w:sz="0" w:space="0" w:color="auto"/>
            <w:bottom w:val="none" w:sz="0" w:space="0" w:color="auto"/>
            <w:right w:val="none" w:sz="0" w:space="0" w:color="auto"/>
          </w:divBdr>
        </w:div>
      </w:divsChild>
    </w:div>
    <w:div w:id="850680708">
      <w:bodyDiv w:val="1"/>
      <w:marLeft w:val="0"/>
      <w:marRight w:val="0"/>
      <w:marTop w:val="0"/>
      <w:marBottom w:val="0"/>
      <w:divBdr>
        <w:top w:val="none" w:sz="0" w:space="0" w:color="auto"/>
        <w:left w:val="none" w:sz="0" w:space="0" w:color="auto"/>
        <w:bottom w:val="none" w:sz="0" w:space="0" w:color="auto"/>
        <w:right w:val="none" w:sz="0" w:space="0" w:color="auto"/>
      </w:divBdr>
    </w:div>
    <w:div w:id="851067279">
      <w:bodyDiv w:val="1"/>
      <w:marLeft w:val="0"/>
      <w:marRight w:val="0"/>
      <w:marTop w:val="0"/>
      <w:marBottom w:val="0"/>
      <w:divBdr>
        <w:top w:val="none" w:sz="0" w:space="0" w:color="auto"/>
        <w:left w:val="none" w:sz="0" w:space="0" w:color="auto"/>
        <w:bottom w:val="none" w:sz="0" w:space="0" w:color="auto"/>
        <w:right w:val="none" w:sz="0" w:space="0" w:color="auto"/>
      </w:divBdr>
    </w:div>
    <w:div w:id="894314632">
      <w:bodyDiv w:val="1"/>
      <w:marLeft w:val="0"/>
      <w:marRight w:val="0"/>
      <w:marTop w:val="0"/>
      <w:marBottom w:val="0"/>
      <w:divBdr>
        <w:top w:val="none" w:sz="0" w:space="0" w:color="auto"/>
        <w:left w:val="none" w:sz="0" w:space="0" w:color="auto"/>
        <w:bottom w:val="none" w:sz="0" w:space="0" w:color="auto"/>
        <w:right w:val="none" w:sz="0" w:space="0" w:color="auto"/>
      </w:divBdr>
    </w:div>
    <w:div w:id="901789176">
      <w:bodyDiv w:val="1"/>
      <w:marLeft w:val="0"/>
      <w:marRight w:val="0"/>
      <w:marTop w:val="0"/>
      <w:marBottom w:val="0"/>
      <w:divBdr>
        <w:top w:val="none" w:sz="0" w:space="0" w:color="auto"/>
        <w:left w:val="none" w:sz="0" w:space="0" w:color="auto"/>
        <w:bottom w:val="none" w:sz="0" w:space="0" w:color="auto"/>
        <w:right w:val="none" w:sz="0" w:space="0" w:color="auto"/>
      </w:divBdr>
    </w:div>
    <w:div w:id="997612217">
      <w:bodyDiv w:val="1"/>
      <w:marLeft w:val="0"/>
      <w:marRight w:val="0"/>
      <w:marTop w:val="0"/>
      <w:marBottom w:val="0"/>
      <w:divBdr>
        <w:top w:val="none" w:sz="0" w:space="0" w:color="auto"/>
        <w:left w:val="none" w:sz="0" w:space="0" w:color="auto"/>
        <w:bottom w:val="none" w:sz="0" w:space="0" w:color="auto"/>
        <w:right w:val="none" w:sz="0" w:space="0" w:color="auto"/>
      </w:divBdr>
    </w:div>
    <w:div w:id="1027675743">
      <w:bodyDiv w:val="1"/>
      <w:marLeft w:val="0"/>
      <w:marRight w:val="0"/>
      <w:marTop w:val="0"/>
      <w:marBottom w:val="0"/>
      <w:divBdr>
        <w:top w:val="none" w:sz="0" w:space="0" w:color="auto"/>
        <w:left w:val="none" w:sz="0" w:space="0" w:color="auto"/>
        <w:bottom w:val="none" w:sz="0" w:space="0" w:color="auto"/>
        <w:right w:val="none" w:sz="0" w:space="0" w:color="auto"/>
      </w:divBdr>
    </w:div>
    <w:div w:id="1188059476">
      <w:bodyDiv w:val="1"/>
      <w:marLeft w:val="0"/>
      <w:marRight w:val="0"/>
      <w:marTop w:val="0"/>
      <w:marBottom w:val="0"/>
      <w:divBdr>
        <w:top w:val="none" w:sz="0" w:space="0" w:color="auto"/>
        <w:left w:val="none" w:sz="0" w:space="0" w:color="auto"/>
        <w:bottom w:val="none" w:sz="0" w:space="0" w:color="auto"/>
        <w:right w:val="none" w:sz="0" w:space="0" w:color="auto"/>
      </w:divBdr>
    </w:div>
    <w:div w:id="1221673140">
      <w:bodyDiv w:val="1"/>
      <w:marLeft w:val="0"/>
      <w:marRight w:val="0"/>
      <w:marTop w:val="0"/>
      <w:marBottom w:val="0"/>
      <w:divBdr>
        <w:top w:val="none" w:sz="0" w:space="0" w:color="auto"/>
        <w:left w:val="none" w:sz="0" w:space="0" w:color="auto"/>
        <w:bottom w:val="none" w:sz="0" w:space="0" w:color="auto"/>
        <w:right w:val="none" w:sz="0" w:space="0" w:color="auto"/>
      </w:divBdr>
    </w:div>
    <w:div w:id="1229682430">
      <w:bodyDiv w:val="1"/>
      <w:marLeft w:val="0"/>
      <w:marRight w:val="0"/>
      <w:marTop w:val="0"/>
      <w:marBottom w:val="0"/>
      <w:divBdr>
        <w:top w:val="none" w:sz="0" w:space="0" w:color="auto"/>
        <w:left w:val="none" w:sz="0" w:space="0" w:color="auto"/>
        <w:bottom w:val="none" w:sz="0" w:space="0" w:color="auto"/>
        <w:right w:val="none" w:sz="0" w:space="0" w:color="auto"/>
      </w:divBdr>
    </w:div>
    <w:div w:id="1240600881">
      <w:bodyDiv w:val="1"/>
      <w:marLeft w:val="0"/>
      <w:marRight w:val="0"/>
      <w:marTop w:val="0"/>
      <w:marBottom w:val="0"/>
      <w:divBdr>
        <w:top w:val="none" w:sz="0" w:space="0" w:color="auto"/>
        <w:left w:val="none" w:sz="0" w:space="0" w:color="auto"/>
        <w:bottom w:val="none" w:sz="0" w:space="0" w:color="auto"/>
        <w:right w:val="none" w:sz="0" w:space="0" w:color="auto"/>
      </w:divBdr>
    </w:div>
    <w:div w:id="1379433095">
      <w:bodyDiv w:val="1"/>
      <w:marLeft w:val="0"/>
      <w:marRight w:val="0"/>
      <w:marTop w:val="0"/>
      <w:marBottom w:val="0"/>
      <w:divBdr>
        <w:top w:val="none" w:sz="0" w:space="0" w:color="auto"/>
        <w:left w:val="none" w:sz="0" w:space="0" w:color="auto"/>
        <w:bottom w:val="none" w:sz="0" w:space="0" w:color="auto"/>
        <w:right w:val="none" w:sz="0" w:space="0" w:color="auto"/>
      </w:divBdr>
    </w:div>
    <w:div w:id="1417480838">
      <w:bodyDiv w:val="1"/>
      <w:marLeft w:val="0"/>
      <w:marRight w:val="0"/>
      <w:marTop w:val="0"/>
      <w:marBottom w:val="0"/>
      <w:divBdr>
        <w:top w:val="none" w:sz="0" w:space="0" w:color="auto"/>
        <w:left w:val="none" w:sz="0" w:space="0" w:color="auto"/>
        <w:bottom w:val="none" w:sz="0" w:space="0" w:color="auto"/>
        <w:right w:val="none" w:sz="0" w:space="0" w:color="auto"/>
      </w:divBdr>
    </w:div>
    <w:div w:id="1461997063">
      <w:bodyDiv w:val="1"/>
      <w:marLeft w:val="0"/>
      <w:marRight w:val="0"/>
      <w:marTop w:val="0"/>
      <w:marBottom w:val="0"/>
      <w:divBdr>
        <w:top w:val="none" w:sz="0" w:space="0" w:color="auto"/>
        <w:left w:val="none" w:sz="0" w:space="0" w:color="auto"/>
        <w:bottom w:val="none" w:sz="0" w:space="0" w:color="auto"/>
        <w:right w:val="none" w:sz="0" w:space="0" w:color="auto"/>
      </w:divBdr>
    </w:div>
    <w:div w:id="1485076633">
      <w:bodyDiv w:val="1"/>
      <w:marLeft w:val="0"/>
      <w:marRight w:val="0"/>
      <w:marTop w:val="0"/>
      <w:marBottom w:val="0"/>
      <w:divBdr>
        <w:top w:val="none" w:sz="0" w:space="0" w:color="auto"/>
        <w:left w:val="none" w:sz="0" w:space="0" w:color="auto"/>
        <w:bottom w:val="none" w:sz="0" w:space="0" w:color="auto"/>
        <w:right w:val="none" w:sz="0" w:space="0" w:color="auto"/>
      </w:divBdr>
    </w:div>
    <w:div w:id="1513835799">
      <w:bodyDiv w:val="1"/>
      <w:marLeft w:val="0"/>
      <w:marRight w:val="0"/>
      <w:marTop w:val="0"/>
      <w:marBottom w:val="0"/>
      <w:divBdr>
        <w:top w:val="none" w:sz="0" w:space="0" w:color="auto"/>
        <w:left w:val="none" w:sz="0" w:space="0" w:color="auto"/>
        <w:bottom w:val="none" w:sz="0" w:space="0" w:color="auto"/>
        <w:right w:val="none" w:sz="0" w:space="0" w:color="auto"/>
      </w:divBdr>
    </w:div>
    <w:div w:id="1621767548">
      <w:bodyDiv w:val="1"/>
      <w:marLeft w:val="0"/>
      <w:marRight w:val="0"/>
      <w:marTop w:val="0"/>
      <w:marBottom w:val="0"/>
      <w:divBdr>
        <w:top w:val="none" w:sz="0" w:space="0" w:color="auto"/>
        <w:left w:val="none" w:sz="0" w:space="0" w:color="auto"/>
        <w:bottom w:val="none" w:sz="0" w:space="0" w:color="auto"/>
        <w:right w:val="none" w:sz="0" w:space="0" w:color="auto"/>
      </w:divBdr>
    </w:div>
    <w:div w:id="1640307870">
      <w:bodyDiv w:val="1"/>
      <w:marLeft w:val="0"/>
      <w:marRight w:val="0"/>
      <w:marTop w:val="0"/>
      <w:marBottom w:val="0"/>
      <w:divBdr>
        <w:top w:val="none" w:sz="0" w:space="0" w:color="auto"/>
        <w:left w:val="none" w:sz="0" w:space="0" w:color="auto"/>
        <w:bottom w:val="none" w:sz="0" w:space="0" w:color="auto"/>
        <w:right w:val="none" w:sz="0" w:space="0" w:color="auto"/>
      </w:divBdr>
    </w:div>
    <w:div w:id="1673294271">
      <w:bodyDiv w:val="1"/>
      <w:marLeft w:val="0"/>
      <w:marRight w:val="0"/>
      <w:marTop w:val="0"/>
      <w:marBottom w:val="0"/>
      <w:divBdr>
        <w:top w:val="none" w:sz="0" w:space="0" w:color="auto"/>
        <w:left w:val="none" w:sz="0" w:space="0" w:color="auto"/>
        <w:bottom w:val="none" w:sz="0" w:space="0" w:color="auto"/>
        <w:right w:val="none" w:sz="0" w:space="0" w:color="auto"/>
      </w:divBdr>
    </w:div>
    <w:div w:id="1750693866">
      <w:bodyDiv w:val="1"/>
      <w:marLeft w:val="0"/>
      <w:marRight w:val="0"/>
      <w:marTop w:val="0"/>
      <w:marBottom w:val="0"/>
      <w:divBdr>
        <w:top w:val="none" w:sz="0" w:space="0" w:color="auto"/>
        <w:left w:val="none" w:sz="0" w:space="0" w:color="auto"/>
        <w:bottom w:val="none" w:sz="0" w:space="0" w:color="auto"/>
        <w:right w:val="none" w:sz="0" w:space="0" w:color="auto"/>
      </w:divBdr>
    </w:div>
    <w:div w:id="1814640567">
      <w:bodyDiv w:val="1"/>
      <w:marLeft w:val="0"/>
      <w:marRight w:val="0"/>
      <w:marTop w:val="0"/>
      <w:marBottom w:val="0"/>
      <w:divBdr>
        <w:top w:val="none" w:sz="0" w:space="0" w:color="auto"/>
        <w:left w:val="none" w:sz="0" w:space="0" w:color="auto"/>
        <w:bottom w:val="none" w:sz="0" w:space="0" w:color="auto"/>
        <w:right w:val="none" w:sz="0" w:space="0" w:color="auto"/>
      </w:divBdr>
    </w:div>
    <w:div w:id="1855532205">
      <w:bodyDiv w:val="1"/>
      <w:marLeft w:val="0"/>
      <w:marRight w:val="0"/>
      <w:marTop w:val="0"/>
      <w:marBottom w:val="0"/>
      <w:divBdr>
        <w:top w:val="none" w:sz="0" w:space="0" w:color="auto"/>
        <w:left w:val="none" w:sz="0" w:space="0" w:color="auto"/>
        <w:bottom w:val="none" w:sz="0" w:space="0" w:color="auto"/>
        <w:right w:val="none" w:sz="0" w:space="0" w:color="auto"/>
      </w:divBdr>
    </w:div>
    <w:div w:id="1934701863">
      <w:bodyDiv w:val="1"/>
      <w:marLeft w:val="0"/>
      <w:marRight w:val="0"/>
      <w:marTop w:val="0"/>
      <w:marBottom w:val="0"/>
      <w:divBdr>
        <w:top w:val="none" w:sz="0" w:space="0" w:color="auto"/>
        <w:left w:val="none" w:sz="0" w:space="0" w:color="auto"/>
        <w:bottom w:val="none" w:sz="0" w:space="0" w:color="auto"/>
        <w:right w:val="none" w:sz="0" w:space="0" w:color="auto"/>
      </w:divBdr>
    </w:div>
    <w:div w:id="1936592479">
      <w:bodyDiv w:val="1"/>
      <w:marLeft w:val="0"/>
      <w:marRight w:val="0"/>
      <w:marTop w:val="0"/>
      <w:marBottom w:val="0"/>
      <w:divBdr>
        <w:top w:val="none" w:sz="0" w:space="0" w:color="auto"/>
        <w:left w:val="none" w:sz="0" w:space="0" w:color="auto"/>
        <w:bottom w:val="none" w:sz="0" w:space="0" w:color="auto"/>
        <w:right w:val="none" w:sz="0" w:space="0" w:color="auto"/>
      </w:divBdr>
    </w:div>
    <w:div w:id="1948123806">
      <w:bodyDiv w:val="1"/>
      <w:marLeft w:val="0"/>
      <w:marRight w:val="0"/>
      <w:marTop w:val="0"/>
      <w:marBottom w:val="0"/>
      <w:divBdr>
        <w:top w:val="none" w:sz="0" w:space="0" w:color="auto"/>
        <w:left w:val="none" w:sz="0" w:space="0" w:color="auto"/>
        <w:bottom w:val="none" w:sz="0" w:space="0" w:color="auto"/>
        <w:right w:val="none" w:sz="0" w:space="0" w:color="auto"/>
      </w:divBdr>
    </w:div>
    <w:div w:id="1993672917">
      <w:bodyDiv w:val="1"/>
      <w:marLeft w:val="0"/>
      <w:marRight w:val="0"/>
      <w:marTop w:val="0"/>
      <w:marBottom w:val="0"/>
      <w:divBdr>
        <w:top w:val="none" w:sz="0" w:space="0" w:color="auto"/>
        <w:left w:val="none" w:sz="0" w:space="0" w:color="auto"/>
        <w:bottom w:val="none" w:sz="0" w:space="0" w:color="auto"/>
        <w:right w:val="none" w:sz="0" w:space="0" w:color="auto"/>
      </w:divBdr>
    </w:div>
    <w:div w:id="205442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gc.gov.au/sites/default/files/2023-10/2025%20Methodology%20Review%20-%20Consultation%20Paper%20-%20Housing_Final.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gc.gov.au/reports-for-government/2025-methodology-review/consultation/tranche-2-consultation-paper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gc.gov.au/reports-for-government/2025-methodology-review/consultation/draft-report" TargetMode="External"/><Relationship Id="rId5" Type="http://schemas.openxmlformats.org/officeDocument/2006/relationships/numbering" Target="numbering.xml"/><Relationship Id="rId15" Type="http://schemas.openxmlformats.org/officeDocument/2006/relationships/hyperlink" Target="https://www.cgc.gov.au/reports-for-government/2025-methodology-review/consultation/significant-changes-draft-repor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gc.gov.au/reports-for-government/2025-methodology-review/consultation/draft-repor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d0ec3be-4569-4cba-9f1a-cbd548d830fc">
      <UserInfo>
        <DisplayName>Greg Freeman</DisplayName>
        <AccountId>1017</AccountId>
        <AccountType/>
      </UserInfo>
      <UserInfo>
        <DisplayName>Stewart, Darcy</DisplayName>
        <AccountId>44</AccountId>
        <AccountType/>
      </UserInfo>
      <UserInfo>
        <DisplayName>Julie Jasas</DisplayName>
        <AccountId>1016</AccountId>
        <AccountType/>
      </UserInfo>
      <UserInfo>
        <DisplayName>McQuestin, Dana</DisplayName>
        <AccountId>22</AccountId>
        <AccountType/>
      </UserInfo>
    </SharedWithUsers>
    <lcf76f155ced4ddcb4097134ff3c332f xmlns="90fa3e25-a176-4d82-ad40-74afe5ce8131">
      <Terms xmlns="http://schemas.microsoft.com/office/infopath/2007/PartnerControls"/>
    </lcf76f155ced4ddcb4097134ff3c332f>
    <TaxCatchAll xmlns="fd0ec3be-4569-4cba-9f1a-cbd548d830f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91115572CD2074A8DF493F1808623F4" ma:contentTypeVersion="14" ma:contentTypeDescription="Create a new document." ma:contentTypeScope="" ma:versionID="a1b18ce6dc08ee1df12685951bc497b5">
  <xsd:schema xmlns:xsd="http://www.w3.org/2001/XMLSchema" xmlns:xs="http://www.w3.org/2001/XMLSchema" xmlns:p="http://schemas.microsoft.com/office/2006/metadata/properties" xmlns:ns2="90fa3e25-a176-4d82-ad40-74afe5ce8131" xmlns:ns3="fd0ec3be-4569-4cba-9f1a-cbd548d830fc" targetNamespace="http://schemas.microsoft.com/office/2006/metadata/properties" ma:root="true" ma:fieldsID="c04e5b83d183be4938917a396c4bdf64" ns2:_="" ns3:_="">
    <xsd:import namespace="90fa3e25-a176-4d82-ad40-74afe5ce8131"/>
    <xsd:import namespace="fd0ec3be-4569-4cba-9f1a-cbd548d830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a3e25-a176-4d82-ad40-74afe5ce8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0ec3be-4569-4cba-9f1a-cbd548d830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8244f2a-d712-4f18-956e-71d587ee79e0}" ma:internalName="TaxCatchAll" ma:readOnly="false" ma:showField="CatchAllData" ma:web="fd0ec3be-4569-4cba-9f1a-cbd548d83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624F3E-ACB5-4BA7-BF9A-0C09E72EF8CD}">
  <ds:schemaRefs>
    <ds:schemaRef ds:uri="http://schemas.microsoft.com/sharepoint/v3/contenttype/forms"/>
  </ds:schemaRefs>
</ds:datastoreItem>
</file>

<file path=customXml/itemProps2.xml><?xml version="1.0" encoding="utf-8"?>
<ds:datastoreItem xmlns:ds="http://schemas.openxmlformats.org/officeDocument/2006/customXml" ds:itemID="{01C738C3-D357-440B-9F53-6AF36A25C340}">
  <ds:schemaRefs>
    <ds:schemaRef ds:uri="http://schemas.microsoft.com/office/2006/metadata/properties"/>
    <ds:schemaRef ds:uri="http://schemas.microsoft.com/office/infopath/2007/PartnerControls"/>
    <ds:schemaRef ds:uri="fd0ec3be-4569-4cba-9f1a-cbd548d830fc"/>
    <ds:schemaRef ds:uri="90fa3e25-a176-4d82-ad40-74afe5ce8131"/>
  </ds:schemaRefs>
</ds:datastoreItem>
</file>

<file path=customXml/itemProps3.xml><?xml version="1.0" encoding="utf-8"?>
<ds:datastoreItem xmlns:ds="http://schemas.openxmlformats.org/officeDocument/2006/customXml" ds:itemID="{09291E0D-5249-4EB3-A667-BC88029BF320}">
  <ds:schemaRefs>
    <ds:schemaRef ds:uri="http://schemas.openxmlformats.org/officeDocument/2006/bibliography"/>
  </ds:schemaRefs>
</ds:datastoreItem>
</file>

<file path=customXml/itemProps4.xml><?xml version="1.0" encoding="utf-8"?>
<ds:datastoreItem xmlns:ds="http://schemas.openxmlformats.org/officeDocument/2006/customXml" ds:itemID="{BBE7C4CE-3103-4F44-AD7E-7616601D8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a3e25-a176-4d82-ad40-74afe5ce8131"/>
    <ds:schemaRef ds:uri="fd0ec3be-4569-4cba-9f1a-cbd548d83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5381</Words>
  <Characters>30677</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35987</CharactersWithSpaces>
  <SharedDoc>false</SharedDoc>
  <HLinks>
    <vt:vector size="6" baseType="variant">
      <vt:variant>
        <vt:i4>983095</vt:i4>
      </vt:variant>
      <vt:variant>
        <vt:i4>0</vt:i4>
      </vt:variant>
      <vt:variant>
        <vt:i4>0</vt:i4>
      </vt:variant>
      <vt:variant>
        <vt:i4>5</vt:i4>
      </vt:variant>
      <vt:variant>
        <vt:lpwstr>mailto:Katrina.Baldock@cgc.gov.au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2025-02-08T04:08:00Z</dcterms:created>
  <dcterms:modified xsi:type="dcterms:W3CDTF">2025-02-20T02:43:00Z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2025-02-08T04:08:52Z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193b72f3-dbc3-4105-a840-f03dd2cf54c6</vt:lpwstr>
  </property>
  <property fmtid="{D5CDD505-2E9C-101B-9397-08002B2CF9AE}" pid="8" name="MSIP_Label_4f932d64-9ab1-4d9b-81d2-a3a8b82dd47d_ContentBits">
    <vt:lpwstr>0</vt:lpwstr>
  </property>
  <property fmtid="{D5CDD505-2E9C-101B-9397-08002B2CF9AE}" pid="9" name="MSIP_Label_6e3dc468-5731-4ec9-b671-cf2147a52e3a_SetDate">
    <vt:lpwstr>2024-07-25T01:07:17Z</vt:lpwstr>
  </property>
  <property fmtid="{D5CDD505-2E9C-101B-9397-08002B2CF9AE}" pid="10" name="MSIP_Label_6e3dc468-5731-4ec9-b671-cf2147a52e3a_ActionId">
    <vt:lpwstr>cade5078-12c5-4b74-b25f-87bd1f3651b9</vt:lpwstr>
  </property>
  <property fmtid="{D5CDD505-2E9C-101B-9397-08002B2CF9AE}" pid="11" name="ContentTypeId">
    <vt:lpwstr>0x010100B91115572CD2074A8DF493F1808623F4</vt:lpwstr>
  </property>
  <property fmtid="{D5CDD505-2E9C-101B-9397-08002B2CF9AE}" pid="12" name="_ColorHex">
    <vt:lpwstr/>
  </property>
  <property fmtid="{D5CDD505-2E9C-101B-9397-08002B2CF9AE}" pid="13" name="ComplianceAssetId">
    <vt:lpwstr/>
  </property>
  <property fmtid="{D5CDD505-2E9C-101B-9397-08002B2CF9AE}" pid="14" name="TemplateUrl">
    <vt:lpwstr/>
  </property>
  <property fmtid="{D5CDD505-2E9C-101B-9397-08002B2CF9AE}" pid="15" name="ClassificationContentMarkingHeaderFontProps">
    <vt:lpwstr>#ff0000,12,Calibri</vt:lpwstr>
  </property>
  <property fmtid="{D5CDD505-2E9C-101B-9397-08002B2CF9AE}" pid="16" name="MSIP_Label_6e3dc468-5731-4ec9-b671-cf2147a52e3a_ContentBits">
    <vt:lpwstr>3</vt:lpwstr>
  </property>
  <property fmtid="{D5CDD505-2E9C-101B-9397-08002B2CF9AE}" pid="17" name="_ExtendedDescription">
    <vt:lpwstr/>
  </property>
  <property fmtid="{D5CDD505-2E9C-101B-9397-08002B2CF9AE}" pid="18" name="_ColorTag">
    <vt:lpwstr/>
  </property>
  <property fmtid="{D5CDD505-2E9C-101B-9397-08002B2CF9AE}" pid="19" name="ClassificationContentMarkingFooterShapeIds">
    <vt:lpwstr>4,5,6</vt:lpwstr>
  </property>
  <property fmtid="{D5CDD505-2E9C-101B-9397-08002B2CF9AE}" pid="20" name="xd_Signature">
    <vt:bool>false</vt:bool>
  </property>
  <property fmtid="{D5CDD505-2E9C-101B-9397-08002B2CF9AE}" pid="21" name="GUID">
    <vt:lpwstr>3835a335-fcb5-48e6-a9d3-093464786b9d</vt:lpwstr>
  </property>
  <property fmtid="{D5CDD505-2E9C-101B-9397-08002B2CF9AE}" pid="22" name="ClassificationContentMarkingHeaderShapeIds">
    <vt:lpwstr>1,2,3</vt:lpwstr>
  </property>
  <property fmtid="{D5CDD505-2E9C-101B-9397-08002B2CF9AE}" pid="23" name="MSIP_Label_6e3dc468-5731-4ec9-b671-cf2147a52e3a_Name">
    <vt:lpwstr>Official</vt:lpwstr>
  </property>
  <property fmtid="{D5CDD505-2E9C-101B-9397-08002B2CF9AE}" pid="24" name="ClassificationContentMarkingFooterFontProps">
    <vt:lpwstr>#ff0000,12,Calibri</vt:lpwstr>
  </property>
  <property fmtid="{D5CDD505-2E9C-101B-9397-08002B2CF9AE}" pid="25" name="_Emoji">
    <vt:lpwstr/>
  </property>
  <property fmtid="{D5CDD505-2E9C-101B-9397-08002B2CF9AE}" pid="26" name="MSIP_Label_6e3dc468-5731-4ec9-b671-cf2147a52e3a_Enabled">
    <vt:lpwstr>true</vt:lpwstr>
  </property>
  <property fmtid="{D5CDD505-2E9C-101B-9397-08002B2CF9AE}" pid="27" name="TriggerFlowInfo">
    <vt:lpwstr/>
  </property>
  <property fmtid="{D5CDD505-2E9C-101B-9397-08002B2CF9AE}" pid="28" name="ClassificationContentMarkingFooterText">
    <vt:lpwstr>OFFICIAL</vt:lpwstr>
  </property>
  <property fmtid="{D5CDD505-2E9C-101B-9397-08002B2CF9AE}" pid="29" name="MSIP_Label_6e3dc468-5731-4ec9-b671-cf2147a52e3a_SiteId">
    <vt:lpwstr>214f1646-2021-47cc-8397-e3d3a7ba7d9d</vt:lpwstr>
  </property>
  <property fmtid="{D5CDD505-2E9C-101B-9397-08002B2CF9AE}" pid="30" name="Order">
    <vt:r8>86000600</vt:r8>
  </property>
  <property fmtid="{D5CDD505-2E9C-101B-9397-08002B2CF9AE}" pid="31" name="MSIP_Label_6e3dc468-5731-4ec9-b671-cf2147a52e3a_Method">
    <vt:lpwstr>Privileged</vt:lpwstr>
  </property>
  <property fmtid="{D5CDD505-2E9C-101B-9397-08002B2CF9AE}" pid="32" name="ClassificationContentMarkingHeaderText">
    <vt:lpwstr>OFFICIAL</vt:lpwstr>
  </property>
  <property fmtid="{D5CDD505-2E9C-101B-9397-08002B2CF9AE}" pid="33" name="MediaServiceImageTags">
    <vt:lpwstr/>
  </property>
  <property fmtid="{D5CDD505-2E9C-101B-9397-08002B2CF9AE}" pid="34" name="xd_ProgID">
    <vt:lpwstr/>
  </property>
</Properties>
</file>